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7.xml" ContentType="application/vnd.openxmlformats-officedocument.wordprocessingml.header+xml"/>
  <Override PartName="/word/footer14.xml" ContentType="application/vnd.openxmlformats-officedocument.wordprocessingml.footer+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6EC5D" w14:textId="1356244E" w:rsidR="00767B75" w:rsidRPr="00DE108C" w:rsidRDefault="00B8423A">
      <w:r>
        <w:rPr>
          <w:noProof/>
        </w:rPr>
        <w:drawing>
          <wp:anchor distT="0" distB="0" distL="114300" distR="114300" simplePos="0" relativeHeight="251658246" behindDoc="1" locked="1" layoutInCell="1" allowOverlap="1" wp14:anchorId="2421D43B" wp14:editId="09FBF168">
            <wp:simplePos x="0" y="0"/>
            <wp:positionH relativeFrom="page">
              <wp:posOffset>0</wp:posOffset>
            </wp:positionH>
            <wp:positionV relativeFrom="page">
              <wp:posOffset>0</wp:posOffset>
            </wp:positionV>
            <wp:extent cx="7635600" cy="10800000"/>
            <wp:effectExtent l="0" t="0" r="3810" b="1905"/>
            <wp:wrapNone/>
            <wp:docPr id="127096305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63053" name="drawing">
                      <a:extLst>
                        <a:ext uri="{C183D7F6-B498-43B3-948B-1728B52AA6E4}">
                          <adec:decorative xmlns:adec="http://schemas.microsoft.com/office/drawing/2017/decorative" val="1"/>
                        </a:ext>
                      </a:extLst>
                    </pic:cNvPr>
                    <pic:cNvPicPr/>
                  </pic:nvPicPr>
                  <pic:blipFill>
                    <a:blip r:embed="rId10" cstate="screen">
                      <a:extLst>
                        <a:ext uri="{28A0092B-C50C-407E-A947-70E740481C1C}">
                          <a14:useLocalDpi xmlns:a14="http://schemas.microsoft.com/office/drawing/2010/main"/>
                        </a:ext>
                      </a:extLst>
                    </a:blip>
                    <a:stretch>
                      <a:fillRect/>
                    </a:stretch>
                  </pic:blipFill>
                  <pic:spPr>
                    <a:xfrm>
                      <a:off x="0" y="0"/>
                      <a:ext cx="7635600" cy="10800000"/>
                    </a:xfrm>
                    <a:prstGeom prst="rect">
                      <a:avLst/>
                    </a:prstGeom>
                  </pic:spPr>
                </pic:pic>
              </a:graphicData>
            </a:graphic>
            <wp14:sizeRelH relativeFrom="page">
              <wp14:pctWidth>0</wp14:pctWidth>
            </wp14:sizeRelH>
            <wp14:sizeRelV relativeFrom="page">
              <wp14:pctHeight>0</wp14:pctHeight>
            </wp14:sizeRelV>
          </wp:anchor>
        </w:drawing>
      </w:r>
    </w:p>
    <w:p w14:paraId="0C2A64E1" w14:textId="0D5AAC3B" w:rsidR="00B8423A" w:rsidRPr="00DE108C" w:rsidRDefault="00B8423A">
      <w:pPr>
        <w:sectPr w:rsidR="00B8423A" w:rsidRPr="00DE108C" w:rsidSect="00767B75">
          <w:headerReference w:type="even" r:id="rId11"/>
          <w:headerReference w:type="default" r:id="rId12"/>
          <w:footerReference w:type="default" r:id="rId13"/>
          <w:headerReference w:type="first" r:id="rId14"/>
          <w:pgSz w:w="11906" w:h="16838" w:code="9"/>
          <w:pgMar w:top="1134" w:right="1134" w:bottom="1134" w:left="1134" w:header="567" w:footer="680" w:gutter="0"/>
          <w:cols w:space="708"/>
          <w:docGrid w:linePitch="360"/>
        </w:sectPr>
      </w:pPr>
      <w:r w:rsidRPr="00DE108C">
        <w:rPr>
          <w:noProof/>
        </w:rPr>
        <mc:AlternateContent>
          <mc:Choice Requires="wps">
            <w:drawing>
              <wp:anchor distT="0" distB="0" distL="114300" distR="114300" simplePos="0" relativeHeight="251658240" behindDoc="0" locked="0" layoutInCell="1" allowOverlap="1" wp14:anchorId="4EF635FE" wp14:editId="52ED5A5E">
                <wp:simplePos x="0" y="0"/>
                <wp:positionH relativeFrom="margin">
                  <wp:posOffset>-300990</wp:posOffset>
                </wp:positionH>
                <wp:positionV relativeFrom="paragraph">
                  <wp:posOffset>6334317</wp:posOffset>
                </wp:positionV>
                <wp:extent cx="6591300" cy="1722474"/>
                <wp:effectExtent l="0" t="0" r="0" b="0"/>
                <wp:wrapNone/>
                <wp:docPr id="563604873" name="Text Box 1"/>
                <wp:cNvGraphicFramePr/>
                <a:graphic xmlns:a="http://schemas.openxmlformats.org/drawingml/2006/main">
                  <a:graphicData uri="http://schemas.microsoft.com/office/word/2010/wordprocessingShape">
                    <wps:wsp>
                      <wps:cNvSpPr txBox="1"/>
                      <wps:spPr>
                        <a:xfrm>
                          <a:off x="0" y="0"/>
                          <a:ext cx="6591300" cy="1722474"/>
                        </a:xfrm>
                        <a:prstGeom prst="rect">
                          <a:avLst/>
                        </a:prstGeom>
                        <a:noFill/>
                        <a:ln w="6350">
                          <a:noFill/>
                        </a:ln>
                      </wps:spPr>
                      <wps:txbx>
                        <w:txbxContent>
                          <w:p w14:paraId="42CC9D78" w14:textId="68834390" w:rsidR="00767B75" w:rsidRPr="009375BA" w:rsidRDefault="009375BA">
                            <w:pPr>
                              <w:rPr>
                                <w:rFonts w:ascii="Verdana" w:hAnsi="Verdana"/>
                                <w:color w:val="FFFFFF" w:themeColor="background1"/>
                                <w:sz w:val="72"/>
                                <w:szCs w:val="72"/>
                              </w:rPr>
                            </w:pPr>
                            <w:r w:rsidRPr="009375BA">
                              <w:rPr>
                                <w:rFonts w:ascii="Verdana" w:hAnsi="Verdana"/>
                                <w:color w:val="FFFFFF" w:themeColor="background1"/>
                                <w:sz w:val="72"/>
                                <w:szCs w:val="72"/>
                              </w:rPr>
                              <w:t>Melbourne Water</w:t>
                            </w:r>
                          </w:p>
                          <w:p w14:paraId="08A5ACE0" w14:textId="5F1732B0" w:rsidR="009375BA" w:rsidRPr="009375BA" w:rsidRDefault="009375BA">
                            <w:pPr>
                              <w:rPr>
                                <w:rFonts w:ascii="Verdana" w:hAnsi="Verdana"/>
                                <w:color w:val="FFFFFF" w:themeColor="background1"/>
                                <w:sz w:val="40"/>
                                <w:szCs w:val="40"/>
                              </w:rPr>
                            </w:pPr>
                            <w:r w:rsidRPr="009375BA">
                              <w:rPr>
                                <w:rFonts w:ascii="Verdana" w:hAnsi="Verdana"/>
                                <w:color w:val="FFFFFF" w:themeColor="background1"/>
                                <w:sz w:val="72"/>
                                <w:szCs w:val="72"/>
                              </w:rPr>
                              <w:t>2026 Price 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635FE" id="_x0000_t202" coordsize="21600,21600" o:spt="202" path="m,l,21600r21600,l21600,xe">
                <v:stroke joinstyle="miter"/>
                <v:path gradientshapeok="t" o:connecttype="rect"/>
              </v:shapetype>
              <v:shape id="Text Box 1" o:spid="_x0000_s1026" type="#_x0000_t202" style="position:absolute;margin-left:-23.7pt;margin-top:498.75pt;width:519pt;height:135.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5dFwIAAC0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" filled="f" stroked="f" strokeweight=".5pt">
                <v:textbox>
                  <w:txbxContent>
                    <w:p w14:paraId="42CC9D78" w14:textId="68834390" w:rsidR="00767B75" w:rsidRPr="009375BA" w:rsidRDefault="009375BA">
                      <w:pPr>
                        <w:rPr>
                          <w:rFonts w:ascii="Verdana" w:hAnsi="Verdana"/>
                          <w:color w:val="FFFFFF" w:themeColor="background1"/>
                          <w:sz w:val="72"/>
                          <w:szCs w:val="72"/>
                        </w:rPr>
                      </w:pPr>
                      <w:r w:rsidRPr="009375BA">
                        <w:rPr>
                          <w:rFonts w:ascii="Verdana" w:hAnsi="Verdana"/>
                          <w:color w:val="FFFFFF" w:themeColor="background1"/>
                          <w:sz w:val="72"/>
                          <w:szCs w:val="72"/>
                        </w:rPr>
                        <w:t>Melbourne Water</w:t>
                      </w:r>
                    </w:p>
                    <w:p w14:paraId="08A5ACE0" w14:textId="5F1732B0" w:rsidR="009375BA" w:rsidRPr="009375BA" w:rsidRDefault="009375BA">
                      <w:pPr>
                        <w:rPr>
                          <w:rFonts w:ascii="Verdana" w:hAnsi="Verdana"/>
                          <w:color w:val="FFFFFF" w:themeColor="background1"/>
                          <w:sz w:val="40"/>
                          <w:szCs w:val="40"/>
                        </w:rPr>
                      </w:pPr>
                      <w:r w:rsidRPr="009375BA">
                        <w:rPr>
                          <w:rFonts w:ascii="Verdana" w:hAnsi="Verdana"/>
                          <w:color w:val="FFFFFF" w:themeColor="background1"/>
                          <w:sz w:val="72"/>
                          <w:szCs w:val="72"/>
                        </w:rPr>
                        <w:t>2026 Price Submission</w:t>
                      </w:r>
                    </w:p>
                  </w:txbxContent>
                </v:textbox>
                <w10:wrap anchorx="margin"/>
              </v:shape>
            </w:pict>
          </mc:Fallback>
        </mc:AlternateContent>
      </w:r>
    </w:p>
    <w:p w14:paraId="2C135771" w14:textId="3287436F" w:rsidR="00B84807" w:rsidRPr="00DE108C" w:rsidRDefault="00B84807" w:rsidP="00B84807">
      <w:bookmarkStart w:id="0" w:name="_Toc207892870"/>
      <w:bookmarkStart w:id="1" w:name="_Toc207853360"/>
      <w:r w:rsidRPr="00DE108C">
        <w:lastRenderedPageBreak/>
        <w:t>‘We Will Walk Country Together’ Artist: Gerard Black © 2023</w:t>
      </w:r>
    </w:p>
    <w:p w14:paraId="6657A23B" w14:textId="77777777" w:rsidR="00AD254B" w:rsidRPr="00DE108C" w:rsidRDefault="00AD254B" w:rsidP="00B84807"/>
    <w:p w14:paraId="17A956F4" w14:textId="77777777" w:rsidR="00AD254B" w:rsidRPr="00DE108C" w:rsidRDefault="00AD254B" w:rsidP="00B84807"/>
    <w:p w14:paraId="12DFB844" w14:textId="77777777" w:rsidR="00AD254B" w:rsidRPr="00DE108C" w:rsidRDefault="00AD254B" w:rsidP="00B84807"/>
    <w:p w14:paraId="1DE41511" w14:textId="77777777" w:rsidR="00AD254B" w:rsidRPr="00DE108C" w:rsidRDefault="00AD254B" w:rsidP="00B84807"/>
    <w:p w14:paraId="392F1D62" w14:textId="77777777" w:rsidR="00AD254B" w:rsidRPr="00DE108C" w:rsidRDefault="00AD254B" w:rsidP="00B84807"/>
    <w:p w14:paraId="1D4219ED" w14:textId="723035F5" w:rsidR="00767B75" w:rsidRPr="00DE108C" w:rsidRDefault="00B84807" w:rsidP="00B8423A">
      <w:pPr>
        <w:pStyle w:val="Heading1"/>
      </w:pPr>
      <w:bookmarkStart w:id="2" w:name="_Toc210229025"/>
      <w:r w:rsidRPr="00DE108C">
        <w:rPr>
          <w:noProof/>
        </w:rPr>
        <w:drawing>
          <wp:anchor distT="0" distB="0" distL="114300" distR="114300" simplePos="0" relativeHeight="251658247" behindDoc="0" locked="1" layoutInCell="1" allowOverlap="1" wp14:anchorId="494E614E" wp14:editId="4AB4826A">
            <wp:simplePos x="0" y="0"/>
            <wp:positionH relativeFrom="page">
              <wp:align>left</wp:align>
            </wp:positionH>
            <wp:positionV relativeFrom="page">
              <wp:posOffset>0</wp:posOffset>
            </wp:positionV>
            <wp:extent cx="7560000" cy="5342400"/>
            <wp:effectExtent l="0" t="0" r="3175" b="0"/>
            <wp:wrapTopAndBottom/>
            <wp:docPr id="1636206843" name="Picture 1" descr="'We Will Walk Country Together’ Artist: Gerard Black&#10;&#10;One of our organisational goals is “We will walk Country together”. The goal supports Traditional Owner self-determination and our commitment to reconciliation.&#10;&#10;The artwork titled “We Will Walk Country Together” captures the essence of the partnership between Melbourne Water and the Traditional Owners who have been Caring for their Country for thousands of years and is a testament to our commitment to deliver against our obligations in regard to Traditional Owners.&#10;&#10;Through this artwork and our commitment to caring for Melbourne and planning for the future, we want to demonstrate our strong partnership and dedication to working with Traditional Owners to ensure the sustainability of land and waterways for generations to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06843" name="Picture 1" descr="'We Will Walk Country Together’ Artist: Gerard Black&#10;&#10;One of our organisational goals is “We will walk Country together”. The goal supports Traditional Owner self-determination and our commitment to reconciliation.&#10;&#10;The artwork titled “We Will Walk Country Together” captures the essence of the partnership between Melbourne Water and the Traditional Owners who have been Caring for their Country for thousands of years and is a testament to our commitment to deliver against our obligations in regard to Traditional Owners.&#10;&#10;Through this artwork and our commitment to caring for Melbourne and planning for the future, we want to demonstrate our strong partnership and dedication to working with Traditional Owners to ensure the sustainability of land and waterways for generations to com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560000" cy="534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B75" w:rsidRPr="00DE108C">
        <w:t xml:space="preserve">Aboriginal </w:t>
      </w:r>
      <w:bookmarkEnd w:id="0"/>
      <w:bookmarkEnd w:id="1"/>
      <w:r w:rsidR="009D2AD8" w:rsidRPr="00DE108C">
        <w:t>A</w:t>
      </w:r>
      <w:r w:rsidR="00767B75" w:rsidRPr="00DE108C">
        <w:t>cknowledgement</w:t>
      </w:r>
      <w:bookmarkEnd w:id="2"/>
      <w:r w:rsidR="00767B75" w:rsidRPr="00DE108C">
        <w:t> </w:t>
      </w:r>
    </w:p>
    <w:p w14:paraId="13AA4FF1" w14:textId="77777777" w:rsidR="00AF722F" w:rsidRPr="00DE108C" w:rsidRDefault="00AF722F" w:rsidP="00AF722F">
      <w:r w:rsidRPr="00DE108C">
        <w:t xml:space="preserve">Melbourne Water respectfully acknowledges Aboriginal and Torres Strait Islander peoples as the Traditional Owners and custodians of the land and water on which all Australians rely. We pay our respects to Bunurong, Gunaikurnai, Wadawurrung, Wurundjeri Woi-wurrung and Taungurung peoples, their Elders past, present and future, as Traditional Owners and the custodians of the land and water on which we rely and operate.   </w:t>
      </w:r>
    </w:p>
    <w:p w14:paraId="58DDB216" w14:textId="77777777" w:rsidR="00AF722F" w:rsidRPr="00DE108C" w:rsidRDefault="00AF722F" w:rsidP="00AF722F">
      <w:r w:rsidRPr="00DE108C">
        <w:t xml:space="preserve">We acknowledge and respect the continued cultural, social, economic and spiritual connections of all Aboriginal Victorians. We also acknowledge the broader Aboriginal and Torres Strait Islander community and their connections with lands and waters and recognise and value their inherent responsibility to care for and protect them for thousands of generations.   </w:t>
      </w:r>
    </w:p>
    <w:p w14:paraId="2F49C26F" w14:textId="774F03E1" w:rsidR="00767B75" w:rsidRPr="00DE108C" w:rsidRDefault="00767B75">
      <w:r w:rsidRPr="00DE108C">
        <w:t xml:space="preserve">Melbourne Water acknowledges Aboriginal Victorians as Traditional Owners and, in the spirit of reconciliation, we remain committed to developing partnerships with Traditional Owners to ensure </w:t>
      </w:r>
      <w:r w:rsidRPr="00DE108C">
        <w:rPr>
          <w:rFonts w:eastAsiaTheme="minorEastAsia"/>
        </w:rPr>
        <w:t>meaningful</w:t>
      </w:r>
      <w:r w:rsidRPr="00DE108C">
        <w:t>, ongoing contributions to the future of land and water management.</w:t>
      </w:r>
      <w:r w:rsidR="008C46DF">
        <w:t xml:space="preserve"> </w:t>
      </w:r>
    </w:p>
    <w:p w14:paraId="65E0DDF1" w14:textId="5E70245C" w:rsidR="2E54B613" w:rsidRPr="00DE108C" w:rsidRDefault="2E54B613">
      <w:r w:rsidRPr="00DE108C">
        <w:br w:type="page"/>
      </w:r>
    </w:p>
    <w:p w14:paraId="3BB4D8F1" w14:textId="77777777" w:rsidR="00767B75" w:rsidRPr="00DE108C" w:rsidRDefault="00767B75">
      <w:pPr>
        <w:pStyle w:val="Heading1"/>
      </w:pPr>
      <w:bookmarkStart w:id="3" w:name="_Toc207892871"/>
      <w:bookmarkStart w:id="4" w:name="_Toc207853361"/>
      <w:bookmarkStart w:id="5" w:name="_Toc210229026"/>
      <w:r w:rsidRPr="00DE108C">
        <w:lastRenderedPageBreak/>
        <w:t>About this document</w:t>
      </w:r>
      <w:bookmarkEnd w:id="3"/>
      <w:bookmarkEnd w:id="4"/>
      <w:bookmarkEnd w:id="5"/>
      <w:r w:rsidRPr="00DE108C">
        <w:t> </w:t>
      </w:r>
    </w:p>
    <w:p w14:paraId="109E1138" w14:textId="390D0838" w:rsidR="12056DAB" w:rsidRPr="00DE108C" w:rsidRDefault="00767B75">
      <w:r w:rsidRPr="00DE108C">
        <w:t xml:space="preserve">This document is a key component of Melbourne Water’s 2026 Price Submission (‘Price Submission’, ‘the </w:t>
      </w:r>
      <w:r w:rsidR="00D57894">
        <w:t>s</w:t>
      </w:r>
      <w:r w:rsidRPr="00DE108C">
        <w:t>ubmission’</w:t>
      </w:r>
      <w:r w:rsidR="006450CC">
        <w:t>, PS26</w:t>
      </w:r>
      <w:r w:rsidRPr="00DE108C">
        <w:t xml:space="preserve">) and is prepared for the purposes of the Essential Services Commission’s 2026 Melbourne Water Price Review. The Price Submission has been prepared considering the requirements of the </w:t>
      </w:r>
      <w:r w:rsidRPr="00DE108C">
        <w:rPr>
          <w:i/>
          <w:iCs/>
        </w:rPr>
        <w:t xml:space="preserve">Water Industry Regulatory Order 2014 </w:t>
      </w:r>
      <w:r w:rsidRPr="00DE108C">
        <w:t xml:space="preserve">(WIRO) and specific guidance issued by the Essential Services Commission (ESC): </w:t>
      </w:r>
      <w:r w:rsidRPr="00DE108C">
        <w:rPr>
          <w:i/>
          <w:iCs/>
        </w:rPr>
        <w:t>2026 Melbourne Water price review: Guidance paper</w:t>
      </w:r>
      <w:r w:rsidRPr="00DE108C">
        <w:t xml:space="preserve"> (the Guidance Paper). </w:t>
      </w:r>
    </w:p>
    <w:p w14:paraId="4CB7847E" w14:textId="19CDA3A8" w:rsidR="00767B75" w:rsidRPr="00DE108C" w:rsidRDefault="00767B75">
      <w:r w:rsidRPr="00DE108C">
        <w:t xml:space="preserve">The </w:t>
      </w:r>
      <w:r w:rsidR="00D57894">
        <w:t>s</w:t>
      </w:r>
      <w:r w:rsidRPr="00DE108C">
        <w:t>ubmission is made up of: </w:t>
      </w:r>
    </w:p>
    <w:p w14:paraId="3762AB58" w14:textId="670C6723" w:rsidR="00767B75" w:rsidRPr="00DE108C" w:rsidRDefault="00767B75" w:rsidP="008B4991">
      <w:pPr>
        <w:pStyle w:val="ListBullet"/>
      </w:pPr>
      <w:r w:rsidRPr="00DE108C">
        <w:rPr>
          <w:b/>
          <w:bCs/>
        </w:rPr>
        <w:t xml:space="preserve">A </w:t>
      </w:r>
      <w:r w:rsidR="00D57894">
        <w:rPr>
          <w:b/>
          <w:bCs/>
        </w:rPr>
        <w:t>s</w:t>
      </w:r>
      <w:r w:rsidRPr="00DE108C">
        <w:rPr>
          <w:b/>
          <w:bCs/>
        </w:rPr>
        <w:t xml:space="preserve">ubmission </w:t>
      </w:r>
      <w:r w:rsidR="00D57894">
        <w:rPr>
          <w:b/>
          <w:bCs/>
        </w:rPr>
        <w:t>d</w:t>
      </w:r>
      <w:r w:rsidRPr="00DE108C">
        <w:rPr>
          <w:b/>
          <w:bCs/>
        </w:rPr>
        <w:t>ocument:</w:t>
      </w:r>
      <w:r w:rsidRPr="00DE108C">
        <w:t xml:space="preserve"> consistent with the Guidance Paper, the </w:t>
      </w:r>
      <w:r w:rsidR="00D57894">
        <w:t>s</w:t>
      </w:r>
      <w:r w:rsidRPr="00DE108C">
        <w:t xml:space="preserve">ubmission </w:t>
      </w:r>
      <w:r w:rsidR="00D57894">
        <w:t>d</w:t>
      </w:r>
      <w:r w:rsidRPr="00DE108C">
        <w:t xml:space="preserve">ocument is prepared with the ESC as its target audience and focusses on matters with a material impact on the prices customers pay and the service they receive. It describes how we have addressed the requirements of the WIRO and the Guidance Paper. The </w:t>
      </w:r>
      <w:r w:rsidR="00D57894">
        <w:t>s</w:t>
      </w:r>
      <w:r w:rsidRPr="00DE108C">
        <w:t>ubmission document further sets out the context of our:</w:t>
      </w:r>
    </w:p>
    <w:p w14:paraId="5F541314" w14:textId="77777777" w:rsidR="00767B75" w:rsidRPr="00DE108C" w:rsidRDefault="00767B75" w:rsidP="008B4991">
      <w:pPr>
        <w:pStyle w:val="ListBullet2"/>
      </w:pPr>
      <w:r w:rsidRPr="00DE108C">
        <w:t>submission preparation</w:t>
      </w:r>
    </w:p>
    <w:p w14:paraId="376CC460" w14:textId="5A733AFC" w:rsidR="00767B75" w:rsidRPr="00DE108C" w:rsidRDefault="00767B75" w:rsidP="008B4991">
      <w:pPr>
        <w:pStyle w:val="ListBullet2"/>
      </w:pPr>
      <w:r w:rsidRPr="00DE108C">
        <w:t>performance in the current regulatory period</w:t>
      </w:r>
    </w:p>
    <w:p w14:paraId="62B6761B" w14:textId="02F8C959" w:rsidR="00767B75" w:rsidRPr="00DE108C" w:rsidRDefault="00767B75" w:rsidP="008B4991">
      <w:pPr>
        <w:pStyle w:val="ListBullet2"/>
      </w:pPr>
      <w:r w:rsidRPr="00DE108C">
        <w:t xml:space="preserve">customer and community involvement in the development of our proposal </w:t>
      </w:r>
    </w:p>
    <w:p w14:paraId="0CDDE4D8" w14:textId="77777777" w:rsidR="00767B75" w:rsidRPr="00DE108C" w:rsidRDefault="00767B75" w:rsidP="008B4991">
      <w:pPr>
        <w:pStyle w:val="ListBullet2"/>
      </w:pPr>
      <w:r w:rsidRPr="00DE108C">
        <w:t xml:space="preserve">the Outcomes we propose to deliver </w:t>
      </w:r>
    </w:p>
    <w:p w14:paraId="37A0EFB0" w14:textId="77777777" w:rsidR="00767B75" w:rsidRPr="00DE108C" w:rsidRDefault="00767B75" w:rsidP="008B4991">
      <w:pPr>
        <w:pStyle w:val="ListBullet2"/>
      </w:pPr>
      <w:r w:rsidRPr="00DE108C">
        <w:t>customers’ influence in shaping the commitments we have made as a result of their involvement</w:t>
      </w:r>
    </w:p>
    <w:p w14:paraId="3417F5C6" w14:textId="231CF85B" w:rsidR="00767B75" w:rsidRPr="00DE108C" w:rsidRDefault="00767B75" w:rsidP="008B4991">
      <w:pPr>
        <w:pStyle w:val="ListBullet2"/>
      </w:pPr>
      <w:r w:rsidRPr="00DE108C">
        <w:t xml:space="preserve">overview of the key inputs to pricing, including: </w:t>
      </w:r>
    </w:p>
    <w:p w14:paraId="163C87AC" w14:textId="77777777" w:rsidR="00767B75" w:rsidRPr="00DE108C" w:rsidRDefault="00767B75" w:rsidP="008B4991">
      <w:pPr>
        <w:pStyle w:val="ListBullet3"/>
      </w:pPr>
      <w:r w:rsidRPr="00DE108C">
        <w:t>our proposed expenditures to deliver our Outcomes</w:t>
      </w:r>
    </w:p>
    <w:p w14:paraId="2B2D83B0" w14:textId="77777777" w:rsidR="00767B75" w:rsidRPr="00DE108C" w:rsidRDefault="00767B75" w:rsidP="008B4991">
      <w:pPr>
        <w:pStyle w:val="ListBullet3"/>
      </w:pPr>
      <w:r w:rsidRPr="00DE108C">
        <w:t>forecast demands for our services</w:t>
      </w:r>
    </w:p>
    <w:p w14:paraId="0C21C53E" w14:textId="77777777" w:rsidR="00767B75" w:rsidRPr="00DE108C" w:rsidRDefault="00767B75" w:rsidP="008B4991">
      <w:pPr>
        <w:pStyle w:val="ListBullet3"/>
      </w:pPr>
      <w:r w:rsidRPr="00DE108C">
        <w:t>tariffs</w:t>
      </w:r>
    </w:p>
    <w:p w14:paraId="069887E3" w14:textId="77777777" w:rsidR="00767B75" w:rsidRPr="00DE108C" w:rsidRDefault="00767B75" w:rsidP="008B4991">
      <w:pPr>
        <w:pStyle w:val="ListBullet3"/>
      </w:pPr>
      <w:r w:rsidRPr="00DE108C">
        <w:t>prices and price controls we propose for the next regulatory period</w:t>
      </w:r>
    </w:p>
    <w:p w14:paraId="24A1B0F6" w14:textId="25D64C5D" w:rsidR="00767B75" w:rsidRPr="00DE108C" w:rsidRDefault="00767B75" w:rsidP="008B4991">
      <w:pPr>
        <w:pStyle w:val="ListBullet3"/>
      </w:pPr>
      <w:r w:rsidRPr="00DE108C">
        <w:t xml:space="preserve">self-assessment of our </w:t>
      </w:r>
      <w:r w:rsidR="008E66E6">
        <w:t>s</w:t>
      </w:r>
      <w:r w:rsidRPr="00DE108C">
        <w:t>ubmission under the PREMO framework.</w:t>
      </w:r>
    </w:p>
    <w:p w14:paraId="6A0E8842" w14:textId="07B85A7D" w:rsidR="00767B75" w:rsidRPr="00DE108C" w:rsidRDefault="00767B75" w:rsidP="008B4991">
      <w:pPr>
        <w:pStyle w:val="ListBullet"/>
      </w:pPr>
      <w:r w:rsidRPr="00DE108C">
        <w:rPr>
          <w:b/>
          <w:bCs/>
        </w:rPr>
        <w:t>A</w:t>
      </w:r>
      <w:r w:rsidRPr="00DE108C">
        <w:t xml:space="preserve"> </w:t>
      </w:r>
      <w:r w:rsidRPr="00DE108C">
        <w:rPr>
          <w:b/>
          <w:bCs/>
        </w:rPr>
        <w:t>Financial Model</w:t>
      </w:r>
      <w:r w:rsidR="34516209" w:rsidRPr="292592B4">
        <w:rPr>
          <w:b/>
          <w:bCs/>
        </w:rPr>
        <w:t>:</w:t>
      </w:r>
      <w:r w:rsidRPr="00DE108C">
        <w:t xml:space="preserve"> prepared consistent with the Financial Model Template provided by the ESC to Melbourne Water. The </w:t>
      </w:r>
      <w:r w:rsidR="00D57894">
        <w:t>s</w:t>
      </w:r>
      <w:r w:rsidRPr="00DE108C">
        <w:t xml:space="preserve">ubmission </w:t>
      </w:r>
      <w:r w:rsidR="008E66E6">
        <w:t>d</w:t>
      </w:r>
      <w:r w:rsidRPr="00DE108C">
        <w:t>ocument should be read in conjunction with the Financial Model.</w:t>
      </w:r>
      <w:r w:rsidR="008C46DF">
        <w:t xml:space="preserve"> </w:t>
      </w:r>
    </w:p>
    <w:p w14:paraId="4A8E4356" w14:textId="716EC701" w:rsidR="00767B75" w:rsidRPr="00DE108C" w:rsidRDefault="00767B75" w:rsidP="008B4991">
      <w:pPr>
        <w:pStyle w:val="ListBullet"/>
      </w:pPr>
      <w:r w:rsidRPr="00DE108C">
        <w:rPr>
          <w:b/>
          <w:bCs/>
        </w:rPr>
        <w:t xml:space="preserve">Supporting Documentation: </w:t>
      </w:r>
      <w:r w:rsidRPr="00DE108C">
        <w:t xml:space="preserve">to support a clear and succinct Price Submission, Melbourne Water has set some information outside the main Submission Document in a range of supporting documentation. These are cross-referenced throughout </w:t>
      </w:r>
      <w:r w:rsidR="00A91ED1" w:rsidRPr="00DE108C">
        <w:t xml:space="preserve">and </w:t>
      </w:r>
      <w:r w:rsidR="009C087E">
        <w:t>can be</w:t>
      </w:r>
      <w:r w:rsidRPr="00DE108C">
        <w:t xml:space="preserve"> provided </w:t>
      </w:r>
      <w:r w:rsidR="007F546E">
        <w:t>to support</w:t>
      </w:r>
      <w:r w:rsidRPr="00DE108C">
        <w:t xml:space="preserve"> the </w:t>
      </w:r>
      <w:r w:rsidR="008E66E6">
        <w:t>s</w:t>
      </w:r>
      <w:r w:rsidRPr="00DE108C">
        <w:t>ubmission</w:t>
      </w:r>
      <w:r w:rsidR="007F546E">
        <w:t xml:space="preserve"> on request</w:t>
      </w:r>
      <w:r w:rsidRPr="00DE108C">
        <w:t>, including:</w:t>
      </w:r>
    </w:p>
    <w:p w14:paraId="4EBA21A5" w14:textId="4F9882FE" w:rsidR="00767B75" w:rsidRPr="00DE108C" w:rsidRDefault="007F546E" w:rsidP="006F134C">
      <w:pPr>
        <w:pStyle w:val="ListBullet2"/>
      </w:pPr>
      <w:r>
        <w:t xml:space="preserve">an </w:t>
      </w:r>
      <w:r w:rsidR="008E66E6">
        <w:t>e</w:t>
      </w:r>
      <w:r w:rsidR="00767B75" w:rsidRPr="00DE108C">
        <w:t xml:space="preserve">ngagement </w:t>
      </w:r>
      <w:r w:rsidR="008E66E6">
        <w:t>s</w:t>
      </w:r>
      <w:r w:rsidR="00767B75" w:rsidRPr="00DE108C">
        <w:t>upplement</w:t>
      </w:r>
    </w:p>
    <w:p w14:paraId="55A983E4" w14:textId="00F81F74" w:rsidR="00767B75" w:rsidRPr="00DE108C" w:rsidRDefault="00767B75" w:rsidP="006F134C">
      <w:pPr>
        <w:pStyle w:val="ListBullet2"/>
      </w:pPr>
      <w:r w:rsidRPr="00DE108C">
        <w:t xml:space="preserve">a </w:t>
      </w:r>
      <w:r w:rsidR="008E66E6">
        <w:t>d</w:t>
      </w:r>
      <w:r w:rsidRPr="00DE108C">
        <w:t xml:space="preserve">emand </w:t>
      </w:r>
      <w:r w:rsidR="008E66E6">
        <w:t>s</w:t>
      </w:r>
      <w:r w:rsidRPr="00DE108C">
        <w:t>upplement</w:t>
      </w:r>
    </w:p>
    <w:p w14:paraId="1DC3BCB7" w14:textId="77777777" w:rsidR="00767B75" w:rsidRPr="00DE108C" w:rsidRDefault="00767B75" w:rsidP="006F134C">
      <w:pPr>
        <w:pStyle w:val="ListBullet2"/>
      </w:pPr>
      <w:r w:rsidRPr="00DE108C">
        <w:t>business cases</w:t>
      </w:r>
    </w:p>
    <w:p w14:paraId="792B6CA1" w14:textId="77777777" w:rsidR="00767B75" w:rsidRPr="00DE108C" w:rsidRDefault="00767B75" w:rsidP="006F134C">
      <w:pPr>
        <w:pStyle w:val="ListBullet2"/>
      </w:pPr>
      <w:r w:rsidRPr="00DE108C">
        <w:t>program summaries</w:t>
      </w:r>
    </w:p>
    <w:p w14:paraId="11F34684" w14:textId="79B19EBB" w:rsidR="00767B75" w:rsidRPr="00DE108C" w:rsidRDefault="00767B75" w:rsidP="006F134C">
      <w:pPr>
        <w:pStyle w:val="ListBullet2"/>
      </w:pPr>
      <w:r w:rsidRPr="00DE108C">
        <w:t xml:space="preserve">studies relied upon in forming Melbourne Water’s proposal. </w:t>
      </w:r>
    </w:p>
    <w:p w14:paraId="0CF000FF" w14:textId="0FA0AF50" w:rsidR="00767B75" w:rsidRPr="00DE108C" w:rsidRDefault="00767B75">
      <w:pPr>
        <w:rPr>
          <w:rFonts w:eastAsiaTheme="minorEastAsia"/>
        </w:rPr>
      </w:pPr>
      <w:r w:rsidRPr="00DE108C">
        <w:t>Consistent with the Guidance Paper, all dollars ar</w:t>
      </w:r>
      <w:r w:rsidRPr="00DE108C">
        <w:rPr>
          <w:rFonts w:eastAsiaTheme="minorEastAsia"/>
        </w:rPr>
        <w:t>e in real 20</w:t>
      </w:r>
      <w:r w:rsidR="27922DF5" w:rsidRPr="00DE108C">
        <w:rPr>
          <w:rFonts w:eastAsiaTheme="minorEastAsia"/>
        </w:rPr>
        <w:t>25-</w:t>
      </w:r>
      <w:r w:rsidRPr="00DE108C">
        <w:rPr>
          <w:rFonts w:eastAsiaTheme="minorEastAsia"/>
        </w:rPr>
        <w:t>26 terms ($real</w:t>
      </w:r>
      <w:r w:rsidR="1F81C895" w:rsidRPr="00DE108C">
        <w:rPr>
          <w:rFonts w:eastAsiaTheme="minorEastAsia"/>
        </w:rPr>
        <w:t xml:space="preserve"> </w:t>
      </w:r>
      <w:r w:rsidRPr="00DE108C">
        <w:rPr>
          <w:rFonts w:eastAsiaTheme="minorEastAsia"/>
        </w:rPr>
        <w:t>20</w:t>
      </w:r>
      <w:r w:rsidR="2C077AFE" w:rsidRPr="00DE108C">
        <w:rPr>
          <w:rFonts w:eastAsiaTheme="minorEastAsia"/>
        </w:rPr>
        <w:t>25-</w:t>
      </w:r>
      <w:r w:rsidRPr="00DE108C">
        <w:rPr>
          <w:rFonts w:eastAsiaTheme="minorEastAsia"/>
        </w:rPr>
        <w:t>26).</w:t>
      </w:r>
    </w:p>
    <w:p w14:paraId="34FE7115" w14:textId="71E01596" w:rsidR="00767B75" w:rsidRPr="00DE108C" w:rsidRDefault="00767B75">
      <w:pPr>
        <w:rPr>
          <w:b/>
          <w:bCs/>
        </w:rPr>
      </w:pPr>
      <w:r w:rsidRPr="00DE108C">
        <w:rPr>
          <w:b/>
          <w:bCs/>
        </w:rPr>
        <w:t xml:space="preserve">Relationship to the Waterways and Drainage Investment Plan </w:t>
      </w:r>
    </w:p>
    <w:p w14:paraId="6EDA6BE3" w14:textId="323E0898" w:rsidR="00767B75" w:rsidRPr="00DE108C" w:rsidRDefault="00767B75" w:rsidP="00767B75">
      <w:pPr>
        <w:sectPr w:rsidR="00767B75" w:rsidRPr="00DE108C" w:rsidSect="004E6B8E">
          <w:footerReference w:type="default" r:id="rId16"/>
          <w:pgSz w:w="11906" w:h="16838" w:code="9"/>
          <w:pgMar w:top="1134" w:right="1134" w:bottom="1134" w:left="1134" w:header="567" w:footer="680" w:gutter="0"/>
          <w:pgNumType w:fmt="lowerRoman"/>
          <w:cols w:space="708"/>
          <w:docGrid w:linePitch="360"/>
        </w:sectPr>
      </w:pPr>
      <w:r w:rsidRPr="00DE108C">
        <w:t xml:space="preserve">Prices and service levels for Melbourne Water’s metropolitan waterways and drainage services are set out in the </w:t>
      </w:r>
      <w:r w:rsidR="008335B4">
        <w:t>s</w:t>
      </w:r>
      <w:r w:rsidRPr="00DE108C">
        <w:t xml:space="preserve">ubmission consistent with regulation by the ESC per the WIRO and the Guidance Paper for the 2026 Price Review. Separately, under </w:t>
      </w:r>
      <w:r w:rsidR="56D14C95">
        <w:t>the Victorian Government</w:t>
      </w:r>
      <w:r w:rsidR="00BB5B34">
        <w:t>’s</w:t>
      </w:r>
      <w:r w:rsidRPr="00DE108C">
        <w:t xml:space="preserve"> </w:t>
      </w:r>
      <w:r w:rsidRPr="00BA0518">
        <w:rPr>
          <w:i/>
        </w:rPr>
        <w:t>Statement of Obligations</w:t>
      </w:r>
      <w:r w:rsidRPr="00DE108C">
        <w:t>, Melbourne Water must prepare a Waterways and Drainage Investment Plan (WDIP) for the Minister for Water. The WDIP will be finalised for the Minister following the 2026 Price Review. </w:t>
      </w:r>
      <w:bookmarkStart w:id="6" w:name="_Hlk206502864"/>
      <w:bookmarkEnd w:id="6"/>
      <w:r w:rsidRPr="00DE108C">
        <w:br w:type="page"/>
      </w:r>
    </w:p>
    <w:p w14:paraId="136FDE65" w14:textId="77777777" w:rsidR="009F00E6" w:rsidRPr="00DE108C" w:rsidRDefault="1FAA20C3" w:rsidP="00376980">
      <w:pPr>
        <w:pStyle w:val="Heading1"/>
        <w:spacing w:before="0"/>
      </w:pPr>
      <w:bookmarkStart w:id="7" w:name="_Toc210229027"/>
      <w:r>
        <w:rPr>
          <w:noProof/>
        </w:rPr>
        <w:lastRenderedPageBreak/>
        <w:drawing>
          <wp:anchor distT="0" distB="0" distL="114300" distR="114300" simplePos="0" relativeHeight="251658248" behindDoc="0" locked="1" layoutInCell="1" allowOverlap="1" wp14:anchorId="210505DE" wp14:editId="289DFD82">
            <wp:simplePos x="0" y="0"/>
            <wp:positionH relativeFrom="page">
              <wp:posOffset>15240</wp:posOffset>
            </wp:positionH>
            <wp:positionV relativeFrom="page">
              <wp:posOffset>289560</wp:posOffset>
            </wp:positionV>
            <wp:extent cx="7545705" cy="10672445"/>
            <wp:effectExtent l="0" t="0" r="0" b="0"/>
            <wp:wrapNone/>
            <wp:docPr id="1990358692" name="drawing" descr="A diagram titled &quot;Price submission on a page&quot; summarises Melbourne Water’s proposals, outlining what was heard from customers, simplified customer outcomes, a $7.9 billion investment plan to deliver these outcomes, and modest bill impacts. It also details improved outcomes for water corporation customers, households experiencing vulnerability, and Traditional Owners. &#10;&#10;What we heard from customers&#10;Provision of clean, safe and reliable services is the top priority for all groups. &#10;Other key concerns and values include: healthy waterways (including as part of Caring for Country), &#10;management of flooding and drainage, support to customers that need it, and a desire for a more &#10;collaborative and transparent approach to our services.&#10;Collaboration and transparency are key outcomes particularly sought by the water corporations, Traditional Owner partners and end-use customers. We have reflected this with a new, stand-alone Outcome on collaboration and relationship building.&#10;&#10;Simplified customer &#10;Outcomes&#10;- Safe and reliable bulk water supplies &#10;for now and the long term &#10;- Environmentally sustainable and &#10;reliable bulk sewerage services&#10;- Healthy, resilient waterways&#10;- Urban drainage and flood resilience&#10;- A valued partner in water cycle services&#10;&#10;Investing to deliver &#10;our Outcomes&#10;&#10;We’re proposing a $7.9 billion of prudent, efficient and deliverable capital investment to ensure clean, &#10;safe, and reliable water, sewerage, and drainage services – focused on the meeting the needs of growth and meeting our obligations while &#10;maintaining affordable water bills:&#10;• Investing $2.9 billion so our water services remain safe and reliable, including $250m for water security, readiness for the next large-scale water supply and its integration&#10;• Providing an environmentally sustainable and reliable sewerage system by investing $2.7 billion&#10;• $2.2 billion to support waterway health and manage our flood and drainage system&#10;&#10;Modest bill impacts&#10;&#10;The investments in our submission will result in modest bill impacts of no more than 1.5% increases each year plus inflation for a typical household. Impacts are indicative only and exclude any proposed changes through water corporation 2028 submissions. &#10;Waterways and drainage charges will not increase by more than inflation&#10;&#10;Improving outcomes for water corporations&#10;Our proposal sets out our commitments to:&#10;• Have simpler Customer Outcomes that clearly link to our services and explain their costs&#10;• Long-term collaborative planning&#10;• Modernise our legacy Bulk Supply Agreements, including updating criteria for asset ownership&#10;• Reform our bulk water tariffs to be fairer and including revenue risk sharing through higher volumetric charges&#10;• Provide Guaranteed Service Levels for water quality &#10;• We are proposing a ‘Standard’ rating for our submission.&#10;&#10;Improving outcomes for our community&#10;&#10;Households experiencing vulnerability &#10;We are building on retail water corporations’ extensive support for households experiencing vulnerability with Melbourne Water’s first hardship package, including providing: payment difficulty support, water efficient appliances for customers experiencing hardship, and &#10;working with community sector organisations.&#10;&#10;Traditional Owners&#10;We are committed to earlier and deeper collaboration with Traditional Owner partners which will ensure projects are delivered faster and with more benefits for the broader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58692" name="drawing" descr="A diagram titled &quot;Price submission on a page&quot; summarises Melbourne Water’s proposals, outlining what was heard from customers, simplified customer outcomes, a $7.9 billion investment plan to deliver these outcomes, and modest bill impacts. It also details improved outcomes for water corporation customers, households experiencing vulnerability, and Traditional Owners. &#10;&#10;What we heard from customers&#10;Provision of clean, safe and reliable services is the top priority for all groups. &#10;Other key concerns and values include: healthy waterways (including as part of Caring for Country), &#10;management of flooding and drainage, support to customers that need it, and a desire for a more &#10;collaborative and transparent approach to our services.&#10;Collaboration and transparency are key outcomes particularly sought by the water corporations, Traditional Owner partners and end-use customers. We have reflected this with a new, stand-alone Outcome on collaboration and relationship building.&#10;&#10;Simplified customer &#10;Outcomes&#10;- Safe and reliable bulk water supplies &#10;for now and the long term &#10;- Environmentally sustainable and &#10;reliable bulk sewerage services&#10;- Healthy, resilient waterways&#10;- Urban drainage and flood resilience&#10;- A valued partner in water cycle services&#10;&#10;Investing to deliver &#10;our Outcomes&#10;&#10;We’re proposing a $7.9 billion of prudent, efficient and deliverable capital investment to ensure clean, &#10;safe, and reliable water, sewerage, and drainage services – focused on the meeting the needs of growth and meeting our obligations while &#10;maintaining affordable water bills:&#10;• Investing $2.9 billion so our water services remain safe and reliable, including $250m for water security, readiness for the next large-scale water supply and its integration&#10;• Providing an environmentally sustainable and reliable sewerage system by investing $2.7 billion&#10;• $2.2 billion to support waterway health and manage our flood and drainage system&#10;&#10;Modest bill impacts&#10;&#10;The investments in our submission will result in modest bill impacts of no more than 1.5% increases each year plus inflation for a typical household. Impacts are indicative only and exclude any proposed changes through water corporation 2028 submissions. &#10;Waterways and drainage charges will not increase by more than inflation&#10;&#10;Improving outcomes for water corporations&#10;Our proposal sets out our commitments to:&#10;• Have simpler Customer Outcomes that clearly link to our services and explain their costs&#10;• Long-term collaborative planning&#10;• Modernise our legacy Bulk Supply Agreements, including updating criteria for asset ownership&#10;• Reform our bulk water tariffs to be fairer and including revenue risk sharing through higher volumetric charges&#10;• Provide Guaranteed Service Levels for water quality &#10;• We are proposing a ‘Standard’ rating for our submission.&#10;&#10;Improving outcomes for our community&#10;&#10;Households experiencing vulnerability &#10;We are building on retail water corporations’ extensive support for households experiencing vulnerability with Melbourne Water’s first hardship package, including providing: payment difficulty support, water efficient appliances for customers experiencing hardship, and &#10;working with community sector organisations.&#10;&#10;Traditional Owners&#10;We are committed to earlier and deeper collaboration with Traditional Owner partners which will ensure projects are delivered faster and with more benefits for the broader community. "/>
                    <pic:cNvPicPr/>
                  </pic:nvPicPr>
                  <pic:blipFill>
                    <a:blip r:embed="rId17">
                      <a:extLst>
                        <a:ext uri="{96DAC541-7B7A-43D3-8B79-37D633B846F1}">
                          <asvg:svgBlip xmlns:asvg="http://schemas.microsoft.com/office/drawing/2016/SVG/main" r:embed="rId18"/>
                        </a:ext>
                      </a:extLst>
                    </a:blip>
                    <a:stretch>
                      <a:fillRect/>
                    </a:stretch>
                  </pic:blipFill>
                  <pic:spPr>
                    <a:xfrm>
                      <a:off x="0" y="0"/>
                      <a:ext cx="7545705" cy="10672445"/>
                    </a:xfrm>
                    <a:prstGeom prst="rect">
                      <a:avLst/>
                    </a:prstGeom>
                  </pic:spPr>
                </pic:pic>
              </a:graphicData>
            </a:graphic>
            <wp14:sizeRelH relativeFrom="page">
              <wp14:pctWidth>0</wp14:pctWidth>
            </wp14:sizeRelH>
            <wp14:sizeRelV relativeFrom="page">
              <wp14:pctHeight>0</wp14:pctHeight>
            </wp14:sizeRelV>
          </wp:anchor>
        </w:drawing>
      </w:r>
      <w:bookmarkStart w:id="8" w:name="_Toc207853363"/>
      <w:r w:rsidR="009F00E6" w:rsidRPr="00DE108C">
        <w:t xml:space="preserve">Price </w:t>
      </w:r>
      <w:r w:rsidR="008335B4">
        <w:t>S</w:t>
      </w:r>
      <w:r w:rsidR="00E10BB2" w:rsidRPr="00DE108C">
        <w:t>ubmission</w:t>
      </w:r>
      <w:r w:rsidR="009F00E6" w:rsidRPr="00DE108C">
        <w:t xml:space="preserve"> on a </w:t>
      </w:r>
      <w:r w:rsidR="00BD44DC" w:rsidRPr="00DE108C">
        <w:t>p</w:t>
      </w:r>
      <w:r w:rsidR="00E10BB2" w:rsidRPr="00DE108C">
        <w:t>age</w:t>
      </w:r>
      <w:bookmarkEnd w:id="7"/>
    </w:p>
    <w:p w14:paraId="369E12F4" w14:textId="5578314D" w:rsidR="009F00E6" w:rsidRPr="00DE108C" w:rsidRDefault="009F00E6" w:rsidP="00E10BB2"/>
    <w:p w14:paraId="07404397" w14:textId="06E6872C" w:rsidR="009F00E6" w:rsidRPr="00DE108C" w:rsidRDefault="009F00E6" w:rsidP="00E10BB2">
      <w:pPr>
        <w:pStyle w:val="Heading1"/>
        <w:sectPr w:rsidR="009F00E6" w:rsidRPr="00DE108C" w:rsidSect="005F39D2">
          <w:headerReference w:type="even" r:id="rId19"/>
          <w:headerReference w:type="default" r:id="rId20"/>
          <w:footerReference w:type="even" r:id="rId21"/>
          <w:footerReference w:type="default" r:id="rId22"/>
          <w:headerReference w:type="first" r:id="rId23"/>
          <w:footerReference w:type="first" r:id="rId24"/>
          <w:pgSz w:w="11906" w:h="16838" w:code="9"/>
          <w:pgMar w:top="-1276" w:right="1134" w:bottom="1134" w:left="1134" w:header="567" w:footer="680" w:gutter="0"/>
          <w:pgNumType w:fmt="lowerRoman"/>
          <w:cols w:space="708"/>
          <w:docGrid w:linePitch="360"/>
        </w:sectPr>
      </w:pPr>
    </w:p>
    <w:p w14:paraId="5AD38F47" w14:textId="5CA0ABC0" w:rsidR="00252573" w:rsidRPr="00DE108C" w:rsidRDefault="2BE9EAF3" w:rsidP="1AD96A11">
      <w:pPr>
        <w:pStyle w:val="Heading1"/>
        <w:spacing w:before="120" w:after="200"/>
      </w:pPr>
      <w:bookmarkStart w:id="9" w:name="_Toc210229028"/>
      <w:bookmarkEnd w:id="8"/>
      <w:r>
        <w:lastRenderedPageBreak/>
        <w:t xml:space="preserve">Message from </w:t>
      </w:r>
      <w:r w:rsidR="00B44662">
        <w:t>Melbourne Water’s Board</w:t>
      </w:r>
      <w:r w:rsidR="006B5BC4">
        <w:t xml:space="preserve"> of Directors</w:t>
      </w:r>
      <w:bookmarkEnd w:id="9"/>
      <w:r w:rsidR="1E9CD22A" w:rsidRPr="1AD96A11">
        <w:rPr>
          <w:rFonts w:ascii="Verdana" w:eastAsia="Verdana" w:hAnsi="Verdana" w:cs="Verdana"/>
          <w:color w:val="231F20" w:themeColor="text1"/>
          <w:sz w:val="20"/>
          <w:szCs w:val="20"/>
        </w:rPr>
        <w:t xml:space="preserve"> </w:t>
      </w:r>
    </w:p>
    <w:p w14:paraId="6C4E35BB" w14:textId="2B0117E8" w:rsidR="00252573" w:rsidRPr="00DE108C" w:rsidRDefault="1E9CD22A" w:rsidP="1AD96A11">
      <w:r w:rsidRPr="00DE108C">
        <w:t>On behalf of the Board of Directors</w:t>
      </w:r>
      <w:r w:rsidR="00EB173E" w:rsidRPr="00DE108C">
        <w:t>,</w:t>
      </w:r>
      <w:r w:rsidRPr="00DE108C">
        <w:t xml:space="preserve"> we</w:t>
      </w:r>
      <w:r w:rsidR="00F24681" w:rsidRPr="00DE108C">
        <w:t xml:space="preserve"> are</w:t>
      </w:r>
      <w:r w:rsidRPr="00DE108C">
        <w:t xml:space="preserve"> pleased to present Melbourne Water’s </w:t>
      </w:r>
      <w:r w:rsidR="002762B4">
        <w:t>2026</w:t>
      </w:r>
      <w:r w:rsidRPr="00DE108C">
        <w:t xml:space="preserve"> Price Submission. This submission </w:t>
      </w:r>
      <w:r w:rsidR="126BFDEB" w:rsidRPr="00DE108C">
        <w:t>is</w:t>
      </w:r>
      <w:r w:rsidR="71AF5984" w:rsidRPr="00DE108C">
        <w:t xml:space="preserve"> </w:t>
      </w:r>
      <w:r w:rsidRPr="00DE108C">
        <w:t xml:space="preserve">our best offer, </w:t>
      </w:r>
      <w:r w:rsidR="4AAAA299" w:rsidRPr="00DE108C">
        <w:t>shaped by a</w:t>
      </w:r>
      <w:r w:rsidRPr="00DE108C">
        <w:t xml:space="preserve"> focussed, disciplined and whole-of-organisation effort to deliver value for customers. </w:t>
      </w:r>
      <w:r w:rsidR="4CBA162C" w:rsidRPr="00DE108C">
        <w:t xml:space="preserve">It is underpinned by our genuine desire </w:t>
      </w:r>
      <w:r w:rsidR="430802B8">
        <w:t xml:space="preserve">to </w:t>
      </w:r>
      <w:r w:rsidR="4CBA162C" w:rsidRPr="00DE108C">
        <w:t xml:space="preserve">treat customers fairly, whether they are customers of today or of the future. </w:t>
      </w:r>
    </w:p>
    <w:p w14:paraId="24214F46" w14:textId="2F4B54FC" w:rsidR="00252573" w:rsidRPr="00DE108C" w:rsidRDefault="1E9CD22A" w:rsidP="1AD96A11">
      <w:pPr>
        <w:spacing w:after="200"/>
      </w:pPr>
      <w:r w:rsidRPr="00DE108C">
        <w:rPr>
          <w:rFonts w:ascii="Verdana" w:eastAsia="Verdana" w:hAnsi="Verdana" w:cs="Verdana"/>
          <w:szCs w:val="20"/>
        </w:rPr>
        <w:t xml:space="preserve">We aspire to put customers at the heart of all we do. This proposal was co-created with customers and informed by what we heard is of most importance. It builds on collaborative planning with bulk service customers and insights from </w:t>
      </w:r>
      <w:r w:rsidR="2D535134" w:rsidRPr="00DE108C">
        <w:rPr>
          <w:rFonts w:ascii="Verdana" w:eastAsia="Verdana" w:hAnsi="Verdana" w:cs="Verdana"/>
          <w:szCs w:val="20"/>
        </w:rPr>
        <w:t xml:space="preserve">several </w:t>
      </w:r>
      <w:r w:rsidRPr="00DE108C">
        <w:rPr>
          <w:rFonts w:ascii="Verdana" w:eastAsia="Verdana" w:hAnsi="Verdana" w:cs="Verdana"/>
          <w:szCs w:val="20"/>
        </w:rPr>
        <w:t>years of dedicated forums.</w:t>
      </w:r>
    </w:p>
    <w:p w14:paraId="30D01918" w14:textId="54D7AC1D" w:rsidR="00252573" w:rsidRPr="00DE108C" w:rsidRDefault="1E9CD22A" w:rsidP="1AD96A11">
      <w:pPr>
        <w:spacing w:after="200"/>
        <w:rPr>
          <w:rFonts w:ascii="Verdana" w:eastAsia="Verdana" w:hAnsi="Verdana" w:cs="Verdana"/>
          <w:szCs w:val="20"/>
        </w:rPr>
      </w:pPr>
      <w:r w:rsidRPr="00DE108C">
        <w:rPr>
          <w:rFonts w:ascii="Verdana" w:eastAsia="Verdana" w:hAnsi="Verdana" w:cs="Verdana"/>
          <w:szCs w:val="20"/>
        </w:rPr>
        <w:t xml:space="preserve">Customers and community </w:t>
      </w:r>
      <w:r w:rsidR="1B77E4CE" w:rsidRPr="00DE108C">
        <w:rPr>
          <w:rFonts w:ascii="Verdana" w:eastAsia="Verdana" w:hAnsi="Verdana" w:cs="Verdana"/>
          <w:szCs w:val="20"/>
        </w:rPr>
        <w:t>expect</w:t>
      </w:r>
      <w:r w:rsidRPr="00DE108C">
        <w:rPr>
          <w:rFonts w:ascii="Verdana" w:eastAsia="Verdana" w:hAnsi="Verdana" w:cs="Verdana"/>
          <w:szCs w:val="20"/>
        </w:rPr>
        <w:t xml:space="preserve"> reliable, resilient services </w:t>
      </w:r>
      <w:r w:rsidR="00F6686B" w:rsidRPr="00DE108C">
        <w:rPr>
          <w:rFonts w:ascii="Verdana" w:eastAsia="Verdana" w:hAnsi="Verdana" w:cs="Verdana"/>
          <w:szCs w:val="20"/>
        </w:rPr>
        <w:t>now</w:t>
      </w:r>
      <w:r w:rsidRPr="00DE108C">
        <w:rPr>
          <w:rFonts w:ascii="Verdana" w:eastAsia="Verdana" w:hAnsi="Verdana" w:cs="Verdana"/>
          <w:szCs w:val="20"/>
        </w:rPr>
        <w:t xml:space="preserve"> and over the long term</w:t>
      </w:r>
      <w:r w:rsidR="00F6686B" w:rsidRPr="00DE108C">
        <w:rPr>
          <w:rFonts w:ascii="Verdana" w:eastAsia="Verdana" w:hAnsi="Verdana" w:cs="Verdana"/>
          <w:szCs w:val="20"/>
        </w:rPr>
        <w:t>,</w:t>
      </w:r>
      <w:r w:rsidR="7FB978C8" w:rsidRPr="00DE108C">
        <w:rPr>
          <w:rFonts w:ascii="Verdana" w:eastAsia="Verdana" w:hAnsi="Verdana" w:cs="Verdana"/>
          <w:szCs w:val="20"/>
        </w:rPr>
        <w:t xml:space="preserve"> and trust us to invest wisely</w:t>
      </w:r>
      <w:r w:rsidRPr="00DE108C">
        <w:rPr>
          <w:rFonts w:ascii="Verdana" w:eastAsia="Verdana" w:hAnsi="Verdana" w:cs="Verdana"/>
          <w:szCs w:val="20"/>
        </w:rPr>
        <w:t xml:space="preserve">. </w:t>
      </w:r>
    </w:p>
    <w:p w14:paraId="0D8AA25B" w14:textId="4FA2B258" w:rsidR="00252573" w:rsidRPr="00DE108C" w:rsidRDefault="1E9CD22A" w:rsidP="1AD96A11">
      <w:pPr>
        <w:spacing w:after="200"/>
        <w:rPr>
          <w:rFonts w:ascii="Verdana" w:eastAsia="Verdana" w:hAnsi="Verdana" w:cs="Verdana"/>
          <w:szCs w:val="20"/>
        </w:rPr>
      </w:pPr>
      <w:r w:rsidRPr="00DE108C">
        <w:rPr>
          <w:rFonts w:ascii="Verdana" w:eastAsia="Verdana" w:hAnsi="Verdana" w:cs="Verdana"/>
          <w:szCs w:val="20"/>
        </w:rPr>
        <w:t xml:space="preserve">To balance </w:t>
      </w:r>
      <w:r w:rsidR="009606A5" w:rsidRPr="00DE108C">
        <w:rPr>
          <w:rFonts w:ascii="Verdana" w:eastAsia="Verdana" w:hAnsi="Verdana" w:cs="Verdana"/>
          <w:szCs w:val="20"/>
        </w:rPr>
        <w:t>current cost-of-living pressures</w:t>
      </w:r>
      <w:r w:rsidR="65840D36" w:rsidRPr="00DE108C">
        <w:rPr>
          <w:rFonts w:ascii="Verdana" w:eastAsia="Verdana" w:hAnsi="Verdana" w:cs="Verdana"/>
          <w:szCs w:val="20"/>
        </w:rPr>
        <w:t xml:space="preserve"> </w:t>
      </w:r>
      <w:r w:rsidRPr="00DE108C">
        <w:rPr>
          <w:rFonts w:ascii="Verdana" w:eastAsia="Verdana" w:hAnsi="Verdana" w:cs="Verdana"/>
          <w:szCs w:val="20"/>
        </w:rPr>
        <w:t>while investing for the future we are proposing to:</w:t>
      </w:r>
    </w:p>
    <w:p w14:paraId="02E7D40A" w14:textId="3367332F" w:rsidR="00252573" w:rsidRPr="00D35CF2" w:rsidRDefault="004A2A72" w:rsidP="00210D97">
      <w:pPr>
        <w:pStyle w:val="ListBullet"/>
        <w:rPr>
          <w:rFonts w:ascii="Verdana" w:eastAsia="Verdana" w:hAnsi="Verdana" w:cs="Verdana"/>
        </w:rPr>
      </w:pPr>
      <w:r>
        <w:rPr>
          <w:rFonts w:eastAsia="Verdana"/>
        </w:rPr>
        <w:t>s</w:t>
      </w:r>
      <w:r w:rsidR="1E9CD22A" w:rsidRPr="292592B4">
        <w:rPr>
          <w:rFonts w:eastAsia="Verdana"/>
        </w:rPr>
        <w:t xml:space="preserve">implify our Outcomes to focus on what matters most to </w:t>
      </w:r>
      <w:r w:rsidR="1E9CD22A" w:rsidRPr="292592B4">
        <w:rPr>
          <w:rFonts w:ascii="Verdana" w:eastAsia="Verdana" w:hAnsi="Verdana" w:cs="Verdana"/>
        </w:rPr>
        <w:t>customers</w:t>
      </w:r>
    </w:p>
    <w:p w14:paraId="19DBC708" w14:textId="17B3461B" w:rsidR="00252573" w:rsidRPr="00D35CF2" w:rsidRDefault="004A2A72" w:rsidP="00210D97">
      <w:pPr>
        <w:pStyle w:val="ListBullet"/>
        <w:rPr>
          <w:rFonts w:ascii="Verdana" w:eastAsia="Verdana" w:hAnsi="Verdana" w:cs="Verdana"/>
        </w:rPr>
      </w:pPr>
      <w:r>
        <w:rPr>
          <w:rFonts w:eastAsia="Verdana"/>
        </w:rPr>
        <w:t>i</w:t>
      </w:r>
      <w:r w:rsidR="1E9CD22A" w:rsidRPr="292592B4">
        <w:rPr>
          <w:rFonts w:eastAsia="Verdana"/>
        </w:rPr>
        <w:t>nvest to maintain service levels and meet statutory and regulatory obligations</w:t>
      </w:r>
    </w:p>
    <w:p w14:paraId="17B4A98C" w14:textId="64817B88" w:rsidR="00252573" w:rsidRPr="00D35CF2" w:rsidRDefault="004A2A72" w:rsidP="00210D97">
      <w:pPr>
        <w:pStyle w:val="ListBullet"/>
        <w:rPr>
          <w:rFonts w:ascii="Verdana" w:eastAsia="Verdana" w:hAnsi="Verdana" w:cs="Verdana"/>
        </w:rPr>
      </w:pPr>
      <w:r>
        <w:rPr>
          <w:rFonts w:eastAsia="Verdana"/>
        </w:rPr>
        <w:t>t</w:t>
      </w:r>
      <w:r w:rsidR="1E9CD22A" w:rsidRPr="292592B4">
        <w:rPr>
          <w:rFonts w:eastAsia="Verdana"/>
        </w:rPr>
        <w:t>ake on more pricing risk</w:t>
      </w:r>
    </w:p>
    <w:p w14:paraId="108852FE" w14:textId="1F99454E" w:rsidR="00252573" w:rsidRPr="00D35CF2" w:rsidRDefault="004A2A72" w:rsidP="00210D97">
      <w:pPr>
        <w:pStyle w:val="ListBullet"/>
        <w:rPr>
          <w:rFonts w:ascii="Verdana" w:eastAsia="Verdana" w:hAnsi="Verdana" w:cs="Verdana"/>
        </w:rPr>
      </w:pPr>
      <w:r>
        <w:rPr>
          <w:rFonts w:eastAsia="Verdana"/>
        </w:rPr>
        <w:t>d</w:t>
      </w:r>
      <w:r w:rsidR="1E9CD22A" w:rsidRPr="292592B4">
        <w:rPr>
          <w:rFonts w:eastAsia="Verdana"/>
        </w:rPr>
        <w:t>rive efficiency across our operations and investments.</w:t>
      </w:r>
    </w:p>
    <w:p w14:paraId="32C2831F" w14:textId="6222D088" w:rsidR="00252573" w:rsidRPr="00DE108C" w:rsidRDefault="009606A5" w:rsidP="1AD96A11">
      <w:pPr>
        <w:spacing w:after="200"/>
        <w:rPr>
          <w:rFonts w:ascii="Verdana" w:eastAsia="Verdana" w:hAnsi="Verdana" w:cs="Verdana"/>
          <w:szCs w:val="20"/>
        </w:rPr>
      </w:pPr>
      <w:r w:rsidRPr="00DE108C">
        <w:rPr>
          <w:rFonts w:ascii="Verdana" w:eastAsia="Verdana" w:hAnsi="Verdana" w:cs="Verdana"/>
          <w:szCs w:val="20"/>
        </w:rPr>
        <w:t>Over the current regulatory period w</w:t>
      </w:r>
      <w:r w:rsidR="1E9CD22A" w:rsidRPr="00DE108C">
        <w:rPr>
          <w:rFonts w:ascii="Verdana" w:eastAsia="Verdana" w:hAnsi="Verdana" w:cs="Verdana"/>
          <w:szCs w:val="20"/>
        </w:rPr>
        <w:t>e</w:t>
      </w:r>
      <w:r w:rsidR="78A97FCC" w:rsidRPr="00DE108C">
        <w:rPr>
          <w:rFonts w:ascii="Verdana" w:eastAsia="Verdana" w:hAnsi="Verdana" w:cs="Verdana"/>
          <w:szCs w:val="20"/>
        </w:rPr>
        <w:t xml:space="preserve"> have:</w:t>
      </w:r>
    </w:p>
    <w:p w14:paraId="44834DD6" w14:textId="51AD1A1E" w:rsidR="009606A5" w:rsidRDefault="004A2A72" w:rsidP="00210D97">
      <w:pPr>
        <w:pStyle w:val="ListBullet"/>
        <w:rPr>
          <w:rFonts w:ascii="Verdana" w:eastAsia="Verdana" w:hAnsi="Verdana" w:cs="Verdana"/>
        </w:rPr>
      </w:pPr>
      <w:r>
        <w:rPr>
          <w:rFonts w:eastAsia="Verdana"/>
        </w:rPr>
        <w:t>p</w:t>
      </w:r>
      <w:r w:rsidR="009606A5" w:rsidRPr="292592B4">
        <w:rPr>
          <w:rFonts w:eastAsia="Verdana"/>
        </w:rPr>
        <w:t>erformed well against our Outcome commitments despite sector-wide challenges</w:t>
      </w:r>
    </w:p>
    <w:p w14:paraId="3A1DD844" w14:textId="56E0C37C" w:rsidR="00252573" w:rsidRPr="00D35CF2" w:rsidRDefault="004A2A72" w:rsidP="00210D97">
      <w:pPr>
        <w:pStyle w:val="ListBullet"/>
        <w:rPr>
          <w:rFonts w:ascii="Verdana" w:eastAsia="Verdana" w:hAnsi="Verdana" w:cs="Verdana"/>
        </w:rPr>
      </w:pPr>
      <w:r>
        <w:rPr>
          <w:rFonts w:eastAsia="Verdana"/>
        </w:rPr>
        <w:t>p</w:t>
      </w:r>
      <w:r w:rsidR="1E9CD22A" w:rsidRPr="292592B4">
        <w:rPr>
          <w:rFonts w:ascii="Verdana" w:eastAsia="Verdana" w:hAnsi="Verdana" w:cs="Verdana"/>
        </w:rPr>
        <w:t>rogressively increased capital delivery and plan to maintain the rate of increase</w:t>
      </w:r>
    </w:p>
    <w:p w14:paraId="278B22DA" w14:textId="46F5BDC1" w:rsidR="00252573" w:rsidRPr="00D35CF2" w:rsidRDefault="004A2A72" w:rsidP="00210D97">
      <w:pPr>
        <w:pStyle w:val="ListBullet"/>
        <w:rPr>
          <w:rFonts w:ascii="Verdana" w:eastAsia="Verdana" w:hAnsi="Verdana" w:cs="Verdana"/>
        </w:rPr>
      </w:pPr>
      <w:r>
        <w:rPr>
          <w:rFonts w:eastAsia="Verdana"/>
        </w:rPr>
        <w:t>m</w:t>
      </w:r>
      <w:r w:rsidR="1E9CD22A" w:rsidRPr="292592B4">
        <w:rPr>
          <w:rFonts w:ascii="Verdana" w:eastAsia="Verdana" w:hAnsi="Verdana" w:cs="Verdana"/>
        </w:rPr>
        <w:t>et all core bulk water and bulk sewer service obligations</w:t>
      </w:r>
    </w:p>
    <w:p w14:paraId="5EDD8B59" w14:textId="20B8193E" w:rsidR="00252573" w:rsidRPr="00DE108C" w:rsidRDefault="004A2A72" w:rsidP="00210D97">
      <w:pPr>
        <w:pStyle w:val="ListBullet"/>
        <w:rPr>
          <w:rFonts w:ascii="Verdana" w:eastAsia="Verdana" w:hAnsi="Verdana" w:cs="Verdana"/>
        </w:rPr>
      </w:pPr>
      <w:r>
        <w:rPr>
          <w:rFonts w:eastAsia="Verdana"/>
        </w:rPr>
        <w:t>m</w:t>
      </w:r>
      <w:r w:rsidR="3769234B" w:rsidRPr="00DE108C">
        <w:rPr>
          <w:rFonts w:eastAsia="Verdana"/>
        </w:rPr>
        <w:t xml:space="preserve">aintained good customer </w:t>
      </w:r>
      <w:r w:rsidR="3769234B" w:rsidRPr="00DE108C">
        <w:rPr>
          <w:rFonts w:ascii="Verdana" w:eastAsia="Verdana" w:hAnsi="Verdana" w:cs="Verdana"/>
        </w:rPr>
        <w:t>satisfaction, s</w:t>
      </w:r>
      <w:r w:rsidR="4284CB9F" w:rsidRPr="00DE108C">
        <w:rPr>
          <w:rFonts w:ascii="Verdana" w:eastAsia="Verdana" w:hAnsi="Verdana" w:cs="Verdana"/>
        </w:rPr>
        <w:t>trengthened collaboration with</w:t>
      </w:r>
      <w:r w:rsidR="1E9CD22A" w:rsidRPr="00DE108C">
        <w:rPr>
          <w:rFonts w:ascii="Verdana" w:eastAsia="Verdana" w:hAnsi="Verdana" w:cs="Verdana"/>
        </w:rPr>
        <w:t xml:space="preserve"> water corporations </w:t>
      </w:r>
      <w:r w:rsidR="17BD2E48" w:rsidRPr="00DE108C">
        <w:rPr>
          <w:rFonts w:ascii="Verdana" w:eastAsia="Verdana" w:hAnsi="Verdana" w:cs="Verdana"/>
        </w:rPr>
        <w:t>and</w:t>
      </w:r>
      <w:r w:rsidR="1E9CD22A" w:rsidRPr="00DE108C">
        <w:rPr>
          <w:rFonts w:ascii="Verdana" w:eastAsia="Verdana" w:hAnsi="Verdana" w:cs="Verdana"/>
        </w:rPr>
        <w:t xml:space="preserve"> </w:t>
      </w:r>
      <w:r w:rsidR="67A0CDEA" w:rsidRPr="00DE108C">
        <w:rPr>
          <w:rFonts w:ascii="Verdana" w:eastAsia="Verdana" w:hAnsi="Verdana" w:cs="Verdana"/>
        </w:rPr>
        <w:t xml:space="preserve">improved </w:t>
      </w:r>
      <w:r w:rsidR="1E9CD22A" w:rsidRPr="00DE108C">
        <w:rPr>
          <w:rFonts w:ascii="Verdana" w:eastAsia="Verdana" w:hAnsi="Verdana" w:cs="Verdana"/>
        </w:rPr>
        <w:t xml:space="preserve">how we measure relationship health. </w:t>
      </w:r>
    </w:p>
    <w:p w14:paraId="07142B54" w14:textId="0E04FC30" w:rsidR="00252573" w:rsidRPr="00DE108C" w:rsidRDefault="1E9CD22A" w:rsidP="1AD96A11">
      <w:pPr>
        <w:spacing w:after="200"/>
      </w:pPr>
      <w:r w:rsidRPr="00DE108C">
        <w:rPr>
          <w:rFonts w:ascii="Verdana" w:eastAsia="Verdana" w:hAnsi="Verdana" w:cs="Verdana"/>
          <w:szCs w:val="20"/>
        </w:rPr>
        <w:t>The sector continues to face rising costs, which means prices must increase to maintain service quality. At our Eastern Treatment Plant, higher-than-expected loads have impacted operations</w:t>
      </w:r>
      <w:r w:rsidR="008600AC" w:rsidRPr="00DE108C">
        <w:rPr>
          <w:rFonts w:ascii="Verdana" w:eastAsia="Verdana" w:hAnsi="Verdana" w:cs="Verdana"/>
          <w:szCs w:val="20"/>
        </w:rPr>
        <w:t xml:space="preserve"> </w:t>
      </w:r>
      <w:r w:rsidRPr="00DE108C">
        <w:rPr>
          <w:rFonts w:ascii="Verdana" w:eastAsia="Verdana" w:hAnsi="Verdana" w:cs="Verdana"/>
          <w:szCs w:val="20"/>
        </w:rPr>
        <w:t xml:space="preserve">and recycled water availability. Expedited investment is needed to maintain safe operations </w:t>
      </w:r>
      <w:r w:rsidR="20BDFD83" w:rsidRPr="00DE108C">
        <w:rPr>
          <w:rFonts w:ascii="Verdana" w:eastAsia="Verdana" w:hAnsi="Verdana" w:cs="Verdana"/>
          <w:szCs w:val="20"/>
        </w:rPr>
        <w:t>and meet Environmental Protection Agency and recycled water customer requirements</w:t>
      </w:r>
      <w:r w:rsidRPr="00DE108C">
        <w:rPr>
          <w:rFonts w:ascii="Verdana" w:eastAsia="Verdana" w:hAnsi="Verdana" w:cs="Verdana"/>
          <w:szCs w:val="20"/>
        </w:rPr>
        <w:t>.</w:t>
      </w:r>
    </w:p>
    <w:p w14:paraId="739EC2E8" w14:textId="7CD80258" w:rsidR="00252573" w:rsidRPr="00DE108C" w:rsidRDefault="1E9CD22A" w:rsidP="1AD96A11">
      <w:pPr>
        <w:spacing w:after="200"/>
        <w:rPr>
          <w:rFonts w:ascii="Verdana" w:eastAsia="Verdana" w:hAnsi="Verdana" w:cs="Verdana"/>
        </w:rPr>
      </w:pPr>
      <w:r w:rsidRPr="00DE108C">
        <w:rPr>
          <w:rFonts w:ascii="Verdana" w:eastAsia="Verdana" w:hAnsi="Verdana" w:cs="Verdana"/>
        </w:rPr>
        <w:t>We remain committed to climate action and achieving net zero emissions by 2029-30</w:t>
      </w:r>
      <w:r w:rsidR="21E98B2C" w:rsidRPr="00DE108C">
        <w:rPr>
          <w:rFonts w:ascii="Verdana" w:eastAsia="Verdana" w:hAnsi="Verdana" w:cs="Verdana"/>
        </w:rPr>
        <w:t xml:space="preserve"> and to </w:t>
      </w:r>
      <w:r w:rsidR="475D8C09" w:rsidRPr="292592B4">
        <w:rPr>
          <w:rFonts w:ascii="Verdana" w:eastAsia="Verdana" w:hAnsi="Verdana" w:cs="Verdana"/>
        </w:rPr>
        <w:t>secur</w:t>
      </w:r>
      <w:r w:rsidR="6BB58689" w:rsidRPr="292592B4">
        <w:rPr>
          <w:rFonts w:ascii="Verdana" w:eastAsia="Verdana" w:hAnsi="Verdana" w:cs="Verdana"/>
        </w:rPr>
        <w:t>e</w:t>
      </w:r>
      <w:r w:rsidR="21E98B2C" w:rsidRPr="00DE108C">
        <w:rPr>
          <w:rFonts w:ascii="Verdana" w:eastAsia="Verdana" w:hAnsi="Verdana" w:cs="Verdana"/>
        </w:rPr>
        <w:t xml:space="preserve"> our long</w:t>
      </w:r>
      <w:r w:rsidR="1034FE70" w:rsidRPr="292592B4">
        <w:rPr>
          <w:rFonts w:ascii="Verdana" w:eastAsia="Verdana" w:hAnsi="Verdana" w:cs="Verdana"/>
        </w:rPr>
        <w:t>-</w:t>
      </w:r>
      <w:r w:rsidR="21E98B2C" w:rsidRPr="00DE108C">
        <w:rPr>
          <w:rFonts w:ascii="Verdana" w:eastAsia="Verdana" w:hAnsi="Verdana" w:cs="Verdana"/>
        </w:rPr>
        <w:t xml:space="preserve">term water supply. </w:t>
      </w:r>
      <w:r w:rsidR="00A4107A">
        <w:rPr>
          <w:rFonts w:ascii="Verdana" w:eastAsia="Verdana" w:hAnsi="Verdana" w:cs="Verdana"/>
        </w:rPr>
        <w:t>O</w:t>
      </w:r>
      <w:r w:rsidR="21E98B2C" w:rsidRPr="00DE108C">
        <w:rPr>
          <w:rFonts w:ascii="Verdana" w:eastAsia="Verdana" w:hAnsi="Verdana" w:cs="Verdana"/>
        </w:rPr>
        <w:t>ur</w:t>
      </w:r>
      <w:r w:rsidRPr="00DE108C">
        <w:rPr>
          <w:rFonts w:ascii="Verdana" w:eastAsia="Verdana" w:hAnsi="Verdana" w:cs="Verdana"/>
        </w:rPr>
        <w:t xml:space="preserve"> water supply system is increasingly vulnerable to </w:t>
      </w:r>
      <w:r w:rsidR="00A4107A">
        <w:rPr>
          <w:rFonts w:ascii="Verdana" w:eastAsia="Verdana" w:hAnsi="Verdana" w:cs="Verdana"/>
        </w:rPr>
        <w:t>climate variability</w:t>
      </w:r>
      <w:r w:rsidR="00A4107A" w:rsidRPr="00DE108C">
        <w:rPr>
          <w:rFonts w:ascii="Verdana" w:eastAsia="Verdana" w:hAnsi="Verdana" w:cs="Verdana"/>
        </w:rPr>
        <w:t xml:space="preserve"> </w:t>
      </w:r>
      <w:r w:rsidRPr="00DE108C">
        <w:rPr>
          <w:rFonts w:ascii="Verdana" w:eastAsia="Verdana" w:hAnsi="Verdana" w:cs="Verdana"/>
        </w:rPr>
        <w:t xml:space="preserve">and quality incidents. </w:t>
      </w:r>
      <w:r w:rsidR="718736E4" w:rsidRPr="00DE108C">
        <w:rPr>
          <w:rFonts w:ascii="Verdana" w:eastAsia="Verdana" w:hAnsi="Verdana" w:cs="Verdana"/>
        </w:rPr>
        <w:t>In a severe drought, storages could fall to critical levels within three years</w:t>
      </w:r>
      <w:r w:rsidR="00F24681" w:rsidRPr="00DE108C">
        <w:rPr>
          <w:rFonts w:ascii="Verdana" w:eastAsia="Verdana" w:hAnsi="Verdana" w:cs="Verdana"/>
        </w:rPr>
        <w:t>.</w:t>
      </w:r>
      <w:r w:rsidRPr="00DE108C">
        <w:rPr>
          <w:rFonts w:ascii="Verdana" w:eastAsia="Verdana" w:hAnsi="Verdana" w:cs="Verdana"/>
        </w:rPr>
        <w:t xml:space="preserve"> </w:t>
      </w:r>
      <w:r w:rsidRPr="00821A05">
        <w:rPr>
          <w:rFonts w:ascii="Verdana" w:eastAsia="Verdana" w:hAnsi="Verdana" w:cs="Verdana"/>
        </w:rPr>
        <w:t>The</w:t>
      </w:r>
      <w:r w:rsidRPr="00DE108C">
        <w:rPr>
          <w:rFonts w:ascii="Verdana" w:eastAsia="Verdana" w:hAnsi="Verdana" w:cs="Verdana"/>
        </w:rPr>
        <w:t xml:space="preserve"> </w:t>
      </w:r>
      <w:r w:rsidRPr="007E4834">
        <w:rPr>
          <w:rFonts w:ascii="Verdana" w:eastAsia="Verdana" w:hAnsi="Verdana" w:cs="Verdana"/>
          <w:i/>
        </w:rPr>
        <w:t xml:space="preserve">Water </w:t>
      </w:r>
      <w:r w:rsidR="007E4834" w:rsidRPr="007E4834">
        <w:rPr>
          <w:rFonts w:ascii="Verdana" w:eastAsia="Verdana" w:hAnsi="Verdana" w:cs="Verdana"/>
          <w:i/>
          <w:iCs/>
        </w:rPr>
        <w:t>Security Plan</w:t>
      </w:r>
      <w:r w:rsidR="00EE7165">
        <w:rPr>
          <w:rFonts w:ascii="Verdana" w:eastAsia="Verdana" w:hAnsi="Verdana" w:cs="Verdana"/>
          <w:i/>
          <w:iCs/>
        </w:rPr>
        <w:t xml:space="preserve"> </w:t>
      </w:r>
      <w:r w:rsidR="007E4834">
        <w:rPr>
          <w:rFonts w:ascii="Verdana" w:eastAsia="Verdana" w:hAnsi="Verdana" w:cs="Verdana"/>
        </w:rPr>
        <w:t>estimate</w:t>
      </w:r>
      <w:r w:rsidR="00E17510">
        <w:rPr>
          <w:rFonts w:ascii="Verdana" w:eastAsia="Verdana" w:hAnsi="Verdana" w:cs="Verdana"/>
        </w:rPr>
        <w:t xml:space="preserve">s </w:t>
      </w:r>
      <w:r w:rsidR="007E4834">
        <w:rPr>
          <w:rFonts w:ascii="Verdana" w:eastAsia="Verdana" w:hAnsi="Verdana" w:cs="Verdana"/>
        </w:rPr>
        <w:t xml:space="preserve">by </w:t>
      </w:r>
      <w:r w:rsidR="007B1484">
        <w:rPr>
          <w:rFonts w:ascii="Verdana" w:eastAsia="Verdana" w:hAnsi="Verdana" w:cs="Verdana"/>
        </w:rPr>
        <w:t xml:space="preserve">2030 Victoria </w:t>
      </w:r>
      <w:r w:rsidR="00437913">
        <w:rPr>
          <w:rFonts w:ascii="Verdana" w:eastAsia="Verdana" w:hAnsi="Verdana" w:cs="Verdana"/>
        </w:rPr>
        <w:t>could</w:t>
      </w:r>
      <w:r w:rsidR="007B1484">
        <w:rPr>
          <w:rFonts w:ascii="Verdana" w:eastAsia="Verdana" w:hAnsi="Verdana" w:cs="Verdana"/>
        </w:rPr>
        <w:t xml:space="preserve"> need an extra 95 gigalitres </w:t>
      </w:r>
      <w:r w:rsidR="00E17510">
        <w:rPr>
          <w:rFonts w:ascii="Verdana" w:eastAsia="Verdana" w:hAnsi="Verdana" w:cs="Verdana"/>
        </w:rPr>
        <w:t xml:space="preserve">of water </w:t>
      </w:r>
      <w:r w:rsidR="007B1484">
        <w:rPr>
          <w:rFonts w:ascii="Verdana" w:eastAsia="Verdana" w:hAnsi="Verdana" w:cs="Verdana"/>
        </w:rPr>
        <w:t>per year</w:t>
      </w:r>
      <w:r w:rsidR="00F24681" w:rsidRPr="00DE108C">
        <w:rPr>
          <w:rFonts w:ascii="Verdana" w:eastAsia="Verdana" w:hAnsi="Verdana" w:cs="Verdana"/>
        </w:rPr>
        <w:t xml:space="preserve"> – with Melbourne’s population nearly doubling since the desalination project was announced</w:t>
      </w:r>
      <w:r w:rsidRPr="00DE108C">
        <w:rPr>
          <w:rFonts w:ascii="Verdana" w:eastAsia="Verdana" w:hAnsi="Verdana" w:cs="Verdana"/>
        </w:rPr>
        <w:t xml:space="preserve">. </w:t>
      </w:r>
      <w:r w:rsidR="2CA2FF48" w:rsidRPr="292592B4">
        <w:rPr>
          <w:rFonts w:ascii="Verdana" w:eastAsia="Verdana" w:hAnsi="Verdana" w:cs="Verdana"/>
        </w:rPr>
        <w:t>We</w:t>
      </w:r>
      <w:r w:rsidR="4BDC3CD3" w:rsidRPr="292592B4">
        <w:rPr>
          <w:rFonts w:ascii="Verdana" w:eastAsia="Verdana" w:hAnsi="Verdana" w:cs="Verdana"/>
        </w:rPr>
        <w:t xml:space="preserve"> will</w:t>
      </w:r>
      <w:r w:rsidRPr="00DE108C">
        <w:rPr>
          <w:rFonts w:ascii="Verdana" w:eastAsia="Verdana" w:hAnsi="Verdana" w:cs="Verdana"/>
        </w:rPr>
        <w:t xml:space="preserve"> work with the </w:t>
      </w:r>
      <w:r w:rsidR="5F2AAF1D" w:rsidRPr="292592B4">
        <w:rPr>
          <w:rFonts w:ascii="Verdana" w:eastAsia="Verdana" w:hAnsi="Verdana" w:cs="Verdana"/>
        </w:rPr>
        <w:t>Victorian</w:t>
      </w:r>
      <w:r w:rsidRPr="00DE108C">
        <w:rPr>
          <w:rFonts w:ascii="Verdana" w:eastAsia="Verdana" w:hAnsi="Verdana" w:cs="Verdana"/>
        </w:rPr>
        <w:t xml:space="preserve"> Government to investigate and develop the next large-scale water supply and interconnecting infrastructure. </w:t>
      </w:r>
    </w:p>
    <w:p w14:paraId="14F60182" w14:textId="66F962E5" w:rsidR="00252573" w:rsidRPr="00DE108C" w:rsidRDefault="1E9CD22A" w:rsidP="1AD96A11">
      <w:pPr>
        <w:spacing w:after="200"/>
      </w:pPr>
      <w:r w:rsidRPr="292592B4">
        <w:rPr>
          <w:rFonts w:ascii="Verdana" w:eastAsia="Verdana" w:hAnsi="Verdana" w:cs="Verdana"/>
        </w:rPr>
        <w:t xml:space="preserve">We must also prepare for more frequent and intense flooding. In 2022, </w:t>
      </w:r>
      <w:r w:rsidR="65551718" w:rsidRPr="292592B4">
        <w:rPr>
          <w:rFonts w:ascii="Verdana" w:eastAsia="Verdana" w:hAnsi="Verdana" w:cs="Verdana"/>
        </w:rPr>
        <w:t>record</w:t>
      </w:r>
      <w:r w:rsidRPr="292592B4">
        <w:rPr>
          <w:rFonts w:ascii="Verdana" w:eastAsia="Verdana" w:hAnsi="Verdana" w:cs="Verdana"/>
        </w:rPr>
        <w:t xml:space="preserve"> rainfall in the Maribyrnong catchment</w:t>
      </w:r>
      <w:r w:rsidR="64B82BA9" w:rsidRPr="292592B4">
        <w:rPr>
          <w:rFonts w:ascii="Verdana" w:eastAsia="Verdana" w:hAnsi="Verdana" w:cs="Verdana"/>
        </w:rPr>
        <w:t xml:space="preserve"> l</w:t>
      </w:r>
      <w:r w:rsidRPr="292592B4">
        <w:rPr>
          <w:rFonts w:ascii="Verdana" w:eastAsia="Verdana" w:hAnsi="Verdana" w:cs="Verdana"/>
        </w:rPr>
        <w:t xml:space="preserve">ed to major flooding </w:t>
      </w:r>
      <w:r w:rsidR="6FDED73C" w:rsidRPr="292592B4">
        <w:rPr>
          <w:rFonts w:ascii="Verdana" w:eastAsia="Verdana" w:hAnsi="Verdana" w:cs="Verdana"/>
        </w:rPr>
        <w:t>and</w:t>
      </w:r>
      <w:r w:rsidRPr="292592B4">
        <w:rPr>
          <w:rFonts w:ascii="Verdana" w:eastAsia="Verdana" w:hAnsi="Verdana" w:cs="Verdana"/>
        </w:rPr>
        <w:t xml:space="preserve"> significant impacts on </w:t>
      </w:r>
      <w:r w:rsidR="00647447">
        <w:rPr>
          <w:rFonts w:ascii="Verdana" w:eastAsia="Verdana" w:hAnsi="Verdana" w:cs="Verdana"/>
        </w:rPr>
        <w:t>our</w:t>
      </w:r>
      <w:r w:rsidRPr="292592B4">
        <w:rPr>
          <w:rFonts w:ascii="Verdana" w:eastAsia="Verdana" w:hAnsi="Verdana" w:cs="Verdana"/>
        </w:rPr>
        <w:t xml:space="preserve"> operations. </w:t>
      </w:r>
      <w:r w:rsidR="63779D9A" w:rsidRPr="292592B4">
        <w:rPr>
          <w:rFonts w:ascii="Verdana" w:eastAsia="Verdana" w:hAnsi="Verdana" w:cs="Verdana"/>
        </w:rPr>
        <w:t>We</w:t>
      </w:r>
      <w:r w:rsidR="00F24681" w:rsidRPr="292592B4">
        <w:rPr>
          <w:rFonts w:ascii="Verdana" w:eastAsia="Verdana" w:hAnsi="Verdana" w:cs="Verdana"/>
        </w:rPr>
        <w:t>’re</w:t>
      </w:r>
      <w:r w:rsidR="63779D9A" w:rsidRPr="292592B4">
        <w:rPr>
          <w:rFonts w:ascii="Verdana" w:eastAsia="Verdana" w:hAnsi="Verdana" w:cs="Verdana"/>
        </w:rPr>
        <w:t xml:space="preserve"> updating flood models and identifying mitigation options, with investment in preferred options expected in our 2031 </w:t>
      </w:r>
      <w:r w:rsidR="1107AF22" w:rsidRPr="292592B4">
        <w:rPr>
          <w:rFonts w:ascii="Verdana" w:eastAsia="Verdana" w:hAnsi="Verdana" w:cs="Verdana"/>
        </w:rPr>
        <w:t xml:space="preserve">Price </w:t>
      </w:r>
      <w:r w:rsidR="5A29DF51" w:rsidRPr="292592B4">
        <w:rPr>
          <w:rFonts w:ascii="Verdana" w:eastAsia="Verdana" w:hAnsi="Verdana" w:cs="Verdana"/>
        </w:rPr>
        <w:t>S</w:t>
      </w:r>
      <w:r w:rsidR="06900CF7" w:rsidRPr="292592B4">
        <w:rPr>
          <w:rFonts w:ascii="Verdana" w:eastAsia="Verdana" w:hAnsi="Verdana" w:cs="Verdana"/>
        </w:rPr>
        <w:t>ubmission.</w:t>
      </w:r>
      <w:r w:rsidR="63779D9A" w:rsidRPr="292592B4">
        <w:rPr>
          <w:rFonts w:ascii="Verdana" w:eastAsia="Verdana" w:hAnsi="Verdana" w:cs="Verdana"/>
        </w:rPr>
        <w:t xml:space="preserve"> We</w:t>
      </w:r>
      <w:r w:rsidR="00DB3F22">
        <w:rPr>
          <w:rFonts w:ascii="Verdana" w:eastAsia="Verdana" w:hAnsi="Verdana" w:cs="Verdana"/>
        </w:rPr>
        <w:t xml:space="preserve"> wi</w:t>
      </w:r>
      <w:r w:rsidR="00F24681" w:rsidRPr="292592B4">
        <w:rPr>
          <w:rFonts w:ascii="Verdana" w:eastAsia="Verdana" w:hAnsi="Verdana" w:cs="Verdana"/>
        </w:rPr>
        <w:t>ll</w:t>
      </w:r>
      <w:r w:rsidR="63779D9A" w:rsidRPr="292592B4">
        <w:rPr>
          <w:rFonts w:ascii="Verdana" w:eastAsia="Verdana" w:hAnsi="Verdana" w:cs="Verdana"/>
        </w:rPr>
        <w:t xml:space="preserve"> also work with partners to </w:t>
      </w:r>
      <w:r w:rsidR="00896E15">
        <w:rPr>
          <w:rFonts w:ascii="Verdana" w:eastAsia="Verdana" w:hAnsi="Verdana" w:cs="Verdana"/>
        </w:rPr>
        <w:t>provide</w:t>
      </w:r>
      <w:r w:rsidR="63779D9A" w:rsidRPr="292592B4">
        <w:rPr>
          <w:rFonts w:ascii="Verdana" w:eastAsia="Verdana" w:hAnsi="Verdana" w:cs="Verdana"/>
        </w:rPr>
        <w:t xml:space="preserve"> new housing developments </w:t>
      </w:r>
      <w:r w:rsidR="00896E15">
        <w:rPr>
          <w:rFonts w:ascii="Verdana" w:eastAsia="Verdana" w:hAnsi="Verdana" w:cs="Verdana"/>
        </w:rPr>
        <w:t>with</w:t>
      </w:r>
      <w:r w:rsidR="63779D9A" w:rsidRPr="292592B4">
        <w:rPr>
          <w:rFonts w:ascii="Verdana" w:eastAsia="Verdana" w:hAnsi="Verdana" w:cs="Verdana"/>
        </w:rPr>
        <w:t xml:space="preserve"> adequate drainage and flood protection</w:t>
      </w:r>
      <w:r w:rsidRPr="292592B4">
        <w:rPr>
          <w:rFonts w:ascii="Verdana" w:eastAsia="Verdana" w:hAnsi="Verdana" w:cs="Verdana"/>
        </w:rPr>
        <w:t xml:space="preserve">.  </w:t>
      </w:r>
    </w:p>
    <w:p w14:paraId="642EA42D" w14:textId="7525C997" w:rsidR="00252573" w:rsidRPr="00DE108C" w:rsidRDefault="1E9CD22A" w:rsidP="1AD96A11">
      <w:pPr>
        <w:spacing w:after="200"/>
        <w:rPr>
          <w:rFonts w:ascii="Verdana" w:eastAsia="Verdana" w:hAnsi="Verdana" w:cs="Verdana"/>
        </w:rPr>
      </w:pPr>
      <w:r w:rsidRPr="00DE108C">
        <w:rPr>
          <w:rFonts w:ascii="Verdana" w:eastAsia="Verdana" w:hAnsi="Verdana" w:cs="Verdana"/>
        </w:rPr>
        <w:t>Melbourne needs more housing</w:t>
      </w:r>
      <w:r w:rsidR="310485D0" w:rsidRPr="292592B4">
        <w:rPr>
          <w:rFonts w:ascii="Verdana" w:eastAsia="Verdana" w:hAnsi="Verdana" w:cs="Verdana"/>
        </w:rPr>
        <w:t xml:space="preserve">, which </w:t>
      </w:r>
      <w:r w:rsidR="5EBA2F99" w:rsidRPr="292592B4">
        <w:rPr>
          <w:rFonts w:ascii="Verdana" w:eastAsia="Verdana" w:hAnsi="Verdana" w:cs="Verdana"/>
        </w:rPr>
        <w:t>requir</w:t>
      </w:r>
      <w:r w:rsidR="7FD41C1E" w:rsidRPr="292592B4">
        <w:rPr>
          <w:rFonts w:ascii="Verdana" w:eastAsia="Verdana" w:hAnsi="Verdana" w:cs="Verdana"/>
        </w:rPr>
        <w:t>es</w:t>
      </w:r>
      <w:r w:rsidR="3ABF376C" w:rsidRPr="00DE108C">
        <w:rPr>
          <w:rFonts w:ascii="Verdana" w:eastAsia="Verdana" w:hAnsi="Verdana" w:cs="Verdana"/>
        </w:rPr>
        <w:t xml:space="preserve"> timely</w:t>
      </w:r>
      <w:r w:rsidRPr="00DE108C">
        <w:rPr>
          <w:rFonts w:ascii="Verdana" w:eastAsia="Verdana" w:hAnsi="Verdana" w:cs="Verdana"/>
        </w:rPr>
        <w:t xml:space="preserve"> </w:t>
      </w:r>
      <w:r w:rsidR="2AF6E9DA" w:rsidRPr="00DE108C">
        <w:rPr>
          <w:rFonts w:ascii="Verdana" w:eastAsia="Verdana" w:hAnsi="Verdana" w:cs="Verdana"/>
        </w:rPr>
        <w:t>water, sewerage and drainage connections. We</w:t>
      </w:r>
      <w:r w:rsidR="009B2264">
        <w:rPr>
          <w:rFonts w:ascii="Verdana" w:eastAsia="Verdana" w:hAnsi="Verdana" w:cs="Verdana"/>
        </w:rPr>
        <w:t xml:space="preserve"> a</w:t>
      </w:r>
      <w:r w:rsidR="00F24681" w:rsidRPr="00DE108C">
        <w:rPr>
          <w:rFonts w:ascii="Verdana" w:eastAsia="Verdana" w:hAnsi="Verdana" w:cs="Verdana"/>
        </w:rPr>
        <w:t>re</w:t>
      </w:r>
      <w:r w:rsidRPr="00DE108C">
        <w:rPr>
          <w:rFonts w:ascii="Verdana" w:eastAsia="Verdana" w:hAnsi="Verdana" w:cs="Verdana"/>
        </w:rPr>
        <w:t xml:space="preserve"> working with </w:t>
      </w:r>
      <w:r w:rsidR="5166EBE8" w:rsidRPr="00DE108C">
        <w:rPr>
          <w:rFonts w:ascii="Verdana" w:eastAsia="Verdana" w:hAnsi="Verdana" w:cs="Verdana"/>
        </w:rPr>
        <w:t>develop</w:t>
      </w:r>
      <w:r w:rsidRPr="00DE108C">
        <w:rPr>
          <w:rFonts w:ascii="Verdana" w:eastAsia="Verdana" w:hAnsi="Verdana" w:cs="Verdana"/>
        </w:rPr>
        <w:t>ers</w:t>
      </w:r>
      <w:r w:rsidR="00FA5179" w:rsidRPr="00DE108C">
        <w:rPr>
          <w:rFonts w:ascii="Verdana" w:eastAsia="Verdana" w:hAnsi="Verdana" w:cs="Verdana"/>
        </w:rPr>
        <w:t xml:space="preserve"> and partners </w:t>
      </w:r>
      <w:r w:rsidRPr="00DE108C">
        <w:rPr>
          <w:rFonts w:ascii="Verdana" w:eastAsia="Verdana" w:hAnsi="Verdana" w:cs="Verdana"/>
        </w:rPr>
        <w:t>to expedite approvals and infrastructure. We</w:t>
      </w:r>
      <w:r w:rsidR="009B2264">
        <w:rPr>
          <w:rFonts w:ascii="Verdana" w:eastAsia="Verdana" w:hAnsi="Verdana" w:cs="Verdana"/>
        </w:rPr>
        <w:t xml:space="preserve"> ha</w:t>
      </w:r>
      <w:r w:rsidR="00FA5179" w:rsidRPr="00DE108C">
        <w:rPr>
          <w:rFonts w:ascii="Verdana" w:eastAsia="Verdana" w:hAnsi="Verdana" w:cs="Verdana"/>
        </w:rPr>
        <w:t>ve</w:t>
      </w:r>
      <w:r w:rsidRPr="00DE108C">
        <w:rPr>
          <w:rFonts w:ascii="Verdana" w:eastAsia="Verdana" w:hAnsi="Verdana" w:cs="Verdana"/>
        </w:rPr>
        <w:t xml:space="preserve"> committed to </w:t>
      </w:r>
      <w:r w:rsidR="58765C57" w:rsidRPr="00DE108C">
        <w:rPr>
          <w:rFonts w:ascii="Verdana" w:eastAsia="Verdana" w:hAnsi="Verdana" w:cs="Verdana"/>
        </w:rPr>
        <w:t xml:space="preserve">application </w:t>
      </w:r>
      <w:r w:rsidRPr="00DE108C">
        <w:rPr>
          <w:rFonts w:ascii="Verdana" w:eastAsia="Verdana" w:hAnsi="Verdana" w:cs="Verdana"/>
        </w:rPr>
        <w:t xml:space="preserve">turn-around times and </w:t>
      </w:r>
      <w:r w:rsidR="6C218E46" w:rsidRPr="00DE108C">
        <w:rPr>
          <w:rFonts w:ascii="Verdana" w:eastAsia="Verdana" w:hAnsi="Verdana" w:cs="Verdana"/>
        </w:rPr>
        <w:t xml:space="preserve">have </w:t>
      </w:r>
      <w:r w:rsidRPr="00DE108C">
        <w:rPr>
          <w:rFonts w:ascii="Verdana" w:eastAsia="Verdana" w:hAnsi="Verdana" w:cs="Verdana"/>
        </w:rPr>
        <w:t>begun publicly reporting</w:t>
      </w:r>
      <w:r w:rsidR="659326ED" w:rsidRPr="00DE108C">
        <w:rPr>
          <w:rFonts w:ascii="Verdana" w:eastAsia="Verdana" w:hAnsi="Verdana" w:cs="Verdana"/>
        </w:rPr>
        <w:t xml:space="preserve"> on these</w:t>
      </w:r>
      <w:r w:rsidRPr="00DE108C">
        <w:rPr>
          <w:rFonts w:ascii="Verdana" w:eastAsia="Verdana" w:hAnsi="Verdana" w:cs="Verdana"/>
        </w:rPr>
        <w:t xml:space="preserve">. </w:t>
      </w:r>
    </w:p>
    <w:p w14:paraId="403800DE" w14:textId="086426AC" w:rsidR="00252573" w:rsidRPr="00DE108C" w:rsidRDefault="1E9CD22A" w:rsidP="1AD96A11">
      <w:pPr>
        <w:spacing w:after="200"/>
      </w:pPr>
      <w:r w:rsidRPr="292592B4">
        <w:rPr>
          <w:rFonts w:ascii="Verdana" w:eastAsia="Verdana" w:hAnsi="Verdana" w:cs="Verdana"/>
        </w:rPr>
        <w:lastRenderedPageBreak/>
        <w:t xml:space="preserve">Climate change and urbanisation are stressing waterway health. Hotter, drier conditions are reducing </w:t>
      </w:r>
      <w:r w:rsidR="05F8F025" w:rsidRPr="292592B4">
        <w:rPr>
          <w:rFonts w:ascii="Verdana" w:eastAsia="Verdana" w:hAnsi="Verdana" w:cs="Verdana"/>
        </w:rPr>
        <w:t>flows with impacts on</w:t>
      </w:r>
      <w:r w:rsidRPr="292592B4">
        <w:rPr>
          <w:rFonts w:ascii="Verdana" w:eastAsia="Verdana" w:hAnsi="Verdana" w:cs="Verdana"/>
        </w:rPr>
        <w:t xml:space="preserve"> environmental, biodiversity and social values. </w:t>
      </w:r>
      <w:r w:rsidR="190F522C" w:rsidRPr="292592B4">
        <w:rPr>
          <w:rFonts w:ascii="Verdana" w:eastAsia="Verdana" w:hAnsi="Verdana" w:cs="Verdana"/>
        </w:rPr>
        <w:t>M</w:t>
      </w:r>
      <w:r w:rsidRPr="292592B4">
        <w:rPr>
          <w:rFonts w:ascii="Verdana" w:eastAsia="Verdana" w:hAnsi="Verdana" w:cs="Verdana"/>
        </w:rPr>
        <w:t xml:space="preserve">ore intense rainfall events result in </w:t>
      </w:r>
      <w:r w:rsidR="4E64B24D" w:rsidRPr="292592B4">
        <w:rPr>
          <w:rFonts w:ascii="Verdana" w:eastAsia="Verdana" w:hAnsi="Verdana" w:cs="Verdana"/>
        </w:rPr>
        <w:t xml:space="preserve">damaging </w:t>
      </w:r>
      <w:r w:rsidRPr="292592B4">
        <w:rPr>
          <w:rFonts w:ascii="Verdana" w:eastAsia="Verdana" w:hAnsi="Verdana" w:cs="Verdana"/>
        </w:rPr>
        <w:t xml:space="preserve">stormwater runoff. Without change, waterway health </w:t>
      </w:r>
      <w:r w:rsidR="0A3D06CC" w:rsidRPr="292592B4">
        <w:rPr>
          <w:rFonts w:ascii="Verdana" w:eastAsia="Verdana" w:hAnsi="Verdana" w:cs="Verdana"/>
        </w:rPr>
        <w:t>will</w:t>
      </w:r>
      <w:r w:rsidRPr="292592B4">
        <w:rPr>
          <w:rFonts w:ascii="Verdana" w:eastAsia="Verdana" w:hAnsi="Verdana" w:cs="Verdana"/>
        </w:rPr>
        <w:t xml:space="preserve"> decline. We are shifting to a co-delivery model with partners to </w:t>
      </w:r>
      <w:r w:rsidR="006F3E04">
        <w:rPr>
          <w:rFonts w:ascii="Verdana" w:eastAsia="Verdana" w:hAnsi="Verdana" w:cs="Verdana"/>
        </w:rPr>
        <w:t>help</w:t>
      </w:r>
      <w:r w:rsidRPr="292592B4">
        <w:rPr>
          <w:rFonts w:ascii="Verdana" w:eastAsia="Verdana" w:hAnsi="Verdana" w:cs="Verdana"/>
        </w:rPr>
        <w:t xml:space="preserve"> slow th</w:t>
      </w:r>
      <w:r w:rsidR="4D8D9D64" w:rsidRPr="292592B4">
        <w:rPr>
          <w:rFonts w:ascii="Verdana" w:eastAsia="Verdana" w:hAnsi="Verdana" w:cs="Verdana"/>
        </w:rPr>
        <w:t>is decline</w:t>
      </w:r>
      <w:r w:rsidRPr="292592B4">
        <w:rPr>
          <w:rFonts w:ascii="Verdana" w:eastAsia="Verdana" w:hAnsi="Verdana" w:cs="Verdana"/>
        </w:rPr>
        <w:t>.</w:t>
      </w:r>
    </w:p>
    <w:p w14:paraId="4143792E" w14:textId="75CEAFFE" w:rsidR="00252573" w:rsidRPr="00DE108C" w:rsidRDefault="79BD7DFB" w:rsidP="00252573">
      <w:pPr>
        <w:pStyle w:val="BodyText"/>
      </w:pPr>
      <w:r w:rsidRPr="00DE108C">
        <w:t>W</w:t>
      </w:r>
      <w:r w:rsidR="00252573" w:rsidRPr="00DE108C">
        <w:t>e</w:t>
      </w:r>
      <w:r w:rsidR="009B2264">
        <w:t xml:space="preserve"> a</w:t>
      </w:r>
      <w:r w:rsidR="00403655" w:rsidRPr="00DE108C">
        <w:t xml:space="preserve">re </w:t>
      </w:r>
      <w:r w:rsidR="2F6AFF2D" w:rsidRPr="00DE108C">
        <w:t>extend</w:t>
      </w:r>
      <w:r w:rsidR="00CA4902" w:rsidRPr="00DE108C">
        <w:t>ing our Guaranteed Service Levels</w:t>
      </w:r>
      <w:r w:rsidR="2F6AFF2D" w:rsidRPr="00DE108C">
        <w:t xml:space="preserve"> to </w:t>
      </w:r>
      <w:r w:rsidR="00CA4902" w:rsidRPr="00DE108C">
        <w:t>all connected</w:t>
      </w:r>
      <w:r w:rsidR="2F6AFF2D" w:rsidRPr="00DE108C">
        <w:t xml:space="preserve"> water corporations and </w:t>
      </w:r>
      <w:r w:rsidR="00941890" w:rsidRPr="00DE108C">
        <w:t>committing to</w:t>
      </w:r>
      <w:r w:rsidR="00252573" w:rsidRPr="00DE108C">
        <w:t xml:space="preserve"> a new </w:t>
      </w:r>
      <w:r w:rsidR="2CC90350" w:rsidRPr="00DE108C">
        <w:t>rebate</w:t>
      </w:r>
      <w:r w:rsidR="00252573" w:rsidRPr="00DE108C">
        <w:t xml:space="preserve"> </w:t>
      </w:r>
      <w:r w:rsidR="0123D8AD" w:rsidRPr="00DE108C">
        <w:t xml:space="preserve">in the case of </w:t>
      </w:r>
      <w:r w:rsidR="4A0211B1" w:rsidRPr="00DE108C">
        <w:t>microbiological contamination of drinking water</w:t>
      </w:r>
      <w:r w:rsidR="00252573" w:rsidRPr="00DE108C">
        <w:t>.</w:t>
      </w:r>
    </w:p>
    <w:p w14:paraId="35F90C93" w14:textId="612AF0CE" w:rsidR="00252573" w:rsidRPr="00DE108C" w:rsidRDefault="7DEAD386" w:rsidP="00252573">
      <w:pPr>
        <w:pStyle w:val="BodyText"/>
      </w:pPr>
      <w:r w:rsidRPr="00DE108C">
        <w:t>In response water corporation</w:t>
      </w:r>
      <w:r w:rsidR="001F2211" w:rsidRPr="00DE108C">
        <w:t xml:space="preserve"> request</w:t>
      </w:r>
      <w:r w:rsidRPr="00DE108C">
        <w:t>s, w</w:t>
      </w:r>
      <w:r w:rsidR="00252573" w:rsidRPr="00DE108C">
        <w:t>e</w:t>
      </w:r>
      <w:r w:rsidR="00DB3F22">
        <w:t xml:space="preserve"> a</w:t>
      </w:r>
      <w:r w:rsidR="005219CF" w:rsidRPr="00DE108C">
        <w:t>re</w:t>
      </w:r>
      <w:r w:rsidR="00252573" w:rsidRPr="00DE108C">
        <w:t xml:space="preserve"> reform</w:t>
      </w:r>
      <w:r w:rsidR="005219CF" w:rsidRPr="00DE108C">
        <w:t>ing</w:t>
      </w:r>
      <w:r w:rsidR="00252573" w:rsidRPr="00DE108C">
        <w:t xml:space="preserve"> water tariffs </w:t>
      </w:r>
      <w:r w:rsidR="4211A6CE" w:rsidRPr="00DE108C">
        <w:t>by</w:t>
      </w:r>
      <w:r w:rsidR="00252573" w:rsidRPr="00DE108C">
        <w:t xml:space="preserve"> significantly increasing the volumetric </w:t>
      </w:r>
      <w:r w:rsidR="00C41372" w:rsidRPr="00DE108C">
        <w:t>portion</w:t>
      </w:r>
      <w:r w:rsidR="5CA1950C" w:rsidRPr="00DE108C">
        <w:t xml:space="preserve"> –</w:t>
      </w:r>
      <w:r w:rsidR="00252573" w:rsidRPr="00DE108C">
        <w:t xml:space="preserve"> </w:t>
      </w:r>
      <w:r w:rsidR="005219CF" w:rsidRPr="00DE108C">
        <w:t>sharing</w:t>
      </w:r>
      <w:r w:rsidR="00252573" w:rsidRPr="00DE108C">
        <w:t xml:space="preserve"> risk, improv</w:t>
      </w:r>
      <w:r w:rsidR="005219CF" w:rsidRPr="00DE108C">
        <w:t>ing</w:t>
      </w:r>
      <w:r w:rsidR="00252573" w:rsidRPr="00DE108C">
        <w:t xml:space="preserve"> price signals and </w:t>
      </w:r>
      <w:r w:rsidR="005219CF" w:rsidRPr="00DE108C">
        <w:t xml:space="preserve">more fairly </w:t>
      </w:r>
      <w:r w:rsidR="00C41372" w:rsidRPr="00DE108C">
        <w:t>distributing</w:t>
      </w:r>
      <w:r w:rsidR="00252573" w:rsidRPr="00DE108C">
        <w:t xml:space="preserve"> costs of </w:t>
      </w:r>
      <w:r w:rsidR="005219CF" w:rsidRPr="00DE108C">
        <w:t>water</w:t>
      </w:r>
      <w:r w:rsidR="00252573" w:rsidRPr="00DE108C">
        <w:t xml:space="preserve"> security underpinned by </w:t>
      </w:r>
      <w:r w:rsidR="00F82B33" w:rsidRPr="00DE108C">
        <w:t>desalination</w:t>
      </w:r>
      <w:r w:rsidR="00252573" w:rsidRPr="00DE108C">
        <w:t>.</w:t>
      </w:r>
      <w:r w:rsidR="29157D97" w:rsidRPr="00DE108C">
        <w:t xml:space="preserve"> </w:t>
      </w:r>
      <w:r w:rsidR="271CFC7A">
        <w:t>We</w:t>
      </w:r>
      <w:r w:rsidR="6883AE3F">
        <w:t xml:space="preserve"> will</w:t>
      </w:r>
      <w:r w:rsidR="00252573" w:rsidRPr="00DE108C">
        <w:t xml:space="preserve"> </w:t>
      </w:r>
      <w:r w:rsidR="07BC3F5A" w:rsidRPr="00DE108C">
        <w:t xml:space="preserve">also </w:t>
      </w:r>
      <w:r w:rsidR="00252573" w:rsidRPr="00DE108C">
        <w:t xml:space="preserve">complete the transition of waterways and drainage charges to flat </w:t>
      </w:r>
      <w:r w:rsidR="00F82B33" w:rsidRPr="00DE108C">
        <w:t>rates</w:t>
      </w:r>
      <w:r w:rsidR="00252573" w:rsidRPr="00DE108C">
        <w:t xml:space="preserve">, </w:t>
      </w:r>
      <w:r w:rsidR="233A0F08" w:rsidRPr="00DE108C">
        <w:t>preparing</w:t>
      </w:r>
      <w:r w:rsidR="00252573" w:rsidRPr="00DE108C">
        <w:t xml:space="preserve"> </w:t>
      </w:r>
      <w:r w:rsidR="2059AF85" w:rsidRPr="00DE108C">
        <w:t>for</w:t>
      </w:r>
      <w:r w:rsidR="00252573" w:rsidRPr="00DE108C">
        <w:t xml:space="preserve"> </w:t>
      </w:r>
      <w:r w:rsidR="001F2211" w:rsidRPr="00DE108C">
        <w:t>future reforms</w:t>
      </w:r>
      <w:r w:rsidR="00252573" w:rsidRPr="00DE108C">
        <w:t>.</w:t>
      </w:r>
    </w:p>
    <w:p w14:paraId="4107477C" w14:textId="03B26671" w:rsidR="00252573" w:rsidRPr="00DE108C" w:rsidRDefault="22526ED2" w:rsidP="00252573">
      <w:pPr>
        <w:pStyle w:val="BodyText"/>
      </w:pPr>
      <w:r w:rsidRPr="00DE108C">
        <w:t>While prices will rise</w:t>
      </w:r>
      <w:r w:rsidR="00252573" w:rsidRPr="00DE108C">
        <w:t xml:space="preserve">, </w:t>
      </w:r>
      <w:r w:rsidR="005C7457">
        <w:t>impacts</w:t>
      </w:r>
      <w:r w:rsidR="005C7457" w:rsidRPr="00DE108C">
        <w:t xml:space="preserve"> </w:t>
      </w:r>
      <w:r w:rsidR="00252573" w:rsidRPr="00DE108C">
        <w:t>will vary across our services and locations.</w:t>
      </w:r>
      <w:r w:rsidR="41E502B1" w:rsidRPr="00DE108C">
        <w:t xml:space="preserve"> </w:t>
      </w:r>
      <w:r w:rsidR="00252573" w:rsidRPr="00DE108C">
        <w:t>Based on clear feedback from customers, we</w:t>
      </w:r>
      <w:r w:rsidR="0B48757B" w:rsidRPr="00DE108C">
        <w:t xml:space="preserve"> are</w:t>
      </w:r>
      <w:r w:rsidR="00252573" w:rsidRPr="00DE108C">
        <w:t xml:space="preserve"> considering both </w:t>
      </w:r>
      <w:r w:rsidR="2C2840BF" w:rsidRPr="00DE108C">
        <w:t>Melbourne Water</w:t>
      </w:r>
      <w:r w:rsidR="00092447" w:rsidRPr="00DE108C">
        <w:t>’s charges</w:t>
      </w:r>
      <w:r w:rsidR="2C2840BF" w:rsidRPr="00DE108C">
        <w:t xml:space="preserve"> and </w:t>
      </w:r>
      <w:r w:rsidR="00252573" w:rsidRPr="00DE108C">
        <w:t xml:space="preserve">projected </w:t>
      </w:r>
      <w:r w:rsidR="00E8276A">
        <w:t>impacts of</w:t>
      </w:r>
      <w:r w:rsidR="00252573" w:rsidRPr="00DE108C">
        <w:t xml:space="preserve"> water corporation 2028 </w:t>
      </w:r>
      <w:r w:rsidR="00641016">
        <w:t>Price S</w:t>
      </w:r>
      <w:r w:rsidR="00252573" w:rsidRPr="00DE108C">
        <w:t xml:space="preserve">ubmissions to propose a smoothed price path. </w:t>
      </w:r>
    </w:p>
    <w:p w14:paraId="5E4746D1" w14:textId="2D7360DC" w:rsidR="00252573" w:rsidRPr="00DE108C" w:rsidRDefault="05AF0F80" w:rsidP="00252573">
      <w:pPr>
        <w:pStyle w:val="BodyText"/>
      </w:pPr>
      <w:r w:rsidRPr="00DE108C">
        <w:t xml:space="preserve">We are committed to supporting </w:t>
      </w:r>
      <w:r w:rsidR="5C5D0F77" w:rsidRPr="00DE108C">
        <w:t>customers that are struggling with affordability</w:t>
      </w:r>
      <w:r w:rsidR="00252573" w:rsidRPr="00DE108C">
        <w:t xml:space="preserve">. </w:t>
      </w:r>
      <w:r w:rsidR="5E54F1B1" w:rsidRPr="00DE108C">
        <w:t>I</w:t>
      </w:r>
      <w:r w:rsidR="00252573" w:rsidRPr="00DE108C">
        <w:t xml:space="preserve">n partnership with water corporations, </w:t>
      </w:r>
      <w:r w:rsidR="271CFC7A">
        <w:t>we</w:t>
      </w:r>
      <w:r w:rsidR="074F39E3">
        <w:t xml:space="preserve"> will</w:t>
      </w:r>
      <w:r w:rsidR="00252573" w:rsidRPr="00DE108C">
        <w:t xml:space="preserve"> amplify existing hardship programs, introduce a new waterways and drainage hardship grant, fund efficiency programs for vulnerable customers and </w:t>
      </w:r>
      <w:r w:rsidR="22AFBEAF" w:rsidRPr="00DE108C">
        <w:t>deliver</w:t>
      </w:r>
      <w:r w:rsidR="00252573" w:rsidRPr="00DE108C">
        <w:t xml:space="preserve"> a sector uplift program.</w:t>
      </w:r>
    </w:p>
    <w:p w14:paraId="690D70EC" w14:textId="0C13645F" w:rsidR="00252573" w:rsidRPr="00DE108C" w:rsidRDefault="00252573" w:rsidP="00252573">
      <w:pPr>
        <w:pStyle w:val="BodyText"/>
      </w:pPr>
      <w:r w:rsidRPr="00DE108C">
        <w:t xml:space="preserve">We believe </w:t>
      </w:r>
      <w:r w:rsidR="008257F2">
        <w:t>our 2026 Price Submission</w:t>
      </w:r>
      <w:r w:rsidRPr="00DE108C">
        <w:t xml:space="preserve"> is</w:t>
      </w:r>
      <w:r w:rsidR="170EE324" w:rsidRPr="00DE108C">
        <w:t xml:space="preserve"> fair and</w:t>
      </w:r>
      <w:r w:rsidRPr="00DE108C">
        <w:t xml:space="preserve"> in the best long-term interests of our community. We have </w:t>
      </w:r>
      <w:r w:rsidR="0955B9B8" w:rsidRPr="00DE108C">
        <w:t>worked hard</w:t>
      </w:r>
      <w:r w:rsidRPr="00DE108C">
        <w:t xml:space="preserve"> to strike </w:t>
      </w:r>
      <w:r w:rsidR="00D0175D" w:rsidRPr="00DE108C">
        <w:t>a</w:t>
      </w:r>
      <w:r w:rsidRPr="00DE108C">
        <w:t xml:space="preserve"> balance between </w:t>
      </w:r>
      <w:r w:rsidR="00D0175D" w:rsidRPr="00DE108C">
        <w:t>community</w:t>
      </w:r>
      <w:r w:rsidRPr="00DE108C">
        <w:t xml:space="preserve"> expectations </w:t>
      </w:r>
      <w:r w:rsidR="6C892827" w:rsidRPr="00DE108C">
        <w:t>for our</w:t>
      </w:r>
      <w:r w:rsidR="00D0175D" w:rsidRPr="00DE108C">
        <w:t xml:space="preserve"> services</w:t>
      </w:r>
      <w:r w:rsidRPr="00DE108C">
        <w:t xml:space="preserve"> and bills. </w:t>
      </w:r>
      <w:r w:rsidR="00D0175D" w:rsidRPr="00DE108C">
        <w:t>W</w:t>
      </w:r>
      <w:r w:rsidRPr="00DE108C">
        <w:t>e</w:t>
      </w:r>
      <w:r w:rsidR="00456241">
        <w:t xml:space="preserve"> a</w:t>
      </w:r>
      <w:r w:rsidR="00D0175D" w:rsidRPr="00DE108C">
        <w:t>re</w:t>
      </w:r>
      <w:r w:rsidRPr="00DE108C">
        <w:t xml:space="preserve"> taking on more price-related risk than ever before</w:t>
      </w:r>
      <w:r w:rsidR="00D0175D" w:rsidRPr="00DE108C">
        <w:t xml:space="preserve"> and </w:t>
      </w:r>
      <w:r w:rsidR="23C52386" w:rsidRPr="00DE108C">
        <w:t xml:space="preserve">expect </w:t>
      </w:r>
      <w:r w:rsidR="6336EC04">
        <w:t>t</w:t>
      </w:r>
      <w:r w:rsidR="01A954BE">
        <w:t xml:space="preserve">o </w:t>
      </w:r>
      <w:r w:rsidR="23C52386" w:rsidRPr="00DE108C">
        <w:t>deliver more than currently ‘priced in’</w:t>
      </w:r>
      <w:r w:rsidR="6F96FB6B">
        <w:t xml:space="preserve"> - </w:t>
      </w:r>
      <w:r w:rsidR="23C52386" w:rsidRPr="00DE108C">
        <w:t>remain</w:t>
      </w:r>
      <w:r w:rsidR="00201BC9" w:rsidRPr="00DE108C">
        <w:t>ing</w:t>
      </w:r>
      <w:r w:rsidR="23C52386" w:rsidRPr="00DE108C">
        <w:t xml:space="preserve"> agile </w:t>
      </w:r>
      <w:r w:rsidR="00201BC9" w:rsidRPr="00DE108C">
        <w:t>to</w:t>
      </w:r>
      <w:r w:rsidR="23C52386" w:rsidRPr="00DE108C">
        <w:t xml:space="preserve"> adapt as needed </w:t>
      </w:r>
      <w:r w:rsidR="00201BC9" w:rsidRPr="00DE108C">
        <w:t>during the period</w:t>
      </w:r>
      <w:r w:rsidR="23C52386" w:rsidRPr="00DE108C">
        <w:t xml:space="preserve">. </w:t>
      </w:r>
    </w:p>
    <w:p w14:paraId="43B1FE0D" w14:textId="3BB47A1D" w:rsidR="00252573" w:rsidRPr="00DE108C" w:rsidRDefault="00252573" w:rsidP="00252573">
      <w:pPr>
        <w:pStyle w:val="BodyText"/>
      </w:pPr>
      <w:r w:rsidRPr="00DE108C">
        <w:t xml:space="preserve">We sincerely thank everyone who </w:t>
      </w:r>
      <w:r w:rsidR="04FC5D48" w:rsidRPr="00DE108C">
        <w:t xml:space="preserve">contributed to </w:t>
      </w:r>
      <w:r w:rsidRPr="00DE108C">
        <w:t>our engagement program</w:t>
      </w:r>
      <w:r w:rsidR="04FC5D48" w:rsidRPr="00DE108C">
        <w:t>.</w:t>
      </w:r>
      <w:r w:rsidRPr="00DE108C">
        <w:t xml:space="preserve"> </w:t>
      </w:r>
      <w:r w:rsidR="69399355" w:rsidRPr="00DE108C">
        <w:t>Your insights have shaped</w:t>
      </w:r>
      <w:r w:rsidRPr="00DE108C">
        <w:t xml:space="preserve"> this proposal</w:t>
      </w:r>
      <w:r w:rsidR="69399355" w:rsidRPr="00DE108C">
        <w:t xml:space="preserve"> and will continue to guide our work over the next five years and beyond</w:t>
      </w:r>
      <w:r w:rsidRPr="00DE108C">
        <w:t>.</w:t>
      </w:r>
    </w:p>
    <w:p w14:paraId="3FA04E14" w14:textId="239850D0" w:rsidR="00252573" w:rsidRPr="00DE108C" w:rsidRDefault="00252573" w:rsidP="005803C5">
      <w:pPr>
        <w:pStyle w:val="Heading2"/>
        <w:rPr>
          <w:rFonts w:ascii="Verdana" w:eastAsia="Verdana" w:hAnsi="Verdana" w:cs="Verdana"/>
          <w:color w:val="231F20"/>
        </w:rPr>
      </w:pPr>
      <w:r w:rsidRPr="00DE108C">
        <w:t xml:space="preserve">Board attestation </w:t>
      </w:r>
      <w:r w:rsidRPr="00DE108C">
        <w:rPr>
          <w:rFonts w:ascii="Verdana" w:eastAsia="Verdana" w:hAnsi="Verdana" w:cs="Verdana"/>
          <w:color w:val="231F20"/>
        </w:rPr>
        <w:t>statement</w:t>
      </w:r>
    </w:p>
    <w:p w14:paraId="03E01D20" w14:textId="21334F4F" w:rsidR="00252573" w:rsidRPr="00DE108C" w:rsidRDefault="00252573" w:rsidP="00252573">
      <w:pPr>
        <w:pStyle w:val="BodyText"/>
        <w:rPr>
          <w:rFonts w:ascii="Verdana" w:eastAsia="Verdana" w:hAnsi="Verdana" w:cs="Verdana"/>
          <w:color w:val="231F20"/>
        </w:rPr>
      </w:pPr>
      <w:r w:rsidRPr="292592B4">
        <w:rPr>
          <w:rFonts w:ascii="Verdana" w:eastAsia="Verdana" w:hAnsi="Verdana" w:cs="Verdana"/>
        </w:rPr>
        <w:t xml:space="preserve">The </w:t>
      </w:r>
      <w:r w:rsidR="71ED1E1D" w:rsidRPr="292592B4">
        <w:rPr>
          <w:rFonts w:ascii="Verdana" w:eastAsia="Verdana" w:hAnsi="Verdana" w:cs="Verdana"/>
        </w:rPr>
        <w:t>D</w:t>
      </w:r>
      <w:r w:rsidR="271CFC7A" w:rsidRPr="292592B4">
        <w:rPr>
          <w:rFonts w:ascii="Verdana" w:eastAsia="Verdana" w:hAnsi="Verdana" w:cs="Verdana"/>
        </w:rPr>
        <w:t>irectors</w:t>
      </w:r>
      <w:r w:rsidRPr="292592B4">
        <w:rPr>
          <w:rFonts w:ascii="Verdana" w:eastAsia="Verdana" w:hAnsi="Verdana" w:cs="Verdana"/>
        </w:rPr>
        <w:t xml:space="preserve"> of Melbourne Water</w:t>
      </w:r>
      <w:r w:rsidR="44C6C586" w:rsidRPr="292592B4">
        <w:rPr>
          <w:rFonts w:ascii="Verdana" w:eastAsia="Verdana" w:hAnsi="Verdana" w:cs="Verdana"/>
        </w:rPr>
        <w:t>,</w:t>
      </w:r>
      <w:r w:rsidRPr="292592B4">
        <w:rPr>
          <w:rFonts w:ascii="Verdana" w:eastAsia="Verdana" w:hAnsi="Verdana" w:cs="Verdana"/>
        </w:rPr>
        <w:t xml:space="preserve"> having made such reasonable inquiries of management as we considered necessary (or having satisfied ourselves that we have no query), attest that, to the best of our knowledge and for the purpose of proposing prices for the Essential Services Commission’s 2026 Melbourne Water Price Review: </w:t>
      </w:r>
    </w:p>
    <w:p w14:paraId="47CA0F85" w14:textId="59C03D78" w:rsidR="00252573" w:rsidRPr="00602E79" w:rsidRDefault="00252573" w:rsidP="292592B4">
      <w:pPr>
        <w:pStyle w:val="ListBullet"/>
        <w:rPr>
          <w:rFonts w:eastAsia="Verdana"/>
        </w:rPr>
      </w:pPr>
      <w:r w:rsidRPr="292592B4">
        <w:rPr>
          <w:rFonts w:eastAsia="Verdana"/>
        </w:rPr>
        <w:t xml:space="preserve">information and documentation provided in the </w:t>
      </w:r>
      <w:r w:rsidR="0B646966" w:rsidRPr="292592B4">
        <w:rPr>
          <w:rFonts w:eastAsia="Verdana"/>
        </w:rPr>
        <w:t xml:space="preserve">2026 </w:t>
      </w:r>
      <w:r w:rsidRPr="292592B4">
        <w:rPr>
          <w:rFonts w:eastAsia="Verdana"/>
        </w:rPr>
        <w:t>Price Submission and relied upon to support Melbourne Water’s Price Submission is reasonably based, complete and accurate in all material respects</w:t>
      </w:r>
    </w:p>
    <w:p w14:paraId="2DC23251" w14:textId="77777777" w:rsidR="00252573" w:rsidRPr="00602E79" w:rsidRDefault="00252573" w:rsidP="292592B4">
      <w:pPr>
        <w:pStyle w:val="ListBullet"/>
        <w:rPr>
          <w:rFonts w:eastAsia="Verdana"/>
        </w:rPr>
      </w:pPr>
      <w:r w:rsidRPr="292592B4">
        <w:rPr>
          <w:rFonts w:eastAsia="Verdana"/>
        </w:rPr>
        <w:t>financial and demand forecasts are Melbourne Water’s best estimates, and supporting information is available to justify the assumptions and methodologies used</w:t>
      </w:r>
    </w:p>
    <w:p w14:paraId="3F64B82F" w14:textId="600FBF31" w:rsidR="00252573" w:rsidRPr="00602E79" w:rsidRDefault="00252573" w:rsidP="292592B4">
      <w:pPr>
        <w:pStyle w:val="ListBullet"/>
        <w:rPr>
          <w:rFonts w:eastAsia="Verdana"/>
        </w:rPr>
      </w:pPr>
      <w:r w:rsidRPr="292592B4">
        <w:rPr>
          <w:rFonts w:eastAsia="Verdana"/>
        </w:rPr>
        <w:t>the</w:t>
      </w:r>
      <w:r w:rsidR="271CFC7A" w:rsidRPr="292592B4">
        <w:rPr>
          <w:rFonts w:eastAsia="Verdana"/>
        </w:rPr>
        <w:t xml:space="preserve"> </w:t>
      </w:r>
      <w:r w:rsidR="127290B5" w:rsidRPr="292592B4">
        <w:rPr>
          <w:rFonts w:eastAsia="Verdana"/>
        </w:rPr>
        <w:t>2026</w:t>
      </w:r>
      <w:r w:rsidRPr="292592B4">
        <w:rPr>
          <w:rFonts w:eastAsia="Verdana"/>
        </w:rPr>
        <w:t xml:space="preserve"> Price Submission satisfies the requirements of the 2026 Melbourne Water Price Review Guidance Paper issued by the Essential Services Commission in all material respects. </w:t>
      </w:r>
    </w:p>
    <w:p w14:paraId="15FAAB75" w14:textId="3427F960" w:rsidR="00252573" w:rsidRPr="00DE108C" w:rsidRDefault="00252573" w:rsidP="00252573">
      <w:pPr>
        <w:pStyle w:val="BodyText"/>
        <w:rPr>
          <w:rFonts w:ascii="Verdana" w:eastAsia="Verdana" w:hAnsi="Verdana" w:cs="Verdana"/>
          <w:color w:val="231F20"/>
        </w:rPr>
      </w:pPr>
      <w:r w:rsidRPr="00DE108C">
        <w:rPr>
          <w:rFonts w:ascii="Verdana" w:eastAsia="Verdana" w:hAnsi="Verdana" w:cs="Verdana"/>
          <w:color w:val="231F20"/>
        </w:rPr>
        <w:t xml:space="preserve">On behalf of the Board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35"/>
        <w:gridCol w:w="3111"/>
        <w:gridCol w:w="3219"/>
      </w:tblGrid>
      <w:tr w:rsidR="00252573" w:rsidRPr="00DE108C" w14:paraId="227CB730" w14:textId="77777777" w:rsidTr="00440568">
        <w:trPr>
          <w:trHeight w:val="1319"/>
        </w:trPr>
        <w:tc>
          <w:tcPr>
            <w:tcW w:w="2835" w:type="dxa"/>
            <w:tcMar>
              <w:top w:w="45" w:type="dxa"/>
              <w:left w:w="45" w:type="dxa"/>
              <w:bottom w:w="45" w:type="dxa"/>
              <w:right w:w="45" w:type="dxa"/>
            </w:tcMar>
            <w:vAlign w:val="bottom"/>
          </w:tcPr>
          <w:p w14:paraId="5991F847" w14:textId="77777777" w:rsidR="00602E79" w:rsidRPr="00DE108C" w:rsidRDefault="00602E79" w:rsidP="00440568">
            <w:pPr>
              <w:pStyle w:val="TableBody"/>
              <w:rPr>
                <w:rFonts w:eastAsia="Verdana"/>
              </w:rPr>
            </w:pPr>
          </w:p>
          <w:p w14:paraId="4C906CD0" w14:textId="77777777" w:rsidR="00252573" w:rsidRPr="00DE108C" w:rsidRDefault="00252573" w:rsidP="00440568">
            <w:pPr>
              <w:pStyle w:val="TableBody"/>
              <w:rPr>
                <w:rFonts w:eastAsia="Verdana"/>
              </w:rPr>
            </w:pPr>
            <w:r w:rsidRPr="00DE108C">
              <w:rPr>
                <w:rFonts w:eastAsia="Verdana"/>
              </w:rPr>
              <w:t>Dr Nerina Di Lorenzo</w:t>
            </w:r>
          </w:p>
          <w:p w14:paraId="5BAB4213" w14:textId="77777777" w:rsidR="00252573" w:rsidRPr="00DE108C" w:rsidRDefault="00252573" w:rsidP="00440568">
            <w:pPr>
              <w:pStyle w:val="TableBody"/>
              <w:rPr>
                <w:rFonts w:eastAsia="Verdana"/>
              </w:rPr>
            </w:pPr>
            <w:r w:rsidRPr="00DE108C">
              <w:rPr>
                <w:rFonts w:eastAsia="Verdana"/>
              </w:rPr>
              <w:t>Managing Director</w:t>
            </w:r>
          </w:p>
        </w:tc>
        <w:tc>
          <w:tcPr>
            <w:tcW w:w="3111" w:type="dxa"/>
            <w:tcMar>
              <w:top w:w="45" w:type="dxa"/>
              <w:left w:w="45" w:type="dxa"/>
              <w:bottom w:w="45" w:type="dxa"/>
              <w:right w:w="45" w:type="dxa"/>
            </w:tcMar>
            <w:vAlign w:val="bottom"/>
          </w:tcPr>
          <w:p w14:paraId="6A791423" w14:textId="77777777" w:rsidR="00942919" w:rsidRPr="00DE108C" w:rsidRDefault="00942919" w:rsidP="00440568">
            <w:pPr>
              <w:pStyle w:val="TableBody"/>
              <w:rPr>
                <w:rFonts w:eastAsia="Verdana"/>
              </w:rPr>
            </w:pPr>
          </w:p>
          <w:p w14:paraId="5F3A93EE" w14:textId="6EFC91FA" w:rsidR="00942919" w:rsidRPr="00DE108C" w:rsidRDefault="00942919" w:rsidP="00440568">
            <w:pPr>
              <w:pStyle w:val="TableBody"/>
              <w:rPr>
                <w:rFonts w:eastAsia="Verdana"/>
              </w:rPr>
            </w:pPr>
            <w:r w:rsidRPr="00DE108C">
              <w:rPr>
                <w:rFonts w:eastAsia="Verdana"/>
              </w:rPr>
              <w:t>Greg Wilson</w:t>
            </w:r>
          </w:p>
          <w:p w14:paraId="5412BCED" w14:textId="15A308A0" w:rsidR="00252573" w:rsidRPr="00DE108C" w:rsidRDefault="00942919" w:rsidP="00440568">
            <w:pPr>
              <w:pStyle w:val="TableBody"/>
              <w:rPr>
                <w:rFonts w:eastAsia="Verdana"/>
              </w:rPr>
            </w:pPr>
            <w:r w:rsidRPr="2B566390">
              <w:rPr>
                <w:rFonts w:eastAsia="Verdana"/>
              </w:rPr>
              <w:t>Chair</w:t>
            </w:r>
          </w:p>
        </w:tc>
        <w:tc>
          <w:tcPr>
            <w:tcW w:w="3219" w:type="dxa"/>
            <w:tcMar>
              <w:top w:w="45" w:type="dxa"/>
              <w:left w:w="45" w:type="dxa"/>
              <w:bottom w:w="45" w:type="dxa"/>
              <w:right w:w="45" w:type="dxa"/>
            </w:tcMar>
            <w:vAlign w:val="bottom"/>
          </w:tcPr>
          <w:p w14:paraId="0EA75CC3" w14:textId="77777777" w:rsidR="00602E79" w:rsidRPr="00DE108C" w:rsidRDefault="00602E79" w:rsidP="00440568">
            <w:pPr>
              <w:pStyle w:val="TableBody"/>
              <w:rPr>
                <w:rFonts w:eastAsia="Verdana"/>
              </w:rPr>
            </w:pPr>
          </w:p>
          <w:p w14:paraId="6DE6AAC2" w14:textId="487E3841" w:rsidR="00252573" w:rsidRPr="00DE108C" w:rsidRDefault="00942919" w:rsidP="00440568">
            <w:pPr>
              <w:pStyle w:val="TableBody"/>
              <w:rPr>
                <w:rFonts w:eastAsia="Verdana"/>
              </w:rPr>
            </w:pPr>
            <w:r w:rsidRPr="00DE108C">
              <w:rPr>
                <w:rFonts w:eastAsia="Verdana"/>
              </w:rPr>
              <w:t>Monique Conheady</w:t>
            </w:r>
          </w:p>
          <w:p w14:paraId="4531CC70" w14:textId="4CCA6076" w:rsidR="00252573" w:rsidRPr="00DE108C" w:rsidRDefault="00942919" w:rsidP="00440568">
            <w:pPr>
              <w:pStyle w:val="TableBody"/>
              <w:rPr>
                <w:rFonts w:eastAsia="Verdana"/>
              </w:rPr>
            </w:pPr>
            <w:r w:rsidRPr="00DE108C">
              <w:rPr>
                <w:rFonts w:eastAsia="Verdana"/>
              </w:rPr>
              <w:t>Deputy Chair</w:t>
            </w:r>
          </w:p>
        </w:tc>
      </w:tr>
    </w:tbl>
    <w:p w14:paraId="6EB5984D" w14:textId="77777777" w:rsidR="002A6446" w:rsidRPr="00DE108C" w:rsidRDefault="002A6446" w:rsidP="002A6446">
      <w:pPr>
        <w:pStyle w:val="Heading1"/>
        <w:rPr>
          <w:lang w:eastAsia="fr-CA"/>
        </w:rPr>
      </w:pPr>
      <w:bookmarkStart w:id="10" w:name="_Toc207892873"/>
      <w:bookmarkStart w:id="11" w:name="_Toc207853364"/>
      <w:bookmarkStart w:id="12" w:name="_Toc210229029"/>
      <w:r w:rsidRPr="00DE108C">
        <w:lastRenderedPageBreak/>
        <w:t>Who is Melbourne Water</w:t>
      </w:r>
      <w:bookmarkEnd w:id="10"/>
      <w:bookmarkEnd w:id="11"/>
      <w:bookmarkEnd w:id="12"/>
    </w:p>
    <w:p w14:paraId="47A0A2A1" w14:textId="4A8045F8" w:rsidR="002A6446" w:rsidRPr="00DE108C" w:rsidRDefault="002A6446" w:rsidP="002A6446">
      <w:pPr>
        <w:rPr>
          <w:rFonts w:eastAsiaTheme="minorEastAsia"/>
        </w:rPr>
      </w:pPr>
      <w:r w:rsidRPr="00DE108C">
        <w:rPr>
          <w:rFonts w:eastAsiaTheme="minorEastAsia"/>
        </w:rPr>
        <w:t>Melbourne Water delivers essential water, sewerage, waterways and drainage services to Greater Melbourne — services that are vital to the region’s economy, environment and liveability. We plan and build infrastructure in line with long-term strategies, and operate systems that supply drinking water, treat sewage, and manage waterways and major drainage across the Port Phillip and Western</w:t>
      </w:r>
      <w:r w:rsidR="00A8213F">
        <w:rPr>
          <w:rFonts w:eastAsiaTheme="minorEastAsia"/>
        </w:rPr>
        <w:t xml:space="preserve"> P</w:t>
      </w:r>
      <w:r w:rsidRPr="00DE108C">
        <w:rPr>
          <w:rFonts w:eastAsiaTheme="minorEastAsia"/>
        </w:rPr>
        <w:t>ort regions. Our integrated approach also includes flood management and the creation of valued community spaces.</w:t>
      </w:r>
    </w:p>
    <w:p w14:paraId="788BE09D" w14:textId="5E0DA2D3" w:rsidR="002A6446" w:rsidRPr="00DE108C" w:rsidRDefault="002A6446" w:rsidP="002A6446">
      <w:pPr>
        <w:rPr>
          <w:rFonts w:eastAsiaTheme="minorEastAsia"/>
        </w:rPr>
      </w:pPr>
      <w:r w:rsidRPr="00DE108C">
        <w:rPr>
          <w:rFonts w:eastAsiaTheme="minorEastAsia"/>
        </w:rPr>
        <w:t>We play a central role in making Melbourne one of the world’s most liveable cities. Our services are used by everyone who lives, works or visits the region. We provide bulk drinking water and sewerage services to water corporations, who then supply households and businesses. We also deliver waterways and drainage services directly across Melbourne. Our costs account for around 50 per cent of an end</w:t>
      </w:r>
      <w:r w:rsidR="14437043" w:rsidRPr="43FE0E26">
        <w:rPr>
          <w:rFonts w:eastAsiaTheme="minorEastAsia"/>
        </w:rPr>
        <w:t>-</w:t>
      </w:r>
      <w:r w:rsidRPr="00DE108C">
        <w:rPr>
          <w:rFonts w:eastAsiaTheme="minorEastAsia"/>
        </w:rPr>
        <w:t>use customer’s water bill, so we engage broadly across our customer base. Water corporations influence decisions related to bulk services, end-use customers have greater influence over waterways and drainage services, and developers have the strongest influence on urban development program decisions.</w:t>
      </w:r>
    </w:p>
    <w:p w14:paraId="2934D6FB" w14:textId="77777777" w:rsidR="002A6446" w:rsidRPr="00DE108C" w:rsidRDefault="002A6446" w:rsidP="002A6446">
      <w:pPr>
        <w:rPr>
          <w:rFonts w:eastAsiaTheme="minorEastAsia"/>
        </w:rPr>
      </w:pPr>
      <w:r w:rsidRPr="00DE108C">
        <w:rPr>
          <w:rFonts w:eastAsiaTheme="minorEastAsia"/>
        </w:rPr>
        <w:t>Ultimately, the 2.3 million households and businesses across Greater Melbourne (2024–25 estimate) are the end users of our services, paying for them through their local water corporation.</w:t>
      </w:r>
    </w:p>
    <w:p w14:paraId="7CEF223C" w14:textId="7B48CCB7" w:rsidR="002A6446" w:rsidRPr="00DE108C" w:rsidRDefault="002A6446" w:rsidP="3D9D2FFD">
      <w:pPr>
        <w:spacing w:line="259" w:lineRule="auto"/>
        <w:rPr>
          <w:rFonts w:eastAsiaTheme="minorEastAsia"/>
        </w:rPr>
      </w:pPr>
      <w:r w:rsidRPr="00DE108C">
        <w:rPr>
          <w:rFonts w:eastAsiaTheme="minorEastAsia"/>
        </w:rPr>
        <w:t>Delivering high-quality and valued services requires collaboration with a wide range of stakeholders, including local governments, community groups, the Victorian Government and industry bodies. These partnerships are essential to maximising the value we deliver to our customers across Melbourne.</w:t>
      </w:r>
    </w:p>
    <w:p w14:paraId="707E2FAC" w14:textId="0DDA11AD" w:rsidR="00D61E6E" w:rsidRPr="00DE108C" w:rsidRDefault="00EB6490" w:rsidP="00D61E6E">
      <w:pPr>
        <w:pStyle w:val="Caption"/>
      </w:pPr>
      <w:bookmarkStart w:id="13" w:name="_Toc208910984"/>
      <w:bookmarkStart w:id="14" w:name="_Toc210051291"/>
      <w:r w:rsidRPr="00DE108C">
        <w:t>Melbourne Water’s operating region</w:t>
      </w:r>
      <w:bookmarkEnd w:id="13"/>
      <w:bookmarkEnd w:id="14"/>
    </w:p>
    <w:p w14:paraId="1E73DF33" w14:textId="77777777" w:rsidR="00D61E6E" w:rsidRPr="00DE108C" w:rsidRDefault="5549153B" w:rsidP="0A2CEFB3">
      <w:pPr>
        <w:spacing w:line="259" w:lineRule="auto"/>
      </w:pPr>
      <w:r w:rsidRPr="00DE108C">
        <w:rPr>
          <w:noProof/>
        </w:rPr>
        <w:drawing>
          <wp:inline distT="0" distB="0" distL="0" distR="0" wp14:anchorId="0E3FC580" wp14:editId="1239B3D4">
            <wp:extent cx="6091799" cy="3585205"/>
            <wp:effectExtent l="0" t="0" r="0" b="0"/>
            <wp:docPr id="625444200" name="drawing" descr="A map of Melbourne Water's operating region which includes the catchments of the Werribee, Maribyrnong, Yarra River, Dandenong and Western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4200" name="drawing" descr="A map of Melbourne Water's operating region which includes the catchments of the Werribee, Maribyrnong, Yarra River, Dandenong and Westernport."/>
                    <pic:cNvPicPr/>
                  </pic:nvPicPr>
                  <pic:blipFill>
                    <a:blip r:embed="rId25" cstate="screen">
                      <a:extLst>
                        <a:ext uri="{28A0092B-C50C-407E-A947-70E740481C1C}">
                          <a14:useLocalDpi xmlns:a14="http://schemas.microsoft.com/office/drawing/2010/main"/>
                        </a:ext>
                      </a:extLst>
                    </a:blip>
                    <a:stretch>
                      <a:fillRect/>
                    </a:stretch>
                  </pic:blipFill>
                  <pic:spPr>
                    <a:xfrm>
                      <a:off x="0" y="0"/>
                      <a:ext cx="6091799" cy="3585205"/>
                    </a:xfrm>
                    <a:prstGeom prst="rect">
                      <a:avLst/>
                    </a:prstGeom>
                  </pic:spPr>
                </pic:pic>
              </a:graphicData>
            </a:graphic>
          </wp:inline>
        </w:drawing>
      </w:r>
    </w:p>
    <w:p w14:paraId="7D013FB8" w14:textId="58BB247E" w:rsidR="002A6446" w:rsidRPr="00DE108C" w:rsidRDefault="002A6446" w:rsidP="0A2CEFB3">
      <w:pPr>
        <w:spacing w:line="259" w:lineRule="auto"/>
      </w:pPr>
      <w:r w:rsidRPr="00DE108C">
        <w:br w:type="page"/>
      </w:r>
    </w:p>
    <w:p w14:paraId="25B14B3B" w14:textId="35277B14" w:rsidR="00767B75" w:rsidRPr="00DE108C" w:rsidRDefault="00767B75">
      <w:pPr>
        <w:pStyle w:val="Heading1"/>
      </w:pPr>
      <w:bookmarkStart w:id="15" w:name="_Toc207892874"/>
      <w:bookmarkStart w:id="16" w:name="_Toc207853365"/>
      <w:bookmarkStart w:id="17" w:name="_Toc210229030"/>
      <w:r w:rsidRPr="00DE108C">
        <w:lastRenderedPageBreak/>
        <w:t xml:space="preserve">Executive </w:t>
      </w:r>
      <w:bookmarkEnd w:id="15"/>
      <w:bookmarkEnd w:id="16"/>
      <w:r w:rsidR="009D2AD8" w:rsidRPr="00DE108C">
        <w:t>s</w:t>
      </w:r>
      <w:r w:rsidRPr="00DE108C">
        <w:t>ummary</w:t>
      </w:r>
      <w:bookmarkEnd w:id="17"/>
    </w:p>
    <w:p w14:paraId="23339411" w14:textId="1577C63E" w:rsidR="12056DAB" w:rsidRPr="00DE108C" w:rsidRDefault="00767B75" w:rsidP="12056DAB">
      <w:pPr>
        <w:rPr>
          <w:rFonts w:eastAsiaTheme="minorEastAsia"/>
        </w:rPr>
      </w:pPr>
      <w:r w:rsidRPr="00DE108C">
        <w:rPr>
          <w:rFonts w:eastAsiaTheme="minorEastAsia"/>
          <w:color w:val="221F20"/>
        </w:rPr>
        <w:t>Melbourne Water is Victoria’s largest water corporation with responsibility for providing bulk water, bulk sewerage services, floodplain management and drainage and waterways management services in the Port Phillip and Western</w:t>
      </w:r>
      <w:r w:rsidR="00F166DF">
        <w:rPr>
          <w:rFonts w:eastAsiaTheme="minorEastAsia"/>
          <w:color w:val="221F20"/>
        </w:rPr>
        <w:t xml:space="preserve"> P</w:t>
      </w:r>
      <w:r w:rsidRPr="00DE108C">
        <w:rPr>
          <w:rFonts w:eastAsiaTheme="minorEastAsia"/>
          <w:color w:val="221F20"/>
        </w:rPr>
        <w:t>ort regions. We ensure that the Greater Melbourne community has access to safe and secure water supplies, that sewage is treated to protect the region’s health and environment, and that waterways (rivers, creeks, wetlands and estuaries) and major drainage systems (including floodplains) are well managed.</w:t>
      </w:r>
    </w:p>
    <w:p w14:paraId="75F07084" w14:textId="60389745" w:rsidR="12056DAB" w:rsidRPr="00DE108C" w:rsidRDefault="00767B75" w:rsidP="12056DAB">
      <w:pPr>
        <w:rPr>
          <w:rFonts w:eastAsiaTheme="minorEastAsia"/>
          <w:b/>
          <w:bCs/>
        </w:rPr>
      </w:pPr>
      <w:r w:rsidRPr="00DE108C">
        <w:rPr>
          <w:rFonts w:eastAsiaTheme="minorEastAsia"/>
          <w:b/>
          <w:bCs/>
        </w:rPr>
        <w:t>Melbourne Water is pleased to provide its 2026 Price Submission to the ESC. This Price Submission presents our plans and prudent</w:t>
      </w:r>
      <w:r w:rsidR="00F8342B">
        <w:rPr>
          <w:rFonts w:eastAsiaTheme="minorEastAsia"/>
          <w:b/>
          <w:bCs/>
        </w:rPr>
        <w:t>, efficient and deliverable</w:t>
      </w:r>
      <w:r w:rsidRPr="00DE108C">
        <w:rPr>
          <w:rFonts w:eastAsiaTheme="minorEastAsia"/>
          <w:b/>
          <w:bCs/>
        </w:rPr>
        <w:t xml:space="preserve"> expenditure proposals for the five</w:t>
      </w:r>
      <w:r w:rsidR="0036755C">
        <w:rPr>
          <w:rFonts w:eastAsiaTheme="minorEastAsia"/>
          <w:b/>
          <w:bCs/>
        </w:rPr>
        <w:noBreakHyphen/>
      </w:r>
      <w:r w:rsidRPr="00DE108C">
        <w:rPr>
          <w:rFonts w:eastAsiaTheme="minorEastAsia"/>
          <w:b/>
          <w:bCs/>
        </w:rPr>
        <w:t xml:space="preserve">year period from 1 July 2026 to 30 June 2031. </w:t>
      </w:r>
    </w:p>
    <w:p w14:paraId="5FF1B7BB" w14:textId="2A58C88B" w:rsidR="12056DAB" w:rsidRPr="00DE108C" w:rsidRDefault="00767B75" w:rsidP="12056DAB">
      <w:r w:rsidRPr="00DE108C">
        <w:rPr>
          <w:rFonts w:eastAsiaTheme="minorEastAsia"/>
        </w:rPr>
        <w:t xml:space="preserve">The </w:t>
      </w:r>
      <w:r w:rsidR="00BA63D9">
        <w:rPr>
          <w:rFonts w:eastAsiaTheme="minorEastAsia"/>
        </w:rPr>
        <w:t>s</w:t>
      </w:r>
      <w:r w:rsidRPr="00DE108C">
        <w:rPr>
          <w:rFonts w:eastAsiaTheme="minorEastAsia"/>
        </w:rPr>
        <w:t xml:space="preserve">ubmission builds on our performance and gains made across the current 2021–26 regulatory period. In this period, including COVID-19, Melbourne Water met or exceeded its targets related to the provision of its core water, sewerage and waterways and drainage services – services that our customers and communities tell us are the most important aspect of our performance. </w:t>
      </w:r>
    </w:p>
    <w:p w14:paraId="6B9B7D72" w14:textId="76ABBAB3" w:rsidR="12056DAB" w:rsidRPr="00DE108C" w:rsidRDefault="00767B75" w:rsidP="12056DAB">
      <w:pPr>
        <w:rPr>
          <w:rFonts w:eastAsiaTheme="minorEastAsia"/>
          <w:color w:val="221F20"/>
        </w:rPr>
      </w:pPr>
      <w:r w:rsidRPr="00DE108C">
        <w:rPr>
          <w:rFonts w:eastAsiaTheme="minorEastAsia"/>
          <w:color w:val="221F20"/>
        </w:rPr>
        <w:t>Our performance aligned with</w:t>
      </w:r>
      <w:r w:rsidR="006347B5" w:rsidRPr="00DE108C">
        <w:rPr>
          <w:rFonts w:eastAsiaTheme="minorEastAsia"/>
          <w:color w:val="221F20"/>
        </w:rPr>
        <w:t xml:space="preserve"> the</w:t>
      </w:r>
      <w:r w:rsidRPr="00DE108C">
        <w:rPr>
          <w:rFonts w:eastAsiaTheme="minorEastAsia"/>
          <w:color w:val="221F20"/>
        </w:rPr>
        <w:t xml:space="preserve"> conservative forecasts in </w:t>
      </w:r>
      <w:r w:rsidR="009E1ADF" w:rsidRPr="00DE108C">
        <w:rPr>
          <w:rFonts w:eastAsiaTheme="minorEastAsia"/>
          <w:color w:val="221F20"/>
        </w:rPr>
        <w:t xml:space="preserve">our </w:t>
      </w:r>
      <w:r w:rsidRPr="00DE108C">
        <w:rPr>
          <w:rFonts w:eastAsiaTheme="minorEastAsia"/>
          <w:color w:val="221F20"/>
        </w:rPr>
        <w:t>2021 Price Submission</w:t>
      </w:r>
      <w:r w:rsidR="7C677502" w:rsidRPr="00DE108C">
        <w:rPr>
          <w:rFonts w:eastAsiaTheme="minorEastAsia"/>
          <w:color w:val="221F20"/>
        </w:rPr>
        <w:t>.</w:t>
      </w:r>
      <w:r w:rsidRPr="00DE108C">
        <w:rPr>
          <w:rFonts w:eastAsiaTheme="minorEastAsia"/>
          <w:color w:val="221F20"/>
        </w:rPr>
        <w:t xml:space="preserve"> </w:t>
      </w:r>
      <w:r w:rsidR="7814C9A3" w:rsidRPr="00DE108C">
        <w:rPr>
          <w:rFonts w:eastAsiaTheme="minorEastAsia"/>
          <w:color w:val="221F20"/>
        </w:rPr>
        <w:t>P</w:t>
      </w:r>
      <w:r w:rsidRPr="00DE108C">
        <w:rPr>
          <w:rFonts w:eastAsiaTheme="minorEastAsia"/>
          <w:color w:val="221F20"/>
        </w:rPr>
        <w:t>opulation growth was double what we anticipated</w:t>
      </w:r>
      <w:r w:rsidR="00A254B4" w:rsidRPr="00DE108C">
        <w:rPr>
          <w:rFonts w:eastAsiaTheme="minorEastAsia"/>
          <w:color w:val="221F20"/>
        </w:rPr>
        <w:t xml:space="preserve">, </w:t>
      </w:r>
      <w:r w:rsidR="00FA1220" w:rsidRPr="00DE108C">
        <w:rPr>
          <w:rFonts w:eastAsiaTheme="minorEastAsia"/>
          <w:color w:val="221F20"/>
        </w:rPr>
        <w:t xml:space="preserve">so we </w:t>
      </w:r>
      <w:r w:rsidR="63BCBD78" w:rsidRPr="00DE108C">
        <w:rPr>
          <w:rFonts w:eastAsiaTheme="minorEastAsia"/>
          <w:color w:val="221F20"/>
        </w:rPr>
        <w:t xml:space="preserve">had to treat </w:t>
      </w:r>
      <w:r w:rsidRPr="00DE108C">
        <w:rPr>
          <w:rFonts w:eastAsiaTheme="minorEastAsia"/>
          <w:color w:val="221F20"/>
        </w:rPr>
        <w:t>1</w:t>
      </w:r>
      <w:r w:rsidR="185F2191" w:rsidRPr="00DE108C">
        <w:rPr>
          <w:rFonts w:eastAsiaTheme="minorEastAsia"/>
          <w:color w:val="221F20"/>
        </w:rPr>
        <w:t>4</w:t>
      </w:r>
      <w:r w:rsidRPr="00DE108C">
        <w:rPr>
          <w:rFonts w:eastAsiaTheme="minorEastAsia"/>
          <w:color w:val="221F20"/>
        </w:rPr>
        <w:t xml:space="preserve"> per cent</w:t>
      </w:r>
      <w:r w:rsidR="5AFC1682" w:rsidRPr="00DE108C">
        <w:rPr>
          <w:rFonts w:eastAsiaTheme="minorEastAsia"/>
          <w:color w:val="221F20"/>
        </w:rPr>
        <w:t xml:space="preserve"> more sewage than expected</w:t>
      </w:r>
      <w:r w:rsidRPr="00DE108C">
        <w:rPr>
          <w:rFonts w:eastAsiaTheme="minorEastAsia"/>
          <w:color w:val="221F20"/>
        </w:rPr>
        <w:t xml:space="preserve">. This unexpected growth has contributed to </w:t>
      </w:r>
      <w:r w:rsidRPr="43FE0E26">
        <w:rPr>
          <w:rFonts w:eastAsiaTheme="minorEastAsia"/>
          <w:color w:val="221F20"/>
        </w:rPr>
        <w:t>a</w:t>
      </w:r>
      <w:r w:rsidR="4183C8C8" w:rsidRPr="43FE0E26">
        <w:rPr>
          <w:rFonts w:eastAsiaTheme="minorEastAsia"/>
          <w:color w:val="221F20"/>
        </w:rPr>
        <w:t>n</w:t>
      </w:r>
      <w:r w:rsidRPr="00DE108C">
        <w:rPr>
          <w:rFonts w:eastAsiaTheme="minorEastAsia"/>
          <w:color w:val="221F20"/>
        </w:rPr>
        <w:t xml:space="preserve"> 11 per cent rise in our </w:t>
      </w:r>
      <w:r w:rsidR="0096166E" w:rsidRPr="00DE108C">
        <w:rPr>
          <w:rFonts w:eastAsiaTheme="minorEastAsia"/>
          <w:color w:val="221F20"/>
        </w:rPr>
        <w:t>baseline</w:t>
      </w:r>
      <w:r w:rsidRPr="00DE108C">
        <w:rPr>
          <w:rFonts w:eastAsiaTheme="minorEastAsia"/>
          <w:color w:val="221F20"/>
        </w:rPr>
        <w:t xml:space="preserve"> </w:t>
      </w:r>
      <w:r w:rsidR="0096166E" w:rsidRPr="00DE108C">
        <w:rPr>
          <w:rFonts w:eastAsiaTheme="minorEastAsia"/>
          <w:color w:val="221F20"/>
        </w:rPr>
        <w:t xml:space="preserve">2024-25 </w:t>
      </w:r>
      <w:r w:rsidR="003E4E35" w:rsidRPr="00DE108C">
        <w:rPr>
          <w:rFonts w:eastAsiaTheme="minorEastAsia"/>
          <w:color w:val="221F20"/>
        </w:rPr>
        <w:t xml:space="preserve">controllable </w:t>
      </w:r>
      <w:r w:rsidRPr="00DE108C">
        <w:rPr>
          <w:rFonts w:eastAsiaTheme="minorEastAsia"/>
          <w:color w:val="221F20"/>
        </w:rPr>
        <w:t>operating expenditure</w:t>
      </w:r>
      <w:r w:rsidR="75D6E614" w:rsidRPr="00DE108C">
        <w:rPr>
          <w:rFonts w:eastAsiaTheme="minorEastAsia"/>
          <w:color w:val="221F20"/>
        </w:rPr>
        <w:t>,</w:t>
      </w:r>
      <w:r w:rsidRPr="00DE108C">
        <w:rPr>
          <w:rFonts w:eastAsiaTheme="minorEastAsia"/>
          <w:color w:val="221F20"/>
        </w:rPr>
        <w:t xml:space="preserve"> compared to the benchmark.</w:t>
      </w:r>
    </w:p>
    <w:p w14:paraId="1866D3F1" w14:textId="321E6213" w:rsidR="12056DAB" w:rsidRPr="00DE108C" w:rsidRDefault="00767B75">
      <w:r w:rsidRPr="00DE108C">
        <w:t xml:space="preserve">Additionally, the 2022 floods and the resulting significant response, including participation in flood enquiries, were also unexpected events that increased operating costs. We also required more resources than originally forecast to meet our increasing cyber and physical infrastructure security obligations during the regulatory period. </w:t>
      </w:r>
    </w:p>
    <w:p w14:paraId="4DE7FA90" w14:textId="35264AA2" w:rsidR="12056DAB" w:rsidRPr="00DE108C" w:rsidRDefault="00767B75" w:rsidP="12056DAB">
      <w:pPr>
        <w:rPr>
          <w:rFonts w:eastAsiaTheme="minorEastAsia"/>
        </w:rPr>
      </w:pPr>
      <w:r w:rsidRPr="00DE108C">
        <w:rPr>
          <w:rFonts w:eastAsiaTheme="minorEastAsia"/>
        </w:rPr>
        <w:t xml:space="preserve">Despite these challenges and consequently a slow program delivery, we </w:t>
      </w:r>
      <w:bookmarkStart w:id="18" w:name="_Int_sRTUuS5d"/>
      <w:r w:rsidRPr="00DE108C">
        <w:rPr>
          <w:rFonts w:eastAsiaTheme="minorEastAsia"/>
        </w:rPr>
        <w:t>have</w:t>
      </w:r>
      <w:bookmarkEnd w:id="18"/>
      <w:r w:rsidRPr="00DE108C">
        <w:rPr>
          <w:rFonts w:eastAsiaTheme="minorEastAsia"/>
        </w:rPr>
        <w:t xml:space="preserve"> successfully delivered the capital expenditure benchmark, consistent with our 2021 Price Submission prices.</w:t>
      </w:r>
    </w:p>
    <w:p w14:paraId="72E70057" w14:textId="3EF39307" w:rsidR="00767B75" w:rsidRPr="00DE108C" w:rsidRDefault="00767B75">
      <w:r w:rsidRPr="00DE108C">
        <w:rPr>
          <w:rFonts w:eastAsiaTheme="minorEastAsia"/>
          <w:color w:val="221F20"/>
        </w:rPr>
        <w:t xml:space="preserve">However, we faced challenges when meeting our stretch targets in customer satisfaction. As the </w:t>
      </w:r>
      <w:r w:rsidR="00FA493D">
        <w:rPr>
          <w:rFonts w:eastAsiaTheme="minorEastAsia"/>
          <w:color w:val="221F20"/>
        </w:rPr>
        <w:t>s</w:t>
      </w:r>
      <w:r w:rsidRPr="00DE108C">
        <w:rPr>
          <w:rFonts w:eastAsiaTheme="minorEastAsia"/>
          <w:color w:val="221F20"/>
        </w:rPr>
        <w:t>ubmission outlines, we have been working proactively with our customers to improve performance, including our response times and application processing for developers. We have also increased and formalised our joint planning processes for the water corporations we serve,</w:t>
      </w:r>
      <w:r w:rsidRPr="00DE108C" w:rsidDel="72C92565">
        <w:rPr>
          <w:rFonts w:eastAsiaTheme="minorEastAsia"/>
          <w:color w:val="221F20"/>
        </w:rPr>
        <w:t xml:space="preserve"> </w:t>
      </w:r>
      <w:r w:rsidRPr="00DE108C">
        <w:rPr>
          <w:rFonts w:eastAsiaTheme="minorEastAsia"/>
          <w:color w:val="221F20"/>
        </w:rPr>
        <w:t xml:space="preserve">including through the </w:t>
      </w:r>
      <w:r w:rsidRPr="00DE108C">
        <w:t>Managing Directors Accord. We recognise</w:t>
      </w:r>
      <w:r w:rsidRPr="00DE108C" w:rsidDel="72C92565">
        <w:t xml:space="preserve"> </w:t>
      </w:r>
      <w:r w:rsidRPr="00DE108C">
        <w:t>this is an ongoing process and de</w:t>
      </w:r>
      <w:r w:rsidRPr="00DE108C">
        <w:rPr>
          <w:rFonts w:eastAsiaTheme="minorEastAsia"/>
          <w:color w:val="221F20"/>
        </w:rPr>
        <w:t xml:space="preserve">veloping </w:t>
      </w:r>
      <w:r w:rsidRPr="00DE108C">
        <w:t xml:space="preserve">our </w:t>
      </w:r>
      <w:r w:rsidRPr="00DE108C" w:rsidDel="72C92565">
        <w:t>2</w:t>
      </w:r>
      <w:r w:rsidRPr="00DE108C" w:rsidDel="72C92565">
        <w:rPr>
          <w:rFonts w:eastAsiaTheme="minorEastAsia"/>
          <w:color w:val="221F20"/>
        </w:rPr>
        <w:t>026</w:t>
      </w:r>
      <w:r w:rsidRPr="00DE108C">
        <w:rPr>
          <w:rFonts w:eastAsiaTheme="minorEastAsia"/>
          <w:color w:val="221F20"/>
        </w:rPr>
        <w:t xml:space="preserve"> Price Submission</w:t>
      </w:r>
      <w:r w:rsidRPr="00DE108C">
        <w:t xml:space="preserve"> in collaboration with our customers and community has made an important contribution to this work.</w:t>
      </w:r>
    </w:p>
    <w:p w14:paraId="23051174" w14:textId="77777777" w:rsidR="00767B75" w:rsidRPr="00DE108C" w:rsidRDefault="00767B75"/>
    <w:p w14:paraId="147B4EC2" w14:textId="77777777" w:rsidR="00767B75" w:rsidRPr="00DE108C" w:rsidRDefault="00767B75"/>
    <w:p w14:paraId="2787BE8C" w14:textId="77777777" w:rsidR="00767B75" w:rsidRPr="00DE108C" w:rsidRDefault="00767B75">
      <w:pPr>
        <w:rPr>
          <w:rFonts w:asciiTheme="majorHAnsi" w:eastAsiaTheme="minorEastAsia" w:hAnsiTheme="majorHAnsi" w:cstheme="majorBidi"/>
          <w:b/>
          <w:bCs/>
        </w:rPr>
      </w:pPr>
      <w:r w:rsidRPr="00DE108C">
        <w:rPr>
          <w:rFonts w:eastAsiaTheme="minorEastAsia"/>
        </w:rPr>
        <w:br w:type="page"/>
      </w:r>
    </w:p>
    <w:p w14:paraId="7D3B8336" w14:textId="400B1B60" w:rsidR="00767B75" w:rsidRPr="00DE108C" w:rsidRDefault="00767B75" w:rsidP="0032582C">
      <w:pPr>
        <w:pStyle w:val="Heading3"/>
        <w:rPr>
          <w:rFonts w:eastAsiaTheme="minorEastAsia"/>
        </w:rPr>
      </w:pPr>
      <w:r w:rsidRPr="00DE108C">
        <w:rPr>
          <w:rFonts w:eastAsiaTheme="minorEastAsia"/>
        </w:rPr>
        <w:lastRenderedPageBreak/>
        <w:t>Our plans have been shaped by engaging with our community</w:t>
      </w:r>
    </w:p>
    <w:p w14:paraId="6F25B988" w14:textId="4D9B5D24" w:rsidR="00767B75" w:rsidRPr="00DE108C" w:rsidRDefault="66E29573">
      <w:pPr>
        <w:rPr>
          <w:rFonts w:eastAsiaTheme="minorEastAsia"/>
        </w:rPr>
      </w:pPr>
      <w:bookmarkStart w:id="19" w:name="_Toc207892961"/>
      <w:bookmarkStart w:id="20" w:name="_Toc208490489"/>
      <w:bookmarkStart w:id="21" w:name="_Toc208490827"/>
      <w:bookmarkStart w:id="22" w:name="_Toc208910985"/>
      <w:bookmarkStart w:id="23" w:name="_Toc210051292"/>
      <w:r w:rsidRPr="00DE108C">
        <w:rPr>
          <w:rStyle w:val="CaptionChar"/>
        </w:rPr>
        <w:t xml:space="preserve">Figure </w:t>
      </w:r>
      <w:r w:rsidR="6957BEC8" w:rsidRPr="00DE108C">
        <w:rPr>
          <w:rStyle w:val="CaptionChar"/>
        </w:rPr>
        <w:t>I</w:t>
      </w:r>
      <w:bookmarkEnd w:id="19"/>
      <w:r w:rsidR="006B5241" w:rsidRPr="00DE108C">
        <w:rPr>
          <w:rStyle w:val="CaptionChar"/>
        </w:rPr>
        <w:t>:</w:t>
      </w:r>
      <w:r w:rsidR="00840D55" w:rsidRPr="00DE108C">
        <w:rPr>
          <w:rStyle w:val="CaptionChar"/>
        </w:rPr>
        <w:t xml:space="preserve"> Melbourne Water’s community stakeholder groups</w:t>
      </w:r>
      <w:bookmarkEnd w:id="20"/>
      <w:bookmarkEnd w:id="21"/>
      <w:bookmarkEnd w:id="22"/>
      <w:bookmarkEnd w:id="23"/>
    </w:p>
    <w:p w14:paraId="6703F2C7" w14:textId="28469689" w:rsidR="004363D2" w:rsidRPr="00DE108C" w:rsidRDefault="004363D2" w:rsidP="004363D2">
      <w:pPr>
        <w:rPr>
          <w:rFonts w:eastAsiaTheme="minorEastAsia"/>
        </w:rPr>
      </w:pPr>
      <w:r w:rsidRPr="00DE108C">
        <w:rPr>
          <w:rFonts w:eastAsiaTheme="minorEastAsia"/>
          <w:noProof/>
        </w:rPr>
        <w:drawing>
          <wp:inline distT="0" distB="0" distL="0" distR="0" wp14:anchorId="2A2AC39F" wp14:editId="10105433">
            <wp:extent cx="5890260" cy="3724275"/>
            <wp:effectExtent l="0" t="0" r="15240" b="0"/>
            <wp:docPr id="71443762" name="Diagram 6" descr="Water retailers and regional businesses (the water corporations)&#10; We serve the water corporations that provide the water and sewerage service interface to end-use customers. &#10;End-use customers &#10; Directly receive our waterways and drainage services and ultimately receive our water and sewerage services (approximately 50 per cent of bills) and pay for them through their local water corporation.&#10;Our partners, local community and representative groups&#10; Help us to shape our services, including Traditional Owner partners, those representing the most vulnerable in our community, Local Government Authorities, and community environmental groups.&#10;Our direct service customers &#10; Includes licensed diverters and households that receive a direct service from us.&#10;Developers and representative groups&#10; Make land development applications and construct waterways and drainage works on our behalf in new urban developments. &#10;Victorian Government and our regulators &#10; Set our guiding policy frameworks and obligations based on their complimentary understanding of community expectation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D8F1675" w14:textId="570F083C" w:rsidR="12056DAB" w:rsidRPr="00DE108C" w:rsidRDefault="00767B75" w:rsidP="12056DAB">
      <w:pPr>
        <w:rPr>
          <w:rFonts w:eastAsiaTheme="minorEastAsia"/>
        </w:rPr>
      </w:pPr>
      <w:r w:rsidRPr="00DE108C">
        <w:rPr>
          <w:rFonts w:eastAsiaTheme="minorEastAsia"/>
        </w:rPr>
        <w:t xml:space="preserve">Over the past two years, Melbourne Water has worked with our </w:t>
      </w:r>
      <w:r w:rsidR="00DD7E51">
        <w:rPr>
          <w:rFonts w:eastAsiaTheme="minorEastAsia"/>
        </w:rPr>
        <w:t xml:space="preserve">customers, </w:t>
      </w:r>
      <w:r w:rsidRPr="00DE108C">
        <w:rPr>
          <w:rFonts w:eastAsiaTheme="minorEastAsia"/>
        </w:rPr>
        <w:t xml:space="preserve">community </w:t>
      </w:r>
      <w:r w:rsidR="00DD7E51">
        <w:rPr>
          <w:rFonts w:eastAsiaTheme="minorEastAsia"/>
        </w:rPr>
        <w:t>and</w:t>
      </w:r>
      <w:r w:rsidRPr="00DE108C">
        <w:rPr>
          <w:rFonts w:eastAsiaTheme="minorEastAsia"/>
        </w:rPr>
        <w:t xml:space="preserve"> stakeholder groups more closely than ever before to test and agree on our plans. </w:t>
      </w:r>
    </w:p>
    <w:p w14:paraId="62EEE76C" w14:textId="7C86781D" w:rsidR="12056DAB" w:rsidRPr="00DE108C" w:rsidRDefault="00767B75" w:rsidP="12056DAB">
      <w:pPr>
        <w:rPr>
          <w:rFonts w:eastAsiaTheme="minorEastAsia"/>
          <w:color w:val="221F20"/>
        </w:rPr>
      </w:pPr>
      <w:r w:rsidRPr="00DE108C">
        <w:rPr>
          <w:rFonts w:eastAsiaTheme="minorEastAsia"/>
          <w:color w:val="221F20"/>
        </w:rPr>
        <w:t>Our six-stage engagement process was tailored and targeted to our distinct stakeholder groups. We collected primary information on community and customer expectations through representative surveys and assisted with prioritisation and plans via a highly collaborative process involving deliberative forums with key representatives and customer groups. This process built a shared understanding of our performance, the key challenges to meet over coming decades, and the Outcomes our community and customers want us to prioritise. We also engaged on how best to balance competing priorities and associated expenditures.</w:t>
      </w:r>
    </w:p>
    <w:p w14:paraId="15C4365A" w14:textId="657676FC" w:rsidR="00767B75" w:rsidRPr="00DE108C" w:rsidRDefault="00767B75">
      <w:pPr>
        <w:rPr>
          <w:rFonts w:eastAsiaTheme="minorEastAsia"/>
        </w:rPr>
      </w:pPr>
      <w:r w:rsidRPr="00DE108C">
        <w:rPr>
          <w:rFonts w:eastAsiaTheme="minorEastAsia"/>
        </w:rPr>
        <w:t xml:space="preserve">Our six-stage engagement process (shown in Figure </w:t>
      </w:r>
      <w:r w:rsidR="00C75E16" w:rsidRPr="00DE108C">
        <w:rPr>
          <w:rFonts w:eastAsiaTheme="minorEastAsia"/>
        </w:rPr>
        <w:t>II</w:t>
      </w:r>
      <w:r w:rsidRPr="00DE108C">
        <w:rPr>
          <w:rFonts w:eastAsiaTheme="minorEastAsia"/>
        </w:rPr>
        <w:t xml:space="preserve">) was a multi-stage and multi-channel approach that enabled us to reach diverse customer groups and ensured their voices were included in the process. It gave us the time needed to listen and understand what was most important, to iterate and extend our engagement approach, and to meaningfully discuss the most significant matters that impact prices and service outcomes for our customers. </w:t>
      </w:r>
    </w:p>
    <w:p w14:paraId="2365DE35" w14:textId="31B17DF4" w:rsidR="00767B75" w:rsidRPr="00DE108C" w:rsidRDefault="00767B75">
      <w:bookmarkStart w:id="24" w:name="_Toc207892962"/>
      <w:bookmarkStart w:id="25" w:name="_Toc208490490"/>
      <w:bookmarkStart w:id="26" w:name="_Toc208490828"/>
      <w:bookmarkStart w:id="27" w:name="_Toc208910986"/>
      <w:bookmarkStart w:id="28" w:name="_Toc210051293"/>
      <w:r w:rsidRPr="00DE108C">
        <w:rPr>
          <w:rStyle w:val="CaptionChar"/>
        </w:rPr>
        <w:t xml:space="preserve">Figure </w:t>
      </w:r>
      <w:r w:rsidR="3F707D5F" w:rsidRPr="00DE108C">
        <w:rPr>
          <w:rStyle w:val="CaptionChar"/>
        </w:rPr>
        <w:t>II</w:t>
      </w:r>
      <w:r w:rsidRPr="00DE108C">
        <w:rPr>
          <w:rStyle w:val="CaptionChar"/>
        </w:rPr>
        <w:t>: Our six-stage engagement process</w:t>
      </w:r>
      <w:bookmarkEnd w:id="24"/>
      <w:bookmarkEnd w:id="25"/>
      <w:bookmarkEnd w:id="26"/>
      <w:bookmarkEnd w:id="27"/>
      <w:bookmarkEnd w:id="28"/>
      <w:r w:rsidRPr="00DE108C">
        <w:rPr>
          <w:noProof/>
        </w:rPr>
        <w:drawing>
          <wp:inline distT="0" distB="0" distL="0" distR="0" wp14:anchorId="22E1CC81" wp14:editId="64D67454">
            <wp:extent cx="6059671" cy="1722590"/>
            <wp:effectExtent l="0" t="0" r="0" b="0"/>
            <wp:docPr id="645098760" name="Picture 8" descr="A diagram showing our six-stage engagement process:&#10;1. Initial assessment&#10;2. Values and priorities&#10;3. Valuation&#10;4. Outcomes testing&#10;5. Playback&#10;6. Closing the loop and becoming 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98760" name="Picture 8" descr="A diagram showing our six-stage engagement process:&#10;1. Initial assessment&#10;2. Values and priorities&#10;3. Valuation&#10;4. Outcomes testing&#10;5. Playback&#10;6. Closing the loop and becoming BAU"/>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6059671" cy="1722590"/>
                    </a:xfrm>
                    <a:prstGeom prst="rect">
                      <a:avLst/>
                    </a:prstGeom>
                    <a:noFill/>
                    <a:ln>
                      <a:noFill/>
                    </a:ln>
                  </pic:spPr>
                </pic:pic>
              </a:graphicData>
            </a:graphic>
          </wp:inline>
        </w:drawing>
      </w:r>
    </w:p>
    <w:p w14:paraId="160A63FC" w14:textId="311235A1" w:rsidR="00767B75" w:rsidRPr="00DE108C" w:rsidRDefault="00767B75">
      <w:pPr>
        <w:rPr>
          <w:rFonts w:eastAsiaTheme="minorEastAsia"/>
        </w:rPr>
      </w:pPr>
      <w:r w:rsidRPr="00DE108C">
        <w:rPr>
          <w:rFonts w:eastAsiaTheme="minorEastAsia"/>
        </w:rPr>
        <w:lastRenderedPageBreak/>
        <w:t xml:space="preserve">Compared to previous </w:t>
      </w:r>
      <w:r w:rsidR="058DF545" w:rsidRPr="00DE108C">
        <w:rPr>
          <w:rFonts w:eastAsiaTheme="minorEastAsia"/>
        </w:rPr>
        <w:t>submission</w:t>
      </w:r>
      <w:r w:rsidRPr="00DE108C">
        <w:rPr>
          <w:rFonts w:eastAsiaTheme="minorEastAsia"/>
        </w:rPr>
        <w:t xml:space="preserve">s, we </w:t>
      </w:r>
      <w:r w:rsidR="1632E75C" w:rsidRPr="00DE108C">
        <w:rPr>
          <w:rFonts w:eastAsiaTheme="minorEastAsia"/>
        </w:rPr>
        <w:t xml:space="preserve">have worked to </w:t>
      </w:r>
      <w:r w:rsidRPr="00DE108C">
        <w:rPr>
          <w:rFonts w:eastAsiaTheme="minorEastAsia"/>
        </w:rPr>
        <w:t xml:space="preserve">improve our engagement process by undertaking the following activities: </w:t>
      </w:r>
    </w:p>
    <w:p w14:paraId="27AA6E06" w14:textId="77777777" w:rsidR="00767B75" w:rsidRPr="00DE108C" w:rsidRDefault="15E3975F" w:rsidP="00D27EF7">
      <w:pPr>
        <w:pStyle w:val="ListBullet"/>
        <w:rPr>
          <w:rFonts w:eastAsiaTheme="minorEastAsia"/>
        </w:rPr>
      </w:pPr>
      <w:r w:rsidRPr="7CFB4304">
        <w:rPr>
          <w:rFonts w:eastAsiaTheme="minorEastAsia"/>
          <w:b/>
        </w:rPr>
        <w:t>Better understanding of customer views:</w:t>
      </w:r>
      <w:r w:rsidRPr="7CFB4304">
        <w:rPr>
          <w:rFonts w:eastAsiaTheme="minorEastAsia"/>
        </w:rPr>
        <w:t xml:space="preserve"> We gathered more extensive information through additional surveys, including willingness to pay analysis, that aligned to regulatory expectations. Additionally, more extensive one-on-one engagement was undertaken with our key community stakeholder groups.</w:t>
      </w:r>
    </w:p>
    <w:p w14:paraId="504BADDA" w14:textId="77777777" w:rsidR="00767B75" w:rsidRPr="00DE108C" w:rsidRDefault="15E3975F" w:rsidP="00D27EF7">
      <w:pPr>
        <w:pStyle w:val="ListBullet"/>
        <w:rPr>
          <w:rFonts w:eastAsiaTheme="minorEastAsia"/>
        </w:rPr>
      </w:pPr>
      <w:r w:rsidRPr="7CFB4304">
        <w:rPr>
          <w:rFonts w:eastAsiaTheme="minorEastAsia"/>
          <w:b/>
        </w:rPr>
        <w:t>Releasing a draft proposal for public comment:</w:t>
      </w:r>
      <w:r w:rsidRPr="7CFB4304">
        <w:rPr>
          <w:rFonts w:eastAsiaTheme="minorEastAsia"/>
        </w:rPr>
        <w:t xml:space="preserve"> For the first time we released a public draft of our key Outcomes and proposed bill levels to seek feedback from our community on a holistic package, well in advance of finalising our Submission. </w:t>
      </w:r>
    </w:p>
    <w:p w14:paraId="02595D97" w14:textId="77777777" w:rsidR="00767B75" w:rsidRPr="00DE108C" w:rsidRDefault="15E3975F" w:rsidP="00D27EF7">
      <w:pPr>
        <w:pStyle w:val="ListBullet"/>
        <w:rPr>
          <w:rFonts w:eastAsiaTheme="minorEastAsia"/>
        </w:rPr>
      </w:pPr>
      <w:r w:rsidRPr="7CFB4304">
        <w:rPr>
          <w:rFonts w:eastAsiaTheme="minorEastAsia"/>
          <w:b/>
        </w:rPr>
        <w:t>Increasing the engagement focus on ‘closing the loop’:</w:t>
      </w:r>
      <w:r w:rsidRPr="7CFB4304">
        <w:rPr>
          <w:rFonts w:eastAsiaTheme="minorEastAsia"/>
        </w:rPr>
        <w:t xml:space="preserve"> Additional time and resources were dedicated to closing the loop on key aspects of the proposal with our community stakeholder groups, including reaching agreements on Outcomes and the aspects of our plans that would have the greatest impact on them.</w:t>
      </w:r>
    </w:p>
    <w:p w14:paraId="687C8B99" w14:textId="77777777" w:rsidR="00767B75" w:rsidRPr="00DE108C" w:rsidRDefault="00767B75">
      <w:pPr>
        <w:pStyle w:val="Heading3"/>
        <w:rPr>
          <w:rFonts w:eastAsiaTheme="minorEastAsia"/>
        </w:rPr>
      </w:pPr>
      <w:r w:rsidRPr="00DE108C">
        <w:rPr>
          <w:rFonts w:eastAsiaTheme="minorEastAsia"/>
        </w:rPr>
        <w:t>Understanding key challenges and priorities</w:t>
      </w:r>
    </w:p>
    <w:p w14:paraId="0D044F91" w14:textId="77777777" w:rsidR="00767B75" w:rsidRPr="00DE108C" w:rsidRDefault="00767B75">
      <w:pPr>
        <w:rPr>
          <w:rFonts w:eastAsiaTheme="minorEastAsia"/>
        </w:rPr>
      </w:pPr>
      <w:r w:rsidRPr="00DE108C">
        <w:rPr>
          <w:rFonts w:eastAsiaTheme="minorEastAsia"/>
        </w:rPr>
        <w:t xml:space="preserve">We worked to build a common understanding of the key drivers of expenditure that have informed the priorities for this proposal. There was a strong message from our community that maintaining service delivery at the high standards they expect to ensure clean, safe, reliable and resilient services is most important to them. Melbourne Water shared and engaged honestly on the key challenges facing the provision of services that are driving expenditures. </w:t>
      </w:r>
    </w:p>
    <w:p w14:paraId="7690AD1E" w14:textId="5A01919A" w:rsidR="00DF4C72" w:rsidRPr="00DE108C" w:rsidRDefault="00767B75" w:rsidP="00A22733">
      <w:pPr>
        <w:pStyle w:val="Heading4"/>
        <w:rPr>
          <w:rFonts w:eastAsiaTheme="minorEastAsia"/>
        </w:rPr>
      </w:pPr>
      <w:r w:rsidRPr="00DE108C">
        <w:rPr>
          <w:rFonts w:eastAsiaTheme="minorEastAsia"/>
        </w:rPr>
        <w:t>Our challenges</w:t>
      </w:r>
    </w:p>
    <w:p w14:paraId="6A500A54" w14:textId="3298D4B5" w:rsidR="00767B75" w:rsidRPr="00DE108C" w:rsidRDefault="00767B75">
      <w:pPr>
        <w:rPr>
          <w:rFonts w:eastAsiaTheme="minorEastAsia"/>
          <w:b/>
          <w:bCs/>
          <w:color w:val="221F20"/>
        </w:rPr>
      </w:pPr>
      <w:r w:rsidRPr="00DE108C">
        <w:rPr>
          <w:rFonts w:eastAsiaTheme="minorEastAsia"/>
          <w:b/>
          <w:bCs/>
          <w:noProof/>
        </w:rPr>
        <mc:AlternateContent>
          <mc:Choice Requires="wps">
            <w:drawing>
              <wp:inline distT="0" distB="0" distL="0" distR="0" wp14:anchorId="2C24F61A" wp14:editId="0BE91EC3">
                <wp:extent cx="6120130" cy="2230346"/>
                <wp:effectExtent l="0" t="0" r="13970" b="17780"/>
                <wp:docPr id="1808500099" name="Rectangle: Rounded Corners 10"/>
                <wp:cNvGraphicFramePr/>
                <a:graphic xmlns:a="http://schemas.openxmlformats.org/drawingml/2006/main">
                  <a:graphicData uri="http://schemas.microsoft.com/office/word/2010/wordprocessingShape">
                    <wps:wsp>
                      <wps:cNvSpPr/>
                      <wps:spPr>
                        <a:xfrm>
                          <a:off x="0" y="0"/>
                          <a:ext cx="6120130" cy="2230346"/>
                        </a:xfrm>
                        <a:prstGeom prst="roundRect">
                          <a:avLst/>
                        </a:prstGeom>
                        <a:solidFill>
                          <a:srgbClr val="B5D8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3A96B8" w14:textId="77777777" w:rsidR="00767B75" w:rsidRDefault="00767B75" w:rsidP="00767B75">
                            <w:pPr>
                              <w:rPr>
                                <w:rFonts w:eastAsiaTheme="minorEastAsia"/>
                                <w:b/>
                                <w:bCs/>
                                <w:color w:val="221F20"/>
                              </w:rPr>
                            </w:pPr>
                            <w:r>
                              <w:rPr>
                                <w:rFonts w:eastAsiaTheme="minorEastAsia"/>
                                <w:b/>
                                <w:bCs/>
                                <w:color w:val="221F20"/>
                              </w:rPr>
                              <w:t>Growing population</w:t>
                            </w:r>
                          </w:p>
                          <w:p w14:paraId="00B4D302"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By 2032, more than six million people will live in Melbourne. This will double by 2070.</w:t>
                            </w:r>
                          </w:p>
                          <w:p w14:paraId="340FB61D"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 xml:space="preserve">More growth means more demand for services, which has already exceeded our expectations. </w:t>
                            </w:r>
                          </w:p>
                          <w:p w14:paraId="59CA4DD4" w14:textId="77777777" w:rsidR="00767B75" w:rsidRPr="00CA3EF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 xml:space="preserve">Population growth is </w:t>
                            </w:r>
                            <w:r w:rsidRPr="00CA3EF5">
                              <w:rPr>
                                <w:rFonts w:eastAsiaTheme="minorEastAsia"/>
                                <w:color w:val="221F20"/>
                                <w:szCs w:val="20"/>
                              </w:rPr>
                              <w:t>over 2 per cent per annum (June 2026 forecast) in the current regulatory period (compared to the growth allowance of 1 per cent per annum).</w:t>
                            </w:r>
                          </w:p>
                          <w:p w14:paraId="41189472" w14:textId="5070AE32"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CA3EF5">
                              <w:rPr>
                                <w:rFonts w:eastAsiaTheme="minorEastAsia"/>
                                <w:color w:val="221F20"/>
                                <w:szCs w:val="20"/>
                              </w:rPr>
                              <w:t xml:space="preserve">Sewage treatment volumes are higher than expected. The Eastern Treatment Plant treated </w:t>
                            </w:r>
                            <w:r w:rsidR="00733E7B" w:rsidRPr="00C75E16">
                              <w:rPr>
                                <w:rFonts w:eastAsiaTheme="minorEastAsia"/>
                                <w:color w:val="221F20"/>
                                <w:szCs w:val="20"/>
                              </w:rPr>
                              <w:t>20</w:t>
                            </w:r>
                            <w:r w:rsidRPr="00CA3EF5">
                              <w:rPr>
                                <w:rFonts w:eastAsiaTheme="minorEastAsia"/>
                                <w:color w:val="221F20"/>
                                <w:szCs w:val="20"/>
                              </w:rPr>
                              <w:t xml:space="preserve"> per</w:t>
                            </w:r>
                            <w:r w:rsidRPr="00CA3EF5">
                              <w:rPr>
                                <w:rFonts w:ascii="Arial" w:eastAsiaTheme="minorEastAsia" w:hAnsi="Arial" w:cs="Arial"/>
                                <w:color w:val="221F20"/>
                                <w:szCs w:val="20"/>
                              </w:rPr>
                              <w:t> </w:t>
                            </w:r>
                            <w:r w:rsidRPr="00CA3EF5">
                              <w:rPr>
                                <w:rFonts w:eastAsiaTheme="minorEastAsia"/>
                                <w:color w:val="221F20"/>
                                <w:szCs w:val="20"/>
                              </w:rPr>
                              <w:t>cent more sewage from</w:t>
                            </w:r>
                            <w:r w:rsidRPr="00782B95">
                              <w:rPr>
                                <w:rFonts w:eastAsiaTheme="minorEastAsia"/>
                                <w:color w:val="221F20"/>
                                <w:szCs w:val="20"/>
                              </w:rPr>
                              <w:t xml:space="preserve"> 2021 to 2025 than forecast.</w:t>
                            </w:r>
                          </w:p>
                          <w:p w14:paraId="6703B413"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 xml:space="preserve">More land and housing development is required to meet community housing supply expectations. </w:t>
                            </w:r>
                            <w:r w:rsidRPr="00782B95">
                              <w:rPr>
                                <w:szCs w:val="20"/>
                              </w:rPr>
                              <w:br/>
                            </w:r>
                          </w:p>
                          <w:p w14:paraId="142034DE" w14:textId="77777777" w:rsidR="00767B75" w:rsidRDefault="00767B75" w:rsidP="00767B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24F61A" id="Rectangle: Rounded Corners 10" o:spid="_x0000_s1027" style="width:481.9pt;height:175.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" fillcolor="#b5d8ff" strokecolor="#000914 [484]" strokeweight="2pt">
                <v:textbox>
                  <w:txbxContent>
                    <w:p w14:paraId="363A96B8" w14:textId="77777777" w:rsidR="00767B75" w:rsidRDefault="00767B75" w:rsidP="00767B75">
                      <w:pPr>
                        <w:rPr>
                          <w:rFonts w:eastAsiaTheme="minorEastAsia"/>
                          <w:b/>
                          <w:bCs/>
                          <w:color w:val="221F20"/>
                        </w:rPr>
                      </w:pPr>
                      <w:r>
                        <w:rPr>
                          <w:rFonts w:eastAsiaTheme="minorEastAsia"/>
                          <w:b/>
                          <w:bCs/>
                          <w:color w:val="221F20"/>
                        </w:rPr>
                        <w:t>Growing population</w:t>
                      </w:r>
                    </w:p>
                    <w:p w14:paraId="00B4D302"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By 2032, more than six million people will live in Melbourne. This will double by 2070.</w:t>
                      </w:r>
                    </w:p>
                    <w:p w14:paraId="340FB61D"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 xml:space="preserve">More growth means more demand for services, which has already exceeded our expectations. </w:t>
                      </w:r>
                    </w:p>
                    <w:p w14:paraId="59CA4DD4" w14:textId="77777777" w:rsidR="00767B75" w:rsidRPr="00CA3EF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 xml:space="preserve">Population growth is </w:t>
                      </w:r>
                      <w:r w:rsidRPr="00CA3EF5">
                        <w:rPr>
                          <w:rFonts w:eastAsiaTheme="minorEastAsia"/>
                          <w:color w:val="221F20"/>
                          <w:szCs w:val="20"/>
                        </w:rPr>
                        <w:t>over 2 per cent per annum (June 2026 forecast) in the current regulatory period (compared to the growth allowance of 1 per cent per annum).</w:t>
                      </w:r>
                    </w:p>
                    <w:p w14:paraId="41189472" w14:textId="5070AE32"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CA3EF5">
                        <w:rPr>
                          <w:rFonts w:eastAsiaTheme="minorEastAsia"/>
                          <w:color w:val="221F20"/>
                          <w:szCs w:val="20"/>
                        </w:rPr>
                        <w:t xml:space="preserve">Sewage treatment volumes are higher than expected. The Eastern Treatment Plant treated </w:t>
                      </w:r>
                      <w:r w:rsidR="00733E7B" w:rsidRPr="00C75E16">
                        <w:rPr>
                          <w:rFonts w:eastAsiaTheme="minorEastAsia"/>
                          <w:color w:val="221F20"/>
                          <w:szCs w:val="20"/>
                        </w:rPr>
                        <w:t>20</w:t>
                      </w:r>
                      <w:r w:rsidRPr="00CA3EF5">
                        <w:rPr>
                          <w:rFonts w:eastAsiaTheme="minorEastAsia"/>
                          <w:color w:val="221F20"/>
                          <w:szCs w:val="20"/>
                        </w:rPr>
                        <w:t xml:space="preserve"> per</w:t>
                      </w:r>
                      <w:r w:rsidRPr="00CA3EF5">
                        <w:rPr>
                          <w:rFonts w:ascii="Arial" w:eastAsiaTheme="minorEastAsia" w:hAnsi="Arial" w:cs="Arial"/>
                          <w:color w:val="221F20"/>
                          <w:szCs w:val="20"/>
                        </w:rPr>
                        <w:t> </w:t>
                      </w:r>
                      <w:r w:rsidRPr="00CA3EF5">
                        <w:rPr>
                          <w:rFonts w:eastAsiaTheme="minorEastAsia"/>
                          <w:color w:val="221F20"/>
                          <w:szCs w:val="20"/>
                        </w:rPr>
                        <w:t>cent more sewage from</w:t>
                      </w:r>
                      <w:r w:rsidRPr="00782B95">
                        <w:rPr>
                          <w:rFonts w:eastAsiaTheme="minorEastAsia"/>
                          <w:color w:val="221F20"/>
                          <w:szCs w:val="20"/>
                        </w:rPr>
                        <w:t xml:space="preserve"> 2021 to 2025 than forecast.</w:t>
                      </w:r>
                    </w:p>
                    <w:p w14:paraId="6703B413"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 xml:space="preserve">More land and housing development is required to meet community housing supply expectations. </w:t>
                      </w:r>
                      <w:r w:rsidRPr="00782B95">
                        <w:rPr>
                          <w:szCs w:val="20"/>
                        </w:rPr>
                        <w:br/>
                      </w:r>
                    </w:p>
                    <w:p w14:paraId="142034DE" w14:textId="77777777" w:rsidR="00767B75" w:rsidRDefault="00767B75" w:rsidP="00767B75">
                      <w:pPr>
                        <w:jc w:val="center"/>
                      </w:pPr>
                    </w:p>
                  </w:txbxContent>
                </v:textbox>
                <w10:anchorlock/>
              </v:roundrect>
            </w:pict>
          </mc:Fallback>
        </mc:AlternateContent>
      </w:r>
    </w:p>
    <w:p w14:paraId="1BA93486" w14:textId="77777777" w:rsidR="00767B75" w:rsidRPr="00DE108C" w:rsidRDefault="00767B75" w:rsidP="004F31B0">
      <w:pPr>
        <w:rPr>
          <w:rFonts w:eastAsiaTheme="minorEastAsia"/>
        </w:rPr>
      </w:pPr>
    </w:p>
    <w:p w14:paraId="5DE750E6" w14:textId="5E78A401" w:rsidR="00767B75" w:rsidRPr="00DE108C" w:rsidRDefault="00767B75">
      <w:pPr>
        <w:rPr>
          <w:rFonts w:eastAsiaTheme="minorEastAsia"/>
        </w:rPr>
      </w:pPr>
      <w:r w:rsidRPr="00DE108C">
        <w:rPr>
          <w:rFonts w:eastAsiaTheme="minorEastAsia"/>
          <w:noProof/>
        </w:rPr>
        <mc:AlternateContent>
          <mc:Choice Requires="wps">
            <w:drawing>
              <wp:inline distT="0" distB="0" distL="0" distR="0" wp14:anchorId="719E7C0B" wp14:editId="789D0E56">
                <wp:extent cx="6088380" cy="1808328"/>
                <wp:effectExtent l="0" t="0" r="26670" b="20955"/>
                <wp:docPr id="149587573" name="Rectangle: Rounded Corners 10"/>
                <wp:cNvGraphicFramePr/>
                <a:graphic xmlns:a="http://schemas.openxmlformats.org/drawingml/2006/main">
                  <a:graphicData uri="http://schemas.microsoft.com/office/word/2010/wordprocessingShape">
                    <wps:wsp>
                      <wps:cNvSpPr/>
                      <wps:spPr>
                        <a:xfrm>
                          <a:off x="0" y="0"/>
                          <a:ext cx="6088380" cy="1808328"/>
                        </a:xfrm>
                        <a:prstGeom prst="roundRect">
                          <a:avLst/>
                        </a:prstGeom>
                        <a:solidFill>
                          <a:srgbClr val="46C2D7"/>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DB5D57" w14:textId="77777777" w:rsidR="00767B75" w:rsidRDefault="00767B75">
                            <w:pPr>
                              <w:jc w:val="both"/>
                              <w:rPr>
                                <w:rFonts w:eastAsiaTheme="minorEastAsia"/>
                                <w:b/>
                                <w:bCs/>
                                <w:color w:val="221F20"/>
                              </w:rPr>
                            </w:pPr>
                            <w:r>
                              <w:rPr>
                                <w:rFonts w:eastAsiaTheme="minorEastAsia"/>
                                <w:b/>
                                <w:bCs/>
                                <w:color w:val="221F20"/>
                              </w:rPr>
                              <w:t>A changing climate</w:t>
                            </w:r>
                          </w:p>
                          <w:p w14:paraId="1D98BE81" w14:textId="77777777" w:rsidR="00767B75" w:rsidRPr="00782B95" w:rsidRDefault="00767B75">
                            <w:pPr>
                              <w:pStyle w:val="ListParagraph"/>
                              <w:numPr>
                                <w:ilvl w:val="0"/>
                                <w:numId w:val="11"/>
                              </w:numPr>
                              <w:spacing w:line="259" w:lineRule="auto"/>
                              <w:ind w:left="284"/>
                              <w:rPr>
                                <w:rFonts w:eastAsiaTheme="minorEastAsia"/>
                                <w:color w:val="231F20" w:themeColor="text1"/>
                                <w:szCs w:val="20"/>
                              </w:rPr>
                            </w:pPr>
                            <w:r w:rsidRPr="00782B95">
                              <w:rPr>
                                <w:rFonts w:eastAsiaTheme="minorEastAsia"/>
                                <w:color w:val="221F20"/>
                                <w:szCs w:val="20"/>
                              </w:rPr>
                              <w:t>Our climate is drier and more variable.</w:t>
                            </w:r>
                          </w:p>
                          <w:p w14:paraId="07D123EC" w14:textId="77777777" w:rsidR="00767B75" w:rsidRPr="00782B95" w:rsidRDefault="00767B75">
                            <w:pPr>
                              <w:pStyle w:val="ListParagraph"/>
                              <w:numPr>
                                <w:ilvl w:val="0"/>
                                <w:numId w:val="11"/>
                              </w:numPr>
                              <w:spacing w:line="259" w:lineRule="auto"/>
                              <w:ind w:left="284"/>
                              <w:rPr>
                                <w:rFonts w:eastAsiaTheme="minorEastAsia"/>
                                <w:color w:val="231F20" w:themeColor="text1"/>
                                <w:szCs w:val="20"/>
                              </w:rPr>
                            </w:pPr>
                            <w:r w:rsidRPr="00782B95">
                              <w:rPr>
                                <w:rFonts w:eastAsiaTheme="minorEastAsia"/>
                                <w:color w:val="221F20"/>
                                <w:szCs w:val="20"/>
                              </w:rPr>
                              <w:t xml:space="preserve">Environmental extremes create surges in capacity needs for our systems, placing pressures on all assets and our ability to manage the impacts on our community, including flooding and reduced water quality returned to the environment. </w:t>
                            </w:r>
                          </w:p>
                          <w:p w14:paraId="7D5BCC07" w14:textId="5FAC85B0" w:rsidR="00767B75" w:rsidRPr="00782B95" w:rsidRDefault="00D25468">
                            <w:pPr>
                              <w:pStyle w:val="ListParagraph"/>
                              <w:numPr>
                                <w:ilvl w:val="0"/>
                                <w:numId w:val="11"/>
                              </w:numPr>
                              <w:spacing w:line="259" w:lineRule="auto"/>
                              <w:ind w:left="284"/>
                              <w:rPr>
                                <w:rFonts w:eastAsiaTheme="minorEastAsia"/>
                                <w:color w:val="231F20" w:themeColor="text1"/>
                                <w:szCs w:val="20"/>
                              </w:rPr>
                            </w:pPr>
                            <w:r>
                              <w:rPr>
                                <w:rFonts w:eastAsiaTheme="minorEastAsia"/>
                                <w:color w:val="221F20"/>
                                <w:szCs w:val="20"/>
                              </w:rPr>
                              <w:t>A variable and changing climate i</w:t>
                            </w:r>
                            <w:r w:rsidR="00767B75" w:rsidRPr="00782B95">
                              <w:rPr>
                                <w:rFonts w:eastAsiaTheme="minorEastAsia"/>
                                <w:color w:val="221F20"/>
                                <w:szCs w:val="20"/>
                              </w:rPr>
                              <w:t xml:space="preserve">mpacts the natural systems and waterways we manage, creating community concerns, including Traditional Owners, to protect the environment and care for Country. </w:t>
                            </w:r>
                          </w:p>
                          <w:p w14:paraId="45AF2AB2" w14:textId="77777777" w:rsidR="00767B75" w:rsidRPr="001D77E4" w:rsidRDefault="00767B75">
                            <w:pPr>
                              <w:ind w:left="207"/>
                              <w:rPr>
                                <w:rFonts w:eastAsiaTheme="minorEastAsia"/>
                              </w:rPr>
                            </w:pPr>
                            <w:r>
                              <w:br/>
                            </w:r>
                          </w:p>
                          <w:p w14:paraId="6C05B5C5" w14:textId="77777777" w:rsidR="00767B75" w:rsidRDefault="00767B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9E7C0B" id="_x0000_s1028" style="width:479.4pt;height:14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" fillcolor="#46c2d7" strokecolor="#000914 [484]" strokeweight="2pt">
                <v:textbox>
                  <w:txbxContent>
                    <w:p w14:paraId="7FDB5D57" w14:textId="77777777" w:rsidR="00767B75" w:rsidRDefault="00767B75">
                      <w:pPr>
                        <w:jc w:val="both"/>
                        <w:rPr>
                          <w:rFonts w:eastAsiaTheme="minorEastAsia"/>
                          <w:b/>
                          <w:bCs/>
                          <w:color w:val="221F20"/>
                        </w:rPr>
                      </w:pPr>
                      <w:r>
                        <w:rPr>
                          <w:rFonts w:eastAsiaTheme="minorEastAsia"/>
                          <w:b/>
                          <w:bCs/>
                          <w:color w:val="221F20"/>
                        </w:rPr>
                        <w:t>A changing climate</w:t>
                      </w:r>
                    </w:p>
                    <w:p w14:paraId="1D98BE81" w14:textId="77777777" w:rsidR="00767B75" w:rsidRPr="00782B95" w:rsidRDefault="00767B75">
                      <w:pPr>
                        <w:pStyle w:val="ListParagraph"/>
                        <w:numPr>
                          <w:ilvl w:val="0"/>
                          <w:numId w:val="11"/>
                        </w:numPr>
                        <w:spacing w:line="259" w:lineRule="auto"/>
                        <w:ind w:left="284"/>
                        <w:rPr>
                          <w:rFonts w:eastAsiaTheme="minorEastAsia"/>
                          <w:color w:val="231F20" w:themeColor="text1"/>
                          <w:szCs w:val="20"/>
                        </w:rPr>
                      </w:pPr>
                      <w:r w:rsidRPr="00782B95">
                        <w:rPr>
                          <w:rFonts w:eastAsiaTheme="minorEastAsia"/>
                          <w:color w:val="221F20"/>
                          <w:szCs w:val="20"/>
                        </w:rPr>
                        <w:t>Our climate is drier and more variable.</w:t>
                      </w:r>
                    </w:p>
                    <w:p w14:paraId="07D123EC" w14:textId="77777777" w:rsidR="00767B75" w:rsidRPr="00782B95" w:rsidRDefault="00767B75">
                      <w:pPr>
                        <w:pStyle w:val="ListParagraph"/>
                        <w:numPr>
                          <w:ilvl w:val="0"/>
                          <w:numId w:val="11"/>
                        </w:numPr>
                        <w:spacing w:line="259" w:lineRule="auto"/>
                        <w:ind w:left="284"/>
                        <w:rPr>
                          <w:rFonts w:eastAsiaTheme="minorEastAsia"/>
                          <w:color w:val="231F20" w:themeColor="text1"/>
                          <w:szCs w:val="20"/>
                        </w:rPr>
                      </w:pPr>
                      <w:r w:rsidRPr="00782B95">
                        <w:rPr>
                          <w:rFonts w:eastAsiaTheme="minorEastAsia"/>
                          <w:color w:val="221F20"/>
                          <w:szCs w:val="20"/>
                        </w:rPr>
                        <w:t xml:space="preserve">Environmental extremes create surges in capacity needs for our systems, placing pressures on all assets and our ability to manage the impacts on our community, including flooding and reduced water quality returned to the environment. </w:t>
                      </w:r>
                    </w:p>
                    <w:p w14:paraId="7D5BCC07" w14:textId="5FAC85B0" w:rsidR="00767B75" w:rsidRPr="00782B95" w:rsidRDefault="00D25468">
                      <w:pPr>
                        <w:pStyle w:val="ListParagraph"/>
                        <w:numPr>
                          <w:ilvl w:val="0"/>
                          <w:numId w:val="11"/>
                        </w:numPr>
                        <w:spacing w:line="259" w:lineRule="auto"/>
                        <w:ind w:left="284"/>
                        <w:rPr>
                          <w:rFonts w:eastAsiaTheme="minorEastAsia"/>
                          <w:color w:val="231F20" w:themeColor="text1"/>
                          <w:szCs w:val="20"/>
                        </w:rPr>
                      </w:pPr>
                      <w:r>
                        <w:rPr>
                          <w:rFonts w:eastAsiaTheme="minorEastAsia"/>
                          <w:color w:val="221F20"/>
                          <w:szCs w:val="20"/>
                        </w:rPr>
                        <w:t>A variable and changing climate i</w:t>
                      </w:r>
                      <w:r w:rsidR="00767B75" w:rsidRPr="00782B95">
                        <w:rPr>
                          <w:rFonts w:eastAsiaTheme="minorEastAsia"/>
                          <w:color w:val="221F20"/>
                          <w:szCs w:val="20"/>
                        </w:rPr>
                        <w:t xml:space="preserve">mpacts the natural systems and waterways we manage, creating community concerns, including Traditional Owners, to protect the environment and care for Country. </w:t>
                      </w:r>
                    </w:p>
                    <w:p w14:paraId="45AF2AB2" w14:textId="77777777" w:rsidR="00767B75" w:rsidRPr="001D77E4" w:rsidRDefault="00767B75">
                      <w:pPr>
                        <w:ind w:left="207"/>
                        <w:rPr>
                          <w:rFonts w:eastAsiaTheme="minorEastAsia"/>
                        </w:rPr>
                      </w:pPr>
                      <w:r>
                        <w:br/>
                      </w:r>
                    </w:p>
                    <w:p w14:paraId="6C05B5C5" w14:textId="77777777" w:rsidR="00767B75" w:rsidRDefault="00767B75"/>
                  </w:txbxContent>
                </v:textbox>
                <w10:anchorlock/>
              </v:roundrect>
            </w:pict>
          </mc:Fallback>
        </mc:AlternateContent>
      </w:r>
      <w:r w:rsidRPr="00DE108C">
        <w:br/>
      </w:r>
    </w:p>
    <w:p w14:paraId="6A12642D" w14:textId="3F2A8970" w:rsidR="00767B75" w:rsidRPr="00DE108C" w:rsidRDefault="00767B75">
      <w:pPr>
        <w:rPr>
          <w:rFonts w:eastAsiaTheme="minorEastAsia"/>
        </w:rPr>
      </w:pPr>
      <w:r w:rsidRPr="00DE108C">
        <w:rPr>
          <w:rFonts w:eastAsiaTheme="minorEastAsia"/>
          <w:noProof/>
        </w:rPr>
        <w:lastRenderedPageBreak/>
        <mc:AlternateContent>
          <mc:Choice Requires="wps">
            <w:drawing>
              <wp:inline distT="0" distB="0" distL="0" distR="0" wp14:anchorId="569BC522" wp14:editId="4873A882">
                <wp:extent cx="6080760" cy="2165350"/>
                <wp:effectExtent l="0" t="0" r="15240" b="25400"/>
                <wp:docPr id="1243527247" name="Rectangle: Rounded Corners 10"/>
                <wp:cNvGraphicFramePr/>
                <a:graphic xmlns:a="http://schemas.openxmlformats.org/drawingml/2006/main">
                  <a:graphicData uri="http://schemas.microsoft.com/office/word/2010/wordprocessingShape">
                    <wps:wsp>
                      <wps:cNvSpPr/>
                      <wps:spPr>
                        <a:xfrm>
                          <a:off x="0" y="0"/>
                          <a:ext cx="6080760" cy="2165350"/>
                        </a:xfrm>
                        <a:prstGeom prst="roundRect">
                          <a:avLst/>
                        </a:prstGeom>
                        <a:solidFill>
                          <a:srgbClr val="B5D8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E1CE7E" w14:textId="77777777" w:rsidR="00767B75" w:rsidRDefault="00767B75">
                            <w:pPr>
                              <w:rPr>
                                <w:rFonts w:eastAsiaTheme="minorEastAsia"/>
                                <w:b/>
                                <w:bCs/>
                                <w:color w:val="221F20"/>
                              </w:rPr>
                            </w:pPr>
                            <w:r>
                              <w:rPr>
                                <w:rFonts w:eastAsiaTheme="minorEastAsia"/>
                                <w:b/>
                                <w:bCs/>
                                <w:color w:val="221F20"/>
                              </w:rPr>
                              <w:t>Household and business costs</w:t>
                            </w:r>
                          </w:p>
                          <w:p w14:paraId="0CBB9B6E"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 xml:space="preserve">Melbourne Water is exposed to similar cost pressures as households and the broader economy. </w:t>
                            </w:r>
                          </w:p>
                          <w:p w14:paraId="144694C5"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 xml:space="preserve">Our cost of doing business has increased, including supply chains, materials and construction. </w:t>
                            </w:r>
                          </w:p>
                          <w:p w14:paraId="72C5F9D1"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 xml:space="preserve">Costs to ensure our resilience of physical and cyber assets under the </w:t>
                            </w:r>
                            <w:r w:rsidRPr="00782B95">
                              <w:rPr>
                                <w:rFonts w:eastAsiaTheme="minorEastAsia"/>
                                <w:i/>
                                <w:iCs/>
                                <w:color w:val="221F20"/>
                                <w:szCs w:val="20"/>
                              </w:rPr>
                              <w:t>Security of Critical Infrastructure Act</w:t>
                            </w:r>
                            <w:r w:rsidRPr="00782B95">
                              <w:rPr>
                                <w:rFonts w:eastAsiaTheme="minorEastAsia"/>
                                <w:color w:val="221F20"/>
                                <w:szCs w:val="20"/>
                              </w:rPr>
                              <w:t xml:space="preserve"> have also increased. </w:t>
                            </w:r>
                          </w:p>
                          <w:p w14:paraId="300DC63B" w14:textId="77777777" w:rsidR="00767B75" w:rsidRPr="00486A78" w:rsidRDefault="00767B75">
                            <w:pPr>
                              <w:pStyle w:val="ListParagraph"/>
                              <w:numPr>
                                <w:ilvl w:val="0"/>
                                <w:numId w:val="11"/>
                              </w:numPr>
                              <w:spacing w:line="259" w:lineRule="auto"/>
                              <w:ind w:left="284" w:hanging="284"/>
                              <w:rPr>
                                <w:rFonts w:eastAsiaTheme="minorEastAsia"/>
                                <w:color w:val="231F20" w:themeColor="text1"/>
                              </w:rPr>
                            </w:pPr>
                            <w:r w:rsidRPr="00782B95">
                              <w:rPr>
                                <w:rFonts w:eastAsiaTheme="minorEastAsia"/>
                                <w:color w:val="231F20" w:themeColor="text1"/>
                                <w:szCs w:val="20"/>
                              </w:rPr>
                              <w:t>The cost of meeting our challenges must be balanced with the concerns of the community that our costs are efficient. The most vulnerable in the community must also be supported when these efficient costs translate to their water bills.</w:t>
                            </w:r>
                            <w:r w:rsidRPr="00486A78">
                              <w:rPr>
                                <w:rFonts w:eastAsiaTheme="minorEastAsia"/>
                                <w:color w:val="231F20" w:themeColor="text1"/>
                              </w:rPr>
                              <w:t xml:space="preserve"> </w:t>
                            </w:r>
                            <w:r>
                              <w:br/>
                            </w:r>
                          </w:p>
                          <w:p w14:paraId="1B7A904A" w14:textId="77777777" w:rsidR="00767B75" w:rsidRPr="00486A78" w:rsidRDefault="00767B75">
                            <w:pPr>
                              <w:pStyle w:val="ListParagraph"/>
                              <w:numPr>
                                <w:ilvl w:val="0"/>
                                <w:numId w:val="11"/>
                              </w:numPr>
                              <w:spacing w:line="259" w:lineRule="auto"/>
                              <w:ind w:left="284" w:hanging="284"/>
                              <w:rPr>
                                <w:rFonts w:eastAsiaTheme="minorEastAsia"/>
                                <w:color w:val="231F20" w:themeColor="text1"/>
                              </w:rPr>
                            </w:pPr>
                          </w:p>
                          <w:p w14:paraId="47FE2BF7" w14:textId="77777777" w:rsidR="00767B75" w:rsidRPr="00883BEC" w:rsidRDefault="00767B75">
                            <w:pPr>
                              <w:pStyle w:val="ListParagraph"/>
                              <w:ind w:left="284"/>
                              <w:rPr>
                                <w:rFonts w:eastAsiaTheme="minorEastAsia"/>
                                <w:color w:val="231F20" w:themeColor="text1"/>
                              </w:rPr>
                            </w:pPr>
                          </w:p>
                          <w:p w14:paraId="7CE98EB3" w14:textId="77777777" w:rsidR="00767B75" w:rsidRDefault="00767B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69BC522" id="_x0000_s1029" style="width:478.8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" fillcolor="#b5d8ff" strokecolor="#000914 [484]" strokeweight="2pt">
                <v:textbox>
                  <w:txbxContent>
                    <w:p w14:paraId="57E1CE7E" w14:textId="77777777" w:rsidR="00767B75" w:rsidRDefault="00767B75">
                      <w:pPr>
                        <w:rPr>
                          <w:rFonts w:eastAsiaTheme="minorEastAsia"/>
                          <w:b/>
                          <w:bCs/>
                          <w:color w:val="221F20"/>
                        </w:rPr>
                      </w:pPr>
                      <w:r>
                        <w:rPr>
                          <w:rFonts w:eastAsiaTheme="minorEastAsia"/>
                          <w:b/>
                          <w:bCs/>
                          <w:color w:val="221F20"/>
                        </w:rPr>
                        <w:t>Household and business costs</w:t>
                      </w:r>
                    </w:p>
                    <w:p w14:paraId="0CBB9B6E"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 xml:space="preserve">Melbourne Water is exposed to similar cost pressures as households and the broader economy. </w:t>
                      </w:r>
                    </w:p>
                    <w:p w14:paraId="144694C5"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 xml:space="preserve">Our cost of doing business has increased, including supply chains, materials and construction. </w:t>
                      </w:r>
                    </w:p>
                    <w:p w14:paraId="72C5F9D1"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21F20"/>
                          <w:szCs w:val="20"/>
                        </w:rPr>
                        <w:t xml:space="preserve">Costs to ensure our resilience of physical and cyber assets under the </w:t>
                      </w:r>
                      <w:r w:rsidRPr="00782B95">
                        <w:rPr>
                          <w:rFonts w:eastAsiaTheme="minorEastAsia"/>
                          <w:i/>
                          <w:iCs/>
                          <w:color w:val="221F20"/>
                          <w:szCs w:val="20"/>
                        </w:rPr>
                        <w:t>Security of Critical Infrastructure Act</w:t>
                      </w:r>
                      <w:r w:rsidRPr="00782B95">
                        <w:rPr>
                          <w:rFonts w:eastAsiaTheme="minorEastAsia"/>
                          <w:color w:val="221F20"/>
                          <w:szCs w:val="20"/>
                        </w:rPr>
                        <w:t xml:space="preserve"> have also increased. </w:t>
                      </w:r>
                    </w:p>
                    <w:p w14:paraId="300DC63B" w14:textId="77777777" w:rsidR="00767B75" w:rsidRPr="00486A78" w:rsidRDefault="00767B75">
                      <w:pPr>
                        <w:pStyle w:val="ListParagraph"/>
                        <w:numPr>
                          <w:ilvl w:val="0"/>
                          <w:numId w:val="11"/>
                        </w:numPr>
                        <w:spacing w:line="259" w:lineRule="auto"/>
                        <w:ind w:left="284" w:hanging="284"/>
                        <w:rPr>
                          <w:rFonts w:eastAsiaTheme="minorEastAsia"/>
                          <w:color w:val="231F20" w:themeColor="text1"/>
                        </w:rPr>
                      </w:pPr>
                      <w:r w:rsidRPr="00782B95">
                        <w:rPr>
                          <w:rFonts w:eastAsiaTheme="minorEastAsia"/>
                          <w:color w:val="231F20" w:themeColor="text1"/>
                          <w:szCs w:val="20"/>
                        </w:rPr>
                        <w:t>The cost of meeting our challenges must be balanced with the concerns of the community that our costs are efficient. The most vulnerable in the community must also be supported when these efficient costs translate to their water bills.</w:t>
                      </w:r>
                      <w:r w:rsidRPr="00486A78">
                        <w:rPr>
                          <w:rFonts w:eastAsiaTheme="minorEastAsia"/>
                          <w:color w:val="231F20" w:themeColor="text1"/>
                        </w:rPr>
                        <w:t xml:space="preserve"> </w:t>
                      </w:r>
                      <w:r>
                        <w:br/>
                      </w:r>
                    </w:p>
                    <w:p w14:paraId="1B7A904A" w14:textId="77777777" w:rsidR="00767B75" w:rsidRPr="00486A78" w:rsidRDefault="00767B75">
                      <w:pPr>
                        <w:pStyle w:val="ListParagraph"/>
                        <w:numPr>
                          <w:ilvl w:val="0"/>
                          <w:numId w:val="11"/>
                        </w:numPr>
                        <w:spacing w:line="259" w:lineRule="auto"/>
                        <w:ind w:left="284" w:hanging="284"/>
                        <w:rPr>
                          <w:rFonts w:eastAsiaTheme="minorEastAsia"/>
                          <w:color w:val="231F20" w:themeColor="text1"/>
                        </w:rPr>
                      </w:pPr>
                    </w:p>
                    <w:p w14:paraId="47FE2BF7" w14:textId="77777777" w:rsidR="00767B75" w:rsidRPr="00883BEC" w:rsidRDefault="00767B75">
                      <w:pPr>
                        <w:pStyle w:val="ListParagraph"/>
                        <w:ind w:left="284"/>
                        <w:rPr>
                          <w:rFonts w:eastAsiaTheme="minorEastAsia"/>
                          <w:color w:val="231F20" w:themeColor="text1"/>
                        </w:rPr>
                      </w:pPr>
                    </w:p>
                    <w:p w14:paraId="7CE98EB3" w14:textId="77777777" w:rsidR="00767B75" w:rsidRDefault="00767B75">
                      <w:pPr>
                        <w:jc w:val="center"/>
                      </w:pPr>
                    </w:p>
                  </w:txbxContent>
                </v:textbox>
                <w10:anchorlock/>
              </v:roundrect>
            </w:pict>
          </mc:Fallback>
        </mc:AlternateContent>
      </w:r>
    </w:p>
    <w:p w14:paraId="5AE139AD" w14:textId="77777777" w:rsidR="00767B75" w:rsidRPr="00DE108C" w:rsidRDefault="00767B75" w:rsidP="004F31B0">
      <w:pPr>
        <w:rPr>
          <w:rFonts w:eastAsiaTheme="minorEastAsia"/>
        </w:rPr>
      </w:pPr>
    </w:p>
    <w:p w14:paraId="0D6E910B" w14:textId="77777777" w:rsidR="00767B75" w:rsidRPr="00DE108C" w:rsidRDefault="00767B75">
      <w:pPr>
        <w:rPr>
          <w:rFonts w:eastAsiaTheme="minorEastAsia"/>
          <w:b/>
          <w:bCs/>
          <w:color w:val="221F20"/>
        </w:rPr>
      </w:pPr>
      <w:r w:rsidRPr="00DE108C">
        <w:rPr>
          <w:rFonts w:eastAsiaTheme="minorEastAsia"/>
          <w:noProof/>
        </w:rPr>
        <mc:AlternateContent>
          <mc:Choice Requires="wps">
            <w:drawing>
              <wp:inline distT="0" distB="0" distL="0" distR="0" wp14:anchorId="1823CAE1" wp14:editId="5A66ED43">
                <wp:extent cx="6016964" cy="1285875"/>
                <wp:effectExtent l="0" t="0" r="22225" b="28575"/>
                <wp:docPr id="106817516" name="Rectangle: Rounded Corners 10"/>
                <wp:cNvGraphicFramePr/>
                <a:graphic xmlns:a="http://schemas.openxmlformats.org/drawingml/2006/main">
                  <a:graphicData uri="http://schemas.microsoft.com/office/word/2010/wordprocessingShape">
                    <wps:wsp>
                      <wps:cNvSpPr/>
                      <wps:spPr>
                        <a:xfrm>
                          <a:off x="0" y="0"/>
                          <a:ext cx="6016964" cy="1285875"/>
                        </a:xfrm>
                        <a:prstGeom prst="roundRect">
                          <a:avLst/>
                        </a:prstGeom>
                        <a:solidFill>
                          <a:srgbClr val="46C2D7"/>
                        </a:solidFill>
                      </wps:spPr>
                      <wps:style>
                        <a:lnRef idx="2">
                          <a:schemeClr val="accent1">
                            <a:shade val="15000"/>
                          </a:schemeClr>
                        </a:lnRef>
                        <a:fillRef idx="1">
                          <a:schemeClr val="accent1"/>
                        </a:fillRef>
                        <a:effectRef idx="0">
                          <a:schemeClr val="accent1"/>
                        </a:effectRef>
                        <a:fontRef idx="minor">
                          <a:schemeClr val="lt1"/>
                        </a:fontRef>
                      </wps:style>
                      <wps:txbx>
                        <w:txbxContent>
                          <w:p w14:paraId="539D3F0C" w14:textId="77777777" w:rsidR="00767B75" w:rsidRDefault="00767B75">
                            <w:pPr>
                              <w:jc w:val="both"/>
                              <w:rPr>
                                <w:rFonts w:eastAsiaTheme="minorEastAsia"/>
                                <w:b/>
                                <w:bCs/>
                                <w:color w:val="221F20"/>
                              </w:rPr>
                            </w:pPr>
                            <w:r>
                              <w:rPr>
                                <w:rFonts w:eastAsiaTheme="minorEastAsia"/>
                                <w:b/>
                                <w:bCs/>
                                <w:color w:val="221F20"/>
                              </w:rPr>
                              <w:t>Ageing Assets</w:t>
                            </w:r>
                          </w:p>
                          <w:p w14:paraId="52888B85" w14:textId="77777777" w:rsidR="00767B75" w:rsidRPr="00782B95" w:rsidRDefault="00767B75">
                            <w:pPr>
                              <w:pStyle w:val="ListParagraph"/>
                              <w:numPr>
                                <w:ilvl w:val="0"/>
                                <w:numId w:val="11"/>
                              </w:numPr>
                              <w:spacing w:line="259" w:lineRule="auto"/>
                              <w:ind w:left="284"/>
                              <w:rPr>
                                <w:rFonts w:eastAsiaTheme="minorEastAsia"/>
                                <w:color w:val="231F20" w:themeColor="text1"/>
                                <w:szCs w:val="20"/>
                              </w:rPr>
                            </w:pPr>
                            <w:r w:rsidRPr="00782B95">
                              <w:rPr>
                                <w:rFonts w:eastAsiaTheme="minorEastAsia"/>
                                <w:color w:val="221F20"/>
                                <w:szCs w:val="20"/>
                              </w:rPr>
                              <w:t xml:space="preserve">Ageing assets require renewal and expansion to manage risks and meet growing demands. </w:t>
                            </w:r>
                          </w:p>
                          <w:p w14:paraId="5B5D5730" w14:textId="77777777" w:rsidR="00767B75" w:rsidRPr="00782B95" w:rsidRDefault="00767B75">
                            <w:pPr>
                              <w:pStyle w:val="ListParagraph"/>
                              <w:numPr>
                                <w:ilvl w:val="0"/>
                                <w:numId w:val="11"/>
                              </w:numPr>
                              <w:spacing w:line="259" w:lineRule="auto"/>
                              <w:ind w:left="284"/>
                              <w:rPr>
                                <w:rFonts w:eastAsiaTheme="minorEastAsia"/>
                                <w:color w:val="231F20" w:themeColor="text1"/>
                                <w:szCs w:val="20"/>
                              </w:rPr>
                            </w:pPr>
                            <w:r w:rsidRPr="00782B95">
                              <w:rPr>
                                <w:rFonts w:eastAsiaTheme="minorEastAsia"/>
                                <w:color w:val="221F20"/>
                                <w:szCs w:val="20"/>
                              </w:rPr>
                              <w:t xml:space="preserve">Sewage treatment and sewerage transfer assets are most urgent to support reliability of our core service delivery. </w:t>
                            </w:r>
                          </w:p>
                          <w:p w14:paraId="26E6BF87" w14:textId="77777777" w:rsidR="00767B75" w:rsidRPr="001D77E4" w:rsidRDefault="00767B75">
                            <w:pPr>
                              <w:ind w:left="207"/>
                              <w:rPr>
                                <w:rFonts w:eastAsiaTheme="minorEastAsia"/>
                              </w:rPr>
                            </w:pPr>
                            <w:r>
                              <w:br/>
                            </w:r>
                          </w:p>
                          <w:p w14:paraId="7D4E77E1" w14:textId="77777777" w:rsidR="00767B75" w:rsidRDefault="00767B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823CAE1" id="_x0000_s1030" style="width:473.8pt;height:10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" fillcolor="#46c2d7" strokecolor="#000914 [484]" strokeweight="2pt">
                <v:textbox>
                  <w:txbxContent>
                    <w:p w14:paraId="539D3F0C" w14:textId="77777777" w:rsidR="00767B75" w:rsidRDefault="00767B75">
                      <w:pPr>
                        <w:jc w:val="both"/>
                        <w:rPr>
                          <w:rFonts w:eastAsiaTheme="minorEastAsia"/>
                          <w:b/>
                          <w:bCs/>
                          <w:color w:val="221F20"/>
                        </w:rPr>
                      </w:pPr>
                      <w:r>
                        <w:rPr>
                          <w:rFonts w:eastAsiaTheme="minorEastAsia"/>
                          <w:b/>
                          <w:bCs/>
                          <w:color w:val="221F20"/>
                        </w:rPr>
                        <w:t>Ageing Assets</w:t>
                      </w:r>
                    </w:p>
                    <w:p w14:paraId="52888B85" w14:textId="77777777" w:rsidR="00767B75" w:rsidRPr="00782B95" w:rsidRDefault="00767B75">
                      <w:pPr>
                        <w:pStyle w:val="ListParagraph"/>
                        <w:numPr>
                          <w:ilvl w:val="0"/>
                          <w:numId w:val="11"/>
                        </w:numPr>
                        <w:spacing w:line="259" w:lineRule="auto"/>
                        <w:ind w:left="284"/>
                        <w:rPr>
                          <w:rFonts w:eastAsiaTheme="minorEastAsia"/>
                          <w:color w:val="231F20" w:themeColor="text1"/>
                          <w:szCs w:val="20"/>
                        </w:rPr>
                      </w:pPr>
                      <w:r w:rsidRPr="00782B95">
                        <w:rPr>
                          <w:rFonts w:eastAsiaTheme="minorEastAsia"/>
                          <w:color w:val="221F20"/>
                          <w:szCs w:val="20"/>
                        </w:rPr>
                        <w:t xml:space="preserve">Ageing assets require renewal and expansion to manage risks and meet growing demands. </w:t>
                      </w:r>
                    </w:p>
                    <w:p w14:paraId="5B5D5730" w14:textId="77777777" w:rsidR="00767B75" w:rsidRPr="00782B95" w:rsidRDefault="00767B75">
                      <w:pPr>
                        <w:pStyle w:val="ListParagraph"/>
                        <w:numPr>
                          <w:ilvl w:val="0"/>
                          <w:numId w:val="11"/>
                        </w:numPr>
                        <w:spacing w:line="259" w:lineRule="auto"/>
                        <w:ind w:left="284"/>
                        <w:rPr>
                          <w:rFonts w:eastAsiaTheme="minorEastAsia"/>
                          <w:color w:val="231F20" w:themeColor="text1"/>
                          <w:szCs w:val="20"/>
                        </w:rPr>
                      </w:pPr>
                      <w:r w:rsidRPr="00782B95">
                        <w:rPr>
                          <w:rFonts w:eastAsiaTheme="minorEastAsia"/>
                          <w:color w:val="221F20"/>
                          <w:szCs w:val="20"/>
                        </w:rPr>
                        <w:t xml:space="preserve">Sewage treatment and sewerage transfer assets are most urgent to support reliability of our core service delivery. </w:t>
                      </w:r>
                    </w:p>
                    <w:p w14:paraId="26E6BF87" w14:textId="77777777" w:rsidR="00767B75" w:rsidRPr="001D77E4" w:rsidRDefault="00767B75">
                      <w:pPr>
                        <w:ind w:left="207"/>
                        <w:rPr>
                          <w:rFonts w:eastAsiaTheme="minorEastAsia"/>
                        </w:rPr>
                      </w:pPr>
                      <w:r>
                        <w:br/>
                      </w:r>
                    </w:p>
                    <w:p w14:paraId="7D4E77E1" w14:textId="77777777" w:rsidR="00767B75" w:rsidRDefault="00767B75"/>
                  </w:txbxContent>
                </v:textbox>
                <w10:anchorlock/>
              </v:roundrect>
            </w:pict>
          </mc:Fallback>
        </mc:AlternateContent>
      </w:r>
    </w:p>
    <w:p w14:paraId="3A5ADDA0" w14:textId="7B38D512" w:rsidR="00767B75" w:rsidRPr="00DE108C" w:rsidRDefault="00767B75">
      <w:pPr>
        <w:rPr>
          <w:rFonts w:eastAsiaTheme="minorEastAsia"/>
        </w:rPr>
      </w:pPr>
    </w:p>
    <w:p w14:paraId="4AF51326" w14:textId="77777777" w:rsidR="00767B75" w:rsidRPr="00DE108C" w:rsidRDefault="00767B75">
      <w:pPr>
        <w:rPr>
          <w:rFonts w:eastAsiaTheme="minorEastAsia"/>
          <w:b/>
          <w:bCs/>
        </w:rPr>
      </w:pPr>
      <w:r w:rsidRPr="00DE108C">
        <w:rPr>
          <w:rFonts w:eastAsiaTheme="minorEastAsia"/>
          <w:noProof/>
        </w:rPr>
        <mc:AlternateContent>
          <mc:Choice Requires="wps">
            <w:drawing>
              <wp:inline distT="0" distB="0" distL="0" distR="0" wp14:anchorId="7557656B" wp14:editId="5A622C6A">
                <wp:extent cx="6039293" cy="1104900"/>
                <wp:effectExtent l="0" t="0" r="19050" b="19050"/>
                <wp:docPr id="230733778" name="Rectangle: Rounded Corners 10"/>
                <wp:cNvGraphicFramePr/>
                <a:graphic xmlns:a="http://schemas.openxmlformats.org/drawingml/2006/main">
                  <a:graphicData uri="http://schemas.microsoft.com/office/word/2010/wordprocessingShape">
                    <wps:wsp>
                      <wps:cNvSpPr/>
                      <wps:spPr>
                        <a:xfrm>
                          <a:off x="0" y="0"/>
                          <a:ext cx="6039293" cy="1104900"/>
                        </a:xfrm>
                        <a:prstGeom prst="roundRect">
                          <a:avLst/>
                        </a:prstGeom>
                        <a:solidFill>
                          <a:srgbClr val="B5D8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02908779" w14:textId="77777777" w:rsidR="00767B75" w:rsidRPr="00782B95" w:rsidRDefault="00767B75">
                            <w:pPr>
                              <w:rPr>
                                <w:rFonts w:eastAsiaTheme="minorEastAsia"/>
                                <w:b/>
                                <w:bCs/>
                                <w:color w:val="221F20"/>
                              </w:rPr>
                            </w:pPr>
                            <w:r w:rsidRPr="00782B95">
                              <w:rPr>
                                <w:rFonts w:eastAsiaTheme="minorEastAsia"/>
                                <w:b/>
                                <w:bCs/>
                                <w:color w:val="221F20"/>
                              </w:rPr>
                              <w:t>Our networks are more interconnected</w:t>
                            </w:r>
                          </w:p>
                          <w:p w14:paraId="7DA9E2C1"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31F20" w:themeColor="text1"/>
                                <w:szCs w:val="20"/>
                              </w:rPr>
                              <w:t xml:space="preserve">Our customers expect high levels of service from our physical and digital connections. </w:t>
                            </w:r>
                          </w:p>
                          <w:p w14:paraId="796CEFFC"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31F20" w:themeColor="text1"/>
                                <w:szCs w:val="20"/>
                              </w:rPr>
                              <w:t xml:space="preserve">We are reinvigorating collaborative long-term planning and technology systems to share information to help make long-term decisions. </w:t>
                            </w:r>
                          </w:p>
                          <w:p w14:paraId="633FA0A3" w14:textId="77777777" w:rsidR="00767B75" w:rsidRDefault="00767B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57656B" id="_x0000_s1031" style="width:475.55pt;height:8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" fillcolor="#b5d8ff" strokecolor="#000914 [484]" strokeweight="2pt">
                <v:textbox>
                  <w:txbxContent>
                    <w:p w14:paraId="02908779" w14:textId="77777777" w:rsidR="00767B75" w:rsidRPr="00782B95" w:rsidRDefault="00767B75">
                      <w:pPr>
                        <w:rPr>
                          <w:rFonts w:eastAsiaTheme="minorEastAsia"/>
                          <w:b/>
                          <w:bCs/>
                          <w:color w:val="221F20"/>
                        </w:rPr>
                      </w:pPr>
                      <w:r w:rsidRPr="00782B95">
                        <w:rPr>
                          <w:rFonts w:eastAsiaTheme="minorEastAsia"/>
                          <w:b/>
                          <w:bCs/>
                          <w:color w:val="221F20"/>
                        </w:rPr>
                        <w:t>Our networks are more interconnected</w:t>
                      </w:r>
                    </w:p>
                    <w:p w14:paraId="7DA9E2C1"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31F20" w:themeColor="text1"/>
                          <w:szCs w:val="20"/>
                        </w:rPr>
                        <w:t xml:space="preserve">Our customers expect high levels of service from our physical and digital connections. </w:t>
                      </w:r>
                    </w:p>
                    <w:p w14:paraId="796CEFFC" w14:textId="77777777" w:rsidR="00767B75" w:rsidRPr="00782B95" w:rsidRDefault="00767B75">
                      <w:pPr>
                        <w:pStyle w:val="ListParagraph"/>
                        <w:numPr>
                          <w:ilvl w:val="0"/>
                          <w:numId w:val="11"/>
                        </w:numPr>
                        <w:spacing w:line="259" w:lineRule="auto"/>
                        <w:ind w:left="284" w:hanging="284"/>
                        <w:rPr>
                          <w:rFonts w:eastAsiaTheme="minorEastAsia"/>
                          <w:color w:val="231F20" w:themeColor="text1"/>
                          <w:szCs w:val="20"/>
                        </w:rPr>
                      </w:pPr>
                      <w:r w:rsidRPr="00782B95">
                        <w:rPr>
                          <w:rFonts w:eastAsiaTheme="minorEastAsia"/>
                          <w:color w:val="231F20" w:themeColor="text1"/>
                          <w:szCs w:val="20"/>
                        </w:rPr>
                        <w:t xml:space="preserve">We are reinvigorating collaborative long-term planning and technology systems to share information to help make long-term decisions. </w:t>
                      </w:r>
                    </w:p>
                    <w:p w14:paraId="633FA0A3" w14:textId="77777777" w:rsidR="00767B75" w:rsidRDefault="00767B75">
                      <w:pPr>
                        <w:jc w:val="center"/>
                      </w:pPr>
                    </w:p>
                  </w:txbxContent>
                </v:textbox>
                <w10:anchorlock/>
              </v:roundrect>
            </w:pict>
          </mc:Fallback>
        </mc:AlternateContent>
      </w:r>
    </w:p>
    <w:p w14:paraId="36EC7258" w14:textId="77777777" w:rsidR="00767B75" w:rsidRPr="00DE108C" w:rsidRDefault="00767B75" w:rsidP="004F31B0">
      <w:pPr>
        <w:rPr>
          <w:rFonts w:eastAsiaTheme="minorEastAsia"/>
        </w:rPr>
      </w:pPr>
    </w:p>
    <w:p w14:paraId="4F2A2003" w14:textId="74251A2A" w:rsidR="00767B75" w:rsidRPr="00DE108C" w:rsidRDefault="005F255C">
      <w:pPr>
        <w:rPr>
          <w:b/>
          <w:bCs/>
        </w:rPr>
      </w:pPr>
      <w:r w:rsidRPr="00DE108C">
        <w:rPr>
          <w:rFonts w:eastAsiaTheme="minorEastAsia" w:cstheme="majorBidi"/>
          <w:b/>
          <w:bCs/>
          <w:noProof/>
          <w:sz w:val="28"/>
          <w:szCs w:val="28"/>
        </w:rPr>
        <w:lastRenderedPageBreak/>
        <mc:AlternateContent>
          <mc:Choice Requires="wpg">
            <w:drawing>
              <wp:anchor distT="0" distB="0" distL="114300" distR="114300" simplePos="0" relativeHeight="251658242" behindDoc="0" locked="0" layoutInCell="1" allowOverlap="1" wp14:anchorId="421F0AE5" wp14:editId="30F7DB14">
                <wp:simplePos x="0" y="0"/>
                <wp:positionH relativeFrom="margin">
                  <wp:posOffset>-215265</wp:posOffset>
                </wp:positionH>
                <wp:positionV relativeFrom="paragraph">
                  <wp:posOffset>414655</wp:posOffset>
                </wp:positionV>
                <wp:extent cx="6233160" cy="4114800"/>
                <wp:effectExtent l="0" t="0" r="15240" b="19050"/>
                <wp:wrapTopAndBottom/>
                <wp:docPr id="1891347427" name="Group 1" descr="Common priorities&#10;Clean, safe and reliable services - top priority for all groups&#10;Waterway health - important to community, including as part of Caring for Country&#10;Manage flooding and drainage - vital as it has large community impacts&#10;Equity - want to provide hardship support to customers that need it&#10;Collaborative and transparent - strong desire for collaborative service delivery, and transparency on performance and spending&#10;&#10;Partner and stakeholder priorities &#10;Traditional Owners - strengthening collaboration is key &#10;Water corporations - key concerns are infrastructure delivery and service reliability, Guaranteed Service Levels (GSL), collaborative planning, and a greater demand risk sharing via variable tariffs&#10;Community support - support hardship programs, but provide transparency of bill impacts for all customers&#10;Developers - seeking improved and more transparent services&#10;Diverters - support compliance and enforcement activities&#10;Environmental groups - vegetation for the environment should be a highest priority&#10;"/>
                <wp:cNvGraphicFramePr/>
                <a:graphic xmlns:a="http://schemas.openxmlformats.org/drawingml/2006/main">
                  <a:graphicData uri="http://schemas.microsoft.com/office/word/2010/wordprocessingGroup">
                    <wpg:wgp>
                      <wpg:cNvGrpSpPr/>
                      <wpg:grpSpPr>
                        <a:xfrm>
                          <a:off x="0" y="0"/>
                          <a:ext cx="6233160" cy="4114800"/>
                          <a:chOff x="0" y="25940"/>
                          <a:chExt cx="5808542" cy="4116782"/>
                        </a:xfrm>
                      </wpg:grpSpPr>
                      <wps:wsp>
                        <wps:cNvPr id="690322200" name="Rectangle: Rounded Corners 690322200"/>
                        <wps:cNvSpPr/>
                        <wps:spPr>
                          <a:xfrm>
                            <a:off x="2470826" y="45726"/>
                            <a:ext cx="3337716" cy="4096996"/>
                          </a:xfrm>
                          <a:prstGeom prst="roundRect">
                            <a:avLst>
                              <a:gd name="adj" fmla="val 10209"/>
                            </a:avLst>
                          </a:prstGeom>
                          <a:solidFill>
                            <a:schemeClr val="accent1">
                              <a:lumMod val="20000"/>
                              <a:lumOff val="80000"/>
                            </a:schemeClr>
                          </a:solidFill>
                          <a:ln/>
                        </wps:spPr>
                        <wps:style>
                          <a:lnRef idx="2">
                            <a:schemeClr val="accent1">
                              <a:shade val="15000"/>
                            </a:schemeClr>
                          </a:lnRef>
                          <a:fillRef idx="1">
                            <a:schemeClr val="accent1"/>
                          </a:fillRef>
                          <a:effectRef idx="0">
                            <a:scrgbClr r="0" g="0" b="0"/>
                          </a:effectRef>
                          <a:fontRef idx="minor">
                            <a:schemeClr val="lt1"/>
                          </a:fontRef>
                        </wps:style>
                        <wps:txbx>
                          <w:txbxContent>
                            <w:p w14:paraId="4A9F2310" w14:textId="57AAC26A" w:rsidR="00767B75" w:rsidRPr="005F255C" w:rsidRDefault="00767B75">
                              <w:pPr>
                                <w:spacing w:after="60" w:line="276" w:lineRule="auto"/>
                                <w:rPr>
                                  <w:rFonts w:eastAsia="Aptos" w:hAnsi="Aptos" w:cs="Aptos"/>
                                  <w:b/>
                                  <w:bCs/>
                                  <w:color w:val="000000"/>
                                  <w:sz w:val="22"/>
                                  <w:szCs w:val="28"/>
                                  <w:lang w:val="en-US"/>
                                </w:rPr>
                              </w:pPr>
                              <w:r w:rsidRPr="005F255C">
                                <w:rPr>
                                  <w:rFonts w:eastAsia="Aptos" w:hAnsi="Aptos" w:cs="Aptos"/>
                                  <w:b/>
                                  <w:bCs/>
                                  <w:color w:val="000000"/>
                                  <w:sz w:val="22"/>
                                  <w:szCs w:val="28"/>
                                  <w:lang w:val="en-US"/>
                                </w:rPr>
                                <w:t xml:space="preserve">Partner and stakeholder priorities </w:t>
                              </w:r>
                            </w:p>
                            <w:p w14:paraId="5610F201" w14:textId="77777777" w:rsidR="00767B75" w:rsidRPr="005F255C" w:rsidRDefault="00767B75">
                              <w:pPr>
                                <w:spacing w:line="276" w:lineRule="auto"/>
                                <w:rPr>
                                  <w:rFonts w:eastAsia="Aptos" w:hAnsi="Aptos" w:cs="Aptos"/>
                                  <w:b/>
                                  <w:bCs/>
                                  <w:color w:val="000000"/>
                                  <w:szCs w:val="20"/>
                                  <w:lang w:val="en-US"/>
                                </w:rPr>
                              </w:pPr>
                              <w:r w:rsidRPr="005F255C">
                                <w:rPr>
                                  <w:rFonts w:eastAsia="Aptos" w:hAnsi="Aptos" w:cs="Aptos"/>
                                  <w:b/>
                                  <w:bCs/>
                                  <w:color w:val="000000"/>
                                  <w:szCs w:val="20"/>
                                  <w:lang w:val="en-US"/>
                                </w:rPr>
                                <w:t xml:space="preserve">Traditional Owners </w:t>
                              </w:r>
                              <w:r w:rsidRPr="005F255C">
                                <w:rPr>
                                  <w:rFonts w:eastAsia="Aptos" w:hAnsi="Aptos" w:cs="Aptos"/>
                                  <w:color w:val="000000"/>
                                  <w:szCs w:val="20"/>
                                  <w:lang w:val="en-US"/>
                                </w:rPr>
                                <w:t xml:space="preserve">- strengthening collaboration is key </w:t>
                              </w:r>
                            </w:p>
                            <w:p w14:paraId="6320FE5B" w14:textId="58DC7364" w:rsidR="00767B75" w:rsidRPr="005F255C" w:rsidRDefault="00767B75">
                              <w:pPr>
                                <w:spacing w:line="276" w:lineRule="auto"/>
                                <w:rPr>
                                  <w:rFonts w:eastAsia="Aptos" w:hAnsi="Aptos" w:cs="Aptos"/>
                                  <w:b/>
                                  <w:bCs/>
                                  <w:color w:val="000000"/>
                                  <w:szCs w:val="20"/>
                                  <w:lang w:val="en-US"/>
                                </w:rPr>
                              </w:pPr>
                              <w:r w:rsidRPr="005F255C">
                                <w:rPr>
                                  <w:rFonts w:eastAsia="Aptos" w:hAnsi="Aptos" w:cs="Aptos"/>
                                  <w:b/>
                                  <w:bCs/>
                                  <w:color w:val="000000"/>
                                  <w:szCs w:val="20"/>
                                  <w:lang w:val="en-US"/>
                                </w:rPr>
                                <w:t>Water corporations</w:t>
                              </w:r>
                              <w:r w:rsidRPr="005F255C">
                                <w:rPr>
                                  <w:rFonts w:eastAsia="Aptos" w:hAnsi="Aptos" w:cs="Aptos"/>
                                  <w:color w:val="000000"/>
                                  <w:szCs w:val="20"/>
                                  <w:lang w:val="en-US"/>
                                </w:rPr>
                                <w:t xml:space="preserve"> - key concerns are infrastructure delivery and service reliability, Guaranteed Service Levels (GSL), collaborative planning, and a greater demand risk sharing via variable tariffs</w:t>
                              </w:r>
                            </w:p>
                            <w:p w14:paraId="03CADBC7" w14:textId="77777777" w:rsidR="00767B75" w:rsidRPr="005F255C" w:rsidRDefault="00767B75">
                              <w:pPr>
                                <w:spacing w:line="276" w:lineRule="auto"/>
                                <w:rPr>
                                  <w:rFonts w:eastAsia="Aptos" w:hAnsi="Aptos" w:cs="Aptos"/>
                                  <w:color w:val="000000"/>
                                  <w:szCs w:val="20"/>
                                  <w:lang w:val="en-US"/>
                                </w:rPr>
                              </w:pPr>
                              <w:r w:rsidRPr="005F255C">
                                <w:rPr>
                                  <w:rFonts w:eastAsia="Aptos" w:hAnsi="Aptos" w:cs="Aptos"/>
                                  <w:b/>
                                  <w:bCs/>
                                  <w:color w:val="000000"/>
                                  <w:szCs w:val="20"/>
                                  <w:lang w:val="en-US"/>
                                </w:rPr>
                                <w:t xml:space="preserve">Community support - </w:t>
                              </w:r>
                              <w:r w:rsidRPr="005F255C">
                                <w:rPr>
                                  <w:rFonts w:eastAsia="Aptos" w:hAnsi="Aptos" w:cs="Aptos"/>
                                  <w:color w:val="000000"/>
                                  <w:szCs w:val="20"/>
                                  <w:lang w:val="en-US"/>
                                </w:rPr>
                                <w:t>support hardship programs, but provide transparency of bill impacts for all customers</w:t>
                              </w:r>
                            </w:p>
                            <w:p w14:paraId="185E184B" w14:textId="77777777" w:rsidR="00767B75" w:rsidRPr="005F255C" w:rsidRDefault="00767B75">
                              <w:pPr>
                                <w:spacing w:line="276" w:lineRule="auto"/>
                                <w:rPr>
                                  <w:rFonts w:eastAsia="Aptos" w:hAnsi="Aptos" w:cs="Aptos"/>
                                  <w:b/>
                                  <w:bCs/>
                                  <w:color w:val="000000"/>
                                  <w:szCs w:val="20"/>
                                  <w:lang w:val="en-US"/>
                                </w:rPr>
                              </w:pPr>
                              <w:r w:rsidRPr="005F255C">
                                <w:rPr>
                                  <w:rFonts w:eastAsia="Aptos" w:hAnsi="Aptos" w:cs="Aptos"/>
                                  <w:b/>
                                  <w:bCs/>
                                  <w:color w:val="000000"/>
                                  <w:szCs w:val="20"/>
                                  <w:lang w:val="en-US"/>
                                </w:rPr>
                                <w:t xml:space="preserve">Developers - </w:t>
                              </w:r>
                              <w:r w:rsidRPr="005F255C">
                                <w:rPr>
                                  <w:rFonts w:eastAsia="Aptos" w:hAnsi="Aptos" w:cs="Aptos"/>
                                  <w:color w:val="000000"/>
                                  <w:szCs w:val="20"/>
                                  <w:lang w:val="en-US"/>
                                </w:rPr>
                                <w:t>seeking improved and more transparent services</w:t>
                              </w:r>
                            </w:p>
                            <w:p w14:paraId="6CD6B528" w14:textId="77777777" w:rsidR="00767B75" w:rsidRPr="005F255C" w:rsidRDefault="00767B75">
                              <w:pPr>
                                <w:spacing w:line="276" w:lineRule="auto"/>
                                <w:rPr>
                                  <w:rFonts w:eastAsia="Aptos" w:hAnsi="Aptos" w:cs="Aptos"/>
                                  <w:color w:val="000000"/>
                                  <w:szCs w:val="20"/>
                                  <w:lang w:val="en-US"/>
                                </w:rPr>
                              </w:pPr>
                              <w:r w:rsidRPr="005F255C">
                                <w:rPr>
                                  <w:rFonts w:eastAsia="Aptos" w:hAnsi="Aptos" w:cs="Aptos"/>
                                  <w:b/>
                                  <w:bCs/>
                                  <w:color w:val="000000"/>
                                  <w:szCs w:val="20"/>
                                  <w:lang w:val="en-US"/>
                                </w:rPr>
                                <w:t xml:space="preserve">Diverters - </w:t>
                              </w:r>
                              <w:r w:rsidRPr="005F255C">
                                <w:rPr>
                                  <w:rFonts w:eastAsia="Aptos" w:hAnsi="Aptos" w:cs="Aptos"/>
                                  <w:color w:val="000000"/>
                                  <w:szCs w:val="20"/>
                                  <w:lang w:val="en-US"/>
                                </w:rPr>
                                <w:t>support compliance and enforcement activities</w:t>
                              </w:r>
                            </w:p>
                            <w:p w14:paraId="03F0BD6A" w14:textId="77777777" w:rsidR="00767B75" w:rsidRPr="005F255C" w:rsidRDefault="00767B75">
                              <w:pPr>
                                <w:spacing w:line="276" w:lineRule="auto"/>
                                <w:rPr>
                                  <w:rFonts w:eastAsia="Aptos" w:hAnsi="Aptos" w:cs="Aptos"/>
                                  <w:b/>
                                  <w:bCs/>
                                  <w:color w:val="000000"/>
                                  <w:szCs w:val="20"/>
                                  <w:lang w:val="en-US"/>
                                </w:rPr>
                              </w:pPr>
                              <w:r w:rsidRPr="005F255C">
                                <w:rPr>
                                  <w:rFonts w:eastAsia="Aptos" w:hAnsi="Aptos" w:cs="Aptos"/>
                                  <w:b/>
                                  <w:bCs/>
                                  <w:color w:val="000000"/>
                                  <w:szCs w:val="20"/>
                                  <w:lang w:val="en-US"/>
                                </w:rPr>
                                <w:t xml:space="preserve">Environmental groups - </w:t>
                              </w:r>
                              <w:r w:rsidRPr="005F255C">
                                <w:rPr>
                                  <w:rFonts w:eastAsia="Aptos" w:hAnsi="Aptos" w:cs="Aptos"/>
                                  <w:color w:val="000000"/>
                                  <w:szCs w:val="20"/>
                                  <w:lang w:val="en-US"/>
                                </w:rPr>
                                <w:t>vegetation for the environment should be a highest priority</w:t>
                              </w:r>
                            </w:p>
                            <w:p w14:paraId="459F44FA" w14:textId="77777777" w:rsidR="00767B75" w:rsidRPr="005F255C" w:rsidRDefault="00767B75">
                              <w:pPr>
                                <w:spacing w:line="276" w:lineRule="auto"/>
                                <w:rPr>
                                  <w:rFonts w:eastAsia="Aptos" w:hAnsi="Aptos" w:cs="Aptos"/>
                                  <w:color w:val="FFFFFF" w:themeColor="light1"/>
                                  <w:szCs w:val="20"/>
                                  <w:lang w:val="en-US"/>
                                </w:rPr>
                              </w:pPr>
                              <w:r w:rsidRPr="005F255C">
                                <w:rPr>
                                  <w:rFonts w:eastAsia="Aptos" w:hAnsi="Aptos" w:cs="Aptos"/>
                                  <w:color w:val="FFFFFF" w:themeColor="light1"/>
                                  <w:szCs w:val="20"/>
                                  <w:lang w:val="en-US"/>
                                </w:rPr>
                                <w:t> </w:t>
                              </w:r>
                            </w:p>
                          </w:txbxContent>
                        </wps:txbx>
                        <wps:bodyPr spcFirstLastPara="0" wrap="square" lIns="91440" tIns="45720" rIns="91440" bIns="45720" anchor="t">
                          <a:noAutofit/>
                        </wps:bodyPr>
                      </wps:wsp>
                      <wps:wsp>
                        <wps:cNvPr id="1823062748" name="Rectangle: Rounded Corners 1823062748"/>
                        <wps:cNvSpPr/>
                        <wps:spPr>
                          <a:xfrm>
                            <a:off x="0" y="25940"/>
                            <a:ext cx="2381250" cy="4088193"/>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6223FC" w14:textId="77777777" w:rsidR="00767B75" w:rsidRPr="005F255C" w:rsidRDefault="00767B75">
                              <w:pPr>
                                <w:spacing w:after="60"/>
                                <w:rPr>
                                  <w:b/>
                                  <w:bCs/>
                                  <w:sz w:val="22"/>
                                  <w:szCs w:val="28"/>
                                </w:rPr>
                              </w:pPr>
                              <w:r w:rsidRPr="005F255C">
                                <w:rPr>
                                  <w:b/>
                                  <w:bCs/>
                                  <w:sz w:val="22"/>
                                  <w:szCs w:val="28"/>
                                </w:rPr>
                                <w:t>Common priorities</w:t>
                              </w:r>
                            </w:p>
                            <w:p w14:paraId="5D0B66BE" w14:textId="77777777" w:rsidR="00767B75" w:rsidRPr="005F255C" w:rsidRDefault="00767B75">
                              <w:pPr>
                                <w:rPr>
                                  <w:szCs w:val="20"/>
                                </w:rPr>
                              </w:pPr>
                              <w:r w:rsidRPr="005F255C">
                                <w:rPr>
                                  <w:b/>
                                  <w:bCs/>
                                  <w:szCs w:val="20"/>
                                </w:rPr>
                                <w:t>Clean, safe and reliable</w:t>
                              </w:r>
                              <w:r w:rsidRPr="005F255C">
                                <w:rPr>
                                  <w:szCs w:val="20"/>
                                </w:rPr>
                                <w:t xml:space="preserve"> </w:t>
                              </w:r>
                              <w:r w:rsidRPr="005F255C">
                                <w:rPr>
                                  <w:b/>
                                  <w:bCs/>
                                  <w:szCs w:val="20"/>
                                </w:rPr>
                                <w:t>services</w:t>
                              </w:r>
                              <w:r w:rsidRPr="005F255C">
                                <w:rPr>
                                  <w:szCs w:val="20"/>
                                </w:rPr>
                                <w:t xml:space="preserve"> - top priority for all groups</w:t>
                              </w:r>
                            </w:p>
                            <w:p w14:paraId="19716BF4" w14:textId="77777777" w:rsidR="00767B75" w:rsidRPr="005F255C" w:rsidRDefault="00767B75">
                              <w:pPr>
                                <w:rPr>
                                  <w:szCs w:val="20"/>
                                </w:rPr>
                              </w:pPr>
                              <w:r w:rsidRPr="005F255C">
                                <w:rPr>
                                  <w:b/>
                                  <w:bCs/>
                                  <w:szCs w:val="20"/>
                                </w:rPr>
                                <w:t xml:space="preserve">Waterway health </w:t>
                              </w:r>
                              <w:r w:rsidRPr="005F255C">
                                <w:rPr>
                                  <w:szCs w:val="20"/>
                                </w:rPr>
                                <w:t>-</w:t>
                              </w:r>
                              <w:r w:rsidRPr="005F255C">
                                <w:rPr>
                                  <w:b/>
                                  <w:bCs/>
                                  <w:szCs w:val="20"/>
                                </w:rPr>
                                <w:t xml:space="preserve"> </w:t>
                              </w:r>
                              <w:r w:rsidRPr="005F255C">
                                <w:rPr>
                                  <w:szCs w:val="20"/>
                                </w:rPr>
                                <w:t>important to community, including as part of Caring for Country</w:t>
                              </w:r>
                            </w:p>
                            <w:p w14:paraId="2F473CD1" w14:textId="77777777" w:rsidR="00767B75" w:rsidRPr="005F255C" w:rsidRDefault="00767B75">
                              <w:pPr>
                                <w:rPr>
                                  <w:szCs w:val="20"/>
                                </w:rPr>
                              </w:pPr>
                              <w:r w:rsidRPr="005F255C">
                                <w:rPr>
                                  <w:b/>
                                  <w:bCs/>
                                  <w:szCs w:val="20"/>
                                </w:rPr>
                                <w:t xml:space="preserve">Manage flooding and drainage </w:t>
                              </w:r>
                              <w:r w:rsidRPr="005F255C">
                                <w:rPr>
                                  <w:szCs w:val="20"/>
                                </w:rPr>
                                <w:t>- vital as it has large community impacts</w:t>
                              </w:r>
                            </w:p>
                            <w:p w14:paraId="5AF4FB36" w14:textId="36D68F50" w:rsidR="00767B75" w:rsidRPr="005F255C" w:rsidRDefault="00767B75">
                              <w:pPr>
                                <w:rPr>
                                  <w:szCs w:val="20"/>
                                </w:rPr>
                              </w:pPr>
                              <w:r w:rsidRPr="005F255C">
                                <w:rPr>
                                  <w:b/>
                                  <w:bCs/>
                                  <w:szCs w:val="20"/>
                                </w:rPr>
                                <w:t>Equity</w:t>
                              </w:r>
                              <w:r w:rsidRPr="005F255C">
                                <w:rPr>
                                  <w:szCs w:val="20"/>
                                </w:rPr>
                                <w:t xml:space="preserve"> </w:t>
                              </w:r>
                              <w:r w:rsidR="008D7F6D">
                                <w:rPr>
                                  <w:szCs w:val="20"/>
                                </w:rPr>
                                <w:t>–</w:t>
                              </w:r>
                              <w:r w:rsidRPr="005F255C">
                                <w:rPr>
                                  <w:szCs w:val="20"/>
                                </w:rPr>
                                <w:t xml:space="preserve"> provide hardship support to customers that need it</w:t>
                              </w:r>
                            </w:p>
                            <w:p w14:paraId="035625EE" w14:textId="77777777" w:rsidR="00767B75" w:rsidRPr="005F255C" w:rsidRDefault="00767B75">
                              <w:pPr>
                                <w:rPr>
                                  <w:sz w:val="18"/>
                                  <w:szCs w:val="18"/>
                                </w:rPr>
                              </w:pPr>
                              <w:r w:rsidRPr="005F255C">
                                <w:rPr>
                                  <w:b/>
                                  <w:bCs/>
                                  <w:szCs w:val="20"/>
                                </w:rPr>
                                <w:t xml:space="preserve">Collaborative and transparent </w:t>
                              </w:r>
                              <w:r w:rsidRPr="005F255C">
                                <w:rPr>
                                  <w:szCs w:val="20"/>
                                </w:rPr>
                                <w:t>- strong desire for collaborative service delivery, and transparency on performance and spending</w:t>
                              </w:r>
                            </w:p>
                            <w:p w14:paraId="1AF9D0BD" w14:textId="77777777" w:rsidR="00767B75" w:rsidRPr="005F255C" w:rsidRDefault="00767B75">
                              <w:pPr>
                                <w:jc w:val="cente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1F0AE5" id="Group 1" o:spid="_x0000_s1032" alt="Common priorities&#10;Clean, safe and reliable services - top priority for all groups&#10;Waterway health - important to community, including as part of Caring for Country&#10;Manage flooding and drainage - vital as it has large community impacts&#10;Equity - want to provide hardship support to customers that need it&#10;Collaborative and transparent - strong desire for collaborative service delivery, and transparency on performance and spending&#10;&#10;Partner and stakeholder priorities &#10;Traditional Owners - strengthening collaboration is key &#10;Water corporations - key concerns are infrastructure delivery and service reliability, Guaranteed Service Levels (GSL), collaborative planning, and a greater demand risk sharing via variable tariffs&#10;Community support - support hardship programs, but provide transparency of bill impacts for all customers&#10;Developers - seeking improved and more transparent services&#10;Diverters - support compliance and enforcement activities&#10;Environmental groups - vegetation for the environment should be a highest priority&#10;" style="position:absolute;margin-left:-16.95pt;margin-top:32.65pt;width:490.8pt;height:324pt;z-index:251658242;mso-position-horizontal-relative:margin;mso-position-vertical-relative:text;mso-width-relative:margin;mso-height-relative:margin" coordorigin=",259" coordsize="58085,4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">
                <v:roundrect id="Rectangle: Rounded Corners 690322200" o:spid="_x0000_s1033" style="position:absolute;left:24708;top:457;width:33377;height:40970;visibility:visible;mso-wrap-style:square;v-text-anchor:top" arcsize="66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" fillcolor="#b4d7ff [660]" strokecolor="#000914 [484]" strokeweight="2pt">
                  <v:textbox>
                    <w:txbxContent>
                      <w:p w14:paraId="4A9F2310" w14:textId="57AAC26A" w:rsidR="00767B75" w:rsidRPr="005F255C" w:rsidRDefault="00767B75">
                        <w:pPr>
                          <w:spacing w:after="60" w:line="276" w:lineRule="auto"/>
                          <w:rPr>
                            <w:rFonts w:eastAsia="Aptos" w:hAnsi="Aptos" w:cs="Aptos"/>
                            <w:b/>
                            <w:bCs/>
                            <w:color w:val="000000"/>
                            <w:sz w:val="22"/>
                            <w:szCs w:val="28"/>
                            <w:lang w:val="en-US"/>
                          </w:rPr>
                        </w:pPr>
                        <w:r w:rsidRPr="005F255C">
                          <w:rPr>
                            <w:rFonts w:eastAsia="Aptos" w:hAnsi="Aptos" w:cs="Aptos"/>
                            <w:b/>
                            <w:bCs/>
                            <w:color w:val="000000"/>
                            <w:sz w:val="22"/>
                            <w:szCs w:val="28"/>
                            <w:lang w:val="en-US"/>
                          </w:rPr>
                          <w:t xml:space="preserve">Partner and stakeholder priorities </w:t>
                        </w:r>
                      </w:p>
                      <w:p w14:paraId="5610F201" w14:textId="77777777" w:rsidR="00767B75" w:rsidRPr="005F255C" w:rsidRDefault="00767B75">
                        <w:pPr>
                          <w:spacing w:line="276" w:lineRule="auto"/>
                          <w:rPr>
                            <w:rFonts w:eastAsia="Aptos" w:hAnsi="Aptos" w:cs="Aptos"/>
                            <w:b/>
                            <w:bCs/>
                            <w:color w:val="000000"/>
                            <w:szCs w:val="20"/>
                            <w:lang w:val="en-US"/>
                          </w:rPr>
                        </w:pPr>
                        <w:r w:rsidRPr="005F255C">
                          <w:rPr>
                            <w:rFonts w:eastAsia="Aptos" w:hAnsi="Aptos" w:cs="Aptos"/>
                            <w:b/>
                            <w:bCs/>
                            <w:color w:val="000000"/>
                            <w:szCs w:val="20"/>
                            <w:lang w:val="en-US"/>
                          </w:rPr>
                          <w:t xml:space="preserve">Traditional Owners </w:t>
                        </w:r>
                        <w:r w:rsidRPr="005F255C">
                          <w:rPr>
                            <w:rFonts w:eastAsia="Aptos" w:hAnsi="Aptos" w:cs="Aptos"/>
                            <w:color w:val="000000"/>
                            <w:szCs w:val="20"/>
                            <w:lang w:val="en-US"/>
                          </w:rPr>
                          <w:t xml:space="preserve">- strengthening collaboration is key </w:t>
                        </w:r>
                      </w:p>
                      <w:p w14:paraId="6320FE5B" w14:textId="58DC7364" w:rsidR="00767B75" w:rsidRPr="005F255C" w:rsidRDefault="00767B75">
                        <w:pPr>
                          <w:spacing w:line="276" w:lineRule="auto"/>
                          <w:rPr>
                            <w:rFonts w:eastAsia="Aptos" w:hAnsi="Aptos" w:cs="Aptos"/>
                            <w:b/>
                            <w:bCs/>
                            <w:color w:val="000000"/>
                            <w:szCs w:val="20"/>
                            <w:lang w:val="en-US"/>
                          </w:rPr>
                        </w:pPr>
                        <w:r w:rsidRPr="005F255C">
                          <w:rPr>
                            <w:rFonts w:eastAsia="Aptos" w:hAnsi="Aptos" w:cs="Aptos"/>
                            <w:b/>
                            <w:bCs/>
                            <w:color w:val="000000"/>
                            <w:szCs w:val="20"/>
                            <w:lang w:val="en-US"/>
                          </w:rPr>
                          <w:t>Water corporations</w:t>
                        </w:r>
                        <w:r w:rsidRPr="005F255C">
                          <w:rPr>
                            <w:rFonts w:eastAsia="Aptos" w:hAnsi="Aptos" w:cs="Aptos"/>
                            <w:color w:val="000000"/>
                            <w:szCs w:val="20"/>
                            <w:lang w:val="en-US"/>
                          </w:rPr>
                          <w:t xml:space="preserve"> - key concerns are infrastructure delivery and service reliability, Guaranteed Service Levels (GSL), collaborative planning, and a greater demand risk sharing via variable tariffs</w:t>
                        </w:r>
                      </w:p>
                      <w:p w14:paraId="03CADBC7" w14:textId="77777777" w:rsidR="00767B75" w:rsidRPr="005F255C" w:rsidRDefault="00767B75">
                        <w:pPr>
                          <w:spacing w:line="276" w:lineRule="auto"/>
                          <w:rPr>
                            <w:rFonts w:eastAsia="Aptos" w:hAnsi="Aptos" w:cs="Aptos"/>
                            <w:color w:val="000000"/>
                            <w:szCs w:val="20"/>
                            <w:lang w:val="en-US"/>
                          </w:rPr>
                        </w:pPr>
                        <w:r w:rsidRPr="005F255C">
                          <w:rPr>
                            <w:rFonts w:eastAsia="Aptos" w:hAnsi="Aptos" w:cs="Aptos"/>
                            <w:b/>
                            <w:bCs/>
                            <w:color w:val="000000"/>
                            <w:szCs w:val="20"/>
                            <w:lang w:val="en-US"/>
                          </w:rPr>
                          <w:t xml:space="preserve">Community support - </w:t>
                        </w:r>
                        <w:r w:rsidRPr="005F255C">
                          <w:rPr>
                            <w:rFonts w:eastAsia="Aptos" w:hAnsi="Aptos" w:cs="Aptos"/>
                            <w:color w:val="000000"/>
                            <w:szCs w:val="20"/>
                            <w:lang w:val="en-US"/>
                          </w:rPr>
                          <w:t>support hardship programs, but provide transparency of bill impacts for all customers</w:t>
                        </w:r>
                      </w:p>
                      <w:p w14:paraId="185E184B" w14:textId="77777777" w:rsidR="00767B75" w:rsidRPr="005F255C" w:rsidRDefault="00767B75">
                        <w:pPr>
                          <w:spacing w:line="276" w:lineRule="auto"/>
                          <w:rPr>
                            <w:rFonts w:eastAsia="Aptos" w:hAnsi="Aptos" w:cs="Aptos"/>
                            <w:b/>
                            <w:bCs/>
                            <w:color w:val="000000"/>
                            <w:szCs w:val="20"/>
                            <w:lang w:val="en-US"/>
                          </w:rPr>
                        </w:pPr>
                        <w:r w:rsidRPr="005F255C">
                          <w:rPr>
                            <w:rFonts w:eastAsia="Aptos" w:hAnsi="Aptos" w:cs="Aptos"/>
                            <w:b/>
                            <w:bCs/>
                            <w:color w:val="000000"/>
                            <w:szCs w:val="20"/>
                            <w:lang w:val="en-US"/>
                          </w:rPr>
                          <w:t xml:space="preserve">Developers - </w:t>
                        </w:r>
                        <w:r w:rsidRPr="005F255C">
                          <w:rPr>
                            <w:rFonts w:eastAsia="Aptos" w:hAnsi="Aptos" w:cs="Aptos"/>
                            <w:color w:val="000000"/>
                            <w:szCs w:val="20"/>
                            <w:lang w:val="en-US"/>
                          </w:rPr>
                          <w:t>seeking improved and more transparent services</w:t>
                        </w:r>
                      </w:p>
                      <w:p w14:paraId="6CD6B528" w14:textId="77777777" w:rsidR="00767B75" w:rsidRPr="005F255C" w:rsidRDefault="00767B75">
                        <w:pPr>
                          <w:spacing w:line="276" w:lineRule="auto"/>
                          <w:rPr>
                            <w:rFonts w:eastAsia="Aptos" w:hAnsi="Aptos" w:cs="Aptos"/>
                            <w:color w:val="000000"/>
                            <w:szCs w:val="20"/>
                            <w:lang w:val="en-US"/>
                          </w:rPr>
                        </w:pPr>
                        <w:r w:rsidRPr="005F255C">
                          <w:rPr>
                            <w:rFonts w:eastAsia="Aptos" w:hAnsi="Aptos" w:cs="Aptos"/>
                            <w:b/>
                            <w:bCs/>
                            <w:color w:val="000000"/>
                            <w:szCs w:val="20"/>
                            <w:lang w:val="en-US"/>
                          </w:rPr>
                          <w:t xml:space="preserve">Diverters - </w:t>
                        </w:r>
                        <w:r w:rsidRPr="005F255C">
                          <w:rPr>
                            <w:rFonts w:eastAsia="Aptos" w:hAnsi="Aptos" w:cs="Aptos"/>
                            <w:color w:val="000000"/>
                            <w:szCs w:val="20"/>
                            <w:lang w:val="en-US"/>
                          </w:rPr>
                          <w:t>support compliance and enforcement activities</w:t>
                        </w:r>
                      </w:p>
                      <w:p w14:paraId="03F0BD6A" w14:textId="77777777" w:rsidR="00767B75" w:rsidRPr="005F255C" w:rsidRDefault="00767B75">
                        <w:pPr>
                          <w:spacing w:line="276" w:lineRule="auto"/>
                          <w:rPr>
                            <w:rFonts w:eastAsia="Aptos" w:hAnsi="Aptos" w:cs="Aptos"/>
                            <w:b/>
                            <w:bCs/>
                            <w:color w:val="000000"/>
                            <w:szCs w:val="20"/>
                            <w:lang w:val="en-US"/>
                          </w:rPr>
                        </w:pPr>
                        <w:r w:rsidRPr="005F255C">
                          <w:rPr>
                            <w:rFonts w:eastAsia="Aptos" w:hAnsi="Aptos" w:cs="Aptos"/>
                            <w:b/>
                            <w:bCs/>
                            <w:color w:val="000000"/>
                            <w:szCs w:val="20"/>
                            <w:lang w:val="en-US"/>
                          </w:rPr>
                          <w:t xml:space="preserve">Environmental groups - </w:t>
                        </w:r>
                        <w:r w:rsidRPr="005F255C">
                          <w:rPr>
                            <w:rFonts w:eastAsia="Aptos" w:hAnsi="Aptos" w:cs="Aptos"/>
                            <w:color w:val="000000"/>
                            <w:szCs w:val="20"/>
                            <w:lang w:val="en-US"/>
                          </w:rPr>
                          <w:t>vegetation for the environment should be a highest priority</w:t>
                        </w:r>
                      </w:p>
                      <w:p w14:paraId="459F44FA" w14:textId="77777777" w:rsidR="00767B75" w:rsidRPr="005F255C" w:rsidRDefault="00767B75">
                        <w:pPr>
                          <w:spacing w:line="276" w:lineRule="auto"/>
                          <w:rPr>
                            <w:rFonts w:eastAsia="Aptos" w:hAnsi="Aptos" w:cs="Aptos"/>
                            <w:color w:val="FFFFFF" w:themeColor="light1"/>
                            <w:szCs w:val="20"/>
                            <w:lang w:val="en-US"/>
                          </w:rPr>
                        </w:pPr>
                        <w:r w:rsidRPr="005F255C">
                          <w:rPr>
                            <w:rFonts w:eastAsia="Aptos" w:hAnsi="Aptos" w:cs="Aptos"/>
                            <w:color w:val="FFFFFF" w:themeColor="light1"/>
                            <w:szCs w:val="20"/>
                            <w:lang w:val="en-US"/>
                          </w:rPr>
                          <w:t> </w:t>
                        </w:r>
                      </w:p>
                    </w:txbxContent>
                  </v:textbox>
                </v:roundrect>
                <v:roundrect id="Rectangle: Rounded Corners 1823062748" o:spid="_x0000_s1034" style="position:absolute;top:259;width:23812;height:408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" fillcolor="#b4d7ff [660]" strokecolor="#000914 [484]" strokeweight="2pt">
                  <v:textbox>
                    <w:txbxContent>
                      <w:p w14:paraId="716223FC" w14:textId="77777777" w:rsidR="00767B75" w:rsidRPr="005F255C" w:rsidRDefault="00767B75">
                        <w:pPr>
                          <w:spacing w:after="60"/>
                          <w:rPr>
                            <w:b/>
                            <w:bCs/>
                            <w:sz w:val="22"/>
                            <w:szCs w:val="28"/>
                          </w:rPr>
                        </w:pPr>
                        <w:r w:rsidRPr="005F255C">
                          <w:rPr>
                            <w:b/>
                            <w:bCs/>
                            <w:sz w:val="22"/>
                            <w:szCs w:val="28"/>
                          </w:rPr>
                          <w:t>Common priorities</w:t>
                        </w:r>
                      </w:p>
                      <w:p w14:paraId="5D0B66BE" w14:textId="77777777" w:rsidR="00767B75" w:rsidRPr="005F255C" w:rsidRDefault="00767B75">
                        <w:pPr>
                          <w:rPr>
                            <w:szCs w:val="20"/>
                          </w:rPr>
                        </w:pPr>
                        <w:r w:rsidRPr="005F255C">
                          <w:rPr>
                            <w:b/>
                            <w:bCs/>
                            <w:szCs w:val="20"/>
                          </w:rPr>
                          <w:t>Clean, safe and reliable</w:t>
                        </w:r>
                        <w:r w:rsidRPr="005F255C">
                          <w:rPr>
                            <w:szCs w:val="20"/>
                          </w:rPr>
                          <w:t xml:space="preserve"> </w:t>
                        </w:r>
                        <w:r w:rsidRPr="005F255C">
                          <w:rPr>
                            <w:b/>
                            <w:bCs/>
                            <w:szCs w:val="20"/>
                          </w:rPr>
                          <w:t>services</w:t>
                        </w:r>
                        <w:r w:rsidRPr="005F255C">
                          <w:rPr>
                            <w:szCs w:val="20"/>
                          </w:rPr>
                          <w:t xml:space="preserve"> - top priority for all groups</w:t>
                        </w:r>
                      </w:p>
                      <w:p w14:paraId="19716BF4" w14:textId="77777777" w:rsidR="00767B75" w:rsidRPr="005F255C" w:rsidRDefault="00767B75">
                        <w:pPr>
                          <w:rPr>
                            <w:szCs w:val="20"/>
                          </w:rPr>
                        </w:pPr>
                        <w:r w:rsidRPr="005F255C">
                          <w:rPr>
                            <w:b/>
                            <w:bCs/>
                            <w:szCs w:val="20"/>
                          </w:rPr>
                          <w:t xml:space="preserve">Waterway health </w:t>
                        </w:r>
                        <w:r w:rsidRPr="005F255C">
                          <w:rPr>
                            <w:szCs w:val="20"/>
                          </w:rPr>
                          <w:t>-</w:t>
                        </w:r>
                        <w:r w:rsidRPr="005F255C">
                          <w:rPr>
                            <w:b/>
                            <w:bCs/>
                            <w:szCs w:val="20"/>
                          </w:rPr>
                          <w:t xml:space="preserve"> </w:t>
                        </w:r>
                        <w:r w:rsidRPr="005F255C">
                          <w:rPr>
                            <w:szCs w:val="20"/>
                          </w:rPr>
                          <w:t>important to community, including as part of Caring for Country</w:t>
                        </w:r>
                      </w:p>
                      <w:p w14:paraId="2F473CD1" w14:textId="77777777" w:rsidR="00767B75" w:rsidRPr="005F255C" w:rsidRDefault="00767B75">
                        <w:pPr>
                          <w:rPr>
                            <w:szCs w:val="20"/>
                          </w:rPr>
                        </w:pPr>
                        <w:r w:rsidRPr="005F255C">
                          <w:rPr>
                            <w:b/>
                            <w:bCs/>
                            <w:szCs w:val="20"/>
                          </w:rPr>
                          <w:t xml:space="preserve">Manage flooding and drainage </w:t>
                        </w:r>
                        <w:r w:rsidRPr="005F255C">
                          <w:rPr>
                            <w:szCs w:val="20"/>
                          </w:rPr>
                          <w:t>- vital as it has large community impacts</w:t>
                        </w:r>
                      </w:p>
                      <w:p w14:paraId="5AF4FB36" w14:textId="36D68F50" w:rsidR="00767B75" w:rsidRPr="005F255C" w:rsidRDefault="00767B75">
                        <w:pPr>
                          <w:rPr>
                            <w:szCs w:val="20"/>
                          </w:rPr>
                        </w:pPr>
                        <w:r w:rsidRPr="005F255C">
                          <w:rPr>
                            <w:b/>
                            <w:bCs/>
                            <w:szCs w:val="20"/>
                          </w:rPr>
                          <w:t>Equity</w:t>
                        </w:r>
                        <w:r w:rsidRPr="005F255C">
                          <w:rPr>
                            <w:szCs w:val="20"/>
                          </w:rPr>
                          <w:t xml:space="preserve"> </w:t>
                        </w:r>
                        <w:r w:rsidR="008D7F6D">
                          <w:rPr>
                            <w:szCs w:val="20"/>
                          </w:rPr>
                          <w:t>–</w:t>
                        </w:r>
                        <w:r w:rsidRPr="005F255C">
                          <w:rPr>
                            <w:szCs w:val="20"/>
                          </w:rPr>
                          <w:t xml:space="preserve"> provide hardship support to customers that need it</w:t>
                        </w:r>
                      </w:p>
                      <w:p w14:paraId="035625EE" w14:textId="77777777" w:rsidR="00767B75" w:rsidRPr="005F255C" w:rsidRDefault="00767B75">
                        <w:pPr>
                          <w:rPr>
                            <w:sz w:val="18"/>
                            <w:szCs w:val="18"/>
                          </w:rPr>
                        </w:pPr>
                        <w:r w:rsidRPr="005F255C">
                          <w:rPr>
                            <w:b/>
                            <w:bCs/>
                            <w:szCs w:val="20"/>
                          </w:rPr>
                          <w:t xml:space="preserve">Collaborative and transparent </w:t>
                        </w:r>
                        <w:r w:rsidRPr="005F255C">
                          <w:rPr>
                            <w:szCs w:val="20"/>
                          </w:rPr>
                          <w:t>- strong desire for collaborative service delivery, and transparency on performance and spending</w:t>
                        </w:r>
                      </w:p>
                      <w:p w14:paraId="1AF9D0BD" w14:textId="77777777" w:rsidR="00767B75" w:rsidRPr="005F255C" w:rsidRDefault="00767B75">
                        <w:pPr>
                          <w:jc w:val="center"/>
                          <w:rPr>
                            <w:szCs w:val="20"/>
                          </w:rPr>
                        </w:pPr>
                      </w:p>
                    </w:txbxContent>
                  </v:textbox>
                </v:roundrect>
                <w10:wrap type="topAndBottom" anchorx="margin"/>
              </v:group>
            </w:pict>
          </mc:Fallback>
        </mc:AlternateContent>
      </w:r>
      <w:r w:rsidR="00767B75" w:rsidRPr="00DE108C">
        <w:rPr>
          <w:rFonts w:eastAsiaTheme="minorEastAsia"/>
          <w:b/>
          <w:bCs/>
        </w:rPr>
        <w:t>What we heard from our customers and communities</w:t>
      </w:r>
    </w:p>
    <w:p w14:paraId="0A003823" w14:textId="739C6CC6" w:rsidR="00767B75" w:rsidRPr="00DE108C" w:rsidRDefault="00767B75">
      <w:pPr>
        <w:pStyle w:val="Heading3"/>
        <w:rPr>
          <w:rFonts w:eastAsiaTheme="minorEastAsia"/>
        </w:rPr>
      </w:pPr>
      <w:r w:rsidRPr="00DE108C">
        <w:rPr>
          <w:rFonts w:eastAsiaTheme="minorEastAsia"/>
        </w:rPr>
        <w:t>Our engagement results are reflected in simplified Outcomes and clearly linked to our proposed expenditures</w:t>
      </w:r>
    </w:p>
    <w:p w14:paraId="04D6D6DD" w14:textId="6C986B81" w:rsidR="12056DAB" w:rsidRPr="00DE108C" w:rsidRDefault="00767B75" w:rsidP="12056DAB">
      <w:pPr>
        <w:rPr>
          <w:rFonts w:eastAsiaTheme="minorEastAsia"/>
        </w:rPr>
      </w:pPr>
      <w:r w:rsidRPr="00DE108C">
        <w:rPr>
          <w:rFonts w:eastAsiaTheme="minorEastAsia"/>
        </w:rPr>
        <w:t xml:space="preserve">Together with our customers, we developed a set of five simplified customer Outcomes. These reflect the clear message that a continued focus on securing Melbourne Water’s core services is needed, particularly given the challenge of population and demand growth, ageing assets and a changing climate. </w:t>
      </w:r>
    </w:p>
    <w:p w14:paraId="6E637F00" w14:textId="081552E5" w:rsidR="00767B75" w:rsidRPr="00DE108C" w:rsidRDefault="00767B75" w:rsidP="004F31B0">
      <w:pPr>
        <w:rPr>
          <w:rFonts w:eastAsiaTheme="minorEastAsia"/>
        </w:rPr>
      </w:pPr>
      <w:r w:rsidRPr="00DE108C">
        <w:rPr>
          <w:rFonts w:eastAsiaTheme="minorEastAsia"/>
        </w:rPr>
        <w:t xml:space="preserve">Outside of our core services, there was a desire that Melbourne Water become a stronger and more collaborative partner, including with </w:t>
      </w:r>
      <w:r w:rsidR="1B053E3E" w:rsidRPr="00DE108C">
        <w:rPr>
          <w:rFonts w:eastAsiaTheme="minorEastAsia"/>
        </w:rPr>
        <w:t xml:space="preserve">water corporations, </w:t>
      </w:r>
      <w:r w:rsidRPr="00DE108C">
        <w:rPr>
          <w:rFonts w:eastAsiaTheme="minorEastAsia"/>
        </w:rPr>
        <w:t xml:space="preserve">Traditional Owners, and </w:t>
      </w:r>
      <w:r w:rsidR="00D73257">
        <w:rPr>
          <w:rFonts w:eastAsiaTheme="minorEastAsia"/>
        </w:rPr>
        <w:t>community sector organisations</w:t>
      </w:r>
      <w:r w:rsidRPr="00DE108C">
        <w:rPr>
          <w:rFonts w:eastAsiaTheme="minorEastAsia"/>
        </w:rPr>
        <w:t>.</w:t>
      </w:r>
    </w:p>
    <w:p w14:paraId="0A07E91E" w14:textId="4E531491" w:rsidR="00767B75" w:rsidRPr="00DE108C" w:rsidRDefault="00767B75" w:rsidP="005F255C">
      <w:pPr>
        <w:pStyle w:val="Heading4"/>
        <w:rPr>
          <w:rFonts w:eastAsiaTheme="minorEastAsia"/>
        </w:rPr>
      </w:pPr>
      <w:r w:rsidRPr="00DE108C">
        <w:rPr>
          <w:rFonts w:eastAsiaTheme="minorEastAsia"/>
        </w:rPr>
        <w:lastRenderedPageBreak/>
        <w:t>Our simplified Outcomes</w:t>
      </w:r>
    </w:p>
    <w:tbl>
      <w:tblPr>
        <w:tblW w:w="5000" w:type="pct"/>
        <w:tblLook w:val="04A0" w:firstRow="1" w:lastRow="0" w:firstColumn="1" w:lastColumn="0" w:noHBand="0" w:noVBand="1"/>
      </w:tblPr>
      <w:tblGrid>
        <w:gridCol w:w="3216"/>
        <w:gridCol w:w="6422"/>
      </w:tblGrid>
      <w:tr w:rsidR="00767B75" w:rsidRPr="00DE108C" w14:paraId="0FE143C8" w14:textId="77777777" w:rsidTr="00875E0C">
        <w:tc>
          <w:tcPr>
            <w:tcW w:w="1648" w:type="pct"/>
          </w:tcPr>
          <w:p w14:paraId="6C86D187" w14:textId="460029B2" w:rsidR="00767B75" w:rsidRPr="00DE108C" w:rsidRDefault="13FD6974" w:rsidP="00AE6A27">
            <w:pPr>
              <w:keepNext/>
              <w:keepLines/>
            </w:pPr>
            <w:r w:rsidRPr="00DE108C">
              <w:rPr>
                <w:noProof/>
              </w:rPr>
              <w:drawing>
                <wp:inline distT="0" distB="0" distL="0" distR="0" wp14:anchorId="257609E2" wp14:editId="20D6A075">
                  <wp:extent cx="1902944" cy="1072800"/>
                  <wp:effectExtent l="0" t="0" r="2540" b="0"/>
                  <wp:docPr id="1036239357" name="drawing" descr="Outcome 1: Safe and reliable bulk water supplies for now and the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39357" name="drawing" descr="Outcome 1: Safe and reliable bulk water supplies for now and the long term"/>
                          <pic:cNvPicPr/>
                        </pic:nvPicPr>
                        <pic:blipFill>
                          <a:blip r:embed="rId32" cstate="screen">
                            <a:extLst>
                              <a:ext uri="{28A0092B-C50C-407E-A947-70E740481C1C}">
                                <a14:useLocalDpi xmlns:a14="http://schemas.microsoft.com/office/drawing/2010/main"/>
                              </a:ext>
                            </a:extLst>
                          </a:blip>
                          <a:stretch>
                            <a:fillRect/>
                          </a:stretch>
                        </pic:blipFill>
                        <pic:spPr>
                          <a:xfrm>
                            <a:off x="0" y="0"/>
                            <a:ext cx="1902944" cy="1072800"/>
                          </a:xfrm>
                          <a:prstGeom prst="rect">
                            <a:avLst/>
                          </a:prstGeom>
                        </pic:spPr>
                      </pic:pic>
                    </a:graphicData>
                  </a:graphic>
                </wp:inline>
              </w:drawing>
            </w:r>
          </w:p>
        </w:tc>
        <w:tc>
          <w:tcPr>
            <w:tcW w:w="3352" w:type="pct"/>
          </w:tcPr>
          <w:p w14:paraId="0B2119A3" w14:textId="166488F2" w:rsidR="00767B75" w:rsidRPr="00DE108C" w:rsidRDefault="00767B75" w:rsidP="00AE6A27">
            <w:pPr>
              <w:keepNext/>
              <w:keepLines/>
              <w:rPr>
                <w:rStyle w:val="normaltextrun"/>
                <w:color w:val="231F20"/>
                <w:position w:val="2"/>
                <w:szCs w:val="20"/>
                <w:bdr w:val="none" w:sz="0" w:space="0" w:color="auto" w:frame="1"/>
              </w:rPr>
            </w:pPr>
            <w:r w:rsidRPr="00DE108C">
              <w:rPr>
                <w:rStyle w:val="normaltextrun"/>
                <w:color w:val="231F20"/>
                <w:position w:val="2"/>
                <w:szCs w:val="20"/>
                <w:bdr w:val="none" w:sz="0" w:space="0" w:color="auto" w:frame="1"/>
              </w:rPr>
              <w:t>Ensuring</w:t>
            </w:r>
            <w:r w:rsidRPr="00DE108C">
              <w:rPr>
                <w:rStyle w:val="normaltextrun"/>
                <w:b/>
                <w:bCs/>
                <w:color w:val="231F20"/>
                <w:position w:val="2"/>
                <w:szCs w:val="20"/>
                <w:bdr w:val="none" w:sz="0" w:space="0" w:color="auto" w:frame="1"/>
              </w:rPr>
              <w:t xml:space="preserve"> </w:t>
            </w:r>
            <w:r w:rsidRPr="00DE108C">
              <w:rPr>
                <w:rStyle w:val="normaltextrun"/>
                <w:color w:val="231F20"/>
                <w:position w:val="2"/>
                <w:szCs w:val="20"/>
                <w:bdr w:val="none" w:sz="0" w:space="0" w:color="auto" w:frame="1"/>
              </w:rPr>
              <w:t>our</w:t>
            </w:r>
            <w:r w:rsidRPr="00DE108C">
              <w:rPr>
                <w:rStyle w:val="normaltextrun"/>
                <w:b/>
                <w:bCs/>
                <w:color w:val="231F20"/>
                <w:position w:val="2"/>
                <w:szCs w:val="20"/>
                <w:bdr w:val="none" w:sz="0" w:space="0" w:color="auto" w:frame="1"/>
              </w:rPr>
              <w:t xml:space="preserve"> bulk water supply is safe and reliable now and into the future</w:t>
            </w:r>
            <w:r w:rsidRPr="00DE108C">
              <w:rPr>
                <w:rStyle w:val="normaltextrun"/>
                <w:color w:val="231F20"/>
                <w:position w:val="2"/>
                <w:szCs w:val="20"/>
                <w:bdr w:val="none" w:sz="0" w:space="0" w:color="auto" w:frame="1"/>
              </w:rPr>
              <w:t xml:space="preserve"> by providing safe drinking water, reliable service and long-term water security</w:t>
            </w:r>
            <w:r w:rsidR="0094367C">
              <w:rPr>
                <w:rStyle w:val="normaltextrun"/>
                <w:color w:val="231F20"/>
                <w:position w:val="2"/>
                <w:szCs w:val="20"/>
                <w:bdr w:val="none" w:sz="0" w:space="0" w:color="auto" w:frame="1"/>
              </w:rPr>
              <w:t>.</w:t>
            </w:r>
          </w:p>
        </w:tc>
      </w:tr>
      <w:tr w:rsidR="00767B75" w:rsidRPr="00DE108C" w14:paraId="1073762E" w14:textId="77777777" w:rsidTr="00875E0C">
        <w:tc>
          <w:tcPr>
            <w:tcW w:w="1648" w:type="pct"/>
          </w:tcPr>
          <w:p w14:paraId="4FF200A9" w14:textId="3166AC91" w:rsidR="00767B75" w:rsidRPr="00DE108C" w:rsidRDefault="3AFBA9E0" w:rsidP="00AE6A27">
            <w:pPr>
              <w:keepNext/>
              <w:keepLines/>
            </w:pPr>
            <w:r w:rsidRPr="00DE108C">
              <w:rPr>
                <w:noProof/>
              </w:rPr>
              <w:drawing>
                <wp:inline distT="0" distB="0" distL="0" distR="0" wp14:anchorId="64CA9B47" wp14:editId="4EA81266">
                  <wp:extent cx="1902942" cy="1072800"/>
                  <wp:effectExtent l="0" t="0" r="2540" b="0"/>
                  <wp:docPr id="1088047511" name="drawing" descr="Outcome 2: Environmentally sustainable and reliable bulk sewerag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7511" name="drawing" descr="Outcome 2: Environmentally sustainable and reliable bulk sewerage services"/>
                          <pic:cNvPicPr/>
                        </pic:nvPicPr>
                        <pic:blipFill>
                          <a:blip r:embed="rId33" cstate="screen">
                            <a:extLst>
                              <a:ext uri="{28A0092B-C50C-407E-A947-70E740481C1C}">
                                <a14:useLocalDpi xmlns:a14="http://schemas.microsoft.com/office/drawing/2010/main"/>
                              </a:ext>
                            </a:extLst>
                          </a:blip>
                          <a:stretch>
                            <a:fillRect/>
                          </a:stretch>
                        </pic:blipFill>
                        <pic:spPr>
                          <a:xfrm>
                            <a:off x="0" y="0"/>
                            <a:ext cx="1902942" cy="1072800"/>
                          </a:xfrm>
                          <a:prstGeom prst="rect">
                            <a:avLst/>
                          </a:prstGeom>
                        </pic:spPr>
                      </pic:pic>
                    </a:graphicData>
                  </a:graphic>
                </wp:inline>
              </w:drawing>
            </w:r>
          </w:p>
        </w:tc>
        <w:tc>
          <w:tcPr>
            <w:tcW w:w="3352" w:type="pct"/>
          </w:tcPr>
          <w:p w14:paraId="1210254B" w14:textId="29E65B0C" w:rsidR="00767B75" w:rsidRPr="00DE108C" w:rsidRDefault="00767B75" w:rsidP="00AE6A27">
            <w:pPr>
              <w:keepNext/>
              <w:keepLines/>
              <w:rPr>
                <w:rStyle w:val="normaltextrun"/>
                <w:color w:val="231F20"/>
                <w:position w:val="2"/>
                <w:szCs w:val="20"/>
                <w:bdr w:val="none" w:sz="0" w:space="0" w:color="auto" w:frame="1"/>
              </w:rPr>
            </w:pPr>
            <w:r w:rsidRPr="00DE108C">
              <w:rPr>
                <w:rStyle w:val="normaltextrun"/>
                <w:color w:val="231F20"/>
                <w:position w:val="2"/>
                <w:szCs w:val="20"/>
                <w:bdr w:val="none" w:sz="0" w:space="0" w:color="auto" w:frame="1"/>
              </w:rPr>
              <w:t>Ensuring our</w:t>
            </w:r>
            <w:r w:rsidRPr="00DE108C">
              <w:rPr>
                <w:rStyle w:val="normaltextrun"/>
                <w:b/>
                <w:bCs/>
                <w:color w:val="231F20"/>
                <w:position w:val="2"/>
                <w:szCs w:val="20"/>
                <w:bdr w:val="none" w:sz="0" w:space="0" w:color="auto" w:frame="1"/>
              </w:rPr>
              <w:t xml:space="preserve"> bulk sewerage services are environmentally sustainable</w:t>
            </w:r>
            <w:r w:rsidRPr="00DE108C">
              <w:rPr>
                <w:rStyle w:val="normaltextrun"/>
                <w:color w:val="231F20"/>
                <w:position w:val="2"/>
                <w:szCs w:val="20"/>
                <w:bdr w:val="none" w:sz="0" w:space="0" w:color="auto" w:frame="1"/>
              </w:rPr>
              <w:t xml:space="preserve"> </w:t>
            </w:r>
            <w:r w:rsidRPr="00DE108C">
              <w:rPr>
                <w:rStyle w:val="normaltextrun"/>
                <w:b/>
                <w:bCs/>
                <w:color w:val="231F20"/>
                <w:position w:val="2"/>
                <w:szCs w:val="20"/>
                <w:bdr w:val="none" w:sz="0" w:space="0" w:color="auto" w:frame="1"/>
              </w:rPr>
              <w:t xml:space="preserve">and reliable </w:t>
            </w:r>
            <w:r w:rsidRPr="00DE108C">
              <w:rPr>
                <w:rStyle w:val="normaltextrun"/>
                <w:color w:val="231F20"/>
                <w:position w:val="2"/>
                <w:szCs w:val="20"/>
                <w:bdr w:val="none" w:sz="0" w:space="0" w:color="auto" w:frame="1"/>
              </w:rPr>
              <w:t>using sustainable treatment processes and investing for the future to remain resilient to population growth and climate change</w:t>
            </w:r>
            <w:r w:rsidR="0094367C">
              <w:rPr>
                <w:rStyle w:val="normaltextrun"/>
                <w:color w:val="231F20"/>
                <w:position w:val="2"/>
                <w:szCs w:val="20"/>
                <w:bdr w:val="none" w:sz="0" w:space="0" w:color="auto" w:frame="1"/>
              </w:rPr>
              <w:t>.</w:t>
            </w:r>
          </w:p>
        </w:tc>
      </w:tr>
      <w:tr w:rsidR="00A043F7" w:rsidRPr="00DE108C" w14:paraId="08A33393" w14:textId="77777777" w:rsidTr="00875E0C">
        <w:tc>
          <w:tcPr>
            <w:tcW w:w="1648" w:type="pct"/>
          </w:tcPr>
          <w:p w14:paraId="38898493" w14:textId="0CAE263C" w:rsidR="00767B75" w:rsidRPr="00DE108C" w:rsidRDefault="412F70CD">
            <w:r w:rsidRPr="00DE108C">
              <w:rPr>
                <w:noProof/>
              </w:rPr>
              <w:drawing>
                <wp:inline distT="0" distB="0" distL="0" distR="0" wp14:anchorId="56DF1662" wp14:editId="21B8EEA6">
                  <wp:extent cx="1902942" cy="1072800"/>
                  <wp:effectExtent l="0" t="0" r="2540" b="0"/>
                  <wp:docPr id="525769687" name="drawing" descr="Outcome 3 - Healthy, resilient 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69687" name="drawing" descr="Outcome 3 - Healthy, resilient waterways"/>
                          <pic:cNvPicPr/>
                        </pic:nvPicPr>
                        <pic:blipFill>
                          <a:blip r:embed="rId34" cstate="screen">
                            <a:extLst>
                              <a:ext uri="{28A0092B-C50C-407E-A947-70E740481C1C}">
                                <a14:useLocalDpi xmlns:a14="http://schemas.microsoft.com/office/drawing/2010/main"/>
                              </a:ext>
                            </a:extLst>
                          </a:blip>
                          <a:stretch>
                            <a:fillRect/>
                          </a:stretch>
                        </pic:blipFill>
                        <pic:spPr>
                          <a:xfrm>
                            <a:off x="0" y="0"/>
                            <a:ext cx="1902942" cy="1072800"/>
                          </a:xfrm>
                          <a:prstGeom prst="rect">
                            <a:avLst/>
                          </a:prstGeom>
                        </pic:spPr>
                      </pic:pic>
                    </a:graphicData>
                  </a:graphic>
                </wp:inline>
              </w:drawing>
            </w:r>
          </w:p>
        </w:tc>
        <w:tc>
          <w:tcPr>
            <w:tcW w:w="3352" w:type="pct"/>
          </w:tcPr>
          <w:p w14:paraId="0EAFC848" w14:textId="053F9881" w:rsidR="00767B75" w:rsidRPr="00DE108C" w:rsidRDefault="00767B75">
            <w:pPr>
              <w:rPr>
                <w:rStyle w:val="normaltextrun"/>
                <w:b/>
                <w:bCs/>
                <w:color w:val="231F20"/>
                <w:position w:val="2"/>
                <w:szCs w:val="20"/>
                <w:bdr w:val="none" w:sz="0" w:space="0" w:color="auto" w:frame="1"/>
              </w:rPr>
            </w:pPr>
            <w:r w:rsidRPr="00DE108C">
              <w:rPr>
                <w:rStyle w:val="normaltextrun"/>
                <w:color w:val="231F20"/>
                <w:position w:val="2"/>
                <w:szCs w:val="20"/>
                <w:bdr w:val="none" w:sz="0" w:space="0" w:color="auto" w:frame="1"/>
              </w:rPr>
              <w:t>Ensuring</w:t>
            </w:r>
            <w:r w:rsidRPr="00DE108C">
              <w:rPr>
                <w:rStyle w:val="normaltextrun"/>
                <w:b/>
                <w:bCs/>
                <w:color w:val="231F20"/>
                <w:position w:val="2"/>
                <w:szCs w:val="20"/>
                <w:bdr w:val="none" w:sz="0" w:space="0" w:color="auto" w:frame="1"/>
              </w:rPr>
              <w:t xml:space="preserve"> </w:t>
            </w:r>
            <w:r w:rsidRPr="00DE108C">
              <w:rPr>
                <w:rStyle w:val="normaltextrun"/>
                <w:color w:val="231F20"/>
                <w:position w:val="2"/>
                <w:szCs w:val="20"/>
                <w:bdr w:val="none" w:sz="0" w:space="0" w:color="auto" w:frame="1"/>
              </w:rPr>
              <w:t>our</w:t>
            </w:r>
            <w:r w:rsidRPr="00DE108C">
              <w:rPr>
                <w:rStyle w:val="normaltextrun"/>
                <w:b/>
                <w:bCs/>
                <w:color w:val="231F20"/>
                <w:position w:val="2"/>
                <w:szCs w:val="20"/>
                <w:bdr w:val="none" w:sz="0" w:space="0" w:color="auto" w:frame="1"/>
              </w:rPr>
              <w:t xml:space="preserve"> waterways remain healthy and resilient to change</w:t>
            </w:r>
            <w:r w:rsidRPr="00DE108C">
              <w:rPr>
                <w:rStyle w:val="normaltextrun"/>
                <w:color w:val="231F20"/>
                <w:position w:val="2"/>
                <w:szCs w:val="20"/>
                <w:bdr w:val="none" w:sz="0" w:space="0" w:color="auto" w:frame="1"/>
              </w:rPr>
              <w:t>, including from the impacts of urbanisation and climate change, by maintaining healthy waterways and managing land and vegetation along the waterways</w:t>
            </w:r>
            <w:r w:rsidR="0094367C">
              <w:rPr>
                <w:rStyle w:val="normaltextrun"/>
                <w:color w:val="231F20"/>
                <w:position w:val="2"/>
                <w:szCs w:val="20"/>
                <w:bdr w:val="none" w:sz="0" w:space="0" w:color="auto" w:frame="1"/>
              </w:rPr>
              <w:t>.</w:t>
            </w:r>
          </w:p>
        </w:tc>
      </w:tr>
      <w:tr w:rsidR="00767B75" w:rsidRPr="00DE108C" w14:paraId="78BBCD8D" w14:textId="77777777" w:rsidTr="00875E0C">
        <w:tc>
          <w:tcPr>
            <w:tcW w:w="1648" w:type="pct"/>
          </w:tcPr>
          <w:p w14:paraId="77FE3177" w14:textId="2A3D022A" w:rsidR="00767B75" w:rsidRPr="00DE108C" w:rsidRDefault="5AF88BAB">
            <w:r w:rsidRPr="00DE108C">
              <w:rPr>
                <w:noProof/>
              </w:rPr>
              <w:drawing>
                <wp:inline distT="0" distB="0" distL="0" distR="0" wp14:anchorId="63C8625C" wp14:editId="48669041">
                  <wp:extent cx="1902942" cy="1072800"/>
                  <wp:effectExtent l="0" t="0" r="2540" b="0"/>
                  <wp:docPr id="1934061800" name="drawing" descr="Outcome 4 - Urban drainage and flood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61800" name="drawing" descr="Outcome 4 - Urban drainage and flood resilience"/>
                          <pic:cNvPicPr/>
                        </pic:nvPicPr>
                        <pic:blipFill>
                          <a:blip r:embed="rId35" cstate="screen">
                            <a:extLst>
                              <a:ext uri="{28A0092B-C50C-407E-A947-70E740481C1C}">
                                <a14:useLocalDpi xmlns:a14="http://schemas.microsoft.com/office/drawing/2010/main"/>
                              </a:ext>
                            </a:extLst>
                          </a:blip>
                          <a:stretch>
                            <a:fillRect/>
                          </a:stretch>
                        </pic:blipFill>
                        <pic:spPr>
                          <a:xfrm>
                            <a:off x="0" y="0"/>
                            <a:ext cx="1902942" cy="1072800"/>
                          </a:xfrm>
                          <a:prstGeom prst="rect">
                            <a:avLst/>
                          </a:prstGeom>
                        </pic:spPr>
                      </pic:pic>
                    </a:graphicData>
                  </a:graphic>
                </wp:inline>
              </w:drawing>
            </w:r>
          </w:p>
        </w:tc>
        <w:tc>
          <w:tcPr>
            <w:tcW w:w="3352" w:type="pct"/>
          </w:tcPr>
          <w:p w14:paraId="6DBCA2BB" w14:textId="73CA48BA" w:rsidR="00767B75" w:rsidRPr="00DE108C" w:rsidRDefault="00767B75">
            <w:pPr>
              <w:rPr>
                <w:rStyle w:val="normaltextrun"/>
              </w:rPr>
            </w:pPr>
            <w:r w:rsidRPr="00DE108C">
              <w:rPr>
                <w:rStyle w:val="normaltextrun"/>
                <w:rFonts w:eastAsiaTheme="minorEastAsia" w:cstheme="minorBidi"/>
                <w:lang w:eastAsia="en-US"/>
              </w:rPr>
              <w:t xml:space="preserve">Supporting delivery of </w:t>
            </w:r>
            <w:r w:rsidRPr="00DE108C">
              <w:rPr>
                <w:rStyle w:val="normaltextrun"/>
                <w:rFonts w:eastAsiaTheme="minorEastAsia"/>
                <w:b/>
              </w:rPr>
              <w:t>new drainage infrastructure</w:t>
            </w:r>
            <w:r w:rsidRPr="00DE108C">
              <w:rPr>
                <w:rStyle w:val="normaltextrun"/>
                <w:rFonts w:eastAsiaTheme="minorEastAsia" w:cstheme="minorBidi"/>
                <w:lang w:eastAsia="en-US"/>
              </w:rPr>
              <w:t xml:space="preserve"> and </w:t>
            </w:r>
            <w:r w:rsidRPr="00DE108C">
              <w:rPr>
                <w:rStyle w:val="normaltextrun"/>
                <w:color w:val="231F20"/>
                <w:position w:val="2"/>
                <w:bdr w:val="none" w:sz="0" w:space="0" w:color="auto" w:frame="1"/>
              </w:rPr>
              <w:t>providing</w:t>
            </w:r>
            <w:r w:rsidRPr="00DE108C">
              <w:rPr>
                <w:rStyle w:val="normaltextrun"/>
                <w:b/>
                <w:color w:val="231F20"/>
                <w:position w:val="2"/>
                <w:bdr w:val="none" w:sz="0" w:space="0" w:color="auto" w:frame="1"/>
              </w:rPr>
              <w:t xml:space="preserve"> flood information to improve resilience and </w:t>
            </w:r>
            <w:r w:rsidRPr="00DE108C">
              <w:rPr>
                <w:rStyle w:val="normaltextrun"/>
                <w:b/>
                <w:bCs/>
                <w:color w:val="231F20"/>
                <w:position w:val="2"/>
                <w:bdr w:val="none" w:sz="0" w:space="0" w:color="auto" w:frame="1"/>
              </w:rPr>
              <w:t>m</w:t>
            </w:r>
            <w:r w:rsidR="156925EE" w:rsidRPr="00DE108C">
              <w:rPr>
                <w:rStyle w:val="normaltextrun"/>
                <w:b/>
                <w:bCs/>
                <w:color w:val="231F20"/>
                <w:position w:val="2"/>
                <w:bdr w:val="none" w:sz="0" w:space="0" w:color="auto" w:frame="1"/>
              </w:rPr>
              <w:t xml:space="preserve">anage </w:t>
            </w:r>
            <w:r w:rsidRPr="00DE108C">
              <w:rPr>
                <w:rStyle w:val="normaltextrun"/>
                <w:b/>
                <w:bCs/>
                <w:color w:val="231F20"/>
                <w:position w:val="2"/>
                <w:bdr w:val="none" w:sz="0" w:space="0" w:color="auto" w:frame="1"/>
              </w:rPr>
              <w:t>risk</w:t>
            </w:r>
            <w:r w:rsidRPr="00DE108C">
              <w:rPr>
                <w:rStyle w:val="normaltextrun"/>
                <w:b/>
                <w:color w:val="231F20"/>
                <w:position w:val="2"/>
                <w:bdr w:val="none" w:sz="0" w:space="0" w:color="auto" w:frame="1"/>
              </w:rPr>
              <w:t xml:space="preserve"> to people, property and public places. Supporting developers</w:t>
            </w:r>
            <w:r w:rsidRPr="00DE108C">
              <w:rPr>
                <w:rStyle w:val="normaltextrun"/>
                <w:color w:val="231F20"/>
                <w:position w:val="2"/>
                <w:bdr w:val="none" w:sz="0" w:space="0" w:color="auto" w:frame="1"/>
              </w:rPr>
              <w:t xml:space="preserve"> to plan for and effectively deliver infrastructure </w:t>
            </w:r>
            <w:r w:rsidRPr="00DE108C">
              <w:rPr>
                <w:rStyle w:val="normaltextrun"/>
              </w:rPr>
              <w:t>necessary for housing development and working with local authorities to manage stormwater</w:t>
            </w:r>
            <w:r w:rsidR="0094367C">
              <w:rPr>
                <w:rStyle w:val="normaltextrun"/>
              </w:rPr>
              <w:t>.</w:t>
            </w:r>
          </w:p>
        </w:tc>
      </w:tr>
      <w:tr w:rsidR="00A043F7" w:rsidRPr="00DE108C" w14:paraId="16288BC3" w14:textId="77777777" w:rsidTr="00875E0C">
        <w:tc>
          <w:tcPr>
            <w:tcW w:w="1648" w:type="pct"/>
          </w:tcPr>
          <w:p w14:paraId="57C99089" w14:textId="05E7E7CB" w:rsidR="00767B75" w:rsidRPr="00DE108C" w:rsidRDefault="512C0BC8">
            <w:r w:rsidRPr="00DE108C">
              <w:rPr>
                <w:noProof/>
              </w:rPr>
              <w:drawing>
                <wp:inline distT="0" distB="0" distL="0" distR="0" wp14:anchorId="39848DCF" wp14:editId="6CC122F2">
                  <wp:extent cx="1902944" cy="1072800"/>
                  <wp:effectExtent l="0" t="0" r="2540" b="0"/>
                  <wp:docPr id="1797266004" name="drawing" descr="Outcome 5 - A valued partner in water cyc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66004" name="drawing" descr="Outcome 5 - A valued partner in water cycle services"/>
                          <pic:cNvPicPr/>
                        </pic:nvPicPr>
                        <pic:blipFill>
                          <a:blip r:embed="rId36" cstate="screen">
                            <a:extLst>
                              <a:ext uri="{28A0092B-C50C-407E-A947-70E740481C1C}">
                                <a14:useLocalDpi xmlns:a14="http://schemas.microsoft.com/office/drawing/2010/main"/>
                              </a:ext>
                            </a:extLst>
                          </a:blip>
                          <a:stretch>
                            <a:fillRect/>
                          </a:stretch>
                        </pic:blipFill>
                        <pic:spPr>
                          <a:xfrm>
                            <a:off x="0" y="0"/>
                            <a:ext cx="1902944" cy="1072800"/>
                          </a:xfrm>
                          <a:prstGeom prst="rect">
                            <a:avLst/>
                          </a:prstGeom>
                        </pic:spPr>
                      </pic:pic>
                    </a:graphicData>
                  </a:graphic>
                </wp:inline>
              </w:drawing>
            </w:r>
          </w:p>
        </w:tc>
        <w:tc>
          <w:tcPr>
            <w:tcW w:w="3352" w:type="pct"/>
          </w:tcPr>
          <w:p w14:paraId="6ABAAA6A" w14:textId="32550CCB" w:rsidR="00767B75" w:rsidRPr="00DE108C" w:rsidRDefault="00767B75">
            <w:pPr>
              <w:rPr>
                <w:rStyle w:val="normaltextrun"/>
                <w:color w:val="231F20"/>
                <w:position w:val="2"/>
                <w:szCs w:val="20"/>
                <w:bdr w:val="none" w:sz="0" w:space="0" w:color="auto" w:frame="1"/>
              </w:rPr>
            </w:pPr>
            <w:r w:rsidRPr="00DE108C">
              <w:rPr>
                <w:rStyle w:val="normaltextrun"/>
                <w:b/>
                <w:bCs/>
                <w:color w:val="231F20"/>
                <w:position w:val="2"/>
                <w:szCs w:val="20"/>
                <w:bdr w:val="none" w:sz="0" w:space="0" w:color="auto" w:frame="1"/>
              </w:rPr>
              <w:t>Building relationships</w:t>
            </w:r>
            <w:r w:rsidRPr="00DE108C">
              <w:rPr>
                <w:rStyle w:val="normaltextrun"/>
                <w:color w:val="231F20"/>
                <w:position w:val="2"/>
                <w:szCs w:val="20"/>
                <w:bdr w:val="none" w:sz="0" w:space="0" w:color="auto" w:frame="1"/>
              </w:rPr>
              <w:t>,</w:t>
            </w:r>
            <w:r w:rsidRPr="00DE108C">
              <w:rPr>
                <w:rStyle w:val="normaltextrun"/>
                <w:b/>
                <w:bCs/>
                <w:color w:val="231F20"/>
                <w:position w:val="2"/>
                <w:szCs w:val="20"/>
                <w:bdr w:val="none" w:sz="0" w:space="0" w:color="auto" w:frame="1"/>
              </w:rPr>
              <w:t xml:space="preserve"> </w:t>
            </w:r>
            <w:r w:rsidRPr="00DE108C">
              <w:rPr>
                <w:rStyle w:val="normaltextrun"/>
                <w:color w:val="231F20"/>
                <w:position w:val="2"/>
                <w:szCs w:val="20"/>
                <w:bdr w:val="none" w:sz="0" w:space="0" w:color="auto" w:frame="1"/>
              </w:rPr>
              <w:t>including with the water corporations, Traditional Owners, local councils, industry and community organisations</w:t>
            </w:r>
            <w:r w:rsidR="0094367C">
              <w:rPr>
                <w:rStyle w:val="normaltextrun"/>
                <w:color w:val="231F20"/>
                <w:position w:val="2"/>
                <w:szCs w:val="20"/>
                <w:bdr w:val="none" w:sz="0" w:space="0" w:color="auto" w:frame="1"/>
              </w:rPr>
              <w:t>.</w:t>
            </w:r>
          </w:p>
        </w:tc>
      </w:tr>
    </w:tbl>
    <w:p w14:paraId="2C8676DB" w14:textId="77777777" w:rsidR="00767B75" w:rsidRPr="00DE108C" w:rsidRDefault="00767B75"/>
    <w:p w14:paraId="3D8A802F" w14:textId="77777777" w:rsidR="00767B75" w:rsidRPr="00DE108C" w:rsidRDefault="00767B75">
      <w:pPr>
        <w:pStyle w:val="Heading3"/>
        <w:rPr>
          <w:rFonts w:eastAsiaTheme="minorEastAsia"/>
        </w:rPr>
      </w:pPr>
      <w:r w:rsidRPr="00DE108C">
        <w:t>Melbourne Water needs significant investment to deliver these customer Outcomes</w:t>
      </w:r>
    </w:p>
    <w:p w14:paraId="22977A77" w14:textId="4B0CC1BD" w:rsidR="12056DAB" w:rsidRPr="00DE108C" w:rsidRDefault="00767B75" w:rsidP="12056DAB">
      <w:pPr>
        <w:rPr>
          <w:rFonts w:eastAsiaTheme="minorEastAsia"/>
        </w:rPr>
      </w:pPr>
      <w:r w:rsidRPr="00DE108C">
        <w:rPr>
          <w:rFonts w:eastAsiaTheme="minorEastAsia"/>
        </w:rPr>
        <w:t xml:space="preserve">The 2026-31 regulatory period continues a program of significant and sustained increased investment required to meet the Outcomes sought by our community. In particular, this investment is needed to maintain safe and secure services, which is the highest priority of our customers and communities. </w:t>
      </w:r>
    </w:p>
    <w:p w14:paraId="7B86C541" w14:textId="75475CFC" w:rsidR="12056DAB" w:rsidRPr="00DE108C" w:rsidRDefault="00767B75" w:rsidP="35762B23">
      <w:pPr>
        <w:rPr>
          <w:rFonts w:eastAsiaTheme="minorEastAsia"/>
        </w:rPr>
      </w:pPr>
      <w:r w:rsidRPr="00DE108C">
        <w:rPr>
          <w:rFonts w:eastAsiaTheme="minorEastAsia"/>
        </w:rPr>
        <w:t xml:space="preserve">Our extensive technical analysis and recent experience demonstrates that delays in renewing and expanding our asset capacity will have direct consequences for both customers and the environment. The timing is critical as we optimise by extending the life of assets as far as possible before renewal. </w:t>
      </w:r>
      <w:r w:rsidRPr="00B23C6D">
        <w:rPr>
          <w:rFonts w:ascii="Verdana" w:eastAsia="Verdana" w:hAnsi="Verdana" w:cs="Verdana"/>
          <w:szCs w:val="20"/>
        </w:rPr>
        <w:t>However, deferral of essential investment leads to a cycle of reactive spending, as the following examples demonstrate:</w:t>
      </w:r>
    </w:p>
    <w:p w14:paraId="5C2F0AA9" w14:textId="790FC231" w:rsidR="00767B75" w:rsidRPr="00D27EF7" w:rsidRDefault="15E3975F" w:rsidP="00D27EF7">
      <w:pPr>
        <w:pStyle w:val="ListBullet"/>
        <w:rPr>
          <w:rFonts w:eastAsiaTheme="minorEastAsia"/>
        </w:rPr>
      </w:pPr>
      <w:r w:rsidRPr="7CFB4304">
        <w:rPr>
          <w:rFonts w:eastAsiaTheme="minorEastAsia"/>
          <w:b/>
        </w:rPr>
        <w:lastRenderedPageBreak/>
        <w:t xml:space="preserve">Water </w:t>
      </w:r>
      <w:r w:rsidR="00AC2AC8">
        <w:rPr>
          <w:rFonts w:eastAsiaTheme="minorEastAsia"/>
          <w:b/>
        </w:rPr>
        <w:t>s</w:t>
      </w:r>
      <w:r w:rsidRPr="7CFB4304">
        <w:rPr>
          <w:rFonts w:eastAsiaTheme="minorEastAsia"/>
          <w:b/>
        </w:rPr>
        <w:t xml:space="preserve">ecurity: </w:t>
      </w:r>
      <w:r w:rsidRPr="7CFB4304">
        <w:rPr>
          <w:rFonts w:eastAsiaTheme="minorEastAsia"/>
        </w:rPr>
        <w:t xml:space="preserve">As the population across our region grows and the climate changes, our water supply system is becoming less resilient. Our modelling shows that under extreme dry conditions, such as those seen in the Millenium Drought, water storages can drop from the high zone to the critical water use only zone in as little as three years. This would place millions of customers on water restrictions and cause widespread costs across the economy. </w:t>
      </w:r>
      <w:r w:rsidR="00F3527F">
        <w:rPr>
          <w:rFonts w:eastAsiaTheme="minorEastAsia"/>
        </w:rPr>
        <w:t>W</w:t>
      </w:r>
      <w:r w:rsidRPr="7CFB4304">
        <w:rPr>
          <w:rFonts w:eastAsiaTheme="minorEastAsia"/>
        </w:rPr>
        <w:t>e are working with the Victorian Government</w:t>
      </w:r>
      <w:r w:rsidR="00497869">
        <w:rPr>
          <w:rFonts w:eastAsiaTheme="minorEastAsia"/>
        </w:rPr>
        <w:t xml:space="preserve">, consistent with </w:t>
      </w:r>
      <w:r w:rsidR="00A942B4" w:rsidRPr="00CC14FE">
        <w:rPr>
          <w:rFonts w:eastAsiaTheme="minorEastAsia"/>
        </w:rPr>
        <w:t>The</w:t>
      </w:r>
      <w:r w:rsidR="00497869" w:rsidRPr="00497869">
        <w:rPr>
          <w:rFonts w:eastAsiaTheme="minorEastAsia"/>
          <w:i/>
          <w:iCs/>
        </w:rPr>
        <w:t xml:space="preserve"> Water Security Plan</w:t>
      </w:r>
      <w:r w:rsidR="00497869">
        <w:rPr>
          <w:rFonts w:eastAsiaTheme="minorEastAsia"/>
        </w:rPr>
        <w:t>,</w:t>
      </w:r>
      <w:r w:rsidRPr="7CFB4304">
        <w:rPr>
          <w:rFonts w:eastAsiaTheme="minorEastAsia"/>
        </w:rPr>
        <w:t xml:space="preserve"> to identify and develop additional </w:t>
      </w:r>
      <w:r w:rsidR="6E5216FF" w:rsidRPr="7CFB4304">
        <w:rPr>
          <w:rFonts w:eastAsiaTheme="minorEastAsia"/>
        </w:rPr>
        <w:t xml:space="preserve">large scale water </w:t>
      </w:r>
      <w:r w:rsidR="00491782">
        <w:rPr>
          <w:rFonts w:eastAsiaTheme="minorEastAsia"/>
        </w:rPr>
        <w:t>supplies</w:t>
      </w:r>
      <w:r w:rsidRPr="7CFB4304">
        <w:rPr>
          <w:rFonts w:eastAsiaTheme="minorEastAsia"/>
        </w:rPr>
        <w:t xml:space="preserve"> for the region for delivery in future regulatory periods.</w:t>
      </w:r>
    </w:p>
    <w:p w14:paraId="13B8CAD1" w14:textId="030F5823" w:rsidR="00767B75" w:rsidRPr="00DE108C" w:rsidRDefault="15E3975F" w:rsidP="00D27EF7">
      <w:pPr>
        <w:pStyle w:val="ListBullet"/>
        <w:rPr>
          <w:rFonts w:eastAsiaTheme="minorEastAsia"/>
        </w:rPr>
      </w:pPr>
      <w:r w:rsidRPr="7CFB4304">
        <w:rPr>
          <w:rFonts w:eastAsiaTheme="minorEastAsia"/>
          <w:b/>
        </w:rPr>
        <w:t xml:space="preserve">Sewage </w:t>
      </w:r>
      <w:r w:rsidR="00AC2AC8">
        <w:rPr>
          <w:rFonts w:eastAsiaTheme="minorEastAsia"/>
          <w:b/>
        </w:rPr>
        <w:t>t</w:t>
      </w:r>
      <w:r w:rsidRPr="7CFB4304">
        <w:rPr>
          <w:rFonts w:eastAsiaTheme="minorEastAsia"/>
          <w:b/>
        </w:rPr>
        <w:t xml:space="preserve">reatment </w:t>
      </w:r>
      <w:r w:rsidR="00AC2AC8">
        <w:rPr>
          <w:rFonts w:eastAsiaTheme="minorEastAsia"/>
          <w:b/>
        </w:rPr>
        <w:t>c</w:t>
      </w:r>
      <w:r w:rsidRPr="7CFB4304">
        <w:rPr>
          <w:rFonts w:eastAsiaTheme="minorEastAsia"/>
          <w:b/>
        </w:rPr>
        <w:t xml:space="preserve">apacity: </w:t>
      </w:r>
      <w:r w:rsidRPr="7CFB4304">
        <w:rPr>
          <w:rFonts w:eastAsiaTheme="minorEastAsia"/>
        </w:rPr>
        <w:t xml:space="preserve">The Eastern Treatment Plant (ETP) processes approximately 40 per cent of Melbourne’s total wastewater. Recently, higher than expected customer sewage loads and higher rainfall have exceeded the capacity of the plant. Due to capacity constraints, ETP cannot always treat effluent to its normal high quality tertiary standards and there were times we had to seek permission to discharge to the environment at a lower level of treatment. In 2022-23, </w:t>
      </w:r>
      <w:r w:rsidR="49CA2C9D" w:rsidRPr="7CFB4304">
        <w:rPr>
          <w:rFonts w:eastAsiaTheme="minorEastAsia"/>
        </w:rPr>
        <w:t xml:space="preserve">ETP </w:t>
      </w:r>
      <w:r w:rsidRPr="7CFB4304">
        <w:rPr>
          <w:rFonts w:eastAsiaTheme="minorEastAsia"/>
        </w:rPr>
        <w:t xml:space="preserve">operated at </w:t>
      </w:r>
      <w:r w:rsidR="6BC51755" w:rsidRPr="7CFB4304">
        <w:rPr>
          <w:rFonts w:eastAsiaTheme="minorEastAsia"/>
        </w:rPr>
        <w:t>a</w:t>
      </w:r>
      <w:r w:rsidRPr="7CFB4304">
        <w:rPr>
          <w:rFonts w:eastAsiaTheme="minorEastAsia"/>
        </w:rPr>
        <w:t xml:space="preserve"> reduced tertiary standard for </w:t>
      </w:r>
      <w:r w:rsidR="02647929" w:rsidRPr="7CFB4304">
        <w:rPr>
          <w:rFonts w:eastAsiaTheme="minorEastAsia"/>
        </w:rPr>
        <w:t>17</w:t>
      </w:r>
      <w:r w:rsidRPr="7CFB4304">
        <w:rPr>
          <w:rFonts w:eastAsiaTheme="minorEastAsia"/>
        </w:rPr>
        <w:t xml:space="preserve"> per cent of the year, there was an emergency tertiary bypass for </w:t>
      </w:r>
      <w:r w:rsidR="54EE3192" w:rsidRPr="7CFB4304">
        <w:rPr>
          <w:rFonts w:eastAsiaTheme="minorEastAsia"/>
        </w:rPr>
        <w:t>11</w:t>
      </w:r>
      <w:r w:rsidRPr="7CFB4304">
        <w:rPr>
          <w:rFonts w:eastAsiaTheme="minorEastAsia"/>
        </w:rPr>
        <w:t xml:space="preserve"> per cent of the year and an emergency discharge to Port Phillip Bay for several days. Investment in this critical asset is needed to address increasing threats to customers and the environment and ensure safe and secure core service delivery.</w:t>
      </w:r>
    </w:p>
    <w:p w14:paraId="7965C247" w14:textId="724113D4" w:rsidR="12056DAB" w:rsidRPr="00DE108C" w:rsidRDefault="00767B75" w:rsidP="12056DAB">
      <w:pPr>
        <w:rPr>
          <w:rFonts w:eastAsia="Aptos" w:cs="Aptos"/>
          <w:b/>
        </w:rPr>
      </w:pPr>
      <w:r w:rsidRPr="00DE108C">
        <w:rPr>
          <w:rFonts w:eastAsia="Aptos" w:cs="Aptos"/>
          <w:b/>
          <w:bCs/>
        </w:rPr>
        <w:t>Our proposed capital works program totals $</w:t>
      </w:r>
      <w:r w:rsidRPr="00DE108C">
        <w:rPr>
          <w:rFonts w:eastAsia="Aptos" w:cs="Aptos"/>
          <w:b/>
        </w:rPr>
        <w:t>7,8</w:t>
      </w:r>
      <w:r w:rsidR="000B67C3" w:rsidRPr="00DE108C">
        <w:rPr>
          <w:rFonts w:eastAsia="Aptos" w:cs="Aptos"/>
          <w:b/>
        </w:rPr>
        <w:t>56</w:t>
      </w:r>
      <w:r w:rsidRPr="00DE108C">
        <w:rPr>
          <w:rFonts w:eastAsia="Aptos" w:cs="Aptos"/>
          <w:b/>
          <w:bCs/>
        </w:rPr>
        <w:t> million (including desalination capitalisation) across our services for the 2026</w:t>
      </w:r>
      <w:r w:rsidR="00F3527F">
        <w:rPr>
          <w:rFonts w:eastAsia="Aptos" w:cs="Aptos"/>
          <w:b/>
          <w:bCs/>
        </w:rPr>
        <w:t>-</w:t>
      </w:r>
      <w:r w:rsidRPr="00DE108C">
        <w:rPr>
          <w:rFonts w:eastAsia="Aptos" w:cs="Aptos"/>
          <w:b/>
          <w:bCs/>
        </w:rPr>
        <w:t>31 regulatory period.</w:t>
      </w:r>
    </w:p>
    <w:p w14:paraId="139E638E" w14:textId="180B3343" w:rsidR="12056DAB" w:rsidRPr="00DE108C" w:rsidRDefault="00767B75" w:rsidP="12056DAB">
      <w:pPr>
        <w:rPr>
          <w:rFonts w:eastAsia="Aptos" w:cs="Aptos"/>
        </w:rPr>
      </w:pPr>
      <w:r w:rsidRPr="00DE108C">
        <w:rPr>
          <w:rFonts w:eastAsia="Aptos" w:cs="Aptos"/>
        </w:rPr>
        <w:t>We have conducted comprehensive business case analysis, prioritised expenditure, and tested our delivery capacity to develop a prudent, efficient and deliverable capital works program. This program totals $7,8</w:t>
      </w:r>
      <w:r w:rsidR="000B67C3" w:rsidRPr="00DE108C">
        <w:rPr>
          <w:rFonts w:eastAsia="Aptos" w:cs="Aptos"/>
        </w:rPr>
        <w:t>56</w:t>
      </w:r>
      <w:r w:rsidRPr="00DE108C">
        <w:rPr>
          <w:rFonts w:eastAsia="Aptos" w:cs="Aptos"/>
        </w:rPr>
        <w:t> million (including desal capitalisation)</w:t>
      </w:r>
      <w:r w:rsidR="00622B76">
        <w:rPr>
          <w:rStyle w:val="FootnoteReference"/>
          <w:rFonts w:eastAsia="Aptos" w:cs="Aptos"/>
        </w:rPr>
        <w:footnoteReference w:id="1"/>
      </w:r>
      <w:r w:rsidRPr="00DE108C">
        <w:rPr>
          <w:rFonts w:eastAsia="Aptos" w:cs="Aptos"/>
        </w:rPr>
        <w:t xml:space="preserve"> across our services for the 2026–31 period. We have engaged extensively with the water corporations and our community to shape and agree on this program of work.</w:t>
      </w:r>
    </w:p>
    <w:p w14:paraId="11BC76C0" w14:textId="00B73741" w:rsidR="12056DAB" w:rsidRPr="00DE108C" w:rsidRDefault="00767B75" w:rsidP="12056DAB">
      <w:pPr>
        <w:rPr>
          <w:rFonts w:eastAsiaTheme="minorEastAsia"/>
        </w:rPr>
      </w:pPr>
      <w:r w:rsidRPr="00DE108C">
        <w:rPr>
          <w:rFonts w:eastAsiaTheme="minorEastAsia"/>
        </w:rPr>
        <w:t>During the current regulatory period, we have expanded our capital delivery capacity to allow us to ramp up delivery of more capital expenditure than was included in our 2021 Price Submission. This sustained expansion will continue into the 2026</w:t>
      </w:r>
      <w:r w:rsidR="00622B76">
        <w:rPr>
          <w:rFonts w:eastAsiaTheme="minorEastAsia"/>
        </w:rPr>
        <w:t>-31 regulatory</w:t>
      </w:r>
      <w:r w:rsidRPr="00DE108C">
        <w:rPr>
          <w:rFonts w:eastAsiaTheme="minorEastAsia"/>
        </w:rPr>
        <w:t xml:space="preserve"> period to support the proposed capital program set out in the </w:t>
      </w:r>
      <w:r w:rsidR="00F72438">
        <w:rPr>
          <w:rFonts w:eastAsiaTheme="minorEastAsia"/>
        </w:rPr>
        <w:t>s</w:t>
      </w:r>
      <w:r w:rsidRPr="00DE108C">
        <w:rPr>
          <w:rFonts w:eastAsiaTheme="minorEastAsia"/>
        </w:rPr>
        <w:t xml:space="preserve">ubmission. </w:t>
      </w:r>
    </w:p>
    <w:p w14:paraId="3404FFEA" w14:textId="7551422B" w:rsidR="00767B75" w:rsidRPr="00DE108C" w:rsidRDefault="00767B75">
      <w:pPr>
        <w:rPr>
          <w:rFonts w:eastAsiaTheme="minorEastAsia"/>
        </w:rPr>
      </w:pPr>
      <w:r w:rsidRPr="00DE108C">
        <w:rPr>
          <w:rFonts w:eastAsiaTheme="minorEastAsia"/>
        </w:rPr>
        <w:t xml:space="preserve">The actions proposed in the </w:t>
      </w:r>
      <w:r w:rsidR="00BA63D9">
        <w:rPr>
          <w:rFonts w:eastAsiaTheme="minorEastAsia"/>
        </w:rPr>
        <w:t>s</w:t>
      </w:r>
      <w:r w:rsidRPr="00DE108C">
        <w:rPr>
          <w:rFonts w:eastAsiaTheme="minorEastAsia"/>
        </w:rPr>
        <w:t xml:space="preserve">ubmission allow us to confidently deliver what we recognise is a much higher volume of work. These actions include: </w:t>
      </w:r>
    </w:p>
    <w:p w14:paraId="3EDA7412" w14:textId="77777777" w:rsidR="00767B75" w:rsidRPr="00DE108C" w:rsidRDefault="15E3975F" w:rsidP="00D27EF7">
      <w:pPr>
        <w:pStyle w:val="ListBullet"/>
        <w:rPr>
          <w:rFonts w:eastAsiaTheme="minorEastAsia"/>
        </w:rPr>
      </w:pPr>
      <w:r w:rsidRPr="7CFB4304">
        <w:rPr>
          <w:rFonts w:eastAsiaTheme="minorEastAsia"/>
        </w:rPr>
        <w:t>setting realistic delivery timelines based on actual past project lead times and outcomes</w:t>
      </w:r>
    </w:p>
    <w:p w14:paraId="5DA3BBFE" w14:textId="77777777" w:rsidR="00767B75" w:rsidRPr="00DE108C" w:rsidRDefault="15E3975F" w:rsidP="00D27EF7">
      <w:pPr>
        <w:pStyle w:val="ListBullet"/>
        <w:rPr>
          <w:rFonts w:eastAsiaTheme="minorEastAsia"/>
        </w:rPr>
      </w:pPr>
      <w:r w:rsidRPr="7CFB4304">
        <w:rPr>
          <w:rFonts w:eastAsiaTheme="minorEastAsia"/>
        </w:rPr>
        <w:t>applying increased internal resourcing to project planning, project scheduling and project management (including through re-prioritisation of internal resourcing)</w:t>
      </w:r>
    </w:p>
    <w:p w14:paraId="6D6FD6DD" w14:textId="77777777" w:rsidR="00767B75" w:rsidRPr="00DE108C" w:rsidRDefault="15E3975F" w:rsidP="00D27EF7">
      <w:pPr>
        <w:pStyle w:val="ListBullet"/>
        <w:rPr>
          <w:rFonts w:eastAsiaTheme="minorEastAsia"/>
        </w:rPr>
      </w:pPr>
      <w:r w:rsidRPr="7CFB4304">
        <w:rPr>
          <w:rFonts w:eastAsiaTheme="minorEastAsia"/>
        </w:rPr>
        <w:t xml:space="preserve">expanding our construction contractor capacity and involving contractors in early planning to secure resourcing. </w:t>
      </w:r>
    </w:p>
    <w:p w14:paraId="775304EC" w14:textId="77777777" w:rsidR="00767B75" w:rsidRPr="00DE108C" w:rsidRDefault="00767B75">
      <w:pPr>
        <w:pStyle w:val="Heading3"/>
        <w:rPr>
          <w:rFonts w:eastAsiaTheme="minorEastAsia"/>
        </w:rPr>
      </w:pPr>
      <w:r w:rsidRPr="00DE108C">
        <w:rPr>
          <w:rFonts w:eastAsiaTheme="minorEastAsia"/>
        </w:rPr>
        <w:t>Benefits we expect to deliver</w:t>
      </w:r>
    </w:p>
    <w:p w14:paraId="46F0BB29" w14:textId="073DA673" w:rsidR="00767B75" w:rsidRPr="00DE108C" w:rsidRDefault="00767B75">
      <w:pPr>
        <w:tabs>
          <w:tab w:val="left" w:pos="3368"/>
        </w:tabs>
        <w:rPr>
          <w:rFonts w:eastAsiaTheme="minorEastAsia"/>
        </w:rPr>
      </w:pPr>
      <w:r w:rsidRPr="00DE108C">
        <w:rPr>
          <w:rFonts w:eastAsiaTheme="minorEastAsia"/>
        </w:rPr>
        <w:t xml:space="preserve">The </w:t>
      </w:r>
      <w:r w:rsidR="00BA63D9">
        <w:rPr>
          <w:rFonts w:eastAsiaTheme="minorEastAsia"/>
        </w:rPr>
        <w:t>s</w:t>
      </w:r>
      <w:r w:rsidRPr="00DE108C">
        <w:rPr>
          <w:rFonts w:eastAsiaTheme="minorEastAsia"/>
        </w:rPr>
        <w:t>ubmission includes a broad range of actions and investment to deliver benefits to customers. We have structured these actions around our Outcomes.</w:t>
      </w:r>
    </w:p>
    <w:p w14:paraId="1C48DD40" w14:textId="77777777" w:rsidR="00767B75" w:rsidRPr="00DE108C" w:rsidRDefault="00767B75">
      <w:pPr>
        <w:pStyle w:val="Heading4"/>
        <w:rPr>
          <w:rFonts w:eastAsiaTheme="minorEastAsia"/>
        </w:rPr>
      </w:pPr>
      <w:r w:rsidRPr="00DE108C">
        <w:rPr>
          <w:rFonts w:eastAsiaTheme="minorEastAsia"/>
        </w:rPr>
        <w:lastRenderedPageBreak/>
        <w:t>Delivering agreed Outcomes</w:t>
      </w:r>
    </w:p>
    <w:p w14:paraId="047FE881" w14:textId="4FAA07A9" w:rsidR="12056DAB" w:rsidRPr="00DE108C" w:rsidRDefault="00767B75" w:rsidP="12056DAB">
      <w:pPr>
        <w:tabs>
          <w:tab w:val="left" w:pos="3368"/>
        </w:tabs>
        <w:rPr>
          <w:rFonts w:eastAsiaTheme="minorEastAsia"/>
        </w:rPr>
      </w:pPr>
      <w:r w:rsidRPr="00DE108C">
        <w:rPr>
          <w:rFonts w:eastAsiaTheme="minorEastAsia"/>
          <w:color w:val="221F20"/>
        </w:rPr>
        <w:t xml:space="preserve">The majority of our capital expenditure is tied to Outcomes 1 to 4, which each relate to delivering safe and reliable core services. </w:t>
      </w:r>
    </w:p>
    <w:p w14:paraId="49B3D3AA" w14:textId="6FDFBE7F" w:rsidR="00767B75" w:rsidRPr="00DE108C" w:rsidRDefault="00767B75">
      <w:pPr>
        <w:tabs>
          <w:tab w:val="left" w:pos="3368"/>
        </w:tabs>
        <w:rPr>
          <w:rFonts w:eastAsiaTheme="minorEastAsia"/>
          <w:color w:val="221F20"/>
        </w:rPr>
      </w:pPr>
      <w:r w:rsidRPr="00DE108C">
        <w:rPr>
          <w:rFonts w:eastAsiaTheme="minorEastAsia"/>
          <w:color w:val="221F20"/>
        </w:rPr>
        <w:t xml:space="preserve">Figure </w:t>
      </w:r>
      <w:r w:rsidR="001A4DD8" w:rsidRPr="00DE108C">
        <w:rPr>
          <w:rFonts w:eastAsiaTheme="minorEastAsia"/>
          <w:color w:val="221F20"/>
        </w:rPr>
        <w:t>III</w:t>
      </w:r>
      <w:r w:rsidRPr="00DE108C">
        <w:rPr>
          <w:rFonts w:eastAsiaTheme="minorEastAsia"/>
          <w:color w:val="221F20"/>
        </w:rPr>
        <w:t xml:space="preserve"> shows the capital expenditure needed for growth, renewals and compliance expenditure to deliver on Outcomes 1 to 4.</w:t>
      </w:r>
    </w:p>
    <w:p w14:paraId="7C2470B3" w14:textId="77777777" w:rsidR="0095728D" w:rsidRPr="00DE108C" w:rsidRDefault="0095728D">
      <w:pPr>
        <w:tabs>
          <w:tab w:val="left" w:pos="3368"/>
        </w:tabs>
        <w:rPr>
          <w:rFonts w:eastAsiaTheme="minorEastAsia"/>
          <w:color w:val="221F20"/>
        </w:rPr>
      </w:pPr>
    </w:p>
    <w:p w14:paraId="12CBF402" w14:textId="46B114E8" w:rsidR="00767B75" w:rsidRPr="00DE108C" w:rsidRDefault="00767B75" w:rsidP="00767B75">
      <w:pPr>
        <w:pStyle w:val="Caption"/>
      </w:pPr>
      <w:bookmarkStart w:id="29" w:name="_Toc207892963"/>
      <w:bookmarkStart w:id="30" w:name="_Toc208490491"/>
      <w:bookmarkStart w:id="31" w:name="_Toc208490829"/>
      <w:bookmarkStart w:id="32" w:name="_Toc208910987"/>
      <w:bookmarkStart w:id="33" w:name="_Toc210051294"/>
      <w:r w:rsidRPr="00DE108C">
        <w:t xml:space="preserve">Figure </w:t>
      </w:r>
      <w:r w:rsidR="0C7E0BCE" w:rsidRPr="00DE108C">
        <w:t>III</w:t>
      </w:r>
      <w:r w:rsidRPr="00DE108C">
        <w:t>: Capex by outcome and driver</w:t>
      </w:r>
      <w:r w:rsidR="002037E2" w:rsidRPr="00DE108C">
        <w:t xml:space="preserve"> ($millions, real 2025-26)</w:t>
      </w:r>
      <w:bookmarkEnd w:id="29"/>
      <w:bookmarkEnd w:id="30"/>
      <w:bookmarkEnd w:id="31"/>
      <w:bookmarkEnd w:id="32"/>
      <w:bookmarkEnd w:id="33"/>
    </w:p>
    <w:p w14:paraId="355C9CA3" w14:textId="77FC73B9" w:rsidR="00767B75" w:rsidRPr="00DE108C" w:rsidRDefault="00DE4212">
      <w:pPr>
        <w:tabs>
          <w:tab w:val="left" w:pos="3368"/>
        </w:tabs>
      </w:pPr>
      <w:r w:rsidRPr="00DE108C">
        <w:rPr>
          <w:noProof/>
        </w:rPr>
        <w:drawing>
          <wp:inline distT="0" distB="0" distL="0" distR="0" wp14:anchorId="2AF0703A" wp14:editId="453F68F5">
            <wp:extent cx="6120130" cy="2797175"/>
            <wp:effectExtent l="0" t="0" r="0" b="3175"/>
            <wp:docPr id="1957820113" name="Chart 1" descr="A chart showing capex by outcome and driver: &#10;Outcome 1 - Water: 2,912 million&#10;Outcome 2 - Sewerage: 2,738 million&#10;Outcome 3 - Waterways: 378 million&#10;Outcome 4 - Drainage and Urban Development: 1,828 million">
              <a:extLst xmlns:a="http://schemas.openxmlformats.org/drawingml/2006/main">
                <a:ext uri="{FF2B5EF4-FFF2-40B4-BE49-F238E27FC236}">
                  <a16:creationId xmlns:a16="http://schemas.microsoft.com/office/drawing/2014/main" id="{B06A10CA-5FBB-4E0F-870B-E0C7F2D3F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CF1DDA0" w14:textId="77777777" w:rsidR="00767B75" w:rsidRPr="00DE108C" w:rsidRDefault="00767B75"/>
    <w:p w14:paraId="25D016BF" w14:textId="432CE6ED" w:rsidR="00767B75" w:rsidRPr="00DE108C" w:rsidRDefault="00767B75">
      <w:pPr>
        <w:pStyle w:val="Heading4"/>
        <w:rPr>
          <w:rFonts w:eastAsiaTheme="minorEastAsia"/>
        </w:rPr>
      </w:pPr>
      <w:r w:rsidRPr="00DE108C">
        <w:rPr>
          <w:rFonts w:eastAsiaTheme="minorEastAsia"/>
        </w:rPr>
        <w:t>Delivering for the water corporations</w:t>
      </w:r>
    </w:p>
    <w:p w14:paraId="56D2F95D" w14:textId="0DB23E34" w:rsidR="12056DAB" w:rsidRPr="00DE108C" w:rsidRDefault="00767B75" w:rsidP="12056DAB">
      <w:pPr>
        <w:rPr>
          <w:rFonts w:eastAsiaTheme="minorEastAsia"/>
        </w:rPr>
      </w:pPr>
      <w:r w:rsidRPr="00DE108C">
        <w:rPr>
          <w:rFonts w:eastAsiaTheme="minorEastAsia"/>
        </w:rPr>
        <w:t>We collaborate continuously with our water corporation customers to ensure that the water and sewerage solutions across Greater Melbourne are optimised and coordinated to deliver lowest community cost outcomes. This is achieved through ongoing formalised forums spanning all layers of our corporations</w:t>
      </w:r>
      <w:r w:rsidR="0062021A">
        <w:rPr>
          <w:rFonts w:eastAsiaTheme="minorEastAsia"/>
        </w:rPr>
        <w:t xml:space="preserve"> including</w:t>
      </w:r>
      <w:r w:rsidRPr="00DE108C">
        <w:rPr>
          <w:rFonts w:eastAsiaTheme="minorEastAsia"/>
        </w:rPr>
        <w:t xml:space="preserve"> Managing Directors, </w:t>
      </w:r>
      <w:r w:rsidR="0062021A">
        <w:rPr>
          <w:rFonts w:eastAsiaTheme="minorEastAsia"/>
        </w:rPr>
        <w:t xml:space="preserve">General Managers, regulatory </w:t>
      </w:r>
      <w:r w:rsidR="00917AAE">
        <w:rPr>
          <w:rFonts w:eastAsiaTheme="minorEastAsia"/>
        </w:rPr>
        <w:t xml:space="preserve">managers, </w:t>
      </w:r>
      <w:r w:rsidRPr="00DE108C">
        <w:rPr>
          <w:rFonts w:eastAsiaTheme="minorEastAsia"/>
        </w:rPr>
        <w:t xml:space="preserve">system planners and operators. Deep collaboration was also achieved in developing the </w:t>
      </w:r>
      <w:r w:rsidR="00ED4E77">
        <w:rPr>
          <w:rFonts w:eastAsiaTheme="minorEastAsia"/>
        </w:rPr>
        <w:t>s</w:t>
      </w:r>
      <w:r w:rsidRPr="00DE108C">
        <w:rPr>
          <w:rFonts w:eastAsiaTheme="minorEastAsia"/>
        </w:rPr>
        <w:t xml:space="preserve">ubmission though dedicated forums. </w:t>
      </w:r>
    </w:p>
    <w:p w14:paraId="5A1250E2" w14:textId="305E8903" w:rsidR="00767B75" w:rsidRPr="00DE108C" w:rsidRDefault="00767B75">
      <w:pPr>
        <w:rPr>
          <w:rFonts w:eastAsia="Aptos" w:cs="Aptos"/>
        </w:rPr>
      </w:pPr>
      <w:r w:rsidRPr="00DE108C">
        <w:rPr>
          <w:rFonts w:eastAsia="Aptos" w:cs="Aptos"/>
        </w:rPr>
        <w:t xml:space="preserve">As a result of collaboration with the water corporations during the </w:t>
      </w:r>
      <w:r w:rsidR="00A255FC">
        <w:rPr>
          <w:rFonts w:eastAsia="Aptos" w:cs="Aptos"/>
        </w:rPr>
        <w:t>s</w:t>
      </w:r>
      <w:r w:rsidRPr="00DE108C">
        <w:rPr>
          <w:rFonts w:eastAsia="Aptos" w:cs="Aptos"/>
        </w:rPr>
        <w:t>ubmission process, the following initiatives and their expected benefits have been agreed:</w:t>
      </w:r>
    </w:p>
    <w:p w14:paraId="0BB5C399" w14:textId="77777777" w:rsidR="00767B75" w:rsidRPr="00DE108C" w:rsidRDefault="15E3975F" w:rsidP="00D27EF7">
      <w:pPr>
        <w:pStyle w:val="ListBullet"/>
        <w:rPr>
          <w:rFonts w:eastAsiaTheme="minorEastAsia"/>
        </w:rPr>
      </w:pPr>
      <w:r w:rsidRPr="7CFB4304">
        <w:rPr>
          <w:rFonts w:eastAsiaTheme="minorEastAsia"/>
        </w:rPr>
        <w:t>commitment to ongoing collaborative planning and agreed deliverables over the next regulatory period</w:t>
      </w:r>
    </w:p>
    <w:p w14:paraId="571D81B9" w14:textId="36162456" w:rsidR="00767B75" w:rsidRPr="00DE108C" w:rsidRDefault="15E3975F" w:rsidP="00D27EF7">
      <w:pPr>
        <w:pStyle w:val="ListBullet"/>
        <w:rPr>
          <w:rFonts w:eastAsiaTheme="minorEastAsia"/>
        </w:rPr>
      </w:pPr>
      <w:r w:rsidRPr="7CFB4304">
        <w:rPr>
          <w:rFonts w:eastAsiaTheme="minorEastAsia"/>
        </w:rPr>
        <w:t xml:space="preserve">commitment to reset our </w:t>
      </w:r>
      <w:r w:rsidR="00904D53">
        <w:rPr>
          <w:rFonts w:eastAsiaTheme="minorEastAsia"/>
        </w:rPr>
        <w:t>B</w:t>
      </w:r>
      <w:r w:rsidRPr="7CFB4304">
        <w:rPr>
          <w:rFonts w:eastAsiaTheme="minorEastAsia"/>
        </w:rPr>
        <w:t xml:space="preserve">ulk </w:t>
      </w:r>
      <w:r w:rsidR="00904D53">
        <w:rPr>
          <w:rFonts w:eastAsiaTheme="minorEastAsia"/>
        </w:rPr>
        <w:t>S</w:t>
      </w:r>
      <w:r w:rsidRPr="7CFB4304">
        <w:rPr>
          <w:rFonts w:eastAsiaTheme="minorEastAsia"/>
        </w:rPr>
        <w:t xml:space="preserve">upply </w:t>
      </w:r>
      <w:r w:rsidR="00904D53">
        <w:rPr>
          <w:rFonts w:eastAsiaTheme="minorEastAsia"/>
        </w:rPr>
        <w:t>A</w:t>
      </w:r>
      <w:r w:rsidRPr="7CFB4304">
        <w:rPr>
          <w:rFonts w:eastAsiaTheme="minorEastAsia"/>
        </w:rPr>
        <w:t>greements and to update them more often, so they better reflect commitments we make, for example via our price submissions</w:t>
      </w:r>
    </w:p>
    <w:p w14:paraId="22067871" w14:textId="77777777" w:rsidR="00767B75" w:rsidRPr="00DE108C" w:rsidRDefault="15E3975F" w:rsidP="00D27EF7">
      <w:pPr>
        <w:pStyle w:val="ListBullet"/>
      </w:pPr>
      <w:r>
        <w:t>alignment of the capital program with water corporations on agreed customer Outcomes, made through close engagement with each corporation</w:t>
      </w:r>
    </w:p>
    <w:p w14:paraId="6D473F8B" w14:textId="77777777" w:rsidR="00767B75" w:rsidRPr="00DE108C" w:rsidRDefault="15E3975F" w:rsidP="00D27EF7">
      <w:pPr>
        <w:pStyle w:val="ListBullet"/>
      </w:pPr>
      <w:r>
        <w:t>agreement on significant shared priorities, including preparing for investments in water security, and servicing growth in Melbourne’s north and west</w:t>
      </w:r>
    </w:p>
    <w:p w14:paraId="615DB60C" w14:textId="77777777" w:rsidR="00767B75" w:rsidRPr="00DE108C" w:rsidRDefault="15E3975F" w:rsidP="00D27EF7">
      <w:pPr>
        <w:pStyle w:val="ListBullet"/>
      </w:pPr>
      <w:r>
        <w:t>tariff reforms that reflect a fair compromise across all connected water corporations, including that Melbourne Water shares more volume risk through higher volumetric tariffs</w:t>
      </w:r>
    </w:p>
    <w:p w14:paraId="631DE29E" w14:textId="77777777" w:rsidR="00767B75" w:rsidRPr="00DE108C" w:rsidRDefault="15E3975F" w:rsidP="00D27EF7">
      <w:pPr>
        <w:pStyle w:val="ListBullet"/>
      </w:pPr>
      <w:r>
        <w:t xml:space="preserve">introduction of a water quality GSL </w:t>
      </w:r>
    </w:p>
    <w:p w14:paraId="66C62F86" w14:textId="0D5B2A1F" w:rsidR="00767B75" w:rsidRPr="00DE108C" w:rsidRDefault="15E3975F" w:rsidP="00D27EF7">
      <w:pPr>
        <w:pStyle w:val="ListBullet"/>
      </w:pPr>
      <w:r>
        <w:t>strengthened support for customers experiencing vulnerability, through amplification of water corporations’ hardship programs.</w:t>
      </w:r>
    </w:p>
    <w:p w14:paraId="5C1A1AEB" w14:textId="77777777" w:rsidR="00767B75" w:rsidRPr="00DE108C" w:rsidRDefault="00767B75">
      <w:pPr>
        <w:pStyle w:val="Heading4"/>
        <w:rPr>
          <w:rFonts w:eastAsiaTheme="minorEastAsia"/>
        </w:rPr>
      </w:pPr>
      <w:r w:rsidRPr="00DE108C">
        <w:rPr>
          <w:rFonts w:eastAsiaTheme="minorEastAsia"/>
        </w:rPr>
        <w:lastRenderedPageBreak/>
        <w:t>Doing more to manage risk on behalf of customers</w:t>
      </w:r>
    </w:p>
    <w:p w14:paraId="47D3F3EE" w14:textId="216F3F26" w:rsidR="12056DAB" w:rsidRPr="00DE108C" w:rsidRDefault="00767B75">
      <w:pPr>
        <w:rPr>
          <w:rFonts w:eastAsiaTheme="minorEastAsia"/>
        </w:rPr>
      </w:pPr>
      <w:r w:rsidRPr="00DE108C">
        <w:t>Melbourne Water is accepting additional risks on behalf of customers, including financial</w:t>
      </w:r>
      <w:r w:rsidR="001B06C5" w:rsidRPr="00DE108C">
        <w:t xml:space="preserve"> and </w:t>
      </w:r>
      <w:r w:rsidRPr="00DE108C">
        <w:t>revenue risk associated with the capital expenditure program and increasing our exposure to demand, performance and revenue risk.</w:t>
      </w:r>
    </w:p>
    <w:p w14:paraId="4E8C5FEF" w14:textId="3FD637C7" w:rsidR="00767B75" w:rsidRPr="00DE108C" w:rsidRDefault="00767B75">
      <w:r w:rsidRPr="00DE108C">
        <w:t>Melbourne Water also proposes an operating expenditure efficiency rate of 2 per cent per annum to help offset rising prices. This outperforms the average rate of an ‘Advanced’ rated business at the 2023 water price review (of approximately 1.8 per cent per annum).</w:t>
      </w:r>
    </w:p>
    <w:p w14:paraId="7A49415E" w14:textId="77777777" w:rsidR="00767B75" w:rsidRPr="00DE108C" w:rsidRDefault="00767B75">
      <w:pPr>
        <w:pStyle w:val="Heading4"/>
        <w:rPr>
          <w:rFonts w:eastAsiaTheme="minorEastAsia"/>
        </w:rPr>
      </w:pPr>
      <w:r w:rsidRPr="00DE108C">
        <w:rPr>
          <w:rFonts w:eastAsiaTheme="minorEastAsia"/>
        </w:rPr>
        <w:t>Continuous improvement of waterways and drainage services</w:t>
      </w:r>
    </w:p>
    <w:p w14:paraId="10FCD1A1" w14:textId="450FF21B" w:rsidR="12056DAB" w:rsidRPr="00DE108C" w:rsidRDefault="00767B75" w:rsidP="12056DAB">
      <w:pPr>
        <w:rPr>
          <w:rFonts w:eastAsiaTheme="minorEastAsia"/>
        </w:rPr>
      </w:pPr>
      <w:r w:rsidRPr="00DE108C">
        <w:rPr>
          <w:rFonts w:eastAsiaTheme="minorEastAsia"/>
        </w:rPr>
        <w:t xml:space="preserve">Melbourne Water has engaged extensively with customers and community to understand their priorities for the waterways, flood and drainage function. We saw clear community support for improved </w:t>
      </w:r>
      <w:r w:rsidR="00497999">
        <w:rPr>
          <w:rFonts w:eastAsiaTheme="minorEastAsia"/>
        </w:rPr>
        <w:t>results</w:t>
      </w:r>
      <w:r w:rsidRPr="00DE108C">
        <w:rPr>
          <w:rFonts w:eastAsiaTheme="minorEastAsia"/>
        </w:rPr>
        <w:t xml:space="preserve"> across these services – beyond what we are currently able to deliver. Therefore, we propose to maintain base year expenditures with targeted uplifts when we have new obligations. We will be placing an additional focus on those services with dedicated </w:t>
      </w:r>
      <w:r w:rsidR="00FE779C">
        <w:rPr>
          <w:rFonts w:eastAsiaTheme="minorEastAsia"/>
        </w:rPr>
        <w:t xml:space="preserve">performance </w:t>
      </w:r>
      <w:r w:rsidRPr="00DE108C">
        <w:rPr>
          <w:rFonts w:eastAsiaTheme="minorEastAsia"/>
        </w:rPr>
        <w:t xml:space="preserve">Outcomes and more specific measures for waterways (Outcome 3) and flood and drainage (Outcome 4). We will work to further improve our delivery capacity over the period, including through preparation of a new </w:t>
      </w:r>
      <w:r w:rsidRPr="00DE108C">
        <w:rPr>
          <w:rFonts w:eastAsiaTheme="minorEastAsia"/>
          <w:i/>
          <w:iCs/>
        </w:rPr>
        <w:t>Healthy Waterways Strategy</w:t>
      </w:r>
      <w:r w:rsidRPr="00DE108C">
        <w:rPr>
          <w:rFonts w:eastAsiaTheme="minorEastAsia"/>
        </w:rPr>
        <w:t xml:space="preserve"> and the WDIP.</w:t>
      </w:r>
    </w:p>
    <w:p w14:paraId="63CF351E" w14:textId="78CF768F" w:rsidR="00767B75" w:rsidRPr="00DE108C" w:rsidRDefault="00767B75" w:rsidP="12056DAB">
      <w:pPr>
        <w:rPr>
          <w:rFonts w:eastAsiaTheme="minorEastAsia"/>
        </w:rPr>
      </w:pPr>
      <w:r w:rsidRPr="00DE108C">
        <w:rPr>
          <w:rFonts w:eastAsiaTheme="minorEastAsia"/>
          <w:color w:val="221F20"/>
        </w:rPr>
        <w:t xml:space="preserve">A major focus for our drainage function is to ensure we continue to build on improved levels of service achieved over the current regulatory period. </w:t>
      </w:r>
    </w:p>
    <w:p w14:paraId="1F35A86D" w14:textId="77777777" w:rsidR="00767B75" w:rsidRPr="00DE108C" w:rsidRDefault="00767B75">
      <w:pPr>
        <w:pStyle w:val="Heading4"/>
        <w:rPr>
          <w:rFonts w:eastAsiaTheme="minorEastAsia"/>
        </w:rPr>
      </w:pPr>
      <w:r w:rsidRPr="00DE108C">
        <w:rPr>
          <w:rFonts w:eastAsiaTheme="minorEastAsia"/>
        </w:rPr>
        <w:t>Commitment to Traditional Owners and First Nations people</w:t>
      </w:r>
    </w:p>
    <w:p w14:paraId="3C56DDD7" w14:textId="6154B58C" w:rsidR="00767B75" w:rsidRPr="00DE108C" w:rsidRDefault="00767B75" w:rsidP="12056DAB">
      <w:pPr>
        <w:rPr>
          <w:rFonts w:eastAsiaTheme="minorEastAsia" w:cs="Arial"/>
        </w:rPr>
      </w:pPr>
      <w:r w:rsidRPr="00DE108C">
        <w:rPr>
          <w:rFonts w:eastAsiaTheme="minorEastAsia"/>
          <w:color w:val="221F20"/>
        </w:rPr>
        <w:t>Melbourne Water will continue to partner with Traditional Owners to apply a Caring for Country approach to the land and waterways that we manage. We will also provide funding support for the self-determination journeys of these communities</w:t>
      </w:r>
      <w:r w:rsidRPr="00DE108C">
        <w:rPr>
          <w:rFonts w:eastAsiaTheme="minorEastAsia" w:cs="Arial"/>
          <w:color w:val="221F20"/>
        </w:rPr>
        <w:t xml:space="preserve">. </w:t>
      </w:r>
    </w:p>
    <w:p w14:paraId="6B894C08" w14:textId="77777777" w:rsidR="00767B75" w:rsidRPr="00DE108C" w:rsidRDefault="00767B75">
      <w:pPr>
        <w:pStyle w:val="Heading4"/>
        <w:rPr>
          <w:rFonts w:eastAsiaTheme="minorEastAsia"/>
        </w:rPr>
      </w:pPr>
      <w:r w:rsidRPr="00DE108C">
        <w:rPr>
          <w:rFonts w:eastAsiaTheme="minorEastAsia"/>
        </w:rPr>
        <w:t>Delivering more for customers experiencing vulnerability</w:t>
      </w:r>
    </w:p>
    <w:p w14:paraId="0D36C153" w14:textId="6C2BE486" w:rsidR="00767B75" w:rsidRPr="00DE108C" w:rsidRDefault="00767B75">
      <w:pPr>
        <w:rPr>
          <w:rFonts w:eastAsiaTheme="minorEastAsia"/>
        </w:rPr>
      </w:pPr>
      <w:r w:rsidRPr="00DE108C">
        <w:rPr>
          <w:rFonts w:eastAsiaTheme="minorEastAsia"/>
        </w:rPr>
        <w:t xml:space="preserve">Our engagement with end users showed that community members understand that investment is needed to deliver on their priorities for safe, reliable and resilient services, and that this necessarily translates to bill increases. The community asked us to do all we could to minimise bill increases and to consider geographic, intergenerational and social equity – particularly in the face of prevailing cost-of-living and cost-of-housing pressures. </w:t>
      </w:r>
    </w:p>
    <w:p w14:paraId="08A34EB8" w14:textId="77777777" w:rsidR="00767B75" w:rsidRPr="00DE108C" w:rsidRDefault="00767B75">
      <w:pPr>
        <w:rPr>
          <w:rFonts w:eastAsiaTheme="minorEastAsia"/>
          <w:b/>
          <w:bCs/>
        </w:rPr>
      </w:pPr>
      <w:r w:rsidRPr="00DE108C">
        <w:rPr>
          <w:rFonts w:eastAsiaTheme="minorEastAsia"/>
        </w:rPr>
        <w:t xml:space="preserve">Therefore, we have proposed three interventions: </w:t>
      </w:r>
    </w:p>
    <w:p w14:paraId="7C0F99D8" w14:textId="77777777" w:rsidR="00767B75" w:rsidRPr="00DE108C" w:rsidRDefault="15E3975F">
      <w:pPr>
        <w:pStyle w:val="ListParagraph"/>
        <w:numPr>
          <w:ilvl w:val="0"/>
          <w:numId w:val="10"/>
        </w:numPr>
        <w:spacing w:after="120" w:line="240" w:lineRule="auto"/>
        <w:ind w:left="630" w:hanging="450"/>
        <w:rPr>
          <w:rFonts w:eastAsiaTheme="minorEastAsia"/>
          <w:color w:val="231F20" w:themeColor="text1"/>
        </w:rPr>
      </w:pPr>
      <w:r w:rsidRPr="7CFB4304">
        <w:rPr>
          <w:rFonts w:eastAsiaTheme="minorEastAsia"/>
          <w:color w:val="231F20" w:themeColor="text1"/>
        </w:rPr>
        <w:t>Melbourne Water will take on more price risk, particularly in relation to our capital program.</w:t>
      </w:r>
    </w:p>
    <w:p w14:paraId="7D8DEBBA" w14:textId="4030FBDD" w:rsidR="00767B75" w:rsidRPr="00DE108C" w:rsidRDefault="15E3975F">
      <w:pPr>
        <w:pStyle w:val="ListParagraph"/>
        <w:numPr>
          <w:ilvl w:val="0"/>
          <w:numId w:val="10"/>
        </w:numPr>
        <w:spacing w:after="120" w:line="240" w:lineRule="auto"/>
        <w:ind w:left="630" w:hanging="450"/>
        <w:rPr>
          <w:rFonts w:eastAsiaTheme="minorEastAsia"/>
          <w:color w:val="231F20" w:themeColor="text1"/>
        </w:rPr>
      </w:pPr>
      <w:r w:rsidRPr="7CFB4304">
        <w:rPr>
          <w:rFonts w:eastAsiaTheme="minorEastAsia"/>
          <w:color w:val="231F20" w:themeColor="text1"/>
        </w:rPr>
        <w:t xml:space="preserve">We will maintain flat prices in the first year of the regulatory period as we </w:t>
      </w:r>
      <w:r w:rsidR="7ADDB1EE" w:rsidRPr="7CFB4304">
        <w:rPr>
          <w:rFonts w:eastAsiaTheme="minorEastAsia"/>
          <w:color w:val="231F20" w:themeColor="text1"/>
        </w:rPr>
        <w:t xml:space="preserve">continue to </w:t>
      </w:r>
      <w:r w:rsidRPr="7CFB4304">
        <w:rPr>
          <w:rFonts w:eastAsiaTheme="minorEastAsia"/>
          <w:color w:val="231F20" w:themeColor="text1"/>
        </w:rPr>
        <w:t>ramp up our capital program.</w:t>
      </w:r>
    </w:p>
    <w:p w14:paraId="375DE275" w14:textId="569D693F" w:rsidR="00767B75" w:rsidRPr="00DE108C" w:rsidRDefault="15E3975F">
      <w:pPr>
        <w:pStyle w:val="ListParagraph"/>
        <w:numPr>
          <w:ilvl w:val="0"/>
          <w:numId w:val="10"/>
        </w:numPr>
        <w:spacing w:after="120" w:line="240" w:lineRule="auto"/>
        <w:ind w:left="630" w:hanging="450"/>
        <w:rPr>
          <w:rFonts w:eastAsiaTheme="minorEastAsia"/>
          <w:color w:val="231F20" w:themeColor="text1"/>
        </w:rPr>
      </w:pPr>
      <w:r w:rsidRPr="7CFB4304">
        <w:rPr>
          <w:rFonts w:eastAsiaTheme="minorEastAsia"/>
          <w:color w:val="231F20" w:themeColor="text1"/>
        </w:rPr>
        <w:t>We will put forward a program of activities to extend our partners’ work to support customers experiencing vulnerability. This program will help expand and support the programs of work already provided by metro water corporations, such as supporting customers experiencing vulnerability in the community sector and providing resources for the water corporations’ customer care</w:t>
      </w:r>
      <w:r w:rsidR="32A2FF8E" w:rsidRPr="7CFB4304">
        <w:rPr>
          <w:rFonts w:eastAsiaTheme="minorEastAsia"/>
          <w:color w:val="231F20" w:themeColor="text1"/>
        </w:rPr>
        <w:t xml:space="preserve"> and </w:t>
      </w:r>
      <w:r w:rsidRPr="7CFB4304">
        <w:rPr>
          <w:rFonts w:eastAsiaTheme="minorEastAsia"/>
          <w:color w:val="231F20" w:themeColor="text1"/>
        </w:rPr>
        <w:t>hardship support teams.</w:t>
      </w:r>
    </w:p>
    <w:p w14:paraId="051949E8" w14:textId="77777777" w:rsidR="004F31B0" w:rsidRPr="00DE108C" w:rsidRDefault="004F31B0">
      <w:pPr>
        <w:spacing w:before="0" w:after="0" w:line="320" w:lineRule="atLeast"/>
        <w:rPr>
          <w:rFonts w:asciiTheme="majorHAnsi" w:eastAsiaTheme="minorEastAsia" w:hAnsiTheme="majorHAnsi" w:cstheme="majorBidi"/>
          <w:b/>
          <w:bCs/>
          <w:sz w:val="24"/>
        </w:rPr>
      </w:pPr>
      <w:r w:rsidRPr="00DE108C">
        <w:rPr>
          <w:rFonts w:eastAsiaTheme="minorEastAsia"/>
        </w:rPr>
        <w:br w:type="page"/>
      </w:r>
    </w:p>
    <w:p w14:paraId="27C5723B" w14:textId="0A9B5BB1" w:rsidR="00767B75" w:rsidRPr="00DE108C" w:rsidRDefault="00767B75" w:rsidP="00DF4C72">
      <w:pPr>
        <w:pStyle w:val="Heading3"/>
        <w:rPr>
          <w:rFonts w:eastAsiaTheme="minorEastAsia"/>
        </w:rPr>
      </w:pPr>
      <w:r w:rsidRPr="00DE108C">
        <w:rPr>
          <w:rFonts w:eastAsiaTheme="minorEastAsia"/>
        </w:rPr>
        <w:lastRenderedPageBreak/>
        <w:t>Nominated PREMO rating is ‘Standard’ overall</w:t>
      </w:r>
    </w:p>
    <w:p w14:paraId="5CBBFF19" w14:textId="77777777" w:rsidR="00767B75" w:rsidRPr="00DE108C" w:rsidRDefault="00767B75" w:rsidP="007E4F08">
      <w:pPr>
        <w:rPr>
          <w:rFonts w:eastAsiaTheme="minorEastAsia"/>
        </w:rPr>
      </w:pPr>
      <w:r w:rsidRPr="00DE108C">
        <w:rPr>
          <w:rFonts w:eastAsiaTheme="minorEastAsia"/>
        </w:rPr>
        <w:t>Overall, Melbourne Water’s submission represents our best offer to customers, and we have self-rated as ‘</w:t>
      </w:r>
      <w:r w:rsidRPr="004966F4">
        <w:rPr>
          <w:rFonts w:eastAsiaTheme="minorEastAsia"/>
          <w:i/>
        </w:rPr>
        <w:t>Standard’</w:t>
      </w:r>
      <w:r w:rsidRPr="00DE108C">
        <w:rPr>
          <w:rFonts w:eastAsiaTheme="minorEastAsia"/>
        </w:rPr>
        <w:t>. </w:t>
      </w:r>
    </w:p>
    <w:p w14:paraId="4EA78A57" w14:textId="43F62CB0" w:rsidR="004E39E9" w:rsidRPr="00DE108C" w:rsidRDefault="004E39E9" w:rsidP="004E39E9">
      <w:pPr>
        <w:pStyle w:val="Caption"/>
      </w:pPr>
      <w:bookmarkStart w:id="34" w:name="_Toc208490492"/>
      <w:bookmarkStart w:id="35" w:name="_Toc208490830"/>
      <w:bookmarkStart w:id="36" w:name="_Toc208910988"/>
      <w:bookmarkStart w:id="37" w:name="_Toc210051295"/>
      <w:r w:rsidRPr="00DE108C">
        <w:t>Table I: PREMO assessment - overall</w:t>
      </w:r>
      <w:bookmarkEnd w:id="34"/>
      <w:bookmarkEnd w:id="35"/>
      <w:bookmarkEnd w:id="36"/>
      <w:bookmarkEnd w:id="37"/>
    </w:p>
    <w:tbl>
      <w:tblPr>
        <w:tblStyle w:val="MWTableGrid"/>
        <w:tblW w:w="9600" w:type="dxa"/>
        <w:tblLayout w:type="fixed"/>
        <w:tblLook w:val="04A0" w:firstRow="1" w:lastRow="0" w:firstColumn="1" w:lastColumn="0" w:noHBand="0" w:noVBand="1"/>
      </w:tblPr>
      <w:tblGrid>
        <w:gridCol w:w="1552"/>
        <w:gridCol w:w="1134"/>
        <w:gridCol w:w="6914"/>
      </w:tblGrid>
      <w:tr w:rsidR="00767B75" w:rsidRPr="00DE108C" w14:paraId="64636A1A" w14:textId="77777777" w:rsidTr="00BE0229">
        <w:trPr>
          <w:cnfStyle w:val="100000000000" w:firstRow="1" w:lastRow="0" w:firstColumn="0" w:lastColumn="0" w:oddVBand="0" w:evenVBand="0" w:oddHBand="0" w:evenHBand="0" w:firstRowFirstColumn="0" w:firstRowLastColumn="0" w:lastRowFirstColumn="0" w:lastRowLastColumn="0"/>
          <w:trHeight w:val="300"/>
        </w:trPr>
        <w:tc>
          <w:tcPr>
            <w:tcW w:w="1552" w:type="dxa"/>
          </w:tcPr>
          <w:p w14:paraId="33364EBB" w14:textId="77777777" w:rsidR="00767B75" w:rsidRPr="00DE108C" w:rsidRDefault="00767B75" w:rsidP="00BE0229">
            <w:pPr>
              <w:pStyle w:val="TableHeading"/>
              <w:rPr>
                <w:rFonts w:eastAsiaTheme="minorEastAsia"/>
              </w:rPr>
            </w:pPr>
            <w:r w:rsidRPr="00DE108C">
              <w:rPr>
                <w:rFonts w:eastAsiaTheme="minorEastAsia"/>
              </w:rPr>
              <w:t>PREMO element </w:t>
            </w:r>
          </w:p>
        </w:tc>
        <w:tc>
          <w:tcPr>
            <w:tcW w:w="1134" w:type="dxa"/>
          </w:tcPr>
          <w:p w14:paraId="45771DF2" w14:textId="77777777" w:rsidR="00767B75" w:rsidRPr="00DE108C" w:rsidRDefault="00767B75" w:rsidP="00BE0229">
            <w:pPr>
              <w:pStyle w:val="TableHeading"/>
              <w:rPr>
                <w:rFonts w:eastAsiaTheme="minorEastAsia"/>
              </w:rPr>
            </w:pPr>
            <w:r w:rsidRPr="00DE108C">
              <w:rPr>
                <w:rFonts w:eastAsiaTheme="minorEastAsia"/>
              </w:rPr>
              <w:t>Our rating </w:t>
            </w:r>
          </w:p>
        </w:tc>
        <w:tc>
          <w:tcPr>
            <w:tcW w:w="6914" w:type="dxa"/>
          </w:tcPr>
          <w:p w14:paraId="05C4A7BB" w14:textId="77777777" w:rsidR="00767B75" w:rsidRPr="00DE108C" w:rsidRDefault="00767B75" w:rsidP="00BE0229">
            <w:pPr>
              <w:pStyle w:val="TableHeading"/>
              <w:rPr>
                <w:rFonts w:eastAsiaTheme="minorEastAsia"/>
              </w:rPr>
            </w:pPr>
            <w:r w:rsidRPr="00DE108C">
              <w:rPr>
                <w:rFonts w:eastAsiaTheme="minorEastAsia"/>
              </w:rPr>
              <w:t>Summary</w:t>
            </w:r>
          </w:p>
        </w:tc>
      </w:tr>
      <w:tr w:rsidR="00767B75" w:rsidRPr="00DE108C" w14:paraId="103B272E" w14:textId="77777777" w:rsidTr="00BE0229">
        <w:trPr>
          <w:trHeight w:val="6158"/>
        </w:trPr>
        <w:tc>
          <w:tcPr>
            <w:tcW w:w="1552" w:type="dxa"/>
          </w:tcPr>
          <w:p w14:paraId="54EA57FD" w14:textId="77777777" w:rsidR="00767B75" w:rsidRPr="00DE108C" w:rsidRDefault="00767B75">
            <w:pPr>
              <w:rPr>
                <w:rFonts w:eastAsiaTheme="minorEastAsia"/>
                <w:sz w:val="16"/>
                <w:szCs w:val="20"/>
              </w:rPr>
            </w:pPr>
            <w:r w:rsidRPr="00DE108C">
              <w:rPr>
                <w:rFonts w:eastAsiaTheme="minorEastAsia"/>
                <w:b/>
                <w:bCs/>
                <w:sz w:val="16"/>
                <w:szCs w:val="20"/>
              </w:rPr>
              <w:t>P</w:t>
            </w:r>
            <w:r w:rsidRPr="00DE108C">
              <w:rPr>
                <w:rFonts w:eastAsiaTheme="minorEastAsia"/>
                <w:sz w:val="16"/>
                <w:szCs w:val="20"/>
              </w:rPr>
              <w:t>erformance </w:t>
            </w:r>
          </w:p>
        </w:tc>
        <w:tc>
          <w:tcPr>
            <w:tcW w:w="1134" w:type="dxa"/>
          </w:tcPr>
          <w:p w14:paraId="3D3E5802" w14:textId="77777777" w:rsidR="00767B75" w:rsidRPr="00DE108C" w:rsidRDefault="00767B75">
            <w:pPr>
              <w:rPr>
                <w:rFonts w:eastAsiaTheme="minorEastAsia"/>
                <w:sz w:val="16"/>
                <w:szCs w:val="20"/>
              </w:rPr>
            </w:pPr>
            <w:r w:rsidRPr="00DE108C">
              <w:rPr>
                <w:rFonts w:eastAsiaTheme="minorEastAsia"/>
                <w:sz w:val="16"/>
                <w:szCs w:val="20"/>
              </w:rPr>
              <w:t>Standard</w:t>
            </w:r>
          </w:p>
        </w:tc>
        <w:tc>
          <w:tcPr>
            <w:tcW w:w="6914" w:type="dxa"/>
          </w:tcPr>
          <w:p w14:paraId="1BC30910" w14:textId="77777777" w:rsidR="00767B75" w:rsidRPr="00DE108C" w:rsidRDefault="00767B75">
            <w:pPr>
              <w:rPr>
                <w:rFonts w:eastAsiaTheme="minorEastAsia"/>
                <w:sz w:val="16"/>
                <w:szCs w:val="20"/>
              </w:rPr>
            </w:pPr>
            <w:r w:rsidRPr="00DE108C">
              <w:rPr>
                <w:rFonts w:eastAsiaTheme="minorEastAsia"/>
                <w:sz w:val="16"/>
                <w:szCs w:val="20"/>
              </w:rPr>
              <w:t>Melbourne Water met or exceeded all targets related to the provision of its core water, sewerage and waterways and drainage services in the 2021-26 period, which customers and community tell us are the most important aspect of our performance. This was achieved while servicing a significantly higher population and meeting greater demand than forecast in the 2021 Price Submission</w:t>
            </w:r>
            <w:r w:rsidRPr="00DE108C">
              <w:rPr>
                <w:sz w:val="16"/>
                <w:szCs w:val="20"/>
              </w:rPr>
              <w:t xml:space="preserve"> (set conservatively in the COVID-19 context)</w:t>
            </w:r>
            <w:r w:rsidRPr="00DE108C">
              <w:rPr>
                <w:rFonts w:eastAsiaTheme="minorEastAsia"/>
                <w:sz w:val="16"/>
                <w:szCs w:val="20"/>
              </w:rPr>
              <w:t>.</w:t>
            </w:r>
          </w:p>
          <w:p w14:paraId="243F7777" w14:textId="77777777" w:rsidR="00767B75" w:rsidRPr="00DE108C" w:rsidRDefault="00767B75">
            <w:pPr>
              <w:rPr>
                <w:rFonts w:eastAsiaTheme="minorEastAsia"/>
                <w:sz w:val="16"/>
                <w:szCs w:val="20"/>
              </w:rPr>
            </w:pPr>
            <w:r w:rsidRPr="00DE108C">
              <w:rPr>
                <w:rFonts w:eastAsiaTheme="minorEastAsia"/>
                <w:sz w:val="16"/>
                <w:szCs w:val="20"/>
              </w:rPr>
              <w:t>As well as meeting population growth, Melbourne Water was required to respond to the October 2022 flood event, which involved a significant response effort.</w:t>
            </w:r>
          </w:p>
          <w:p w14:paraId="31D6E31A" w14:textId="53E10444" w:rsidR="00767B75" w:rsidRPr="00DE108C" w:rsidRDefault="00767B75">
            <w:pPr>
              <w:rPr>
                <w:rFonts w:eastAsiaTheme="minorEastAsia"/>
                <w:sz w:val="16"/>
                <w:szCs w:val="20"/>
              </w:rPr>
            </w:pPr>
            <w:r w:rsidRPr="00DE108C">
              <w:rPr>
                <w:rFonts w:eastAsiaTheme="minorEastAsia"/>
                <w:sz w:val="16"/>
                <w:szCs w:val="20"/>
              </w:rPr>
              <w:t xml:space="preserve">These external drivers unavoidably increased our operating expenditure beyond the 2021 Price Submission benchmark and contributed to delays to the capital program and some of our more ambitious waterways and drainage programs. Despite these challenges, our actual 2021-26 capital expenditure is forecast to be </w:t>
            </w:r>
            <w:r w:rsidR="00044094">
              <w:rPr>
                <w:rFonts w:eastAsiaTheme="minorEastAsia"/>
                <w:sz w:val="16"/>
                <w:szCs w:val="20"/>
              </w:rPr>
              <w:t>in line</w:t>
            </w:r>
            <w:r w:rsidRPr="00DE108C">
              <w:rPr>
                <w:rFonts w:eastAsiaTheme="minorEastAsia"/>
                <w:sz w:val="16"/>
                <w:szCs w:val="20"/>
              </w:rPr>
              <w:t xml:space="preserve"> with the benchmark allowance and provides significant confidence in our ability to deliver an expanded capital program in the forthcoming 2026-31 period.</w:t>
            </w:r>
          </w:p>
          <w:p w14:paraId="1BD3323E" w14:textId="0D3BC25E" w:rsidR="00767B75" w:rsidRPr="00DE108C" w:rsidRDefault="00767B75">
            <w:pPr>
              <w:rPr>
                <w:rFonts w:eastAsiaTheme="minorEastAsia"/>
                <w:sz w:val="16"/>
                <w:szCs w:val="20"/>
              </w:rPr>
            </w:pPr>
            <w:r w:rsidRPr="00DE108C">
              <w:rPr>
                <w:rFonts w:eastAsiaTheme="minorEastAsia"/>
                <w:sz w:val="16"/>
                <w:szCs w:val="20"/>
              </w:rPr>
              <w:t>Our own customer survey work shows that we have maintained strong satisfaction and reputation with our key customer cohorts over the regulatory period. While we did not reach the stretch customer satisfaction targets with the methodology we set for ourselves, we have already worked proactively with our customers to address this in the 2026</w:t>
            </w:r>
            <w:r w:rsidR="009F2FE4">
              <w:rPr>
                <w:rFonts w:eastAsiaTheme="minorEastAsia"/>
                <w:sz w:val="16"/>
                <w:szCs w:val="20"/>
              </w:rPr>
              <w:t>-31</w:t>
            </w:r>
            <w:r w:rsidRPr="00DE108C">
              <w:rPr>
                <w:rFonts w:eastAsiaTheme="minorEastAsia"/>
                <w:sz w:val="16"/>
                <w:szCs w:val="20"/>
              </w:rPr>
              <w:t xml:space="preserve"> period.  </w:t>
            </w:r>
          </w:p>
        </w:tc>
      </w:tr>
      <w:tr w:rsidR="00767B75" w:rsidRPr="00DE108C" w14:paraId="691B1D08" w14:textId="77777777" w:rsidTr="00BE0229">
        <w:trPr>
          <w:cnfStyle w:val="000000010000" w:firstRow="0" w:lastRow="0" w:firstColumn="0" w:lastColumn="0" w:oddVBand="0" w:evenVBand="0" w:oddHBand="0" w:evenHBand="1" w:firstRowFirstColumn="0" w:firstRowLastColumn="0" w:lastRowFirstColumn="0" w:lastRowLastColumn="0"/>
          <w:trHeight w:val="300"/>
        </w:trPr>
        <w:tc>
          <w:tcPr>
            <w:tcW w:w="1552" w:type="dxa"/>
          </w:tcPr>
          <w:p w14:paraId="485ABB18" w14:textId="77777777" w:rsidR="00767B75" w:rsidRPr="00DE108C" w:rsidRDefault="00767B75">
            <w:pPr>
              <w:rPr>
                <w:rFonts w:eastAsiaTheme="minorEastAsia"/>
                <w:sz w:val="16"/>
                <w:szCs w:val="20"/>
              </w:rPr>
            </w:pPr>
            <w:r w:rsidRPr="00DE108C">
              <w:rPr>
                <w:rFonts w:eastAsiaTheme="minorEastAsia"/>
                <w:b/>
                <w:bCs/>
                <w:sz w:val="16"/>
                <w:szCs w:val="20"/>
              </w:rPr>
              <w:t>R</w:t>
            </w:r>
            <w:r w:rsidRPr="00DE108C">
              <w:rPr>
                <w:rFonts w:eastAsiaTheme="minorEastAsia"/>
                <w:sz w:val="16"/>
                <w:szCs w:val="20"/>
              </w:rPr>
              <w:t>isk </w:t>
            </w:r>
          </w:p>
        </w:tc>
        <w:tc>
          <w:tcPr>
            <w:tcW w:w="1134" w:type="dxa"/>
          </w:tcPr>
          <w:p w14:paraId="5BC86813" w14:textId="77777777" w:rsidR="00767B75" w:rsidRPr="00DE108C" w:rsidRDefault="00767B75">
            <w:pPr>
              <w:rPr>
                <w:rFonts w:eastAsiaTheme="minorEastAsia"/>
                <w:sz w:val="16"/>
                <w:szCs w:val="20"/>
              </w:rPr>
            </w:pPr>
            <w:r w:rsidRPr="00DE108C">
              <w:rPr>
                <w:rFonts w:eastAsiaTheme="minorEastAsia"/>
                <w:sz w:val="16"/>
                <w:szCs w:val="20"/>
              </w:rPr>
              <w:t xml:space="preserve">Standard </w:t>
            </w:r>
          </w:p>
        </w:tc>
        <w:tc>
          <w:tcPr>
            <w:tcW w:w="6914" w:type="dxa"/>
          </w:tcPr>
          <w:p w14:paraId="324D915F" w14:textId="77777777" w:rsidR="00767B75" w:rsidRPr="00DE108C" w:rsidRDefault="00767B75">
            <w:pPr>
              <w:rPr>
                <w:rFonts w:eastAsiaTheme="minorEastAsia"/>
                <w:sz w:val="16"/>
                <w:szCs w:val="20"/>
              </w:rPr>
            </w:pPr>
            <w:r w:rsidRPr="00DE108C">
              <w:rPr>
                <w:rFonts w:eastAsiaTheme="minorEastAsia"/>
                <w:sz w:val="16"/>
                <w:szCs w:val="20"/>
              </w:rPr>
              <w:t>Through engagement with the water corporations and our broader customer community, Melbourne Water has undertaken a significant assessment of risks that may impact on customer prices or services, the appropriate allocation of risk and risk appetite.</w:t>
            </w:r>
          </w:p>
          <w:p w14:paraId="64CEB5A3" w14:textId="3E72500B" w:rsidR="00767B75" w:rsidRPr="00DE108C" w:rsidRDefault="00767B75" w:rsidP="35762B23">
            <w:pPr>
              <w:rPr>
                <w:rFonts w:eastAsiaTheme="minorEastAsia"/>
                <w:sz w:val="16"/>
                <w:szCs w:val="16"/>
              </w:rPr>
            </w:pPr>
            <w:r w:rsidRPr="56E13B8F">
              <w:rPr>
                <w:rFonts w:eastAsiaTheme="minorEastAsia"/>
                <w:sz w:val="16"/>
                <w:szCs w:val="16"/>
              </w:rPr>
              <w:t xml:space="preserve">We have accepted additional risks on behalf of customers, </w:t>
            </w:r>
            <w:r w:rsidRPr="56E13B8F">
              <w:rPr>
                <w:sz w:val="16"/>
                <w:szCs w:val="16"/>
              </w:rPr>
              <w:t xml:space="preserve">including financial and revenue risks associated with the capital expenditure program, providing an uplift in deliverability risk management capability to ensure that customers receive what they pay for, increasing our exposure to demand and revenue risk through higher volumetric prices and backing our commitment to Outcome 1 through a new back-to-back water quality </w:t>
            </w:r>
            <w:r w:rsidR="7BE7C1ED" w:rsidRPr="56E13B8F">
              <w:rPr>
                <w:sz w:val="16"/>
                <w:szCs w:val="16"/>
              </w:rPr>
              <w:t>Guaranteed</w:t>
            </w:r>
            <w:r w:rsidR="46E3887C" w:rsidRPr="56E13B8F">
              <w:rPr>
                <w:sz w:val="16"/>
                <w:szCs w:val="16"/>
              </w:rPr>
              <w:t xml:space="preserve"> Service Level (</w:t>
            </w:r>
            <w:r w:rsidRPr="56E13B8F">
              <w:rPr>
                <w:sz w:val="16"/>
                <w:szCs w:val="16"/>
              </w:rPr>
              <w:t>GSL</w:t>
            </w:r>
            <w:r w:rsidR="3A6F4BC6" w:rsidRPr="56E13B8F">
              <w:rPr>
                <w:sz w:val="16"/>
                <w:szCs w:val="16"/>
              </w:rPr>
              <w:t>)</w:t>
            </w:r>
            <w:r w:rsidRPr="56E13B8F">
              <w:rPr>
                <w:sz w:val="16"/>
                <w:szCs w:val="16"/>
              </w:rPr>
              <w:t xml:space="preserve"> payment.</w:t>
            </w:r>
          </w:p>
        </w:tc>
      </w:tr>
      <w:tr w:rsidR="00767B75" w:rsidRPr="00DE108C" w14:paraId="4193D7F3" w14:textId="77777777" w:rsidTr="00BE0229">
        <w:trPr>
          <w:trHeight w:val="300"/>
        </w:trPr>
        <w:tc>
          <w:tcPr>
            <w:tcW w:w="1552" w:type="dxa"/>
          </w:tcPr>
          <w:p w14:paraId="5035AE8C" w14:textId="77777777" w:rsidR="00767B75" w:rsidRPr="00DE108C" w:rsidRDefault="00767B75">
            <w:pPr>
              <w:rPr>
                <w:rFonts w:eastAsiaTheme="minorEastAsia"/>
                <w:sz w:val="16"/>
                <w:szCs w:val="20"/>
              </w:rPr>
            </w:pPr>
            <w:r w:rsidRPr="00DE108C">
              <w:rPr>
                <w:rFonts w:eastAsiaTheme="minorEastAsia"/>
                <w:b/>
                <w:bCs/>
                <w:sz w:val="16"/>
                <w:szCs w:val="20"/>
              </w:rPr>
              <w:t>E</w:t>
            </w:r>
            <w:r w:rsidRPr="00DE108C">
              <w:rPr>
                <w:rFonts w:eastAsiaTheme="minorEastAsia"/>
                <w:sz w:val="16"/>
                <w:szCs w:val="20"/>
              </w:rPr>
              <w:t>ngagement </w:t>
            </w:r>
          </w:p>
        </w:tc>
        <w:tc>
          <w:tcPr>
            <w:tcW w:w="1134" w:type="dxa"/>
          </w:tcPr>
          <w:p w14:paraId="36760741" w14:textId="77777777" w:rsidR="00767B75" w:rsidRPr="00DE108C" w:rsidRDefault="00767B75">
            <w:pPr>
              <w:rPr>
                <w:rFonts w:eastAsiaTheme="minorEastAsia"/>
                <w:sz w:val="16"/>
                <w:szCs w:val="20"/>
              </w:rPr>
            </w:pPr>
            <w:r w:rsidRPr="00DE108C">
              <w:rPr>
                <w:rFonts w:eastAsiaTheme="minorEastAsia"/>
                <w:sz w:val="16"/>
                <w:szCs w:val="20"/>
              </w:rPr>
              <w:t>Standard</w:t>
            </w:r>
          </w:p>
        </w:tc>
        <w:tc>
          <w:tcPr>
            <w:tcW w:w="6914" w:type="dxa"/>
          </w:tcPr>
          <w:p w14:paraId="69010CA5" w14:textId="77777777" w:rsidR="00767B75" w:rsidRPr="00DE108C" w:rsidRDefault="00767B75">
            <w:pPr>
              <w:rPr>
                <w:rFonts w:eastAsiaTheme="minorEastAsia"/>
                <w:sz w:val="16"/>
                <w:szCs w:val="20"/>
              </w:rPr>
            </w:pPr>
            <w:r w:rsidRPr="00DE108C">
              <w:rPr>
                <w:rFonts w:eastAsiaTheme="minorEastAsia"/>
                <w:sz w:val="16"/>
                <w:szCs w:val="20"/>
              </w:rPr>
              <w:t>We have sought customer views early and often and have reflected their views into our proposal. For the first time, we published a draft price submission (known as ‘Public Playback’) and asked for feedback, generating a metro-wide conversation on our pricing proposal. We have also segmented our engagement program to target the following customer cohorts to influence our final submission:</w:t>
            </w:r>
          </w:p>
          <w:p w14:paraId="684F1372" w14:textId="77777777" w:rsidR="00767B75" w:rsidRPr="00DE108C" w:rsidRDefault="00767B75">
            <w:pPr>
              <w:pStyle w:val="ListBullet"/>
              <w:numPr>
                <w:ilvl w:val="0"/>
                <w:numId w:val="21"/>
              </w:numPr>
              <w:ind w:left="450"/>
              <w:rPr>
                <w:rFonts w:eastAsiaTheme="minorEastAsia"/>
                <w:sz w:val="16"/>
                <w:szCs w:val="16"/>
              </w:rPr>
            </w:pPr>
            <w:r w:rsidRPr="00DE108C">
              <w:rPr>
                <w:rFonts w:eastAsiaTheme="minorEastAsia"/>
                <w:sz w:val="16"/>
                <w:szCs w:val="16"/>
              </w:rPr>
              <w:t>water corporations</w:t>
            </w:r>
          </w:p>
          <w:p w14:paraId="3CA9DFC5" w14:textId="0CF00F26" w:rsidR="00767B75" w:rsidRPr="00DE108C" w:rsidRDefault="00767B75">
            <w:pPr>
              <w:pStyle w:val="ListBullet"/>
              <w:numPr>
                <w:ilvl w:val="0"/>
                <w:numId w:val="21"/>
              </w:numPr>
              <w:ind w:left="450"/>
              <w:rPr>
                <w:rFonts w:eastAsiaTheme="minorEastAsia"/>
                <w:sz w:val="16"/>
                <w:szCs w:val="16"/>
              </w:rPr>
            </w:pPr>
            <w:r w:rsidRPr="00DE108C">
              <w:rPr>
                <w:rFonts w:eastAsiaTheme="minorEastAsia"/>
                <w:sz w:val="16"/>
                <w:szCs w:val="16"/>
              </w:rPr>
              <w:t>end-use customers</w:t>
            </w:r>
            <w:r w:rsidR="00CA5F75">
              <w:rPr>
                <w:rFonts w:eastAsiaTheme="minorEastAsia"/>
                <w:sz w:val="16"/>
                <w:szCs w:val="16"/>
              </w:rPr>
              <w:t xml:space="preserve">, including customers experiencing vulnerability </w:t>
            </w:r>
          </w:p>
          <w:p w14:paraId="7072DDE0" w14:textId="7C587DFC" w:rsidR="00381F21" w:rsidRDefault="00381F21">
            <w:pPr>
              <w:pStyle w:val="ListBullet"/>
              <w:numPr>
                <w:ilvl w:val="0"/>
                <w:numId w:val="21"/>
              </w:numPr>
              <w:ind w:left="450"/>
              <w:rPr>
                <w:rFonts w:eastAsiaTheme="minorEastAsia"/>
                <w:sz w:val="16"/>
                <w:szCs w:val="16"/>
              </w:rPr>
            </w:pPr>
            <w:r>
              <w:rPr>
                <w:rFonts w:eastAsiaTheme="minorEastAsia"/>
                <w:sz w:val="16"/>
                <w:szCs w:val="16"/>
              </w:rPr>
              <w:t>Traditional Owners</w:t>
            </w:r>
          </w:p>
          <w:p w14:paraId="5BFA5CDC" w14:textId="7187591F" w:rsidR="00767B75" w:rsidRPr="00DE108C" w:rsidRDefault="00767B75">
            <w:pPr>
              <w:pStyle w:val="ListBullet"/>
              <w:numPr>
                <w:ilvl w:val="0"/>
                <w:numId w:val="21"/>
              </w:numPr>
              <w:ind w:left="450"/>
              <w:rPr>
                <w:rFonts w:eastAsiaTheme="minorEastAsia"/>
                <w:sz w:val="16"/>
                <w:szCs w:val="16"/>
              </w:rPr>
            </w:pPr>
            <w:r w:rsidRPr="00DE108C">
              <w:rPr>
                <w:rFonts w:eastAsiaTheme="minorEastAsia"/>
                <w:sz w:val="16"/>
                <w:szCs w:val="16"/>
              </w:rPr>
              <w:lastRenderedPageBreak/>
              <w:t>direct service customers</w:t>
            </w:r>
          </w:p>
          <w:p w14:paraId="55AF212D" w14:textId="4117640E" w:rsidR="00A976ED" w:rsidRPr="00DE108C" w:rsidRDefault="00A976ED">
            <w:pPr>
              <w:pStyle w:val="ListBullet"/>
              <w:numPr>
                <w:ilvl w:val="0"/>
                <w:numId w:val="21"/>
              </w:numPr>
              <w:ind w:left="450"/>
              <w:rPr>
                <w:rFonts w:eastAsiaTheme="minorEastAsia"/>
                <w:sz w:val="16"/>
                <w:szCs w:val="16"/>
              </w:rPr>
            </w:pPr>
            <w:r>
              <w:rPr>
                <w:rFonts w:eastAsiaTheme="minorEastAsia"/>
                <w:sz w:val="16"/>
                <w:szCs w:val="16"/>
              </w:rPr>
              <w:t>community sector organisations</w:t>
            </w:r>
          </w:p>
          <w:p w14:paraId="7B4FFC9E" w14:textId="0F9F3696" w:rsidR="00767B75" w:rsidRPr="00DE108C" w:rsidRDefault="00767B75">
            <w:pPr>
              <w:pStyle w:val="ListBullet"/>
              <w:numPr>
                <w:ilvl w:val="0"/>
                <w:numId w:val="21"/>
              </w:numPr>
              <w:ind w:left="450"/>
              <w:rPr>
                <w:rFonts w:eastAsiaTheme="minorEastAsia"/>
                <w:sz w:val="16"/>
                <w:szCs w:val="16"/>
              </w:rPr>
            </w:pPr>
            <w:r w:rsidRPr="00DE108C">
              <w:rPr>
                <w:rFonts w:eastAsiaTheme="minorEastAsia"/>
                <w:sz w:val="16"/>
                <w:szCs w:val="16"/>
              </w:rPr>
              <w:t xml:space="preserve">developers. </w:t>
            </w:r>
          </w:p>
          <w:p w14:paraId="469B38A0" w14:textId="77777777" w:rsidR="00767B75" w:rsidRPr="00DE108C" w:rsidRDefault="00767B75">
            <w:pPr>
              <w:rPr>
                <w:rFonts w:eastAsiaTheme="minorEastAsia"/>
                <w:sz w:val="16"/>
                <w:szCs w:val="20"/>
              </w:rPr>
            </w:pPr>
            <w:r w:rsidRPr="00DE108C">
              <w:rPr>
                <w:rFonts w:eastAsiaTheme="minorEastAsia"/>
                <w:sz w:val="16"/>
                <w:szCs w:val="20"/>
              </w:rPr>
              <w:t xml:space="preserve">Our engagements have been open and accessible. We have put particular effort into reaching those who may experience barriers to participation. </w:t>
            </w:r>
          </w:p>
          <w:p w14:paraId="4BD83C73" w14:textId="42BEA141" w:rsidR="00767B75" w:rsidRPr="00DE108C" w:rsidRDefault="00767B75" w:rsidP="35762B23">
            <w:pPr>
              <w:rPr>
                <w:rFonts w:eastAsiaTheme="minorEastAsia"/>
                <w:sz w:val="16"/>
                <w:szCs w:val="20"/>
              </w:rPr>
            </w:pPr>
            <w:r w:rsidRPr="00DE108C">
              <w:rPr>
                <w:rFonts w:eastAsiaTheme="minorEastAsia"/>
                <w:sz w:val="16"/>
                <w:szCs w:val="20"/>
              </w:rPr>
              <w:t xml:space="preserve">Our customers led our </w:t>
            </w:r>
            <w:r w:rsidR="4AB08500" w:rsidRPr="00DE108C">
              <w:rPr>
                <w:rFonts w:eastAsiaTheme="minorEastAsia"/>
                <w:sz w:val="16"/>
                <w:szCs w:val="20"/>
              </w:rPr>
              <w:t>s</w:t>
            </w:r>
            <w:r w:rsidRPr="00DE108C">
              <w:rPr>
                <w:rFonts w:eastAsiaTheme="minorEastAsia"/>
                <w:sz w:val="16"/>
                <w:szCs w:val="20"/>
              </w:rPr>
              <w:t xml:space="preserve">ubmission, with the water corporations having significant influence over key decisions, including GSLs (rebate amount and conditions), price paths, investments, planning and Outcomes. End-use customers have also influenced our decision-making, with customer values, priorities and expectations helping guide our decisions and ensuring our proposed investments are aligned to our Outcomes. </w:t>
            </w:r>
          </w:p>
        </w:tc>
      </w:tr>
      <w:tr w:rsidR="00767B75" w:rsidRPr="00DE108C" w14:paraId="54359CC0" w14:textId="77777777" w:rsidTr="00BE0229">
        <w:trPr>
          <w:cnfStyle w:val="000000010000" w:firstRow="0" w:lastRow="0" w:firstColumn="0" w:lastColumn="0" w:oddVBand="0" w:evenVBand="0" w:oddHBand="0" w:evenHBand="1" w:firstRowFirstColumn="0" w:firstRowLastColumn="0" w:lastRowFirstColumn="0" w:lastRowLastColumn="0"/>
          <w:trHeight w:val="300"/>
        </w:trPr>
        <w:tc>
          <w:tcPr>
            <w:tcW w:w="1552" w:type="dxa"/>
          </w:tcPr>
          <w:p w14:paraId="5FD06CC0" w14:textId="77777777" w:rsidR="00767B75" w:rsidRPr="00DE108C" w:rsidRDefault="00767B75">
            <w:pPr>
              <w:rPr>
                <w:rFonts w:eastAsiaTheme="minorEastAsia"/>
                <w:sz w:val="16"/>
                <w:szCs w:val="20"/>
              </w:rPr>
            </w:pPr>
            <w:r w:rsidRPr="00DE108C">
              <w:rPr>
                <w:rFonts w:eastAsiaTheme="minorEastAsia"/>
                <w:b/>
                <w:bCs/>
                <w:sz w:val="16"/>
                <w:szCs w:val="20"/>
              </w:rPr>
              <w:lastRenderedPageBreak/>
              <w:t>M</w:t>
            </w:r>
            <w:r w:rsidRPr="00DE108C">
              <w:rPr>
                <w:rFonts w:eastAsiaTheme="minorEastAsia"/>
                <w:sz w:val="16"/>
                <w:szCs w:val="20"/>
              </w:rPr>
              <w:t>anagement </w:t>
            </w:r>
          </w:p>
        </w:tc>
        <w:tc>
          <w:tcPr>
            <w:tcW w:w="1134" w:type="dxa"/>
          </w:tcPr>
          <w:p w14:paraId="59E8FC08" w14:textId="77777777" w:rsidR="00767B75" w:rsidRPr="00DE108C" w:rsidRDefault="00767B75">
            <w:pPr>
              <w:rPr>
                <w:sz w:val="16"/>
                <w:szCs w:val="20"/>
              </w:rPr>
            </w:pPr>
            <w:r w:rsidRPr="00DE108C">
              <w:rPr>
                <w:rFonts w:eastAsiaTheme="minorEastAsia"/>
                <w:sz w:val="16"/>
                <w:szCs w:val="20"/>
              </w:rPr>
              <w:t>Standard</w:t>
            </w:r>
          </w:p>
        </w:tc>
        <w:tc>
          <w:tcPr>
            <w:tcW w:w="6914" w:type="dxa"/>
          </w:tcPr>
          <w:p w14:paraId="5A19A987" w14:textId="2015CC72" w:rsidR="00767B75" w:rsidRPr="00DE108C" w:rsidRDefault="00767B75" w:rsidP="35762B23">
            <w:pPr>
              <w:rPr>
                <w:rFonts w:eastAsiaTheme="minorEastAsia"/>
                <w:sz w:val="16"/>
                <w:szCs w:val="16"/>
              </w:rPr>
            </w:pPr>
            <w:r w:rsidRPr="56E13B8F">
              <w:rPr>
                <w:rFonts w:eastAsiaTheme="minorEastAsia"/>
                <w:sz w:val="16"/>
                <w:szCs w:val="16"/>
              </w:rPr>
              <w:t xml:space="preserve">Melbourne </w:t>
            </w:r>
            <w:r w:rsidR="41413C93" w:rsidRPr="56E13B8F">
              <w:rPr>
                <w:rFonts w:eastAsiaTheme="minorEastAsia"/>
                <w:sz w:val="16"/>
                <w:szCs w:val="16"/>
              </w:rPr>
              <w:t>W</w:t>
            </w:r>
            <w:r w:rsidRPr="56E13B8F">
              <w:rPr>
                <w:rFonts w:eastAsiaTheme="minorEastAsia"/>
                <w:sz w:val="16"/>
                <w:szCs w:val="16"/>
              </w:rPr>
              <w:t xml:space="preserve">ater has been </w:t>
            </w:r>
            <w:r w:rsidR="209E643B" w:rsidRPr="56E13B8F">
              <w:rPr>
                <w:rFonts w:eastAsiaTheme="minorEastAsia"/>
                <w:sz w:val="16"/>
                <w:szCs w:val="16"/>
              </w:rPr>
              <w:t>an</w:t>
            </w:r>
            <w:r w:rsidRPr="56E13B8F">
              <w:rPr>
                <w:rFonts w:eastAsiaTheme="minorEastAsia"/>
                <w:sz w:val="16"/>
                <w:szCs w:val="16"/>
              </w:rPr>
              <w:t xml:space="preserve"> ‘open book’ with customers, community and stakeholders in the development of the </w:t>
            </w:r>
            <w:r w:rsidR="5BD23D84" w:rsidRPr="56E13B8F">
              <w:rPr>
                <w:rFonts w:eastAsiaTheme="minorEastAsia"/>
                <w:sz w:val="16"/>
                <w:szCs w:val="16"/>
              </w:rPr>
              <w:t>s</w:t>
            </w:r>
            <w:r w:rsidRPr="56E13B8F">
              <w:rPr>
                <w:rFonts w:eastAsiaTheme="minorEastAsia"/>
                <w:sz w:val="16"/>
                <w:szCs w:val="16"/>
              </w:rPr>
              <w:t xml:space="preserve">ubmission, reinforced by strong executive and Board oversight. The </w:t>
            </w:r>
            <w:r w:rsidR="2AC4074F" w:rsidRPr="56E13B8F">
              <w:rPr>
                <w:rFonts w:eastAsiaTheme="minorEastAsia"/>
                <w:sz w:val="16"/>
                <w:szCs w:val="16"/>
              </w:rPr>
              <w:t>s</w:t>
            </w:r>
            <w:r w:rsidRPr="56E13B8F">
              <w:rPr>
                <w:rFonts w:eastAsiaTheme="minorEastAsia"/>
                <w:sz w:val="16"/>
                <w:szCs w:val="16"/>
              </w:rPr>
              <w:t xml:space="preserve">ubmission reflects prudent and efficient expenditure, including an operating expenditure efficiency target consistent with businesses achieving an ‘Advanced’ rating under PREMO. </w:t>
            </w:r>
          </w:p>
          <w:p w14:paraId="25898C17" w14:textId="515A34BA" w:rsidR="00767B75" w:rsidRPr="00DE108C" w:rsidRDefault="00767B75">
            <w:pPr>
              <w:rPr>
                <w:rFonts w:eastAsiaTheme="minorEastAsia"/>
                <w:sz w:val="16"/>
                <w:szCs w:val="20"/>
              </w:rPr>
            </w:pPr>
            <w:r w:rsidRPr="00DE108C">
              <w:rPr>
                <w:rFonts w:eastAsiaTheme="minorEastAsia"/>
                <w:sz w:val="16"/>
                <w:szCs w:val="20"/>
              </w:rPr>
              <w:t>We have undertaken robust cost benefit</w:t>
            </w:r>
            <w:r w:rsidR="005420D9">
              <w:rPr>
                <w:rFonts w:eastAsiaTheme="minorEastAsia"/>
                <w:sz w:val="16"/>
                <w:szCs w:val="20"/>
              </w:rPr>
              <w:t xml:space="preserve"> analysis</w:t>
            </w:r>
            <w:r w:rsidRPr="00DE108C">
              <w:rPr>
                <w:rFonts w:eastAsiaTheme="minorEastAsia"/>
                <w:sz w:val="16"/>
                <w:szCs w:val="20"/>
              </w:rPr>
              <w:t xml:space="preserve"> and risk-based planning to confirm the prudency and efficiency of the proposed capital program. The program has been refined to ensure its deliverability. It is ambitious, but our analysis and recent experience demonstrates that further delays in renewing and expanding our asset capacity will have direct consequences for both customers and the environment. Ongoing deferral of essential investment leads to a cycle of reactive spending that becomes increasingly difficult to manage, ultimately driving up project costs and heightening the risk of major adverse events.</w:t>
            </w:r>
          </w:p>
          <w:p w14:paraId="28D02559" w14:textId="77777777" w:rsidR="00767B75" w:rsidRPr="00DE108C" w:rsidRDefault="00767B75">
            <w:pPr>
              <w:rPr>
                <w:rFonts w:eastAsiaTheme="minorEastAsia"/>
                <w:sz w:val="16"/>
                <w:szCs w:val="20"/>
              </w:rPr>
            </w:pPr>
            <w:r w:rsidRPr="00DE108C">
              <w:rPr>
                <w:rFonts w:eastAsiaTheme="minorEastAsia"/>
                <w:sz w:val="16"/>
                <w:szCs w:val="20"/>
              </w:rPr>
              <w:t>We continue to manage additional obligations and increasing costs across our supply chain. We have managed these risks across the current regulatory period and will continue to manage these across the next regulatory period.</w:t>
            </w:r>
          </w:p>
        </w:tc>
      </w:tr>
      <w:tr w:rsidR="00767B75" w:rsidRPr="00DE108C" w14:paraId="4863F4D9" w14:textId="77777777" w:rsidTr="00BE0229">
        <w:trPr>
          <w:trHeight w:val="300"/>
        </w:trPr>
        <w:tc>
          <w:tcPr>
            <w:tcW w:w="1552" w:type="dxa"/>
          </w:tcPr>
          <w:p w14:paraId="27CB4E4A" w14:textId="77777777" w:rsidR="00767B75" w:rsidRPr="00DE108C" w:rsidRDefault="00767B75">
            <w:pPr>
              <w:rPr>
                <w:rFonts w:eastAsiaTheme="minorEastAsia"/>
                <w:sz w:val="16"/>
                <w:szCs w:val="20"/>
              </w:rPr>
            </w:pPr>
            <w:r w:rsidRPr="00DE108C">
              <w:rPr>
                <w:rFonts w:eastAsiaTheme="minorEastAsia"/>
                <w:b/>
                <w:bCs/>
                <w:sz w:val="16"/>
                <w:szCs w:val="20"/>
              </w:rPr>
              <w:t>O</w:t>
            </w:r>
            <w:r w:rsidRPr="00DE108C">
              <w:rPr>
                <w:rFonts w:eastAsiaTheme="minorEastAsia"/>
                <w:sz w:val="16"/>
                <w:szCs w:val="20"/>
              </w:rPr>
              <w:t>utcomes </w:t>
            </w:r>
          </w:p>
        </w:tc>
        <w:tc>
          <w:tcPr>
            <w:tcW w:w="1134" w:type="dxa"/>
          </w:tcPr>
          <w:p w14:paraId="3D872CDF" w14:textId="77777777" w:rsidR="00767B75" w:rsidRPr="00DE108C" w:rsidRDefault="00767B75">
            <w:pPr>
              <w:rPr>
                <w:rFonts w:eastAsiaTheme="minorEastAsia"/>
                <w:sz w:val="16"/>
                <w:szCs w:val="20"/>
              </w:rPr>
            </w:pPr>
            <w:r w:rsidRPr="00DE108C">
              <w:rPr>
                <w:rFonts w:eastAsiaTheme="minorEastAsia"/>
                <w:sz w:val="16"/>
                <w:szCs w:val="20"/>
              </w:rPr>
              <w:t>Standard</w:t>
            </w:r>
          </w:p>
        </w:tc>
        <w:tc>
          <w:tcPr>
            <w:tcW w:w="6914" w:type="dxa"/>
          </w:tcPr>
          <w:p w14:paraId="05D14580" w14:textId="57768DB0" w:rsidR="00767B75" w:rsidRPr="00DE108C" w:rsidRDefault="00767B75">
            <w:pPr>
              <w:rPr>
                <w:rFonts w:eastAsiaTheme="minorEastAsia"/>
                <w:sz w:val="16"/>
                <w:szCs w:val="16"/>
              </w:rPr>
            </w:pPr>
            <w:r w:rsidRPr="00972B7F">
              <w:rPr>
                <w:rFonts w:eastAsiaTheme="minorEastAsia"/>
                <w:sz w:val="16"/>
                <w:szCs w:val="16"/>
              </w:rPr>
              <w:t>We have simplified our Outcomes, focusing on what is most important to customers</w:t>
            </w:r>
            <w:r w:rsidR="0035649E" w:rsidRPr="00972B7F">
              <w:rPr>
                <w:rFonts w:eastAsiaTheme="minorEastAsia"/>
                <w:sz w:val="16"/>
                <w:szCs w:val="16"/>
              </w:rPr>
              <w:t>,</w:t>
            </w:r>
            <w:r w:rsidRPr="00972B7F">
              <w:rPr>
                <w:rFonts w:eastAsiaTheme="minorEastAsia"/>
                <w:sz w:val="16"/>
                <w:szCs w:val="16"/>
              </w:rPr>
              <w:t xml:space="preserve"> with a clearer line of sight </w:t>
            </w:r>
            <w:r w:rsidR="00A579EE" w:rsidRPr="00972B7F">
              <w:rPr>
                <w:rFonts w:eastAsiaTheme="minorEastAsia"/>
                <w:sz w:val="16"/>
                <w:szCs w:val="16"/>
              </w:rPr>
              <w:t>to</w:t>
            </w:r>
            <w:r w:rsidRPr="00972B7F">
              <w:rPr>
                <w:rFonts w:eastAsiaTheme="minorEastAsia"/>
                <w:sz w:val="16"/>
                <w:szCs w:val="16"/>
              </w:rPr>
              <w:t xml:space="preserve"> </w:t>
            </w:r>
            <w:r w:rsidR="0035649E" w:rsidRPr="00972B7F">
              <w:rPr>
                <w:rFonts w:eastAsiaTheme="minorEastAsia"/>
                <w:sz w:val="16"/>
                <w:szCs w:val="16"/>
              </w:rPr>
              <w:t>each of</w:t>
            </w:r>
            <w:r w:rsidRPr="00972B7F">
              <w:rPr>
                <w:rFonts w:eastAsiaTheme="minorEastAsia"/>
                <w:sz w:val="16"/>
                <w:szCs w:val="16"/>
              </w:rPr>
              <w:t xml:space="preserve"> our </w:t>
            </w:r>
            <w:r w:rsidR="0035649E" w:rsidRPr="00972B7F">
              <w:rPr>
                <w:rFonts w:eastAsiaTheme="minorEastAsia"/>
                <w:sz w:val="16"/>
                <w:szCs w:val="16"/>
              </w:rPr>
              <w:t>core</w:t>
            </w:r>
            <w:r w:rsidRPr="00972B7F">
              <w:rPr>
                <w:rFonts w:eastAsiaTheme="minorEastAsia"/>
                <w:sz w:val="16"/>
                <w:szCs w:val="16"/>
              </w:rPr>
              <w:t xml:space="preserve"> services</w:t>
            </w:r>
            <w:r w:rsidR="0035649E" w:rsidRPr="00972B7F">
              <w:rPr>
                <w:rFonts w:eastAsiaTheme="minorEastAsia"/>
                <w:sz w:val="16"/>
                <w:szCs w:val="16"/>
              </w:rPr>
              <w:t xml:space="preserve">. Our </w:t>
            </w:r>
            <w:r w:rsidR="00DB461C" w:rsidRPr="00972B7F">
              <w:rPr>
                <w:rFonts w:eastAsiaTheme="minorEastAsia"/>
                <w:sz w:val="16"/>
                <w:szCs w:val="16"/>
              </w:rPr>
              <w:t xml:space="preserve">new </w:t>
            </w:r>
            <w:r w:rsidRPr="00972B7F">
              <w:rPr>
                <w:rFonts w:eastAsiaTheme="minorEastAsia"/>
                <w:sz w:val="16"/>
                <w:szCs w:val="16"/>
              </w:rPr>
              <w:t xml:space="preserve">Outcomes </w:t>
            </w:r>
            <w:r w:rsidR="00DB461C" w:rsidRPr="00972B7F">
              <w:rPr>
                <w:rFonts w:eastAsiaTheme="minorEastAsia"/>
                <w:sz w:val="16"/>
                <w:szCs w:val="16"/>
              </w:rPr>
              <w:t>reflect</w:t>
            </w:r>
            <w:r w:rsidRPr="00972B7F">
              <w:rPr>
                <w:rFonts w:eastAsiaTheme="minorEastAsia"/>
                <w:sz w:val="16"/>
                <w:szCs w:val="16"/>
              </w:rPr>
              <w:t xml:space="preserve"> the </w:t>
            </w:r>
            <w:r w:rsidR="00A612B5" w:rsidRPr="00972B7F">
              <w:rPr>
                <w:rFonts w:eastAsiaTheme="minorEastAsia"/>
                <w:sz w:val="16"/>
                <w:szCs w:val="16"/>
              </w:rPr>
              <w:t xml:space="preserve">service levels and </w:t>
            </w:r>
            <w:r w:rsidR="00CC0C12" w:rsidRPr="00972B7F">
              <w:rPr>
                <w:rFonts w:eastAsiaTheme="minorEastAsia"/>
                <w:sz w:val="16"/>
                <w:szCs w:val="16"/>
              </w:rPr>
              <w:t>focus areas</w:t>
            </w:r>
            <w:r w:rsidRPr="00972B7F">
              <w:rPr>
                <w:rFonts w:eastAsiaTheme="minorEastAsia"/>
                <w:sz w:val="16"/>
                <w:szCs w:val="16"/>
              </w:rPr>
              <w:t xml:space="preserve"> we heard are </w:t>
            </w:r>
            <w:r w:rsidR="004A42FE">
              <w:rPr>
                <w:rFonts w:eastAsiaTheme="minorEastAsia"/>
                <w:sz w:val="16"/>
                <w:szCs w:val="16"/>
              </w:rPr>
              <w:t>priorities</w:t>
            </w:r>
            <w:r w:rsidRPr="00972B7F">
              <w:rPr>
                <w:rFonts w:eastAsiaTheme="minorEastAsia"/>
                <w:sz w:val="16"/>
                <w:szCs w:val="16"/>
              </w:rPr>
              <w:t xml:space="preserve"> for each service, </w:t>
            </w:r>
            <w:r w:rsidR="00245573" w:rsidRPr="00972B7F">
              <w:rPr>
                <w:rFonts w:eastAsiaTheme="minorEastAsia"/>
                <w:sz w:val="16"/>
                <w:szCs w:val="16"/>
              </w:rPr>
              <w:t>and</w:t>
            </w:r>
            <w:r w:rsidRPr="00972B7F">
              <w:rPr>
                <w:rFonts w:eastAsiaTheme="minorEastAsia"/>
                <w:sz w:val="16"/>
                <w:szCs w:val="16"/>
              </w:rPr>
              <w:t xml:space="preserve"> </w:t>
            </w:r>
            <w:r w:rsidR="00245573" w:rsidRPr="00972B7F">
              <w:rPr>
                <w:rFonts w:eastAsiaTheme="minorEastAsia"/>
                <w:sz w:val="16"/>
                <w:szCs w:val="16"/>
              </w:rPr>
              <w:t xml:space="preserve">include </w:t>
            </w:r>
            <w:r w:rsidRPr="00972B7F">
              <w:rPr>
                <w:rFonts w:eastAsiaTheme="minorEastAsia"/>
                <w:sz w:val="16"/>
                <w:szCs w:val="16"/>
              </w:rPr>
              <w:t xml:space="preserve">improved performance targets and commitments that reflect customer expectations and price-service trade-offs. We will also </w:t>
            </w:r>
            <w:r w:rsidR="00AE67AF" w:rsidRPr="00972B7F">
              <w:rPr>
                <w:rFonts w:eastAsiaTheme="minorEastAsia"/>
                <w:sz w:val="16"/>
                <w:szCs w:val="16"/>
              </w:rPr>
              <w:t>continue to</w:t>
            </w:r>
            <w:r w:rsidRPr="00972B7F">
              <w:rPr>
                <w:rFonts w:eastAsiaTheme="minorEastAsia"/>
                <w:sz w:val="16"/>
                <w:szCs w:val="16"/>
              </w:rPr>
              <w:t xml:space="preserve"> report clearly on our Outcomes through ongoing forums.</w:t>
            </w:r>
            <w:r w:rsidRPr="56E13B8F">
              <w:rPr>
                <w:rFonts w:eastAsiaTheme="minorEastAsia"/>
                <w:sz w:val="16"/>
                <w:szCs w:val="16"/>
              </w:rPr>
              <w:t> </w:t>
            </w:r>
          </w:p>
        </w:tc>
      </w:tr>
      <w:tr w:rsidR="00767B75" w:rsidRPr="00DE108C" w14:paraId="62A54B06" w14:textId="77777777" w:rsidTr="00BE0229">
        <w:trPr>
          <w:cnfStyle w:val="000000010000" w:firstRow="0" w:lastRow="0" w:firstColumn="0" w:lastColumn="0" w:oddVBand="0" w:evenVBand="0" w:oddHBand="0" w:evenHBand="1" w:firstRowFirstColumn="0" w:firstRowLastColumn="0" w:lastRowFirstColumn="0" w:lastRowLastColumn="0"/>
          <w:trHeight w:val="300"/>
        </w:trPr>
        <w:tc>
          <w:tcPr>
            <w:tcW w:w="1552" w:type="dxa"/>
          </w:tcPr>
          <w:p w14:paraId="3DB50F42" w14:textId="77777777" w:rsidR="00767B75" w:rsidRPr="00DE108C" w:rsidRDefault="00767B75">
            <w:pPr>
              <w:rPr>
                <w:rFonts w:eastAsiaTheme="minorEastAsia"/>
                <w:b/>
                <w:sz w:val="16"/>
                <w:szCs w:val="20"/>
              </w:rPr>
            </w:pPr>
            <w:r w:rsidRPr="00DE108C">
              <w:rPr>
                <w:rFonts w:eastAsiaTheme="minorEastAsia"/>
                <w:b/>
                <w:sz w:val="16"/>
                <w:szCs w:val="20"/>
              </w:rPr>
              <w:t>Overall </w:t>
            </w:r>
          </w:p>
        </w:tc>
        <w:tc>
          <w:tcPr>
            <w:tcW w:w="1134" w:type="dxa"/>
          </w:tcPr>
          <w:p w14:paraId="66173C6D" w14:textId="77777777" w:rsidR="00767B75" w:rsidRPr="00DE108C" w:rsidRDefault="00767B75">
            <w:pPr>
              <w:rPr>
                <w:rFonts w:eastAsiaTheme="minorEastAsia"/>
                <w:b/>
                <w:bCs/>
                <w:sz w:val="16"/>
                <w:szCs w:val="20"/>
              </w:rPr>
            </w:pPr>
            <w:r w:rsidRPr="00DE108C">
              <w:rPr>
                <w:rFonts w:eastAsiaTheme="minorEastAsia"/>
                <w:b/>
                <w:bCs/>
                <w:sz w:val="16"/>
                <w:szCs w:val="20"/>
              </w:rPr>
              <w:t>Standard </w:t>
            </w:r>
          </w:p>
        </w:tc>
        <w:tc>
          <w:tcPr>
            <w:tcW w:w="6914" w:type="dxa"/>
          </w:tcPr>
          <w:p w14:paraId="24761F8E" w14:textId="1FC61477" w:rsidR="00767B75" w:rsidRPr="00DE108C" w:rsidRDefault="00767B75">
            <w:pPr>
              <w:rPr>
                <w:rFonts w:eastAsiaTheme="minorEastAsia"/>
                <w:sz w:val="16"/>
                <w:szCs w:val="20"/>
              </w:rPr>
            </w:pPr>
            <w:r w:rsidRPr="00DE108C">
              <w:rPr>
                <w:rFonts w:eastAsiaTheme="minorEastAsia"/>
                <w:sz w:val="16"/>
                <w:szCs w:val="20"/>
              </w:rPr>
              <w:t xml:space="preserve">We largely met our Performance commitments in the 2021 Price Submission, and this proposal meets the requirements of a </w:t>
            </w:r>
            <w:r w:rsidRPr="00DE108C">
              <w:rPr>
                <w:rFonts w:eastAsiaTheme="minorEastAsia"/>
                <w:b/>
                <w:bCs/>
                <w:sz w:val="16"/>
                <w:szCs w:val="20"/>
              </w:rPr>
              <w:t>Standard</w:t>
            </w:r>
            <w:r w:rsidRPr="00DE108C">
              <w:rPr>
                <w:rFonts w:eastAsiaTheme="minorEastAsia"/>
                <w:sz w:val="16"/>
                <w:szCs w:val="20"/>
              </w:rPr>
              <w:t xml:space="preserve"> submission considering Risk, Management, Engagement and Outcomes.</w:t>
            </w:r>
            <w:r w:rsidR="008C46DF">
              <w:rPr>
                <w:rFonts w:eastAsiaTheme="minorEastAsia"/>
                <w:sz w:val="16"/>
                <w:szCs w:val="20"/>
              </w:rPr>
              <w:t xml:space="preserve"> </w:t>
            </w:r>
          </w:p>
        </w:tc>
      </w:tr>
    </w:tbl>
    <w:p w14:paraId="6BE9A685" w14:textId="4FDF944B" w:rsidR="00767B75" w:rsidRPr="00DE108C" w:rsidRDefault="00767B75">
      <w:pPr>
        <w:pStyle w:val="Heading3"/>
        <w:rPr>
          <w:rFonts w:eastAsiaTheme="minorEastAsia"/>
        </w:rPr>
      </w:pPr>
      <w:r w:rsidRPr="00DE108C">
        <w:rPr>
          <w:rFonts w:eastAsiaTheme="minorEastAsia"/>
        </w:rPr>
        <w:lastRenderedPageBreak/>
        <w:t xml:space="preserve">Revenue </w:t>
      </w:r>
      <w:r w:rsidR="00952222" w:rsidRPr="00DE108C">
        <w:rPr>
          <w:rFonts w:eastAsiaTheme="minorEastAsia"/>
        </w:rPr>
        <w:t>r</w:t>
      </w:r>
      <w:r w:rsidRPr="00DE108C">
        <w:rPr>
          <w:rFonts w:eastAsiaTheme="minorEastAsia"/>
        </w:rPr>
        <w:t>equirement</w:t>
      </w:r>
    </w:p>
    <w:p w14:paraId="7DA62523" w14:textId="148F37D5" w:rsidR="00767B75" w:rsidRPr="00DE108C" w:rsidRDefault="00767B75" w:rsidP="00681152">
      <w:pPr>
        <w:keepNext/>
        <w:keepLines/>
        <w:rPr>
          <w:rFonts w:eastAsiaTheme="minorEastAsia"/>
          <w:b/>
        </w:rPr>
      </w:pPr>
      <w:r w:rsidRPr="00DE108C">
        <w:rPr>
          <w:rFonts w:eastAsiaTheme="minorEastAsia"/>
        </w:rPr>
        <w:t>Melbourne Water is proposing the following annual average changes in revenue requirement over the 2026–</w:t>
      </w:r>
      <w:r w:rsidRPr="00680BE4">
        <w:rPr>
          <w:rFonts w:eastAsiaTheme="minorEastAsia"/>
        </w:rPr>
        <w:t>31</w:t>
      </w:r>
      <w:r w:rsidRPr="00DE108C">
        <w:rPr>
          <w:rFonts w:eastAsiaTheme="minorEastAsia"/>
        </w:rPr>
        <w:t xml:space="preserve"> period:</w:t>
      </w:r>
    </w:p>
    <w:p w14:paraId="69EBB469" w14:textId="1EF12785" w:rsidR="00767B75" w:rsidRPr="00DE108C" w:rsidRDefault="15E3975F">
      <w:pPr>
        <w:pStyle w:val="ListBullet"/>
        <w:keepNext/>
        <w:keepLines/>
        <w:numPr>
          <w:ilvl w:val="0"/>
          <w:numId w:val="20"/>
        </w:numPr>
        <w:ind w:left="630" w:hanging="450"/>
        <w:rPr>
          <w:rFonts w:eastAsiaTheme="minorEastAsia"/>
          <w:b/>
          <w:bCs/>
        </w:rPr>
      </w:pPr>
      <w:r w:rsidRPr="7CFB4304">
        <w:rPr>
          <w:rFonts w:eastAsiaTheme="minorEastAsia"/>
        </w:rPr>
        <w:t>+</w:t>
      </w:r>
      <w:r w:rsidR="3E2A2581" w:rsidRPr="7CFB4304">
        <w:rPr>
          <w:rFonts w:eastAsiaTheme="minorEastAsia"/>
        </w:rPr>
        <w:t xml:space="preserve"> </w:t>
      </w:r>
      <w:r w:rsidRPr="7CFB4304">
        <w:rPr>
          <w:rFonts w:eastAsiaTheme="minorEastAsia"/>
        </w:rPr>
        <w:t>1.1 per cent for bulk water</w:t>
      </w:r>
    </w:p>
    <w:p w14:paraId="1275145D" w14:textId="2485DFE7" w:rsidR="00767B75" w:rsidRPr="00DE108C" w:rsidRDefault="15E3975F">
      <w:pPr>
        <w:pStyle w:val="ListBullet"/>
        <w:keepNext/>
        <w:keepLines/>
        <w:numPr>
          <w:ilvl w:val="0"/>
          <w:numId w:val="20"/>
        </w:numPr>
        <w:ind w:left="630" w:hanging="450"/>
        <w:rPr>
          <w:rFonts w:eastAsiaTheme="minorEastAsia"/>
          <w:b/>
          <w:bCs/>
        </w:rPr>
      </w:pPr>
      <w:r w:rsidRPr="7CFB4304">
        <w:rPr>
          <w:rFonts w:eastAsiaTheme="minorEastAsia"/>
        </w:rPr>
        <w:t>+</w:t>
      </w:r>
      <w:r w:rsidR="3E2A2581" w:rsidRPr="7CFB4304">
        <w:rPr>
          <w:rFonts w:eastAsiaTheme="minorEastAsia"/>
        </w:rPr>
        <w:t xml:space="preserve"> </w:t>
      </w:r>
      <w:r w:rsidRPr="7CFB4304">
        <w:rPr>
          <w:rFonts w:eastAsiaTheme="minorEastAsia"/>
        </w:rPr>
        <w:t xml:space="preserve">3.9 per cent for bulk sewer </w:t>
      </w:r>
    </w:p>
    <w:p w14:paraId="309ADCB3" w14:textId="71C3AC50" w:rsidR="00767B75" w:rsidRPr="00DE108C" w:rsidRDefault="15E3975F">
      <w:pPr>
        <w:pStyle w:val="ListBullet"/>
        <w:keepNext/>
        <w:keepLines/>
        <w:numPr>
          <w:ilvl w:val="0"/>
          <w:numId w:val="20"/>
        </w:numPr>
        <w:ind w:left="630" w:hanging="450"/>
        <w:rPr>
          <w:rFonts w:eastAsiaTheme="minorEastAsia"/>
          <w:b/>
          <w:bCs/>
        </w:rPr>
      </w:pPr>
      <w:r w:rsidRPr="7CFB4304">
        <w:rPr>
          <w:rFonts w:eastAsiaTheme="minorEastAsia"/>
        </w:rPr>
        <w:t>+</w:t>
      </w:r>
      <w:r w:rsidR="3E2A2581" w:rsidRPr="7CFB4304">
        <w:rPr>
          <w:rFonts w:eastAsiaTheme="minorEastAsia"/>
        </w:rPr>
        <w:t xml:space="preserve"> </w:t>
      </w:r>
      <w:r w:rsidRPr="7CFB4304">
        <w:rPr>
          <w:rFonts w:eastAsiaTheme="minorEastAsia"/>
        </w:rPr>
        <w:t>0.</w:t>
      </w:r>
      <w:r w:rsidR="3F37C8A8" w:rsidRPr="7CFB4304">
        <w:rPr>
          <w:rFonts w:eastAsiaTheme="minorEastAsia"/>
        </w:rPr>
        <w:t>5</w:t>
      </w:r>
      <w:r w:rsidRPr="7CFB4304">
        <w:rPr>
          <w:rFonts w:eastAsiaTheme="minorEastAsia"/>
        </w:rPr>
        <w:t xml:space="preserve"> per cent for waterways and drainage.</w:t>
      </w:r>
    </w:p>
    <w:p w14:paraId="796544E5" w14:textId="77777777" w:rsidR="00767B75" w:rsidRPr="00DE108C" w:rsidRDefault="00767B75">
      <w:pPr>
        <w:pStyle w:val="Heading3"/>
        <w:rPr>
          <w:rFonts w:eastAsiaTheme="minorEastAsia"/>
        </w:rPr>
      </w:pPr>
      <w:r w:rsidRPr="00DE108C">
        <w:rPr>
          <w:rFonts w:eastAsiaTheme="minorEastAsia"/>
        </w:rPr>
        <w:t>Modest bill impacts</w:t>
      </w:r>
    </w:p>
    <w:p w14:paraId="3D10EB52" w14:textId="77777777" w:rsidR="00767B75" w:rsidRPr="00DE108C" w:rsidRDefault="00767B75" w:rsidP="00AF1E00">
      <w:pPr>
        <w:rPr>
          <w:rFonts w:eastAsiaTheme="minorEastAsia"/>
        </w:rPr>
      </w:pPr>
      <w:r w:rsidRPr="00DE108C">
        <w:rPr>
          <w:rFonts w:eastAsiaTheme="minorEastAsia"/>
        </w:rPr>
        <w:t xml:space="preserve">With significant population growth forecast over the 2026-31 regulatory period, our proposal results in only modest increases to end customer bills above inflation. </w:t>
      </w:r>
    </w:p>
    <w:p w14:paraId="4D207271" w14:textId="4482CDC1" w:rsidR="00767B75" w:rsidRPr="00DE108C" w:rsidRDefault="00767B75" w:rsidP="00AF1E00">
      <w:pPr>
        <w:rPr>
          <w:rFonts w:eastAsiaTheme="minorEastAsia"/>
        </w:rPr>
      </w:pPr>
      <w:r w:rsidRPr="00DE108C">
        <w:rPr>
          <w:rFonts w:eastAsiaTheme="minorEastAsia"/>
        </w:rPr>
        <w:t xml:space="preserve">Melbourne Water’s forecast impacts to average household bills (excluding inflation) are flat in 2026-27, followed by average annual increases of up to 1.5 per cent above inflation each year from </w:t>
      </w:r>
      <w:r w:rsidRPr="00C754E6">
        <w:rPr>
          <w:rFonts w:eastAsiaTheme="minorEastAsia"/>
        </w:rPr>
        <w:t>2027</w:t>
      </w:r>
      <w:r w:rsidR="00BA5DDC" w:rsidRPr="00C754E6">
        <w:rPr>
          <w:rFonts w:eastAsiaTheme="minorEastAsia"/>
        </w:rPr>
        <w:t>-28</w:t>
      </w:r>
      <w:r w:rsidRPr="00C754E6">
        <w:rPr>
          <w:rFonts w:eastAsiaTheme="minorEastAsia"/>
        </w:rPr>
        <w:t xml:space="preserve"> to 20</w:t>
      </w:r>
      <w:r w:rsidR="00BA5DDC" w:rsidRPr="00C754E6">
        <w:rPr>
          <w:rFonts w:eastAsiaTheme="minorEastAsia"/>
        </w:rPr>
        <w:t>30-</w:t>
      </w:r>
      <w:r w:rsidRPr="00C754E6">
        <w:rPr>
          <w:rFonts w:eastAsiaTheme="minorEastAsia"/>
        </w:rPr>
        <w:t>31</w:t>
      </w:r>
      <w:r w:rsidRPr="00DE108C">
        <w:rPr>
          <w:rFonts w:eastAsiaTheme="minorEastAsia"/>
        </w:rPr>
        <w:t xml:space="preserve"> (or up to $17</w:t>
      </w:r>
      <w:r w:rsidR="001A4DD8" w:rsidRPr="00DE108C">
        <w:rPr>
          <w:rFonts w:eastAsiaTheme="minorEastAsia"/>
        </w:rPr>
        <w:t xml:space="preserve"> for </w:t>
      </w:r>
      <w:r w:rsidR="005E4CD8">
        <w:rPr>
          <w:rFonts w:eastAsiaTheme="minorEastAsia"/>
        </w:rPr>
        <w:t xml:space="preserve">a typical household in </w:t>
      </w:r>
      <w:r w:rsidR="001A4DD8" w:rsidRPr="00DE108C">
        <w:rPr>
          <w:rFonts w:eastAsiaTheme="minorEastAsia"/>
        </w:rPr>
        <w:t>metropolitan Melbourne</w:t>
      </w:r>
      <w:r w:rsidRPr="00DE108C">
        <w:rPr>
          <w:rFonts w:eastAsiaTheme="minorEastAsia"/>
        </w:rPr>
        <w:t xml:space="preserve">). </w:t>
      </w:r>
    </w:p>
    <w:p w14:paraId="7481A1E6" w14:textId="28C168C0" w:rsidR="00767B75" w:rsidRPr="00DE108C" w:rsidRDefault="00767B75" w:rsidP="00077AEC">
      <w:r w:rsidRPr="00DE108C">
        <w:t xml:space="preserve">Forecast customer bill impacts are estimated on the change in total Melbourne Water bulk and sewerage costs. Consistent with their determinations, each individual water corporation has discretion on how changes are passed onto end-users. </w:t>
      </w:r>
    </w:p>
    <w:p w14:paraId="2C2CE506" w14:textId="70B26896" w:rsidR="00767B75" w:rsidRPr="00DE108C" w:rsidRDefault="00767B75" w:rsidP="00767B75">
      <w:pPr>
        <w:pStyle w:val="Caption"/>
        <w:rPr>
          <w:i/>
          <w:iCs/>
        </w:rPr>
      </w:pPr>
      <w:bookmarkStart w:id="38" w:name="_Toc207892964"/>
      <w:bookmarkStart w:id="39" w:name="_Toc208490493"/>
      <w:bookmarkStart w:id="40" w:name="_Toc208490831"/>
      <w:bookmarkStart w:id="41" w:name="_Toc208910989"/>
      <w:bookmarkStart w:id="42" w:name="_Toc210051296"/>
      <w:r w:rsidRPr="00DE108C">
        <w:t xml:space="preserve">Table </w:t>
      </w:r>
      <w:r w:rsidR="00B722D5" w:rsidRPr="00DE108C">
        <w:t>I</w:t>
      </w:r>
      <w:r w:rsidR="7EAA3B8E" w:rsidRPr="00DE108C">
        <w:t>I</w:t>
      </w:r>
      <w:r w:rsidRPr="00DE108C">
        <w:t xml:space="preserve">: Total tariff revenue by </w:t>
      </w:r>
      <w:r w:rsidR="00744F4A" w:rsidRPr="00DE108C">
        <w:t>water corporation</w:t>
      </w:r>
      <w:r w:rsidRPr="00DE108C">
        <w:t xml:space="preserve"> ($</w:t>
      </w:r>
      <w:r w:rsidR="003F4DEC" w:rsidRPr="00DE108C">
        <w:t xml:space="preserve">millions, </w:t>
      </w:r>
      <w:r w:rsidRPr="00DE108C">
        <w:t>real 20</w:t>
      </w:r>
      <w:r w:rsidR="003F4DEC" w:rsidRPr="00DE108C">
        <w:t>25-</w:t>
      </w:r>
      <w:r w:rsidRPr="00DE108C">
        <w:t>26)</w:t>
      </w:r>
      <w:bookmarkEnd w:id="38"/>
      <w:bookmarkEnd w:id="39"/>
      <w:bookmarkEnd w:id="40"/>
      <w:bookmarkEnd w:id="41"/>
      <w:bookmarkEnd w:id="42"/>
    </w:p>
    <w:tbl>
      <w:tblPr>
        <w:tblStyle w:val="TableGrid"/>
        <w:tblW w:w="5000" w:type="pct"/>
        <w:tblLook w:val="04A0" w:firstRow="1" w:lastRow="0" w:firstColumn="1" w:lastColumn="0" w:noHBand="0" w:noVBand="1"/>
      </w:tblPr>
      <w:tblGrid>
        <w:gridCol w:w="2529"/>
        <w:gridCol w:w="1183"/>
        <w:gridCol w:w="1184"/>
        <w:gridCol w:w="1182"/>
        <w:gridCol w:w="1184"/>
        <w:gridCol w:w="1182"/>
        <w:gridCol w:w="1184"/>
      </w:tblGrid>
      <w:tr w:rsidR="00556A0D" w:rsidRPr="00DE108C" w14:paraId="041DD3CC" w14:textId="77777777" w:rsidTr="35762B23">
        <w:trPr>
          <w:cnfStyle w:val="100000000000" w:firstRow="1" w:lastRow="0" w:firstColumn="0" w:lastColumn="0" w:oddVBand="0" w:evenVBand="0" w:oddHBand="0" w:evenHBand="0" w:firstRowFirstColumn="0" w:firstRowLastColumn="0" w:lastRowFirstColumn="0" w:lastRowLastColumn="0"/>
          <w:trHeight w:val="255"/>
        </w:trPr>
        <w:tc>
          <w:tcPr>
            <w:tcW w:w="1313" w:type="pct"/>
            <w:hideMark/>
          </w:tcPr>
          <w:p w14:paraId="515AE362" w14:textId="77777777" w:rsidR="00767B75" w:rsidRPr="00DE108C" w:rsidRDefault="00767B75">
            <w:pPr>
              <w:spacing w:before="100" w:beforeAutospacing="1" w:after="100" w:afterAutospacing="1" w:line="240" w:lineRule="auto"/>
              <w:textAlignment w:val="baseline"/>
              <w:rPr>
                <w:rFonts w:asciiTheme="majorHAnsi" w:hAnsiTheme="majorHAnsi"/>
                <w:color w:val="FFFFFF" w:themeColor="background1"/>
                <w:sz w:val="16"/>
                <w:szCs w:val="16"/>
              </w:rPr>
            </w:pPr>
            <w:r w:rsidRPr="00DE108C">
              <w:rPr>
                <w:rFonts w:ascii="Arial" w:hAnsi="Arial" w:cs="Arial"/>
                <w:color w:val="FFFFFF" w:themeColor="background1"/>
                <w:sz w:val="16"/>
                <w:szCs w:val="16"/>
              </w:rPr>
              <w:t>​</w:t>
            </w:r>
          </w:p>
        </w:tc>
        <w:tc>
          <w:tcPr>
            <w:tcW w:w="614" w:type="pct"/>
            <w:hideMark/>
          </w:tcPr>
          <w:p w14:paraId="26D1F607" w14:textId="77777777" w:rsidR="00767B75" w:rsidRPr="00DE108C" w:rsidRDefault="00767B75">
            <w:pPr>
              <w:spacing w:before="100" w:beforeAutospacing="1" w:after="100" w:afterAutospacing="1" w:line="240" w:lineRule="auto"/>
              <w:textAlignment w:val="baseline"/>
              <w:rPr>
                <w:rFonts w:asciiTheme="majorHAnsi" w:hAnsiTheme="majorHAnsi"/>
                <w:color w:val="FFFFFF" w:themeColor="background1"/>
                <w:sz w:val="16"/>
                <w:szCs w:val="16"/>
              </w:rPr>
            </w:pPr>
            <w:r w:rsidRPr="00DE108C">
              <w:rPr>
                <w:rFonts w:ascii="Arial" w:hAnsi="Arial" w:cs="Arial"/>
                <w:color w:val="FFFFFF" w:themeColor="background1"/>
                <w:sz w:val="16"/>
                <w:szCs w:val="16"/>
              </w:rPr>
              <w:t>​</w:t>
            </w:r>
          </w:p>
        </w:tc>
        <w:tc>
          <w:tcPr>
            <w:tcW w:w="3072" w:type="pct"/>
            <w:gridSpan w:val="5"/>
            <w:hideMark/>
          </w:tcPr>
          <w:p w14:paraId="5FD832B3" w14:textId="5CF00767"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2026–</w:t>
            </w:r>
            <w:r w:rsidRPr="32CF0477">
              <w:rPr>
                <w:rFonts w:asciiTheme="majorHAnsi" w:hAnsiTheme="majorHAnsi"/>
                <w:b/>
                <w:bCs/>
                <w:color w:val="FFFFFF" w:themeColor="background1"/>
                <w:sz w:val="16"/>
                <w:szCs w:val="16"/>
              </w:rPr>
              <w:t>31</w:t>
            </w:r>
            <w:r w:rsidRPr="00DE108C">
              <w:rPr>
                <w:rFonts w:asciiTheme="majorHAnsi" w:hAnsiTheme="majorHAnsi"/>
                <w:b/>
                <w:bCs/>
                <w:color w:val="FFFFFF" w:themeColor="background1"/>
                <w:sz w:val="16"/>
                <w:szCs w:val="16"/>
              </w:rPr>
              <w:t xml:space="preserve"> regulatory period</w:t>
            </w:r>
            <w:r w:rsidRPr="00DE108C">
              <w:rPr>
                <w:rFonts w:ascii="Arial" w:hAnsi="Arial" w:cs="Arial"/>
                <w:color w:val="FFFFFF" w:themeColor="background1"/>
                <w:sz w:val="16"/>
                <w:szCs w:val="16"/>
                <w:lang w:val="en-US"/>
              </w:rPr>
              <w:t>​</w:t>
            </w:r>
          </w:p>
        </w:tc>
      </w:tr>
      <w:tr w:rsidR="00767B75" w:rsidRPr="00DE108C" w14:paraId="60676854" w14:textId="77777777" w:rsidTr="35762B23">
        <w:trPr>
          <w:trHeight w:val="255"/>
        </w:trPr>
        <w:tc>
          <w:tcPr>
            <w:tcW w:w="1313" w:type="pct"/>
            <w:shd w:val="clear" w:color="auto" w:fill="00428B" w:themeFill="accent1"/>
            <w:hideMark/>
          </w:tcPr>
          <w:p w14:paraId="0752F9A0" w14:textId="77777777" w:rsidR="00767B75" w:rsidRPr="00DE108C" w:rsidRDefault="00767B75">
            <w:pPr>
              <w:spacing w:before="100" w:beforeAutospacing="1" w:after="100" w:afterAutospacing="1" w:line="240" w:lineRule="auto"/>
              <w:textAlignment w:val="baseline"/>
              <w:rPr>
                <w:rFonts w:asciiTheme="majorHAnsi" w:hAnsiTheme="majorHAnsi"/>
                <w:color w:val="FFFFFF" w:themeColor="background1"/>
                <w:sz w:val="16"/>
                <w:szCs w:val="16"/>
              </w:rPr>
            </w:pPr>
            <w:r w:rsidRPr="00DE108C">
              <w:rPr>
                <w:rFonts w:ascii="Arial" w:hAnsi="Arial" w:cs="Arial"/>
                <w:color w:val="FFFFFF" w:themeColor="background1"/>
                <w:sz w:val="16"/>
                <w:szCs w:val="16"/>
              </w:rPr>
              <w:t>​</w:t>
            </w:r>
          </w:p>
        </w:tc>
        <w:tc>
          <w:tcPr>
            <w:tcW w:w="614" w:type="pct"/>
            <w:shd w:val="clear" w:color="auto" w:fill="00428B" w:themeFill="accent1"/>
            <w:hideMark/>
          </w:tcPr>
          <w:p w14:paraId="153F31AA" w14:textId="77777777"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2025-26</w:t>
            </w:r>
            <w:r w:rsidRPr="00DE108C">
              <w:rPr>
                <w:rFonts w:ascii="Arial" w:hAnsi="Arial" w:cs="Arial"/>
                <w:color w:val="FFFFFF" w:themeColor="background1"/>
                <w:sz w:val="16"/>
                <w:szCs w:val="16"/>
                <w:lang w:val="en-US"/>
              </w:rPr>
              <w:t>​</w:t>
            </w:r>
          </w:p>
        </w:tc>
        <w:tc>
          <w:tcPr>
            <w:tcW w:w="615" w:type="pct"/>
            <w:shd w:val="clear" w:color="auto" w:fill="00428B" w:themeFill="accent1"/>
            <w:hideMark/>
          </w:tcPr>
          <w:p w14:paraId="346105A0" w14:textId="77777777"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2026-27</w:t>
            </w:r>
            <w:r w:rsidRPr="00DE108C">
              <w:rPr>
                <w:rFonts w:ascii="Arial" w:hAnsi="Arial" w:cs="Arial"/>
                <w:color w:val="FFFFFF" w:themeColor="background1"/>
                <w:sz w:val="16"/>
                <w:szCs w:val="16"/>
                <w:lang w:val="en-US"/>
              </w:rPr>
              <w:t>​</w:t>
            </w:r>
          </w:p>
        </w:tc>
        <w:tc>
          <w:tcPr>
            <w:tcW w:w="614" w:type="pct"/>
            <w:shd w:val="clear" w:color="auto" w:fill="00428B" w:themeFill="accent1"/>
            <w:hideMark/>
          </w:tcPr>
          <w:p w14:paraId="09218DD1" w14:textId="77777777"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2027-28</w:t>
            </w:r>
            <w:r w:rsidRPr="00DE108C">
              <w:rPr>
                <w:rFonts w:ascii="Arial" w:hAnsi="Arial" w:cs="Arial"/>
                <w:color w:val="FFFFFF" w:themeColor="background1"/>
                <w:sz w:val="16"/>
                <w:szCs w:val="16"/>
                <w:lang w:val="en-US"/>
              </w:rPr>
              <w:t>​</w:t>
            </w:r>
          </w:p>
        </w:tc>
        <w:tc>
          <w:tcPr>
            <w:tcW w:w="615" w:type="pct"/>
            <w:shd w:val="clear" w:color="auto" w:fill="00428B" w:themeFill="accent1"/>
            <w:hideMark/>
          </w:tcPr>
          <w:p w14:paraId="674A315D" w14:textId="77777777"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2028-29</w:t>
            </w:r>
            <w:r w:rsidRPr="00DE108C">
              <w:rPr>
                <w:rFonts w:ascii="Arial" w:hAnsi="Arial" w:cs="Arial"/>
                <w:color w:val="FFFFFF" w:themeColor="background1"/>
                <w:sz w:val="16"/>
                <w:szCs w:val="16"/>
                <w:lang w:val="en-US"/>
              </w:rPr>
              <w:t>​</w:t>
            </w:r>
          </w:p>
        </w:tc>
        <w:tc>
          <w:tcPr>
            <w:tcW w:w="614" w:type="pct"/>
            <w:shd w:val="clear" w:color="auto" w:fill="00428B" w:themeFill="accent1"/>
            <w:hideMark/>
          </w:tcPr>
          <w:p w14:paraId="24549D98" w14:textId="77777777"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2029-30</w:t>
            </w:r>
            <w:r w:rsidRPr="00DE108C">
              <w:rPr>
                <w:rFonts w:ascii="Arial" w:hAnsi="Arial" w:cs="Arial"/>
                <w:color w:val="FFFFFF" w:themeColor="background1"/>
                <w:sz w:val="16"/>
                <w:szCs w:val="16"/>
                <w:lang w:val="en-US"/>
              </w:rPr>
              <w:t>​</w:t>
            </w:r>
          </w:p>
        </w:tc>
        <w:tc>
          <w:tcPr>
            <w:tcW w:w="615" w:type="pct"/>
            <w:shd w:val="clear" w:color="auto" w:fill="00428B" w:themeFill="accent1"/>
            <w:hideMark/>
          </w:tcPr>
          <w:p w14:paraId="5D2E9DC5" w14:textId="77777777"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2030-31</w:t>
            </w:r>
            <w:r w:rsidRPr="00DE108C">
              <w:rPr>
                <w:rFonts w:ascii="Arial" w:hAnsi="Arial" w:cs="Arial"/>
                <w:color w:val="FFFFFF" w:themeColor="background1"/>
                <w:sz w:val="16"/>
                <w:szCs w:val="16"/>
                <w:lang w:val="en-US"/>
              </w:rPr>
              <w:t>​</w:t>
            </w:r>
          </w:p>
        </w:tc>
      </w:tr>
      <w:tr w:rsidR="00556A0D" w:rsidRPr="00DE108C" w14:paraId="218EE871" w14:textId="77777777" w:rsidTr="00274DB5">
        <w:trPr>
          <w:cnfStyle w:val="000000010000" w:firstRow="0" w:lastRow="0" w:firstColumn="0" w:lastColumn="0" w:oddVBand="0" w:evenVBand="0" w:oddHBand="0" w:evenHBand="1" w:firstRowFirstColumn="0" w:firstRowLastColumn="0" w:lastRowFirstColumn="0" w:lastRowLastColumn="0"/>
          <w:trHeight w:val="255"/>
        </w:trPr>
        <w:tc>
          <w:tcPr>
            <w:tcW w:w="1313" w:type="pct"/>
            <w:vAlign w:val="center"/>
            <w:hideMark/>
          </w:tcPr>
          <w:p w14:paraId="7A1A4F94"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Greater Western Water</w:t>
            </w:r>
            <w:r w:rsidRPr="00DE108C">
              <w:rPr>
                <w:rFonts w:ascii="Arial" w:hAnsi="Arial" w:cs="Arial"/>
                <w:color w:val="231F20"/>
                <w:sz w:val="16"/>
                <w:szCs w:val="16"/>
                <w:lang w:val="en-US"/>
              </w:rPr>
              <w:t>​</w:t>
            </w:r>
          </w:p>
        </w:tc>
        <w:tc>
          <w:tcPr>
            <w:tcW w:w="614" w:type="pct"/>
            <w:vAlign w:val="center"/>
            <w:hideMark/>
          </w:tcPr>
          <w:p w14:paraId="5E6BE4A3" w14:textId="710A8908" w:rsidR="00767B75" w:rsidRPr="000E6E1D" w:rsidRDefault="001C09B0" w:rsidP="005F1FB7">
            <w:pPr>
              <w:pStyle w:val="TableBody"/>
              <w:jc w:val="right"/>
            </w:pPr>
            <w:r w:rsidRPr="000E6E1D">
              <w:t xml:space="preserve"> 394 </w:t>
            </w:r>
          </w:p>
        </w:tc>
        <w:tc>
          <w:tcPr>
            <w:tcW w:w="615" w:type="pct"/>
            <w:vAlign w:val="center"/>
            <w:hideMark/>
          </w:tcPr>
          <w:p w14:paraId="6C2F356D" w14:textId="4A3BDBA9" w:rsidR="00767B75" w:rsidRPr="000E6E1D" w:rsidRDefault="001C09B0" w:rsidP="005F1FB7">
            <w:pPr>
              <w:pStyle w:val="TableBody"/>
              <w:jc w:val="right"/>
            </w:pPr>
            <w:r w:rsidRPr="000E6E1D">
              <w:t xml:space="preserve"> 405 </w:t>
            </w:r>
          </w:p>
        </w:tc>
        <w:tc>
          <w:tcPr>
            <w:tcW w:w="614" w:type="pct"/>
            <w:vAlign w:val="center"/>
            <w:hideMark/>
          </w:tcPr>
          <w:p w14:paraId="6A218C3C" w14:textId="010DFE73" w:rsidR="00767B75" w:rsidRPr="00311E81" w:rsidRDefault="001C09B0" w:rsidP="005F1FB7">
            <w:pPr>
              <w:pStyle w:val="TableBody"/>
              <w:jc w:val="right"/>
            </w:pPr>
            <w:r w:rsidRPr="00311E81">
              <w:t xml:space="preserve"> 426 </w:t>
            </w:r>
          </w:p>
        </w:tc>
        <w:tc>
          <w:tcPr>
            <w:tcW w:w="615" w:type="pct"/>
            <w:vAlign w:val="center"/>
            <w:hideMark/>
          </w:tcPr>
          <w:p w14:paraId="240DBA88" w14:textId="0DD973FC" w:rsidR="00767B75" w:rsidRPr="00C754E6" w:rsidRDefault="001C09B0" w:rsidP="005F1FB7">
            <w:pPr>
              <w:pStyle w:val="TableBody"/>
              <w:jc w:val="right"/>
            </w:pPr>
            <w:r w:rsidRPr="00C754E6">
              <w:t xml:space="preserve"> </w:t>
            </w:r>
            <w:r w:rsidR="00832008" w:rsidRPr="00C754E6">
              <w:t>444</w:t>
            </w:r>
            <w:r w:rsidRPr="00C754E6">
              <w:t xml:space="preserve"> </w:t>
            </w:r>
          </w:p>
        </w:tc>
        <w:tc>
          <w:tcPr>
            <w:tcW w:w="614" w:type="pct"/>
            <w:vAlign w:val="center"/>
            <w:hideMark/>
          </w:tcPr>
          <w:p w14:paraId="3DB9B9FD" w14:textId="3051D20E" w:rsidR="00767B75" w:rsidRPr="00C754E6" w:rsidRDefault="001C09B0" w:rsidP="005F1FB7">
            <w:pPr>
              <w:pStyle w:val="TableBody"/>
              <w:jc w:val="right"/>
            </w:pPr>
            <w:r w:rsidRPr="00311E81">
              <w:t xml:space="preserve"> 463 </w:t>
            </w:r>
          </w:p>
        </w:tc>
        <w:tc>
          <w:tcPr>
            <w:tcW w:w="615" w:type="pct"/>
            <w:vAlign w:val="center"/>
            <w:hideMark/>
          </w:tcPr>
          <w:p w14:paraId="1920FCCC" w14:textId="2DB28332" w:rsidR="00767B75" w:rsidRPr="00C754E6" w:rsidRDefault="001C09B0" w:rsidP="005F1FB7">
            <w:pPr>
              <w:pStyle w:val="TableBody"/>
              <w:jc w:val="right"/>
            </w:pPr>
            <w:r w:rsidRPr="00C754E6">
              <w:t xml:space="preserve"> </w:t>
            </w:r>
            <w:r w:rsidR="00832008" w:rsidRPr="00C754E6">
              <w:t>481</w:t>
            </w:r>
            <w:r w:rsidRPr="00C754E6">
              <w:t xml:space="preserve"> </w:t>
            </w:r>
          </w:p>
        </w:tc>
      </w:tr>
      <w:tr w:rsidR="00767B75" w:rsidRPr="00DE108C" w14:paraId="66F60629" w14:textId="77777777" w:rsidTr="00274DB5">
        <w:trPr>
          <w:trHeight w:val="255"/>
        </w:trPr>
        <w:tc>
          <w:tcPr>
            <w:tcW w:w="1313" w:type="pct"/>
            <w:vAlign w:val="center"/>
            <w:hideMark/>
          </w:tcPr>
          <w:p w14:paraId="0277F1B9"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South East Water</w:t>
            </w:r>
            <w:r w:rsidRPr="00DE108C">
              <w:rPr>
                <w:rFonts w:ascii="Arial" w:hAnsi="Arial" w:cs="Arial"/>
                <w:color w:val="231F20"/>
                <w:sz w:val="16"/>
                <w:szCs w:val="16"/>
                <w:lang w:val="en-US"/>
              </w:rPr>
              <w:t>​</w:t>
            </w:r>
          </w:p>
        </w:tc>
        <w:tc>
          <w:tcPr>
            <w:tcW w:w="614" w:type="pct"/>
            <w:vAlign w:val="center"/>
            <w:hideMark/>
          </w:tcPr>
          <w:p w14:paraId="4E81024D" w14:textId="5A9B21FF" w:rsidR="00767B75" w:rsidRPr="000E6E1D" w:rsidRDefault="001C09B0" w:rsidP="005F1FB7">
            <w:pPr>
              <w:pStyle w:val="TableBody"/>
              <w:jc w:val="right"/>
            </w:pPr>
            <w:r w:rsidRPr="000E6E1D">
              <w:t xml:space="preserve"> 572 </w:t>
            </w:r>
          </w:p>
        </w:tc>
        <w:tc>
          <w:tcPr>
            <w:tcW w:w="615" w:type="pct"/>
            <w:vAlign w:val="center"/>
            <w:hideMark/>
          </w:tcPr>
          <w:p w14:paraId="46421160" w14:textId="5EE78871" w:rsidR="00767B75" w:rsidRPr="000E6E1D" w:rsidRDefault="001C09B0" w:rsidP="005F1FB7">
            <w:pPr>
              <w:pStyle w:val="TableBody"/>
              <w:jc w:val="right"/>
            </w:pPr>
            <w:r w:rsidRPr="000E6E1D">
              <w:t xml:space="preserve"> 581 </w:t>
            </w:r>
          </w:p>
        </w:tc>
        <w:tc>
          <w:tcPr>
            <w:tcW w:w="614" w:type="pct"/>
            <w:vAlign w:val="center"/>
            <w:hideMark/>
          </w:tcPr>
          <w:p w14:paraId="6FA172B4" w14:textId="4F99E1B1" w:rsidR="00767B75" w:rsidRPr="00311E81" w:rsidRDefault="001C09B0" w:rsidP="005F1FB7">
            <w:pPr>
              <w:pStyle w:val="TableBody"/>
              <w:jc w:val="right"/>
            </w:pPr>
            <w:r w:rsidRPr="00311E81">
              <w:t xml:space="preserve"> 605 </w:t>
            </w:r>
          </w:p>
        </w:tc>
        <w:tc>
          <w:tcPr>
            <w:tcW w:w="615" w:type="pct"/>
            <w:vAlign w:val="center"/>
            <w:hideMark/>
          </w:tcPr>
          <w:p w14:paraId="1FBA53A3" w14:textId="4D0CE30A" w:rsidR="00767B75" w:rsidRPr="00C754E6" w:rsidRDefault="001C09B0" w:rsidP="005F1FB7">
            <w:pPr>
              <w:pStyle w:val="TableBody"/>
              <w:jc w:val="right"/>
            </w:pPr>
            <w:r w:rsidRPr="00C754E6">
              <w:t xml:space="preserve"> 615 </w:t>
            </w:r>
          </w:p>
        </w:tc>
        <w:tc>
          <w:tcPr>
            <w:tcW w:w="614" w:type="pct"/>
            <w:vAlign w:val="center"/>
            <w:hideMark/>
          </w:tcPr>
          <w:p w14:paraId="4A274B96" w14:textId="710F7A51" w:rsidR="00767B75" w:rsidRPr="00311E81" w:rsidRDefault="001C09B0" w:rsidP="005F1FB7">
            <w:pPr>
              <w:pStyle w:val="TableBody"/>
              <w:jc w:val="right"/>
            </w:pPr>
            <w:r w:rsidRPr="00311E81">
              <w:t xml:space="preserve"> 626 </w:t>
            </w:r>
          </w:p>
        </w:tc>
        <w:tc>
          <w:tcPr>
            <w:tcW w:w="615" w:type="pct"/>
            <w:vAlign w:val="center"/>
            <w:hideMark/>
          </w:tcPr>
          <w:p w14:paraId="608B9C3F" w14:textId="62677B90" w:rsidR="00767B75" w:rsidRPr="00311E81" w:rsidRDefault="001C09B0" w:rsidP="005F1FB7">
            <w:pPr>
              <w:pStyle w:val="TableBody"/>
              <w:jc w:val="right"/>
            </w:pPr>
            <w:r w:rsidRPr="00311E81">
              <w:t xml:space="preserve"> 637 </w:t>
            </w:r>
          </w:p>
        </w:tc>
      </w:tr>
      <w:tr w:rsidR="00556A0D" w:rsidRPr="00DE108C" w14:paraId="1E55A9A0" w14:textId="77777777" w:rsidTr="00274DB5">
        <w:trPr>
          <w:cnfStyle w:val="000000010000" w:firstRow="0" w:lastRow="0" w:firstColumn="0" w:lastColumn="0" w:oddVBand="0" w:evenVBand="0" w:oddHBand="0" w:evenHBand="1" w:firstRowFirstColumn="0" w:firstRowLastColumn="0" w:lastRowFirstColumn="0" w:lastRowLastColumn="0"/>
          <w:trHeight w:val="255"/>
        </w:trPr>
        <w:tc>
          <w:tcPr>
            <w:tcW w:w="1313" w:type="pct"/>
            <w:vAlign w:val="center"/>
            <w:hideMark/>
          </w:tcPr>
          <w:p w14:paraId="0757349B"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Yarra Valley Water</w:t>
            </w:r>
            <w:r w:rsidRPr="00DE108C">
              <w:rPr>
                <w:rFonts w:ascii="Arial" w:hAnsi="Arial" w:cs="Arial"/>
                <w:color w:val="231F20"/>
                <w:sz w:val="16"/>
                <w:szCs w:val="16"/>
                <w:lang w:val="en-US"/>
              </w:rPr>
              <w:t>​</w:t>
            </w:r>
          </w:p>
        </w:tc>
        <w:tc>
          <w:tcPr>
            <w:tcW w:w="614" w:type="pct"/>
            <w:vAlign w:val="center"/>
            <w:hideMark/>
          </w:tcPr>
          <w:p w14:paraId="3789CC64" w14:textId="05807E99" w:rsidR="00767B75" w:rsidRPr="000E6E1D" w:rsidRDefault="001C09B0" w:rsidP="005F1FB7">
            <w:pPr>
              <w:pStyle w:val="TableBody"/>
              <w:jc w:val="right"/>
            </w:pPr>
            <w:r w:rsidRPr="000E6E1D">
              <w:t xml:space="preserve"> 570 </w:t>
            </w:r>
          </w:p>
        </w:tc>
        <w:tc>
          <w:tcPr>
            <w:tcW w:w="615" w:type="pct"/>
            <w:vAlign w:val="center"/>
            <w:hideMark/>
          </w:tcPr>
          <w:p w14:paraId="3C72E701" w14:textId="6F73D747" w:rsidR="00767B75" w:rsidRPr="000E6E1D" w:rsidRDefault="001C09B0" w:rsidP="005F1FB7">
            <w:pPr>
              <w:pStyle w:val="TableBody"/>
              <w:jc w:val="right"/>
            </w:pPr>
            <w:r w:rsidRPr="000E6E1D">
              <w:t xml:space="preserve"> 579 </w:t>
            </w:r>
          </w:p>
        </w:tc>
        <w:tc>
          <w:tcPr>
            <w:tcW w:w="614" w:type="pct"/>
            <w:vAlign w:val="center"/>
            <w:hideMark/>
          </w:tcPr>
          <w:p w14:paraId="1F14E091" w14:textId="630F2C63" w:rsidR="00767B75" w:rsidRPr="00311E81" w:rsidRDefault="001C09B0" w:rsidP="005F1FB7">
            <w:pPr>
              <w:pStyle w:val="TableBody"/>
              <w:jc w:val="right"/>
            </w:pPr>
            <w:r w:rsidRPr="00311E81">
              <w:t xml:space="preserve"> 605 </w:t>
            </w:r>
          </w:p>
        </w:tc>
        <w:tc>
          <w:tcPr>
            <w:tcW w:w="615" w:type="pct"/>
            <w:vAlign w:val="center"/>
            <w:hideMark/>
          </w:tcPr>
          <w:p w14:paraId="7EF7CDEC" w14:textId="5F20E96E" w:rsidR="00767B75" w:rsidRPr="00311E81" w:rsidRDefault="001C09B0" w:rsidP="005F1FB7">
            <w:pPr>
              <w:pStyle w:val="TableBody"/>
              <w:jc w:val="right"/>
            </w:pPr>
            <w:r w:rsidRPr="00311E81">
              <w:t xml:space="preserve"> 608 </w:t>
            </w:r>
          </w:p>
        </w:tc>
        <w:tc>
          <w:tcPr>
            <w:tcW w:w="614" w:type="pct"/>
            <w:vAlign w:val="center"/>
            <w:hideMark/>
          </w:tcPr>
          <w:p w14:paraId="03A3E03B" w14:textId="22F44028" w:rsidR="00767B75" w:rsidRPr="00C754E6" w:rsidRDefault="001C09B0" w:rsidP="005F1FB7">
            <w:pPr>
              <w:pStyle w:val="TableBody"/>
              <w:jc w:val="right"/>
            </w:pPr>
            <w:r w:rsidRPr="00C754E6">
              <w:t xml:space="preserve"> 610 </w:t>
            </w:r>
          </w:p>
        </w:tc>
        <w:tc>
          <w:tcPr>
            <w:tcW w:w="615" w:type="pct"/>
            <w:vAlign w:val="center"/>
            <w:hideMark/>
          </w:tcPr>
          <w:p w14:paraId="40DDF6E6" w14:textId="3E1E9352" w:rsidR="00767B75" w:rsidRPr="00311E81" w:rsidRDefault="001C09B0" w:rsidP="005F1FB7">
            <w:pPr>
              <w:pStyle w:val="TableBody"/>
              <w:jc w:val="right"/>
            </w:pPr>
            <w:r w:rsidRPr="00311E81">
              <w:t xml:space="preserve"> 612 </w:t>
            </w:r>
          </w:p>
        </w:tc>
      </w:tr>
      <w:tr w:rsidR="00767B75" w:rsidRPr="00DE108C" w14:paraId="1D607646" w14:textId="77777777" w:rsidTr="00274DB5">
        <w:trPr>
          <w:trHeight w:val="255"/>
        </w:trPr>
        <w:tc>
          <w:tcPr>
            <w:tcW w:w="1313" w:type="pct"/>
            <w:vAlign w:val="center"/>
            <w:hideMark/>
          </w:tcPr>
          <w:p w14:paraId="57593152"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Barwon Water</w:t>
            </w:r>
            <w:r w:rsidRPr="00DE108C">
              <w:rPr>
                <w:rFonts w:ascii="Arial" w:hAnsi="Arial" w:cs="Arial"/>
                <w:color w:val="231F20"/>
                <w:sz w:val="16"/>
                <w:szCs w:val="16"/>
                <w:lang w:val="en-US"/>
              </w:rPr>
              <w:t>​</w:t>
            </w:r>
          </w:p>
        </w:tc>
        <w:tc>
          <w:tcPr>
            <w:tcW w:w="614" w:type="pct"/>
            <w:vAlign w:val="center"/>
            <w:hideMark/>
          </w:tcPr>
          <w:p w14:paraId="13C5FA99" w14:textId="310196B1" w:rsidR="00767B75" w:rsidRPr="000E6E1D" w:rsidRDefault="00767B75" w:rsidP="005F1FB7">
            <w:pPr>
              <w:pStyle w:val="TableBody"/>
              <w:jc w:val="right"/>
            </w:pPr>
            <w:r w:rsidRPr="000E6E1D">
              <w:t xml:space="preserve"> 12.</w:t>
            </w:r>
            <w:r w:rsidR="001C09B0" w:rsidRPr="000E6E1D">
              <w:t xml:space="preserve">0 </w:t>
            </w:r>
          </w:p>
        </w:tc>
        <w:tc>
          <w:tcPr>
            <w:tcW w:w="615" w:type="pct"/>
            <w:vAlign w:val="center"/>
            <w:hideMark/>
          </w:tcPr>
          <w:p w14:paraId="2D2B70F6" w14:textId="5EB7129B" w:rsidR="00767B75" w:rsidRPr="000E6E1D" w:rsidRDefault="00767B75" w:rsidP="005F1FB7">
            <w:pPr>
              <w:pStyle w:val="TableBody"/>
              <w:jc w:val="right"/>
            </w:pPr>
            <w:r w:rsidRPr="000E6E1D">
              <w:t xml:space="preserve"> 10.</w:t>
            </w:r>
            <w:r w:rsidR="001C09B0" w:rsidRPr="000E6E1D">
              <w:t xml:space="preserve">7 </w:t>
            </w:r>
          </w:p>
        </w:tc>
        <w:tc>
          <w:tcPr>
            <w:tcW w:w="614" w:type="pct"/>
            <w:vAlign w:val="center"/>
            <w:hideMark/>
          </w:tcPr>
          <w:p w14:paraId="76995BBD" w14:textId="46FEC009" w:rsidR="00767B75" w:rsidRPr="00311E81" w:rsidRDefault="00767B75" w:rsidP="005F1FB7">
            <w:pPr>
              <w:pStyle w:val="TableBody"/>
              <w:jc w:val="right"/>
            </w:pPr>
            <w:r w:rsidRPr="00311E81">
              <w:t xml:space="preserve"> 6.</w:t>
            </w:r>
            <w:r w:rsidR="001C09B0" w:rsidRPr="00311E81">
              <w:t xml:space="preserve">5 </w:t>
            </w:r>
          </w:p>
        </w:tc>
        <w:tc>
          <w:tcPr>
            <w:tcW w:w="615" w:type="pct"/>
            <w:vAlign w:val="center"/>
            <w:hideMark/>
          </w:tcPr>
          <w:p w14:paraId="746161B6" w14:textId="1D67E126" w:rsidR="00767B75" w:rsidRPr="00311E81" w:rsidRDefault="00767B75" w:rsidP="005F1FB7">
            <w:pPr>
              <w:pStyle w:val="TableBody"/>
              <w:jc w:val="right"/>
            </w:pPr>
            <w:r w:rsidRPr="00311E81">
              <w:t xml:space="preserve"> 6.</w:t>
            </w:r>
            <w:r w:rsidR="001C09B0" w:rsidRPr="00311E81">
              <w:t xml:space="preserve">5 </w:t>
            </w:r>
          </w:p>
        </w:tc>
        <w:tc>
          <w:tcPr>
            <w:tcW w:w="614" w:type="pct"/>
            <w:vAlign w:val="center"/>
            <w:hideMark/>
          </w:tcPr>
          <w:p w14:paraId="56EE6D4A" w14:textId="520C5A5B" w:rsidR="00767B75" w:rsidRPr="00311E81" w:rsidRDefault="00767B75" w:rsidP="005F1FB7">
            <w:pPr>
              <w:pStyle w:val="TableBody"/>
              <w:jc w:val="right"/>
            </w:pPr>
            <w:r w:rsidRPr="00311E81">
              <w:t xml:space="preserve"> 6.</w:t>
            </w:r>
            <w:r w:rsidR="001C09B0" w:rsidRPr="00311E81">
              <w:t xml:space="preserve">5 </w:t>
            </w:r>
          </w:p>
        </w:tc>
        <w:tc>
          <w:tcPr>
            <w:tcW w:w="615" w:type="pct"/>
            <w:vAlign w:val="center"/>
            <w:hideMark/>
          </w:tcPr>
          <w:p w14:paraId="13E39890" w14:textId="10E82FEA" w:rsidR="00767B75" w:rsidRPr="00311E81" w:rsidRDefault="00767B75" w:rsidP="005F1FB7">
            <w:pPr>
              <w:pStyle w:val="TableBody"/>
              <w:jc w:val="right"/>
            </w:pPr>
            <w:r w:rsidRPr="00311E81">
              <w:t xml:space="preserve"> 7.</w:t>
            </w:r>
            <w:r w:rsidR="001C09B0" w:rsidRPr="00311E81">
              <w:t xml:space="preserve">5 </w:t>
            </w:r>
          </w:p>
        </w:tc>
      </w:tr>
      <w:tr w:rsidR="00556A0D" w:rsidRPr="00DE108C" w14:paraId="0EF7FC08" w14:textId="77777777" w:rsidTr="00274DB5">
        <w:trPr>
          <w:cnfStyle w:val="000000010000" w:firstRow="0" w:lastRow="0" w:firstColumn="0" w:lastColumn="0" w:oddVBand="0" w:evenVBand="0" w:oddHBand="0" w:evenHBand="1" w:firstRowFirstColumn="0" w:firstRowLastColumn="0" w:lastRowFirstColumn="0" w:lastRowLastColumn="0"/>
          <w:trHeight w:val="255"/>
        </w:trPr>
        <w:tc>
          <w:tcPr>
            <w:tcW w:w="1313" w:type="pct"/>
            <w:vAlign w:val="center"/>
            <w:hideMark/>
          </w:tcPr>
          <w:p w14:paraId="18A62A7B"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South Gippsland Water</w:t>
            </w:r>
            <w:r w:rsidRPr="00DE108C">
              <w:rPr>
                <w:rFonts w:ascii="Arial" w:hAnsi="Arial" w:cs="Arial"/>
                <w:color w:val="231F20"/>
                <w:sz w:val="16"/>
                <w:szCs w:val="16"/>
                <w:lang w:val="en-US"/>
              </w:rPr>
              <w:t>​</w:t>
            </w:r>
          </w:p>
        </w:tc>
        <w:tc>
          <w:tcPr>
            <w:tcW w:w="614" w:type="pct"/>
            <w:vAlign w:val="center"/>
            <w:hideMark/>
          </w:tcPr>
          <w:p w14:paraId="39B87C5D" w14:textId="53AE6BEF" w:rsidR="00767B75" w:rsidRPr="000E6E1D" w:rsidRDefault="00767B75" w:rsidP="005F1FB7">
            <w:pPr>
              <w:pStyle w:val="TableBody"/>
              <w:jc w:val="right"/>
            </w:pPr>
            <w:r w:rsidRPr="000E6E1D">
              <w:t xml:space="preserve"> 0.</w:t>
            </w:r>
            <w:r w:rsidR="001C09B0" w:rsidRPr="000E6E1D">
              <w:t xml:space="preserve">7 </w:t>
            </w:r>
          </w:p>
        </w:tc>
        <w:tc>
          <w:tcPr>
            <w:tcW w:w="615" w:type="pct"/>
            <w:vAlign w:val="center"/>
            <w:hideMark/>
          </w:tcPr>
          <w:p w14:paraId="7587C0CB" w14:textId="05BB9102" w:rsidR="00767B75" w:rsidRPr="000E6E1D" w:rsidRDefault="00767B75" w:rsidP="005F1FB7">
            <w:pPr>
              <w:pStyle w:val="TableBody"/>
              <w:jc w:val="right"/>
            </w:pPr>
            <w:r w:rsidRPr="000E6E1D">
              <w:t xml:space="preserve"> 1.</w:t>
            </w:r>
            <w:r w:rsidR="001C09B0" w:rsidRPr="000E6E1D">
              <w:t xml:space="preserve">2 </w:t>
            </w:r>
          </w:p>
        </w:tc>
        <w:tc>
          <w:tcPr>
            <w:tcW w:w="614" w:type="pct"/>
            <w:vAlign w:val="center"/>
            <w:hideMark/>
          </w:tcPr>
          <w:p w14:paraId="73FC10BF" w14:textId="0575DD32" w:rsidR="00767B75" w:rsidRPr="00311E81" w:rsidRDefault="00767B75" w:rsidP="005F1FB7">
            <w:pPr>
              <w:pStyle w:val="TableBody"/>
              <w:jc w:val="right"/>
            </w:pPr>
            <w:r w:rsidRPr="00311E81">
              <w:t xml:space="preserve"> 1.</w:t>
            </w:r>
            <w:r w:rsidR="001C09B0" w:rsidRPr="00311E81">
              <w:t xml:space="preserve">4 </w:t>
            </w:r>
          </w:p>
        </w:tc>
        <w:tc>
          <w:tcPr>
            <w:tcW w:w="615" w:type="pct"/>
            <w:vAlign w:val="center"/>
            <w:hideMark/>
          </w:tcPr>
          <w:p w14:paraId="281B69E5" w14:textId="2354C1A8" w:rsidR="00767B75" w:rsidRPr="00311E81" w:rsidRDefault="00767B75" w:rsidP="005F1FB7">
            <w:pPr>
              <w:pStyle w:val="TableBody"/>
              <w:jc w:val="right"/>
            </w:pPr>
            <w:r w:rsidRPr="00311E81">
              <w:t xml:space="preserve"> 1.</w:t>
            </w:r>
            <w:r w:rsidR="001C09B0" w:rsidRPr="00311E81">
              <w:t xml:space="preserve">6 </w:t>
            </w:r>
          </w:p>
        </w:tc>
        <w:tc>
          <w:tcPr>
            <w:tcW w:w="614" w:type="pct"/>
            <w:vAlign w:val="center"/>
            <w:hideMark/>
          </w:tcPr>
          <w:p w14:paraId="3EBA4F6E" w14:textId="667312AA" w:rsidR="00767B75" w:rsidRPr="00311E81" w:rsidRDefault="00767B75" w:rsidP="005F1FB7">
            <w:pPr>
              <w:pStyle w:val="TableBody"/>
              <w:jc w:val="right"/>
            </w:pPr>
            <w:r w:rsidRPr="00311E81">
              <w:t xml:space="preserve"> 1.</w:t>
            </w:r>
            <w:r w:rsidR="001C09B0" w:rsidRPr="00311E81">
              <w:t xml:space="preserve">9 </w:t>
            </w:r>
          </w:p>
        </w:tc>
        <w:tc>
          <w:tcPr>
            <w:tcW w:w="615" w:type="pct"/>
            <w:vAlign w:val="center"/>
            <w:hideMark/>
          </w:tcPr>
          <w:p w14:paraId="0C86159E" w14:textId="7CC29434" w:rsidR="00767B75" w:rsidRPr="00311E81" w:rsidRDefault="00767B75" w:rsidP="005F1FB7">
            <w:pPr>
              <w:pStyle w:val="TableBody"/>
              <w:jc w:val="right"/>
            </w:pPr>
            <w:r w:rsidRPr="00311E81">
              <w:t xml:space="preserve"> 2.</w:t>
            </w:r>
            <w:r w:rsidR="001C09B0" w:rsidRPr="00311E81">
              <w:t xml:space="preserve">2 </w:t>
            </w:r>
          </w:p>
        </w:tc>
      </w:tr>
      <w:tr w:rsidR="00767B75" w:rsidRPr="00DE108C" w14:paraId="77773E45" w14:textId="77777777" w:rsidTr="00274DB5">
        <w:trPr>
          <w:trHeight w:val="255"/>
        </w:trPr>
        <w:tc>
          <w:tcPr>
            <w:tcW w:w="1313" w:type="pct"/>
            <w:vAlign w:val="center"/>
            <w:hideMark/>
          </w:tcPr>
          <w:p w14:paraId="5A8C8A22"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Westernport Water</w:t>
            </w:r>
            <w:r w:rsidRPr="00DE108C">
              <w:rPr>
                <w:rFonts w:ascii="Arial" w:hAnsi="Arial" w:cs="Arial"/>
                <w:color w:val="231F20"/>
                <w:sz w:val="16"/>
                <w:szCs w:val="16"/>
                <w:lang w:val="en-US"/>
              </w:rPr>
              <w:t>​</w:t>
            </w:r>
          </w:p>
        </w:tc>
        <w:tc>
          <w:tcPr>
            <w:tcW w:w="614" w:type="pct"/>
            <w:vAlign w:val="center"/>
            <w:hideMark/>
          </w:tcPr>
          <w:p w14:paraId="5C9C2247" w14:textId="11BBA705" w:rsidR="00767B75" w:rsidRPr="000E6E1D" w:rsidRDefault="00767B75" w:rsidP="005F1FB7">
            <w:pPr>
              <w:pStyle w:val="TableBody"/>
              <w:jc w:val="right"/>
            </w:pPr>
            <w:r w:rsidRPr="000E6E1D">
              <w:t xml:space="preserve"> 0.</w:t>
            </w:r>
            <w:r w:rsidR="001C09B0" w:rsidRPr="000E6E1D">
              <w:t xml:space="preserve">6 </w:t>
            </w:r>
          </w:p>
        </w:tc>
        <w:tc>
          <w:tcPr>
            <w:tcW w:w="615" w:type="pct"/>
            <w:vAlign w:val="center"/>
            <w:hideMark/>
          </w:tcPr>
          <w:p w14:paraId="6CDBD528" w14:textId="0000FA27" w:rsidR="00767B75" w:rsidRPr="000E6E1D" w:rsidRDefault="00767B75" w:rsidP="005F1FB7">
            <w:pPr>
              <w:pStyle w:val="TableBody"/>
              <w:jc w:val="right"/>
            </w:pPr>
            <w:r w:rsidRPr="000E6E1D">
              <w:t xml:space="preserve"> 0.</w:t>
            </w:r>
            <w:r w:rsidR="001C09B0" w:rsidRPr="000E6E1D">
              <w:t xml:space="preserve">6 </w:t>
            </w:r>
          </w:p>
        </w:tc>
        <w:tc>
          <w:tcPr>
            <w:tcW w:w="614" w:type="pct"/>
            <w:vAlign w:val="center"/>
            <w:hideMark/>
          </w:tcPr>
          <w:p w14:paraId="488D57CA" w14:textId="6F6D4509" w:rsidR="00767B75" w:rsidRPr="00311E81" w:rsidRDefault="001C09B0" w:rsidP="005F1FB7">
            <w:pPr>
              <w:pStyle w:val="TableBody"/>
              <w:jc w:val="right"/>
            </w:pPr>
            <w:r w:rsidRPr="00311E81">
              <w:t xml:space="preserve"> </w:t>
            </w:r>
            <w:r w:rsidR="00767B75" w:rsidRPr="00311E81">
              <w:t>0.</w:t>
            </w:r>
            <w:r w:rsidRPr="00311E81">
              <w:t xml:space="preserve">6 </w:t>
            </w:r>
          </w:p>
        </w:tc>
        <w:tc>
          <w:tcPr>
            <w:tcW w:w="615" w:type="pct"/>
            <w:vAlign w:val="center"/>
            <w:hideMark/>
          </w:tcPr>
          <w:p w14:paraId="716DCEC0" w14:textId="343BF639" w:rsidR="00767B75" w:rsidRPr="00311E81" w:rsidRDefault="001C09B0" w:rsidP="005F1FB7">
            <w:pPr>
              <w:pStyle w:val="TableBody"/>
              <w:jc w:val="right"/>
            </w:pPr>
            <w:r w:rsidRPr="00311E81">
              <w:t xml:space="preserve"> </w:t>
            </w:r>
            <w:r w:rsidR="00767B75" w:rsidRPr="00311E81">
              <w:t>0.</w:t>
            </w:r>
            <w:r w:rsidRPr="00311E81">
              <w:t xml:space="preserve">7 </w:t>
            </w:r>
          </w:p>
        </w:tc>
        <w:tc>
          <w:tcPr>
            <w:tcW w:w="614" w:type="pct"/>
            <w:vAlign w:val="center"/>
            <w:hideMark/>
          </w:tcPr>
          <w:p w14:paraId="1CA18AF2" w14:textId="6E24010A" w:rsidR="00767B75" w:rsidRPr="00311E81" w:rsidRDefault="00767B75" w:rsidP="005F1FB7">
            <w:pPr>
              <w:pStyle w:val="TableBody"/>
              <w:jc w:val="right"/>
            </w:pPr>
            <w:r w:rsidRPr="00311E81">
              <w:t xml:space="preserve"> 0.</w:t>
            </w:r>
            <w:r w:rsidR="001C09B0" w:rsidRPr="00311E81">
              <w:t xml:space="preserve">8 </w:t>
            </w:r>
          </w:p>
        </w:tc>
        <w:tc>
          <w:tcPr>
            <w:tcW w:w="615" w:type="pct"/>
            <w:vAlign w:val="center"/>
            <w:hideMark/>
          </w:tcPr>
          <w:p w14:paraId="7C5C2EAB" w14:textId="645E0EB6" w:rsidR="00767B75" w:rsidRPr="00311E81" w:rsidRDefault="00767B75" w:rsidP="005F1FB7">
            <w:pPr>
              <w:pStyle w:val="TableBody"/>
              <w:jc w:val="right"/>
            </w:pPr>
            <w:r w:rsidRPr="00311E81">
              <w:t xml:space="preserve"> 0.</w:t>
            </w:r>
            <w:r w:rsidR="001C09B0" w:rsidRPr="00311E81">
              <w:t xml:space="preserve">8 </w:t>
            </w:r>
          </w:p>
        </w:tc>
      </w:tr>
      <w:tr w:rsidR="00556A0D" w:rsidRPr="00DE108C" w14:paraId="62C2BA42" w14:textId="77777777" w:rsidTr="00274DB5">
        <w:trPr>
          <w:cnfStyle w:val="000000010000" w:firstRow="0" w:lastRow="0" w:firstColumn="0" w:lastColumn="0" w:oddVBand="0" w:evenVBand="0" w:oddHBand="0" w:evenHBand="1" w:firstRowFirstColumn="0" w:firstRowLastColumn="0" w:lastRowFirstColumn="0" w:lastRowLastColumn="0"/>
          <w:trHeight w:val="255"/>
        </w:trPr>
        <w:tc>
          <w:tcPr>
            <w:tcW w:w="1313" w:type="pct"/>
            <w:vAlign w:val="center"/>
            <w:hideMark/>
          </w:tcPr>
          <w:p w14:paraId="349CC97D"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Gippsland Water</w:t>
            </w:r>
            <w:r w:rsidRPr="00DE108C">
              <w:rPr>
                <w:rFonts w:ascii="Arial" w:hAnsi="Arial" w:cs="Arial"/>
                <w:color w:val="231F20"/>
                <w:sz w:val="16"/>
                <w:szCs w:val="16"/>
                <w:lang w:val="en-US"/>
              </w:rPr>
              <w:t>​</w:t>
            </w:r>
          </w:p>
        </w:tc>
        <w:tc>
          <w:tcPr>
            <w:tcW w:w="614" w:type="pct"/>
            <w:vAlign w:val="center"/>
            <w:hideMark/>
          </w:tcPr>
          <w:p w14:paraId="7DEA93F4" w14:textId="2095E6C3" w:rsidR="00767B75" w:rsidRPr="000E6E1D" w:rsidRDefault="00767B75" w:rsidP="35762B23">
            <w:pPr>
              <w:pStyle w:val="TableBody"/>
              <w:jc w:val="right"/>
            </w:pPr>
            <w:r w:rsidRPr="000E6E1D">
              <w:t xml:space="preserve"> 1.</w:t>
            </w:r>
            <w:r w:rsidR="41D8A993" w:rsidRPr="000E6E1D">
              <w:t xml:space="preserve">5 </w:t>
            </w:r>
          </w:p>
        </w:tc>
        <w:tc>
          <w:tcPr>
            <w:tcW w:w="615" w:type="pct"/>
            <w:vAlign w:val="center"/>
            <w:hideMark/>
          </w:tcPr>
          <w:p w14:paraId="2B3AE5C9" w14:textId="0CC44823" w:rsidR="00767B75" w:rsidRPr="000E6E1D" w:rsidRDefault="00767B75" w:rsidP="35762B23">
            <w:pPr>
              <w:pStyle w:val="TableBody"/>
              <w:jc w:val="right"/>
            </w:pPr>
            <w:r w:rsidRPr="000E6E1D">
              <w:t xml:space="preserve"> 0.</w:t>
            </w:r>
            <w:r w:rsidR="41D8A993" w:rsidRPr="000E6E1D">
              <w:t xml:space="preserve">6 </w:t>
            </w:r>
          </w:p>
        </w:tc>
        <w:tc>
          <w:tcPr>
            <w:tcW w:w="614" w:type="pct"/>
            <w:vAlign w:val="center"/>
            <w:hideMark/>
          </w:tcPr>
          <w:p w14:paraId="0D8E2A76" w14:textId="40E9658F" w:rsidR="00767B75" w:rsidRPr="00311E81" w:rsidRDefault="41D8A993" w:rsidP="35762B23">
            <w:pPr>
              <w:pStyle w:val="TableBody"/>
              <w:jc w:val="right"/>
            </w:pPr>
            <w:r w:rsidRPr="00311E81">
              <w:t xml:space="preserve"> </w:t>
            </w:r>
            <w:r w:rsidR="00767B75" w:rsidRPr="00311E81">
              <w:t>0.</w:t>
            </w:r>
            <w:r w:rsidRPr="00311E81">
              <w:t xml:space="preserve">6 </w:t>
            </w:r>
          </w:p>
        </w:tc>
        <w:tc>
          <w:tcPr>
            <w:tcW w:w="615" w:type="pct"/>
            <w:vAlign w:val="center"/>
            <w:hideMark/>
          </w:tcPr>
          <w:p w14:paraId="21FFAD90" w14:textId="311696BE" w:rsidR="00767B75" w:rsidRPr="00311E81" w:rsidRDefault="41D8A993" w:rsidP="35762B23">
            <w:pPr>
              <w:pStyle w:val="TableBody"/>
              <w:jc w:val="right"/>
            </w:pPr>
            <w:r w:rsidRPr="00311E81">
              <w:t xml:space="preserve"> </w:t>
            </w:r>
            <w:r w:rsidR="00767B75" w:rsidRPr="00311E81">
              <w:t>0.</w:t>
            </w:r>
            <w:r w:rsidRPr="00311E81">
              <w:t xml:space="preserve">7 </w:t>
            </w:r>
          </w:p>
        </w:tc>
        <w:tc>
          <w:tcPr>
            <w:tcW w:w="614" w:type="pct"/>
            <w:vAlign w:val="center"/>
            <w:hideMark/>
          </w:tcPr>
          <w:p w14:paraId="68B225BB" w14:textId="3BA5CDAB" w:rsidR="00767B75" w:rsidRPr="00311E81" w:rsidRDefault="00767B75" w:rsidP="35762B23">
            <w:pPr>
              <w:pStyle w:val="TableBody"/>
              <w:jc w:val="right"/>
            </w:pPr>
            <w:r w:rsidRPr="00311E81">
              <w:t xml:space="preserve"> 0.</w:t>
            </w:r>
            <w:r w:rsidR="41D8A993" w:rsidRPr="00311E81">
              <w:t xml:space="preserve">8 </w:t>
            </w:r>
          </w:p>
        </w:tc>
        <w:tc>
          <w:tcPr>
            <w:tcW w:w="615" w:type="pct"/>
            <w:vAlign w:val="center"/>
            <w:hideMark/>
          </w:tcPr>
          <w:p w14:paraId="155E6E86" w14:textId="5B10C26C" w:rsidR="00767B75" w:rsidRPr="00311E81" w:rsidRDefault="00767B75" w:rsidP="35762B23">
            <w:pPr>
              <w:pStyle w:val="TableBody"/>
              <w:jc w:val="right"/>
            </w:pPr>
            <w:r w:rsidRPr="00311E81">
              <w:t xml:space="preserve"> 0.</w:t>
            </w:r>
            <w:r w:rsidR="41D8A993" w:rsidRPr="00311E81">
              <w:t xml:space="preserve">8 </w:t>
            </w:r>
          </w:p>
        </w:tc>
      </w:tr>
    </w:tbl>
    <w:p w14:paraId="68A9DFF7" w14:textId="2A2AEC30" w:rsidR="00767B75" w:rsidRPr="00DE108C" w:rsidRDefault="00767B75" w:rsidP="00767B75">
      <w:pPr>
        <w:pStyle w:val="Caption"/>
      </w:pPr>
      <w:bookmarkStart w:id="43" w:name="_Toc207892965"/>
      <w:bookmarkStart w:id="44" w:name="_Toc208490494"/>
      <w:bookmarkStart w:id="45" w:name="_Toc208490832"/>
      <w:bookmarkStart w:id="46" w:name="_Toc208910990"/>
      <w:bookmarkStart w:id="47" w:name="_Toc210051297"/>
      <w:r w:rsidRPr="00DE108C">
        <w:t xml:space="preserve">Table </w:t>
      </w:r>
      <w:r w:rsidR="1DED5EB5" w:rsidRPr="00DE108C">
        <w:t>II</w:t>
      </w:r>
      <w:r w:rsidR="00630527" w:rsidRPr="00DE108C">
        <w:t>I</w:t>
      </w:r>
      <w:r w:rsidRPr="00DE108C">
        <w:t xml:space="preserve">: End customer bill impact - cumulative dollar </w:t>
      </w:r>
      <w:r w:rsidR="1352C31D" w:rsidRPr="00DE108C">
        <w:t>change</w:t>
      </w:r>
      <w:r w:rsidR="4252C041" w:rsidRPr="00DE108C">
        <w:rPr>
          <w:vertAlign w:val="superscript"/>
        </w:rPr>
        <w:t>a</w:t>
      </w:r>
      <w:r w:rsidRPr="00DE108C">
        <w:t xml:space="preserve"> ($real 20</w:t>
      </w:r>
      <w:r w:rsidR="009D6E99" w:rsidRPr="00DE108C">
        <w:t>25-</w:t>
      </w:r>
      <w:r w:rsidRPr="00DE108C">
        <w:t>26)</w:t>
      </w:r>
      <w:bookmarkEnd w:id="43"/>
      <w:bookmarkEnd w:id="44"/>
      <w:bookmarkEnd w:id="45"/>
      <w:bookmarkEnd w:id="46"/>
      <w:bookmarkEnd w:id="47"/>
    </w:p>
    <w:tbl>
      <w:tblPr>
        <w:tblStyle w:val="TableGrid"/>
        <w:tblW w:w="5000" w:type="pct"/>
        <w:tblLook w:val="04A0" w:firstRow="1" w:lastRow="0" w:firstColumn="1" w:lastColumn="0" w:noHBand="0" w:noVBand="1"/>
      </w:tblPr>
      <w:tblGrid>
        <w:gridCol w:w="2548"/>
        <w:gridCol w:w="1134"/>
        <w:gridCol w:w="1188"/>
        <w:gridCol w:w="1188"/>
        <w:gridCol w:w="1190"/>
        <w:gridCol w:w="1188"/>
        <w:gridCol w:w="1192"/>
      </w:tblGrid>
      <w:tr w:rsidR="00AC454B" w:rsidRPr="00DE108C" w14:paraId="35E9121F" w14:textId="77777777" w:rsidTr="003E2150">
        <w:trPr>
          <w:cnfStyle w:val="100000000000" w:firstRow="1" w:lastRow="0" w:firstColumn="0" w:lastColumn="0" w:oddVBand="0" w:evenVBand="0" w:oddHBand="0" w:evenHBand="0" w:firstRowFirstColumn="0" w:firstRowLastColumn="0" w:lastRowFirstColumn="0" w:lastRowLastColumn="0"/>
          <w:trHeight w:val="270"/>
        </w:trPr>
        <w:tc>
          <w:tcPr>
            <w:tcW w:w="1323" w:type="pct"/>
            <w:hideMark/>
          </w:tcPr>
          <w:p w14:paraId="5801E7D6" w14:textId="77777777" w:rsidR="00767B75" w:rsidRPr="00DE108C" w:rsidRDefault="00767B75">
            <w:pPr>
              <w:spacing w:before="100" w:beforeAutospacing="1" w:after="100" w:afterAutospacing="1" w:line="240" w:lineRule="auto"/>
              <w:textAlignment w:val="baseline"/>
              <w:rPr>
                <w:rFonts w:asciiTheme="majorHAnsi" w:hAnsiTheme="majorHAnsi"/>
                <w:color w:val="FFFFFF" w:themeColor="background1"/>
                <w:sz w:val="16"/>
                <w:szCs w:val="16"/>
              </w:rPr>
            </w:pPr>
            <w:r w:rsidRPr="00DE108C">
              <w:rPr>
                <w:rFonts w:ascii="Arial" w:hAnsi="Arial" w:cs="Arial"/>
                <w:color w:val="FFFFFF" w:themeColor="background1"/>
                <w:sz w:val="16"/>
                <w:szCs w:val="16"/>
              </w:rPr>
              <w:t>​</w:t>
            </w:r>
          </w:p>
        </w:tc>
        <w:tc>
          <w:tcPr>
            <w:tcW w:w="589" w:type="pct"/>
            <w:hideMark/>
          </w:tcPr>
          <w:p w14:paraId="5C27E62A" w14:textId="77777777" w:rsidR="00767B75" w:rsidRPr="00DE108C" w:rsidRDefault="00767B75">
            <w:pPr>
              <w:spacing w:before="100" w:beforeAutospacing="1" w:after="100" w:afterAutospacing="1" w:line="240" w:lineRule="auto"/>
              <w:textAlignment w:val="baseline"/>
              <w:rPr>
                <w:rFonts w:asciiTheme="majorHAnsi" w:hAnsiTheme="majorHAnsi"/>
                <w:color w:val="FFFFFF" w:themeColor="background1"/>
                <w:sz w:val="16"/>
                <w:szCs w:val="16"/>
              </w:rPr>
            </w:pPr>
            <w:r w:rsidRPr="00DE108C">
              <w:rPr>
                <w:rFonts w:ascii="Arial" w:hAnsi="Arial" w:cs="Arial"/>
                <w:color w:val="FFFFFF" w:themeColor="background1"/>
                <w:sz w:val="16"/>
                <w:szCs w:val="16"/>
              </w:rPr>
              <w:t>​</w:t>
            </w:r>
          </w:p>
        </w:tc>
        <w:tc>
          <w:tcPr>
            <w:tcW w:w="3088" w:type="pct"/>
            <w:gridSpan w:val="5"/>
            <w:hideMark/>
          </w:tcPr>
          <w:p w14:paraId="01B5C8E8" w14:textId="0E02A636"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2026–</w:t>
            </w:r>
            <w:r w:rsidRPr="000A10C7">
              <w:rPr>
                <w:rFonts w:asciiTheme="majorHAnsi" w:hAnsiTheme="majorHAnsi"/>
                <w:b/>
                <w:bCs/>
                <w:color w:val="FFFFFF" w:themeColor="background1"/>
                <w:sz w:val="16"/>
                <w:szCs w:val="16"/>
              </w:rPr>
              <w:t>31</w:t>
            </w:r>
            <w:r w:rsidRPr="00DE108C">
              <w:rPr>
                <w:rFonts w:asciiTheme="majorHAnsi" w:hAnsiTheme="majorHAnsi"/>
                <w:b/>
                <w:bCs/>
                <w:color w:val="FFFFFF" w:themeColor="background1"/>
                <w:sz w:val="16"/>
                <w:szCs w:val="16"/>
              </w:rPr>
              <w:t xml:space="preserve"> regulatory period</w:t>
            </w:r>
            <w:r w:rsidRPr="00DE108C">
              <w:rPr>
                <w:rFonts w:ascii="Arial" w:hAnsi="Arial" w:cs="Arial"/>
                <w:color w:val="FFFFFF" w:themeColor="background1"/>
                <w:sz w:val="16"/>
                <w:szCs w:val="16"/>
                <w:lang w:val="en-US"/>
              </w:rPr>
              <w:t>​</w:t>
            </w:r>
          </w:p>
        </w:tc>
      </w:tr>
      <w:tr w:rsidR="00767B75" w:rsidRPr="00DE108C" w14:paraId="5A7449DC" w14:textId="77777777" w:rsidTr="003E2150">
        <w:trPr>
          <w:trHeight w:val="270"/>
        </w:trPr>
        <w:tc>
          <w:tcPr>
            <w:tcW w:w="1323" w:type="pct"/>
            <w:shd w:val="clear" w:color="auto" w:fill="00428B" w:themeFill="accent1"/>
            <w:hideMark/>
          </w:tcPr>
          <w:p w14:paraId="4968FEB0" w14:textId="77777777" w:rsidR="00767B75" w:rsidRPr="00DE108C" w:rsidRDefault="00767B75">
            <w:pPr>
              <w:spacing w:before="100" w:beforeAutospacing="1" w:after="100" w:afterAutospacing="1" w:line="240" w:lineRule="auto"/>
              <w:textAlignment w:val="baseline"/>
              <w:rPr>
                <w:rFonts w:asciiTheme="majorHAnsi" w:hAnsiTheme="majorHAnsi"/>
                <w:color w:val="FFFFFF" w:themeColor="background1"/>
                <w:sz w:val="16"/>
                <w:szCs w:val="16"/>
              </w:rPr>
            </w:pPr>
            <w:r w:rsidRPr="00DE108C">
              <w:rPr>
                <w:rFonts w:ascii="Arial" w:hAnsi="Arial" w:cs="Arial"/>
                <w:color w:val="FFFFFF" w:themeColor="background1"/>
                <w:sz w:val="16"/>
                <w:szCs w:val="16"/>
              </w:rPr>
              <w:t>​</w:t>
            </w:r>
          </w:p>
        </w:tc>
        <w:tc>
          <w:tcPr>
            <w:tcW w:w="589" w:type="pct"/>
            <w:shd w:val="clear" w:color="auto" w:fill="00428B" w:themeFill="accent1"/>
            <w:hideMark/>
          </w:tcPr>
          <w:p w14:paraId="5BFF8518" w14:textId="77777777"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2025-26</w:t>
            </w:r>
            <w:r w:rsidRPr="00DE108C">
              <w:rPr>
                <w:rFonts w:ascii="Arial" w:hAnsi="Arial" w:cs="Arial"/>
                <w:color w:val="FFFFFF" w:themeColor="background1"/>
                <w:sz w:val="16"/>
                <w:szCs w:val="16"/>
                <w:lang w:val="en-US"/>
              </w:rPr>
              <w:t>​</w:t>
            </w:r>
          </w:p>
        </w:tc>
        <w:tc>
          <w:tcPr>
            <w:tcW w:w="617" w:type="pct"/>
            <w:shd w:val="clear" w:color="auto" w:fill="00428B" w:themeFill="accent1"/>
            <w:hideMark/>
          </w:tcPr>
          <w:p w14:paraId="74A1DDC8" w14:textId="77777777"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2026-27</w:t>
            </w:r>
            <w:r w:rsidRPr="00DE108C">
              <w:rPr>
                <w:rFonts w:ascii="Arial" w:hAnsi="Arial" w:cs="Arial"/>
                <w:color w:val="FFFFFF" w:themeColor="background1"/>
                <w:sz w:val="16"/>
                <w:szCs w:val="16"/>
                <w:lang w:val="en-US"/>
              </w:rPr>
              <w:t>​</w:t>
            </w:r>
          </w:p>
        </w:tc>
        <w:tc>
          <w:tcPr>
            <w:tcW w:w="617" w:type="pct"/>
            <w:shd w:val="clear" w:color="auto" w:fill="00428B" w:themeFill="accent1"/>
            <w:hideMark/>
          </w:tcPr>
          <w:p w14:paraId="00C6295C" w14:textId="77777777"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2027-28</w:t>
            </w:r>
            <w:r w:rsidRPr="00DE108C">
              <w:rPr>
                <w:rFonts w:ascii="Arial" w:hAnsi="Arial" w:cs="Arial"/>
                <w:color w:val="FFFFFF" w:themeColor="background1"/>
                <w:sz w:val="16"/>
                <w:szCs w:val="16"/>
                <w:lang w:val="en-US"/>
              </w:rPr>
              <w:t>​</w:t>
            </w:r>
          </w:p>
        </w:tc>
        <w:tc>
          <w:tcPr>
            <w:tcW w:w="618" w:type="pct"/>
            <w:shd w:val="clear" w:color="auto" w:fill="00428B" w:themeFill="accent1"/>
            <w:hideMark/>
          </w:tcPr>
          <w:p w14:paraId="4D2D70E2" w14:textId="77777777"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2028-29</w:t>
            </w:r>
            <w:r w:rsidRPr="00DE108C">
              <w:rPr>
                <w:rFonts w:ascii="Arial" w:hAnsi="Arial" w:cs="Arial"/>
                <w:color w:val="FFFFFF" w:themeColor="background1"/>
                <w:sz w:val="16"/>
                <w:szCs w:val="16"/>
                <w:lang w:val="en-US"/>
              </w:rPr>
              <w:t>​</w:t>
            </w:r>
          </w:p>
        </w:tc>
        <w:tc>
          <w:tcPr>
            <w:tcW w:w="617" w:type="pct"/>
            <w:shd w:val="clear" w:color="auto" w:fill="00428B" w:themeFill="accent1"/>
            <w:hideMark/>
          </w:tcPr>
          <w:p w14:paraId="63506C5C" w14:textId="77777777"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2029-30</w:t>
            </w:r>
            <w:r w:rsidRPr="00DE108C">
              <w:rPr>
                <w:rFonts w:ascii="Arial" w:hAnsi="Arial" w:cs="Arial"/>
                <w:color w:val="FFFFFF" w:themeColor="background1"/>
                <w:sz w:val="16"/>
                <w:szCs w:val="16"/>
                <w:lang w:val="en-US"/>
              </w:rPr>
              <w:t>​</w:t>
            </w:r>
          </w:p>
        </w:tc>
        <w:tc>
          <w:tcPr>
            <w:tcW w:w="618" w:type="pct"/>
            <w:shd w:val="clear" w:color="auto" w:fill="00428B" w:themeFill="accent1"/>
            <w:hideMark/>
          </w:tcPr>
          <w:p w14:paraId="1F59FE0F" w14:textId="77777777" w:rsidR="00767B75" w:rsidRPr="00DE108C" w:rsidRDefault="00767B7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2030-31</w:t>
            </w:r>
            <w:r w:rsidRPr="00DE108C">
              <w:rPr>
                <w:rFonts w:ascii="Arial" w:hAnsi="Arial" w:cs="Arial"/>
                <w:color w:val="FFFFFF" w:themeColor="background1"/>
                <w:sz w:val="16"/>
                <w:szCs w:val="16"/>
                <w:lang w:val="en-US"/>
              </w:rPr>
              <w:t>​</w:t>
            </w:r>
          </w:p>
        </w:tc>
      </w:tr>
      <w:tr w:rsidR="00AC454B" w:rsidRPr="00DE108C" w14:paraId="609267C8" w14:textId="77777777" w:rsidTr="003E2150">
        <w:trPr>
          <w:cnfStyle w:val="000000010000" w:firstRow="0" w:lastRow="0" w:firstColumn="0" w:lastColumn="0" w:oddVBand="0" w:evenVBand="0" w:oddHBand="0" w:evenHBand="1" w:firstRowFirstColumn="0" w:firstRowLastColumn="0" w:lastRowFirstColumn="0" w:lastRowLastColumn="0"/>
          <w:trHeight w:val="270"/>
        </w:trPr>
        <w:tc>
          <w:tcPr>
            <w:tcW w:w="1323" w:type="pct"/>
            <w:vAlign w:val="center"/>
            <w:hideMark/>
          </w:tcPr>
          <w:p w14:paraId="3A42508B"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Greater Western Water</w:t>
            </w:r>
            <w:r w:rsidRPr="00DE108C">
              <w:rPr>
                <w:rFonts w:ascii="Arial" w:hAnsi="Arial" w:cs="Arial"/>
                <w:color w:val="231F20"/>
                <w:sz w:val="16"/>
                <w:szCs w:val="16"/>
                <w:lang w:val="en-US"/>
              </w:rPr>
              <w:t>​</w:t>
            </w:r>
          </w:p>
        </w:tc>
        <w:tc>
          <w:tcPr>
            <w:tcW w:w="589" w:type="pct"/>
            <w:vAlign w:val="center"/>
            <w:hideMark/>
          </w:tcPr>
          <w:p w14:paraId="1D18B340" w14:textId="0388F61E" w:rsidR="00767B75" w:rsidRPr="00DE108C" w:rsidRDefault="00767B75" w:rsidP="006C6053">
            <w:pPr>
              <w:pStyle w:val="TableBody"/>
              <w:jc w:val="right"/>
              <w:rPr>
                <w:rFonts w:asciiTheme="majorHAnsi" w:hAnsiTheme="majorHAnsi"/>
                <w:color w:val="231F20"/>
                <w:szCs w:val="16"/>
                <w:lang w:val="en-US"/>
              </w:rPr>
            </w:pPr>
            <w:r w:rsidRPr="00DE108C">
              <w:t>1,110</w:t>
            </w:r>
          </w:p>
        </w:tc>
        <w:tc>
          <w:tcPr>
            <w:tcW w:w="617" w:type="pct"/>
            <w:vAlign w:val="center"/>
          </w:tcPr>
          <w:p w14:paraId="57A14E0E" w14:textId="59E4BC4B" w:rsidR="00767B75" w:rsidRPr="00032A7A" w:rsidRDefault="00032A7A" w:rsidP="006C6053">
            <w:pPr>
              <w:pStyle w:val="TableBody"/>
              <w:jc w:val="right"/>
            </w:pPr>
            <w:r w:rsidRPr="00032A7A">
              <w:t>-</w:t>
            </w:r>
          </w:p>
        </w:tc>
        <w:tc>
          <w:tcPr>
            <w:tcW w:w="617" w:type="pct"/>
            <w:vAlign w:val="center"/>
          </w:tcPr>
          <w:p w14:paraId="623C4494" w14:textId="293F06B3" w:rsidR="00767B75" w:rsidRPr="00C754E6" w:rsidRDefault="00767B75" w:rsidP="006C6053">
            <w:pPr>
              <w:pStyle w:val="TableBody"/>
              <w:jc w:val="right"/>
            </w:pPr>
            <w:r w:rsidRPr="00C754E6">
              <w:t>17</w:t>
            </w:r>
          </w:p>
        </w:tc>
        <w:tc>
          <w:tcPr>
            <w:tcW w:w="618" w:type="pct"/>
            <w:vAlign w:val="center"/>
          </w:tcPr>
          <w:p w14:paraId="3D1FC545" w14:textId="6D192BE8" w:rsidR="00767B75" w:rsidRPr="00C754E6" w:rsidRDefault="00223CD5" w:rsidP="006C6053">
            <w:pPr>
              <w:pStyle w:val="TableBody"/>
              <w:jc w:val="right"/>
            </w:pPr>
            <w:r w:rsidRPr="00C754E6">
              <w:t>27</w:t>
            </w:r>
          </w:p>
        </w:tc>
        <w:tc>
          <w:tcPr>
            <w:tcW w:w="617" w:type="pct"/>
            <w:vAlign w:val="center"/>
          </w:tcPr>
          <w:p w14:paraId="06DFCA4D" w14:textId="0F7BA749" w:rsidR="00767B75" w:rsidRPr="00C754E6" w:rsidRDefault="00223CD5" w:rsidP="006C6053">
            <w:pPr>
              <w:pStyle w:val="TableBody"/>
              <w:jc w:val="right"/>
            </w:pPr>
            <w:r w:rsidRPr="00C754E6">
              <w:t>37</w:t>
            </w:r>
          </w:p>
        </w:tc>
        <w:tc>
          <w:tcPr>
            <w:tcW w:w="618" w:type="pct"/>
            <w:vAlign w:val="center"/>
          </w:tcPr>
          <w:p w14:paraId="5260A478" w14:textId="26785771" w:rsidR="00767B75" w:rsidRPr="00C754E6" w:rsidRDefault="00223CD5" w:rsidP="006C6053">
            <w:pPr>
              <w:pStyle w:val="TableBody"/>
              <w:jc w:val="right"/>
            </w:pPr>
            <w:r w:rsidRPr="00C754E6">
              <w:t>47</w:t>
            </w:r>
          </w:p>
        </w:tc>
      </w:tr>
      <w:tr w:rsidR="00767B75" w:rsidRPr="00DE108C" w14:paraId="02AEDEFF" w14:textId="77777777" w:rsidTr="003E2150">
        <w:trPr>
          <w:trHeight w:val="270"/>
        </w:trPr>
        <w:tc>
          <w:tcPr>
            <w:tcW w:w="1323" w:type="pct"/>
            <w:vAlign w:val="center"/>
            <w:hideMark/>
          </w:tcPr>
          <w:p w14:paraId="6BA45BD7"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South East Water</w:t>
            </w:r>
            <w:r w:rsidRPr="00DE108C">
              <w:rPr>
                <w:rFonts w:ascii="Arial" w:hAnsi="Arial" w:cs="Arial"/>
                <w:color w:val="231F20"/>
                <w:sz w:val="16"/>
                <w:szCs w:val="16"/>
                <w:lang w:val="en-US"/>
              </w:rPr>
              <w:t>​</w:t>
            </w:r>
          </w:p>
        </w:tc>
        <w:tc>
          <w:tcPr>
            <w:tcW w:w="589" w:type="pct"/>
            <w:vAlign w:val="center"/>
            <w:hideMark/>
          </w:tcPr>
          <w:p w14:paraId="1B642E6F" w14:textId="785D1519" w:rsidR="00767B75" w:rsidRPr="00DE108C" w:rsidRDefault="00767B75" w:rsidP="006C6053">
            <w:pPr>
              <w:pStyle w:val="TableBody"/>
              <w:jc w:val="right"/>
              <w:rPr>
                <w:rFonts w:asciiTheme="majorHAnsi" w:hAnsiTheme="majorHAnsi"/>
                <w:color w:val="231F20"/>
                <w:szCs w:val="16"/>
                <w:lang w:val="en-US"/>
              </w:rPr>
            </w:pPr>
            <w:r w:rsidRPr="00DE108C">
              <w:t>1,057</w:t>
            </w:r>
          </w:p>
        </w:tc>
        <w:tc>
          <w:tcPr>
            <w:tcW w:w="617" w:type="pct"/>
            <w:vAlign w:val="center"/>
          </w:tcPr>
          <w:p w14:paraId="6D561E61" w14:textId="2DC6860C" w:rsidR="00767B75" w:rsidRPr="00032A7A" w:rsidRDefault="00032A7A" w:rsidP="006C6053">
            <w:pPr>
              <w:pStyle w:val="TableBody"/>
              <w:jc w:val="right"/>
            </w:pPr>
            <w:r w:rsidRPr="00032A7A">
              <w:t>-</w:t>
            </w:r>
          </w:p>
        </w:tc>
        <w:tc>
          <w:tcPr>
            <w:tcW w:w="617" w:type="pct"/>
            <w:vAlign w:val="center"/>
          </w:tcPr>
          <w:p w14:paraId="1BD86913" w14:textId="4E5FB3E8" w:rsidR="00767B75" w:rsidRPr="00C754E6" w:rsidRDefault="009D6E99" w:rsidP="006C6053">
            <w:pPr>
              <w:pStyle w:val="TableBody"/>
              <w:jc w:val="right"/>
            </w:pPr>
            <w:r w:rsidRPr="00C754E6">
              <w:t>15</w:t>
            </w:r>
          </w:p>
        </w:tc>
        <w:tc>
          <w:tcPr>
            <w:tcW w:w="618" w:type="pct"/>
            <w:vAlign w:val="center"/>
          </w:tcPr>
          <w:p w14:paraId="5843BEDD" w14:textId="566FFAEB" w:rsidR="00767B75" w:rsidRPr="00C754E6" w:rsidRDefault="00767B75" w:rsidP="006C6053">
            <w:pPr>
              <w:pStyle w:val="TableBody"/>
              <w:jc w:val="right"/>
            </w:pPr>
            <w:r w:rsidRPr="00C754E6">
              <w:t>16</w:t>
            </w:r>
          </w:p>
        </w:tc>
        <w:tc>
          <w:tcPr>
            <w:tcW w:w="617" w:type="pct"/>
            <w:vAlign w:val="center"/>
          </w:tcPr>
          <w:p w14:paraId="39FE10A2" w14:textId="0A198A85" w:rsidR="00767B75" w:rsidRPr="00C754E6" w:rsidRDefault="00767B75" w:rsidP="006C6053">
            <w:pPr>
              <w:pStyle w:val="TableBody"/>
              <w:jc w:val="right"/>
            </w:pPr>
            <w:r w:rsidRPr="00C754E6">
              <w:t>17</w:t>
            </w:r>
          </w:p>
        </w:tc>
        <w:tc>
          <w:tcPr>
            <w:tcW w:w="618" w:type="pct"/>
            <w:vAlign w:val="center"/>
          </w:tcPr>
          <w:p w14:paraId="62D0E35A" w14:textId="2A06AEE4" w:rsidR="00767B75" w:rsidRPr="00C754E6" w:rsidRDefault="009D6E99" w:rsidP="006C6053">
            <w:pPr>
              <w:pStyle w:val="TableBody"/>
              <w:jc w:val="right"/>
            </w:pPr>
            <w:r w:rsidRPr="00C754E6">
              <w:t>18</w:t>
            </w:r>
          </w:p>
        </w:tc>
      </w:tr>
      <w:tr w:rsidR="00AC454B" w:rsidRPr="00DE108C" w14:paraId="3739BD69" w14:textId="77777777" w:rsidTr="003E2150">
        <w:trPr>
          <w:cnfStyle w:val="000000010000" w:firstRow="0" w:lastRow="0" w:firstColumn="0" w:lastColumn="0" w:oddVBand="0" w:evenVBand="0" w:oddHBand="0" w:evenHBand="1" w:firstRowFirstColumn="0" w:firstRowLastColumn="0" w:lastRowFirstColumn="0" w:lastRowLastColumn="0"/>
          <w:trHeight w:val="270"/>
        </w:trPr>
        <w:tc>
          <w:tcPr>
            <w:tcW w:w="1323" w:type="pct"/>
            <w:vAlign w:val="center"/>
            <w:hideMark/>
          </w:tcPr>
          <w:p w14:paraId="09AD9450"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Yarra Valley Water</w:t>
            </w:r>
            <w:r w:rsidRPr="00DE108C">
              <w:rPr>
                <w:rFonts w:ascii="Arial" w:hAnsi="Arial" w:cs="Arial"/>
                <w:color w:val="231F20"/>
                <w:sz w:val="16"/>
                <w:szCs w:val="16"/>
                <w:lang w:val="en-US"/>
              </w:rPr>
              <w:t>​</w:t>
            </w:r>
          </w:p>
        </w:tc>
        <w:tc>
          <w:tcPr>
            <w:tcW w:w="589" w:type="pct"/>
            <w:vAlign w:val="center"/>
            <w:hideMark/>
          </w:tcPr>
          <w:p w14:paraId="631F72F7" w14:textId="2EE09A41" w:rsidR="00767B75" w:rsidRPr="00DE108C" w:rsidRDefault="00767B75" w:rsidP="006C6053">
            <w:pPr>
              <w:pStyle w:val="TableBody"/>
              <w:jc w:val="right"/>
              <w:rPr>
                <w:rFonts w:asciiTheme="majorHAnsi" w:hAnsiTheme="majorHAnsi"/>
                <w:color w:val="231F20"/>
                <w:szCs w:val="16"/>
                <w:lang w:val="en-US"/>
              </w:rPr>
            </w:pPr>
            <w:r w:rsidRPr="00DE108C">
              <w:t>1,114</w:t>
            </w:r>
          </w:p>
        </w:tc>
        <w:tc>
          <w:tcPr>
            <w:tcW w:w="617" w:type="pct"/>
            <w:vAlign w:val="center"/>
          </w:tcPr>
          <w:p w14:paraId="488A5D84" w14:textId="2E78C1B5" w:rsidR="00767B75" w:rsidRPr="00032A7A" w:rsidRDefault="00032A7A" w:rsidP="006C6053">
            <w:pPr>
              <w:pStyle w:val="TableBody"/>
              <w:jc w:val="right"/>
            </w:pPr>
            <w:r w:rsidRPr="00032A7A">
              <w:t>-</w:t>
            </w:r>
          </w:p>
        </w:tc>
        <w:tc>
          <w:tcPr>
            <w:tcW w:w="617" w:type="pct"/>
            <w:vAlign w:val="center"/>
          </w:tcPr>
          <w:p w14:paraId="7F325BCE" w14:textId="4A8C2B91" w:rsidR="00767B75" w:rsidRPr="00C754E6" w:rsidRDefault="00767B75" w:rsidP="006C6053">
            <w:pPr>
              <w:pStyle w:val="TableBody"/>
              <w:jc w:val="right"/>
            </w:pPr>
            <w:r w:rsidRPr="00C754E6">
              <w:t>16</w:t>
            </w:r>
          </w:p>
        </w:tc>
        <w:tc>
          <w:tcPr>
            <w:tcW w:w="618" w:type="pct"/>
            <w:vAlign w:val="center"/>
          </w:tcPr>
          <w:p w14:paraId="49F8D948" w14:textId="308EBCEF" w:rsidR="00767B75" w:rsidRPr="00C754E6" w:rsidRDefault="00767B75" w:rsidP="006C6053">
            <w:pPr>
              <w:pStyle w:val="TableBody"/>
              <w:jc w:val="right"/>
            </w:pPr>
            <w:r w:rsidRPr="00C754E6">
              <w:t>9</w:t>
            </w:r>
          </w:p>
        </w:tc>
        <w:tc>
          <w:tcPr>
            <w:tcW w:w="617" w:type="pct"/>
            <w:vAlign w:val="center"/>
          </w:tcPr>
          <w:p w14:paraId="6AB48B47" w14:textId="76C61559" w:rsidR="00767B75" w:rsidRPr="00C754E6" w:rsidRDefault="00223CD5" w:rsidP="006C6053">
            <w:pPr>
              <w:pStyle w:val="TableBody"/>
              <w:jc w:val="right"/>
            </w:pPr>
            <w:r w:rsidRPr="00C754E6">
              <w:t>1</w:t>
            </w:r>
          </w:p>
        </w:tc>
        <w:tc>
          <w:tcPr>
            <w:tcW w:w="618" w:type="pct"/>
            <w:vAlign w:val="center"/>
          </w:tcPr>
          <w:p w14:paraId="2B5000C1" w14:textId="37FBA850" w:rsidR="00767B75" w:rsidRPr="00C754E6" w:rsidRDefault="00223CD5" w:rsidP="006C6053">
            <w:pPr>
              <w:pStyle w:val="TableBody"/>
              <w:jc w:val="right"/>
            </w:pPr>
            <w:r w:rsidRPr="00C754E6">
              <w:t>-</w:t>
            </w:r>
            <w:r w:rsidR="009D6E99" w:rsidRPr="00C754E6">
              <w:t>7</w:t>
            </w:r>
          </w:p>
        </w:tc>
      </w:tr>
      <w:tr w:rsidR="00767B75" w:rsidRPr="00DE108C" w14:paraId="6CDBCE13" w14:textId="77777777" w:rsidTr="003E2150">
        <w:trPr>
          <w:trHeight w:val="270"/>
        </w:trPr>
        <w:tc>
          <w:tcPr>
            <w:tcW w:w="1323" w:type="pct"/>
            <w:vAlign w:val="center"/>
            <w:hideMark/>
          </w:tcPr>
          <w:p w14:paraId="3D24420E"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Barwon Water</w:t>
            </w:r>
            <w:r w:rsidRPr="00DE108C">
              <w:rPr>
                <w:rFonts w:ascii="Arial" w:hAnsi="Arial" w:cs="Arial"/>
                <w:color w:val="231F20"/>
                <w:sz w:val="16"/>
                <w:szCs w:val="16"/>
                <w:lang w:val="en-US"/>
              </w:rPr>
              <w:t>​</w:t>
            </w:r>
          </w:p>
        </w:tc>
        <w:tc>
          <w:tcPr>
            <w:tcW w:w="589" w:type="pct"/>
            <w:vAlign w:val="center"/>
            <w:hideMark/>
          </w:tcPr>
          <w:p w14:paraId="3306F5EB" w14:textId="34E84444" w:rsidR="00767B75" w:rsidRPr="00DE108C" w:rsidRDefault="00767B75" w:rsidP="006C6053">
            <w:pPr>
              <w:pStyle w:val="TableBody"/>
              <w:jc w:val="right"/>
              <w:rPr>
                <w:rFonts w:asciiTheme="majorHAnsi" w:hAnsiTheme="majorHAnsi"/>
                <w:color w:val="231F20"/>
                <w:szCs w:val="16"/>
                <w:lang w:val="en-US"/>
              </w:rPr>
            </w:pPr>
            <w:r w:rsidRPr="00DE108C">
              <w:t>1,183</w:t>
            </w:r>
          </w:p>
        </w:tc>
        <w:tc>
          <w:tcPr>
            <w:tcW w:w="617" w:type="pct"/>
            <w:vAlign w:val="center"/>
          </w:tcPr>
          <w:p w14:paraId="2D150240" w14:textId="6DEB295A" w:rsidR="00767B75" w:rsidRPr="00032A7A" w:rsidRDefault="00223CD5" w:rsidP="006C6053">
            <w:pPr>
              <w:pStyle w:val="TableBody"/>
              <w:jc w:val="right"/>
            </w:pPr>
            <w:r w:rsidRPr="00032A7A">
              <w:t>-</w:t>
            </w:r>
            <w:r w:rsidR="00767B75" w:rsidRPr="00032A7A">
              <w:t>3</w:t>
            </w:r>
          </w:p>
        </w:tc>
        <w:tc>
          <w:tcPr>
            <w:tcW w:w="617" w:type="pct"/>
            <w:vAlign w:val="center"/>
          </w:tcPr>
          <w:p w14:paraId="1A042ED7" w14:textId="11939E9C" w:rsidR="00767B75" w:rsidRPr="00C754E6" w:rsidRDefault="00223CD5" w:rsidP="006C6053">
            <w:pPr>
              <w:pStyle w:val="TableBody"/>
              <w:jc w:val="right"/>
            </w:pPr>
            <w:r w:rsidRPr="00C754E6">
              <w:t>-</w:t>
            </w:r>
            <w:r w:rsidR="00767B75" w:rsidRPr="00C754E6">
              <w:t>4</w:t>
            </w:r>
          </w:p>
        </w:tc>
        <w:tc>
          <w:tcPr>
            <w:tcW w:w="618" w:type="pct"/>
            <w:vAlign w:val="center"/>
          </w:tcPr>
          <w:p w14:paraId="2D859C90" w14:textId="1DC4D49C" w:rsidR="00767B75" w:rsidRPr="00C754E6" w:rsidRDefault="00223CD5" w:rsidP="006C6053">
            <w:pPr>
              <w:pStyle w:val="TableBody"/>
              <w:jc w:val="right"/>
            </w:pPr>
            <w:r w:rsidRPr="00C754E6">
              <w:t>-</w:t>
            </w:r>
            <w:r w:rsidR="00767B75" w:rsidRPr="00C754E6">
              <w:t>5</w:t>
            </w:r>
          </w:p>
        </w:tc>
        <w:tc>
          <w:tcPr>
            <w:tcW w:w="617" w:type="pct"/>
            <w:vAlign w:val="center"/>
          </w:tcPr>
          <w:p w14:paraId="79D40B76" w14:textId="24C0E293" w:rsidR="00767B75" w:rsidRPr="00C754E6" w:rsidRDefault="00223CD5" w:rsidP="006C6053">
            <w:pPr>
              <w:pStyle w:val="TableBody"/>
              <w:jc w:val="right"/>
            </w:pPr>
            <w:r w:rsidRPr="00C754E6">
              <w:t>-</w:t>
            </w:r>
            <w:r w:rsidR="00767B75" w:rsidRPr="00C754E6">
              <w:t>6</w:t>
            </w:r>
          </w:p>
        </w:tc>
        <w:tc>
          <w:tcPr>
            <w:tcW w:w="618" w:type="pct"/>
            <w:vAlign w:val="center"/>
          </w:tcPr>
          <w:p w14:paraId="56C8B530" w14:textId="4BC6BBF3" w:rsidR="00767B75" w:rsidRPr="00C754E6" w:rsidRDefault="00223CD5" w:rsidP="006C6053">
            <w:pPr>
              <w:pStyle w:val="TableBody"/>
              <w:jc w:val="right"/>
            </w:pPr>
            <w:r w:rsidRPr="00C754E6">
              <w:t>-</w:t>
            </w:r>
            <w:r w:rsidR="00767B75" w:rsidRPr="00C754E6">
              <w:t>2</w:t>
            </w:r>
          </w:p>
        </w:tc>
      </w:tr>
      <w:tr w:rsidR="00AC454B" w:rsidRPr="00DE108C" w14:paraId="35303089" w14:textId="77777777" w:rsidTr="003E2150">
        <w:trPr>
          <w:cnfStyle w:val="000000010000" w:firstRow="0" w:lastRow="0" w:firstColumn="0" w:lastColumn="0" w:oddVBand="0" w:evenVBand="0" w:oddHBand="0" w:evenHBand="1" w:firstRowFirstColumn="0" w:firstRowLastColumn="0" w:lastRowFirstColumn="0" w:lastRowLastColumn="0"/>
          <w:trHeight w:val="270"/>
        </w:trPr>
        <w:tc>
          <w:tcPr>
            <w:tcW w:w="1323" w:type="pct"/>
            <w:vAlign w:val="center"/>
            <w:hideMark/>
          </w:tcPr>
          <w:p w14:paraId="477D8E5C"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South Gippsland Water</w:t>
            </w:r>
            <w:r w:rsidRPr="00DE108C">
              <w:rPr>
                <w:rFonts w:ascii="Arial" w:hAnsi="Arial" w:cs="Arial"/>
                <w:color w:val="231F20"/>
                <w:sz w:val="16"/>
                <w:szCs w:val="16"/>
                <w:lang w:val="en-US"/>
              </w:rPr>
              <w:t>​</w:t>
            </w:r>
          </w:p>
        </w:tc>
        <w:tc>
          <w:tcPr>
            <w:tcW w:w="589" w:type="pct"/>
            <w:vAlign w:val="center"/>
            <w:hideMark/>
          </w:tcPr>
          <w:p w14:paraId="36CB4926" w14:textId="6F01D339" w:rsidR="00767B75" w:rsidRPr="00DE108C" w:rsidRDefault="00767B75" w:rsidP="006C6053">
            <w:pPr>
              <w:pStyle w:val="TableBody"/>
              <w:jc w:val="right"/>
              <w:rPr>
                <w:rFonts w:asciiTheme="majorHAnsi" w:hAnsiTheme="majorHAnsi"/>
                <w:color w:val="231F20"/>
                <w:szCs w:val="16"/>
                <w:lang w:val="en-US"/>
              </w:rPr>
            </w:pPr>
            <w:r w:rsidRPr="00DE108C">
              <w:t>1,405</w:t>
            </w:r>
          </w:p>
        </w:tc>
        <w:tc>
          <w:tcPr>
            <w:tcW w:w="617" w:type="pct"/>
            <w:vAlign w:val="center"/>
          </w:tcPr>
          <w:p w14:paraId="2FC1F599" w14:textId="2C0D5536" w:rsidR="00767B75" w:rsidRPr="00032A7A" w:rsidRDefault="00767B75" w:rsidP="006C6053">
            <w:pPr>
              <w:pStyle w:val="TableBody"/>
              <w:jc w:val="right"/>
            </w:pPr>
            <w:r w:rsidRPr="00032A7A">
              <w:t>23</w:t>
            </w:r>
          </w:p>
        </w:tc>
        <w:tc>
          <w:tcPr>
            <w:tcW w:w="617" w:type="pct"/>
            <w:vAlign w:val="center"/>
          </w:tcPr>
          <w:p w14:paraId="3EF7AA4D" w14:textId="71A9667F" w:rsidR="00767B75" w:rsidRPr="00C754E6" w:rsidRDefault="00767B75" w:rsidP="006C6053">
            <w:pPr>
              <w:pStyle w:val="TableBody"/>
              <w:jc w:val="right"/>
            </w:pPr>
            <w:r w:rsidRPr="00C754E6">
              <w:t>32</w:t>
            </w:r>
          </w:p>
        </w:tc>
        <w:tc>
          <w:tcPr>
            <w:tcW w:w="618" w:type="pct"/>
            <w:vAlign w:val="center"/>
          </w:tcPr>
          <w:p w14:paraId="3E4D1CE5" w14:textId="35BFD1AA" w:rsidR="00767B75" w:rsidRPr="00C754E6" w:rsidRDefault="00767B75" w:rsidP="006C6053">
            <w:pPr>
              <w:pStyle w:val="TableBody"/>
              <w:jc w:val="right"/>
            </w:pPr>
            <w:r w:rsidRPr="00C754E6">
              <w:t>42</w:t>
            </w:r>
          </w:p>
        </w:tc>
        <w:tc>
          <w:tcPr>
            <w:tcW w:w="617" w:type="pct"/>
            <w:vAlign w:val="center"/>
          </w:tcPr>
          <w:p w14:paraId="2F5A5DA0" w14:textId="6750B77B" w:rsidR="00767B75" w:rsidRPr="00C754E6" w:rsidRDefault="00767B75" w:rsidP="006C6053">
            <w:pPr>
              <w:pStyle w:val="TableBody"/>
              <w:jc w:val="right"/>
            </w:pPr>
            <w:r w:rsidRPr="00C754E6">
              <w:t>55</w:t>
            </w:r>
          </w:p>
        </w:tc>
        <w:tc>
          <w:tcPr>
            <w:tcW w:w="618" w:type="pct"/>
            <w:vAlign w:val="center"/>
          </w:tcPr>
          <w:p w14:paraId="38C69433" w14:textId="7C5EBBE1" w:rsidR="00767B75" w:rsidRPr="00C754E6" w:rsidRDefault="00767B75" w:rsidP="006C6053">
            <w:pPr>
              <w:pStyle w:val="TableBody"/>
              <w:jc w:val="right"/>
            </w:pPr>
            <w:r w:rsidRPr="00C754E6">
              <w:t>71</w:t>
            </w:r>
          </w:p>
        </w:tc>
      </w:tr>
      <w:tr w:rsidR="00767B75" w:rsidRPr="00DE108C" w14:paraId="67B42DA8" w14:textId="77777777" w:rsidTr="003E2150">
        <w:trPr>
          <w:trHeight w:val="270"/>
        </w:trPr>
        <w:tc>
          <w:tcPr>
            <w:tcW w:w="1323" w:type="pct"/>
            <w:vAlign w:val="center"/>
            <w:hideMark/>
          </w:tcPr>
          <w:p w14:paraId="14C2C09A"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Westernport Water</w:t>
            </w:r>
            <w:r w:rsidRPr="00DE108C">
              <w:rPr>
                <w:rFonts w:ascii="Arial" w:hAnsi="Arial" w:cs="Arial"/>
                <w:color w:val="231F20"/>
                <w:sz w:val="16"/>
                <w:szCs w:val="16"/>
                <w:lang w:val="en-US"/>
              </w:rPr>
              <w:t>​</w:t>
            </w:r>
          </w:p>
        </w:tc>
        <w:tc>
          <w:tcPr>
            <w:tcW w:w="589" w:type="pct"/>
            <w:vAlign w:val="center"/>
            <w:hideMark/>
          </w:tcPr>
          <w:p w14:paraId="0E639CB4" w14:textId="322B9B2F" w:rsidR="00767B75" w:rsidRPr="00DE108C" w:rsidRDefault="00767B75" w:rsidP="006C6053">
            <w:pPr>
              <w:pStyle w:val="TableBody"/>
              <w:jc w:val="right"/>
              <w:rPr>
                <w:rFonts w:asciiTheme="majorHAnsi" w:hAnsiTheme="majorHAnsi"/>
                <w:color w:val="231F20"/>
                <w:szCs w:val="16"/>
                <w:lang w:val="en-US"/>
              </w:rPr>
            </w:pPr>
            <w:r w:rsidRPr="00DE108C">
              <w:t>1,394</w:t>
            </w:r>
          </w:p>
        </w:tc>
        <w:tc>
          <w:tcPr>
            <w:tcW w:w="617" w:type="pct"/>
            <w:vAlign w:val="center"/>
          </w:tcPr>
          <w:p w14:paraId="1E7F672E" w14:textId="73A84F1A" w:rsidR="00767B75" w:rsidRPr="00032A7A" w:rsidRDefault="00032A7A" w:rsidP="006C6053">
            <w:pPr>
              <w:pStyle w:val="TableBody"/>
              <w:jc w:val="right"/>
            </w:pPr>
            <w:r w:rsidRPr="00032A7A">
              <w:t>-</w:t>
            </w:r>
          </w:p>
        </w:tc>
        <w:tc>
          <w:tcPr>
            <w:tcW w:w="617" w:type="pct"/>
            <w:vAlign w:val="center"/>
          </w:tcPr>
          <w:p w14:paraId="18A6159F" w14:textId="23A0F402" w:rsidR="00767B75" w:rsidRPr="00C754E6" w:rsidRDefault="00767B75" w:rsidP="006C6053">
            <w:pPr>
              <w:pStyle w:val="TableBody"/>
              <w:jc w:val="right"/>
            </w:pPr>
            <w:r w:rsidRPr="00C754E6">
              <w:t>2</w:t>
            </w:r>
          </w:p>
        </w:tc>
        <w:tc>
          <w:tcPr>
            <w:tcW w:w="618" w:type="pct"/>
            <w:vAlign w:val="center"/>
          </w:tcPr>
          <w:p w14:paraId="36983A4C" w14:textId="4263EBA2" w:rsidR="00767B75" w:rsidRPr="00C754E6" w:rsidRDefault="00767B75" w:rsidP="006C6053">
            <w:pPr>
              <w:pStyle w:val="TableBody"/>
              <w:jc w:val="right"/>
            </w:pPr>
            <w:r w:rsidRPr="00C754E6">
              <w:t>4</w:t>
            </w:r>
          </w:p>
        </w:tc>
        <w:tc>
          <w:tcPr>
            <w:tcW w:w="617" w:type="pct"/>
            <w:vAlign w:val="center"/>
          </w:tcPr>
          <w:p w14:paraId="09013EAB" w14:textId="12A4B235" w:rsidR="00767B75" w:rsidRPr="00C754E6" w:rsidRDefault="00767B75" w:rsidP="006C6053">
            <w:pPr>
              <w:pStyle w:val="TableBody"/>
              <w:jc w:val="right"/>
            </w:pPr>
            <w:r w:rsidRPr="00C754E6">
              <w:t>6</w:t>
            </w:r>
          </w:p>
        </w:tc>
        <w:tc>
          <w:tcPr>
            <w:tcW w:w="618" w:type="pct"/>
            <w:vAlign w:val="center"/>
          </w:tcPr>
          <w:p w14:paraId="0FCDDD6C" w14:textId="540D33A5" w:rsidR="00767B75" w:rsidRPr="00C754E6" w:rsidRDefault="00767B75" w:rsidP="006C6053">
            <w:pPr>
              <w:pStyle w:val="TableBody"/>
              <w:jc w:val="right"/>
            </w:pPr>
            <w:r w:rsidRPr="00C754E6">
              <w:t>9</w:t>
            </w:r>
          </w:p>
        </w:tc>
      </w:tr>
      <w:tr w:rsidR="00AC454B" w:rsidRPr="00DE108C" w14:paraId="60F40893" w14:textId="77777777" w:rsidTr="003E2150">
        <w:trPr>
          <w:cnfStyle w:val="000000010000" w:firstRow="0" w:lastRow="0" w:firstColumn="0" w:lastColumn="0" w:oddVBand="0" w:evenVBand="0" w:oddHBand="0" w:evenHBand="1" w:firstRowFirstColumn="0" w:firstRowLastColumn="0" w:lastRowFirstColumn="0" w:lastRowLastColumn="0"/>
          <w:trHeight w:val="270"/>
        </w:trPr>
        <w:tc>
          <w:tcPr>
            <w:tcW w:w="1323" w:type="pct"/>
            <w:vAlign w:val="center"/>
            <w:hideMark/>
          </w:tcPr>
          <w:p w14:paraId="0648736E" w14:textId="77777777" w:rsidR="00767B75" w:rsidRPr="00DE108C" w:rsidRDefault="00767B75">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b/>
                <w:bCs/>
                <w:color w:val="231F20"/>
                <w:sz w:val="16"/>
                <w:szCs w:val="16"/>
              </w:rPr>
              <w:t>Gippsland Water</w:t>
            </w:r>
            <w:r w:rsidRPr="00DE108C">
              <w:rPr>
                <w:rFonts w:ascii="Arial" w:hAnsi="Arial" w:cs="Arial"/>
                <w:color w:val="231F20"/>
                <w:sz w:val="16"/>
                <w:szCs w:val="16"/>
                <w:lang w:val="en-US"/>
              </w:rPr>
              <w:t>​</w:t>
            </w:r>
          </w:p>
        </w:tc>
        <w:tc>
          <w:tcPr>
            <w:tcW w:w="589" w:type="pct"/>
            <w:vAlign w:val="center"/>
            <w:hideMark/>
          </w:tcPr>
          <w:p w14:paraId="2480FDEE" w14:textId="4A745159" w:rsidR="00767B75" w:rsidRPr="00DE108C" w:rsidRDefault="00767B75" w:rsidP="006C6053">
            <w:pPr>
              <w:pStyle w:val="TableBody"/>
              <w:jc w:val="right"/>
              <w:rPr>
                <w:rFonts w:asciiTheme="majorHAnsi" w:hAnsiTheme="majorHAnsi"/>
                <w:color w:val="231F20"/>
                <w:szCs w:val="16"/>
                <w:lang w:val="en-US"/>
              </w:rPr>
            </w:pPr>
            <w:r w:rsidRPr="00DE108C">
              <w:t>1,492</w:t>
            </w:r>
          </w:p>
        </w:tc>
        <w:tc>
          <w:tcPr>
            <w:tcW w:w="617" w:type="pct"/>
            <w:vAlign w:val="center"/>
          </w:tcPr>
          <w:p w14:paraId="039A6B6E" w14:textId="5B1AE494" w:rsidR="00767B75" w:rsidRPr="00032A7A" w:rsidRDefault="00223CD5" w:rsidP="006C6053">
            <w:pPr>
              <w:pStyle w:val="TableBody"/>
              <w:jc w:val="right"/>
            </w:pPr>
            <w:r w:rsidRPr="00032A7A">
              <w:t>-</w:t>
            </w:r>
            <w:r w:rsidR="00767B75" w:rsidRPr="00032A7A">
              <w:t>11</w:t>
            </w:r>
          </w:p>
        </w:tc>
        <w:tc>
          <w:tcPr>
            <w:tcW w:w="617" w:type="pct"/>
            <w:vAlign w:val="center"/>
          </w:tcPr>
          <w:p w14:paraId="561817E0" w14:textId="35313F17" w:rsidR="00767B75" w:rsidRPr="00C754E6" w:rsidRDefault="00223CD5" w:rsidP="006C6053">
            <w:pPr>
              <w:pStyle w:val="TableBody"/>
              <w:jc w:val="right"/>
            </w:pPr>
            <w:r w:rsidRPr="00C754E6">
              <w:t>-</w:t>
            </w:r>
            <w:r w:rsidR="00767B75" w:rsidRPr="00C754E6">
              <w:t>12</w:t>
            </w:r>
          </w:p>
        </w:tc>
        <w:tc>
          <w:tcPr>
            <w:tcW w:w="618" w:type="pct"/>
            <w:vAlign w:val="center"/>
          </w:tcPr>
          <w:p w14:paraId="7558E010" w14:textId="1713F85F" w:rsidR="00767B75" w:rsidRPr="00C754E6" w:rsidRDefault="00223CD5" w:rsidP="006C6053">
            <w:pPr>
              <w:pStyle w:val="TableBody"/>
              <w:jc w:val="right"/>
            </w:pPr>
            <w:r w:rsidRPr="00C754E6">
              <w:t>-</w:t>
            </w:r>
            <w:r w:rsidR="00767B75" w:rsidRPr="00C754E6">
              <w:t>10</w:t>
            </w:r>
          </w:p>
        </w:tc>
        <w:tc>
          <w:tcPr>
            <w:tcW w:w="617" w:type="pct"/>
            <w:vAlign w:val="center"/>
          </w:tcPr>
          <w:p w14:paraId="6D98B108" w14:textId="774AAB02" w:rsidR="00767B75" w:rsidRPr="00C754E6" w:rsidRDefault="00223CD5" w:rsidP="006C6053">
            <w:pPr>
              <w:pStyle w:val="TableBody"/>
              <w:jc w:val="right"/>
            </w:pPr>
            <w:r w:rsidRPr="00C754E6">
              <w:t>-</w:t>
            </w:r>
            <w:r w:rsidR="00767B75" w:rsidRPr="00C754E6">
              <w:t>10</w:t>
            </w:r>
          </w:p>
        </w:tc>
        <w:tc>
          <w:tcPr>
            <w:tcW w:w="618" w:type="pct"/>
            <w:vAlign w:val="center"/>
          </w:tcPr>
          <w:p w14:paraId="15CC7D6A" w14:textId="5297FA3D" w:rsidR="00767B75" w:rsidRPr="00C754E6" w:rsidRDefault="00223CD5" w:rsidP="006C6053">
            <w:pPr>
              <w:pStyle w:val="TableBody"/>
              <w:jc w:val="right"/>
            </w:pPr>
            <w:r w:rsidRPr="00C754E6">
              <w:t>-</w:t>
            </w:r>
            <w:r w:rsidR="00767B75" w:rsidRPr="00C754E6">
              <w:t>9</w:t>
            </w:r>
          </w:p>
        </w:tc>
      </w:tr>
    </w:tbl>
    <w:p w14:paraId="0CF9CAAB" w14:textId="7BD29F2B" w:rsidR="00767B75" w:rsidRPr="00DE108C" w:rsidRDefault="007C2C16">
      <w:pPr>
        <w:pStyle w:val="FootnoteText"/>
      </w:pPr>
      <w:r w:rsidRPr="56E13B8F">
        <w:rPr>
          <w:vertAlign w:val="superscript"/>
        </w:rPr>
        <w:t xml:space="preserve">a </w:t>
      </w:r>
      <w:r w:rsidR="00767B75">
        <w:t>Bill impacts are indicative only and exclude impacts of water corporation 2028 submissions, desalination water orders and other passthroughs</w:t>
      </w:r>
      <w:r w:rsidR="6DD6982E">
        <w:t>.</w:t>
      </w:r>
    </w:p>
    <w:p w14:paraId="65E0BEBC" w14:textId="77777777" w:rsidR="00767B75" w:rsidRPr="00DE108C" w:rsidRDefault="00767B75"/>
    <w:p w14:paraId="7A023079" w14:textId="49755189" w:rsidR="00767B75" w:rsidRPr="00DE108C" w:rsidRDefault="00767B75" w:rsidP="00767B75">
      <w:pPr>
        <w:pStyle w:val="Caption"/>
      </w:pPr>
      <w:bookmarkStart w:id="48" w:name="_Toc207892966"/>
      <w:bookmarkStart w:id="49" w:name="_Toc208490495"/>
      <w:bookmarkStart w:id="50" w:name="_Toc208490833"/>
      <w:bookmarkStart w:id="51" w:name="_Toc208910991"/>
      <w:bookmarkStart w:id="52" w:name="_Toc210051298"/>
      <w:r w:rsidRPr="00DE108C">
        <w:t xml:space="preserve">Table </w:t>
      </w:r>
      <w:r w:rsidR="090B6FA3" w:rsidRPr="00DE108C">
        <w:t>I</w:t>
      </w:r>
      <w:r w:rsidR="00630527" w:rsidRPr="00DE108C">
        <w:t>V</w:t>
      </w:r>
      <w:r w:rsidRPr="00DE108C">
        <w:t>: End customer bill impact – Annual percentage change</w:t>
      </w:r>
      <w:r w:rsidR="007C2C16" w:rsidRPr="00DE108C">
        <w:rPr>
          <w:vertAlign w:val="superscript"/>
        </w:rPr>
        <w:t>b</w:t>
      </w:r>
      <w:r w:rsidRPr="00DE108C">
        <w:t xml:space="preserve"> ($real 20</w:t>
      </w:r>
      <w:r w:rsidR="00E03716" w:rsidRPr="00DE108C">
        <w:t>25-</w:t>
      </w:r>
      <w:r w:rsidRPr="00DE108C">
        <w:t>26)</w:t>
      </w:r>
      <w:bookmarkEnd w:id="48"/>
      <w:bookmarkEnd w:id="49"/>
      <w:bookmarkEnd w:id="50"/>
      <w:bookmarkEnd w:id="51"/>
      <w:bookmarkEnd w:id="52"/>
    </w:p>
    <w:tbl>
      <w:tblPr>
        <w:tblStyle w:val="TableGrid"/>
        <w:tblW w:w="5000" w:type="pct"/>
        <w:tblLook w:val="04A0" w:firstRow="1" w:lastRow="0" w:firstColumn="1" w:lastColumn="0" w:noHBand="0" w:noVBand="1"/>
      </w:tblPr>
      <w:tblGrid>
        <w:gridCol w:w="2338"/>
        <w:gridCol w:w="1215"/>
        <w:gridCol w:w="1215"/>
        <w:gridCol w:w="1215"/>
        <w:gridCol w:w="1215"/>
        <w:gridCol w:w="1215"/>
        <w:gridCol w:w="1215"/>
      </w:tblGrid>
      <w:tr w:rsidR="00AC454B" w:rsidRPr="00DE108C" w14:paraId="69C0BC20" w14:textId="77777777" w:rsidTr="00120A6F">
        <w:trPr>
          <w:cnfStyle w:val="100000000000" w:firstRow="1" w:lastRow="0" w:firstColumn="0" w:lastColumn="0" w:oddVBand="0" w:evenVBand="0" w:oddHBand="0" w:evenHBand="0" w:firstRowFirstColumn="0" w:firstRowLastColumn="0" w:lastRowFirstColumn="0" w:lastRowLastColumn="0"/>
          <w:trHeight w:val="270"/>
        </w:trPr>
        <w:tc>
          <w:tcPr>
            <w:tcW w:w="1214" w:type="pct"/>
            <w:hideMark/>
          </w:tcPr>
          <w:p w14:paraId="410A8DAA" w14:textId="77777777" w:rsidR="00767B75" w:rsidRPr="00DE108C" w:rsidRDefault="00767B75">
            <w:pPr>
              <w:spacing w:before="100" w:beforeAutospacing="1" w:after="100" w:afterAutospacing="1" w:line="240" w:lineRule="auto"/>
              <w:textAlignment w:val="baseline"/>
              <w:rPr>
                <w:color w:val="FFFFFF" w:themeColor="background1"/>
                <w:sz w:val="18"/>
                <w:szCs w:val="18"/>
              </w:rPr>
            </w:pPr>
            <w:r w:rsidRPr="00DE108C">
              <w:rPr>
                <w:rFonts w:ascii="Arial" w:hAnsi="Arial" w:cs="Arial"/>
                <w:color w:val="FFFFFF" w:themeColor="background1"/>
                <w:sz w:val="18"/>
                <w:szCs w:val="18"/>
              </w:rPr>
              <w:t>​</w:t>
            </w:r>
          </w:p>
        </w:tc>
        <w:tc>
          <w:tcPr>
            <w:tcW w:w="631" w:type="pct"/>
            <w:hideMark/>
          </w:tcPr>
          <w:p w14:paraId="4CE98866" w14:textId="77777777" w:rsidR="00767B75" w:rsidRPr="00DE108C" w:rsidRDefault="00767B75">
            <w:pPr>
              <w:spacing w:before="100" w:beforeAutospacing="1" w:after="100" w:afterAutospacing="1" w:line="240" w:lineRule="auto"/>
              <w:textAlignment w:val="baseline"/>
              <w:rPr>
                <w:color w:val="FFFFFF" w:themeColor="background1"/>
                <w:sz w:val="18"/>
                <w:szCs w:val="18"/>
              </w:rPr>
            </w:pPr>
            <w:r w:rsidRPr="00DE108C">
              <w:rPr>
                <w:rFonts w:ascii="Arial" w:hAnsi="Arial" w:cs="Arial"/>
                <w:color w:val="FFFFFF" w:themeColor="background1"/>
                <w:sz w:val="18"/>
                <w:szCs w:val="18"/>
              </w:rPr>
              <w:t>​</w:t>
            </w:r>
          </w:p>
        </w:tc>
        <w:tc>
          <w:tcPr>
            <w:tcW w:w="3155" w:type="pct"/>
            <w:gridSpan w:val="5"/>
            <w:hideMark/>
          </w:tcPr>
          <w:p w14:paraId="3622A27F" w14:textId="77777777" w:rsidR="00767B75" w:rsidRPr="00DE108C" w:rsidRDefault="00767B75">
            <w:pPr>
              <w:spacing w:before="100" w:beforeAutospacing="1" w:after="100" w:afterAutospacing="1" w:line="240" w:lineRule="auto"/>
              <w:jc w:val="center"/>
              <w:textAlignment w:val="baseline"/>
              <w:rPr>
                <w:color w:val="FFFFFF" w:themeColor="background1"/>
                <w:sz w:val="18"/>
                <w:szCs w:val="18"/>
                <w:lang w:val="en-US"/>
              </w:rPr>
            </w:pPr>
            <w:r w:rsidRPr="00DE108C">
              <w:rPr>
                <w:b/>
                <w:bCs/>
                <w:color w:val="FFFFFF" w:themeColor="background1"/>
                <w:sz w:val="18"/>
                <w:szCs w:val="18"/>
              </w:rPr>
              <w:t>2026–2031 regulatory period</w:t>
            </w:r>
            <w:r w:rsidRPr="00DE108C">
              <w:rPr>
                <w:rFonts w:ascii="Arial" w:hAnsi="Arial" w:cs="Arial"/>
                <w:color w:val="FFFFFF" w:themeColor="background1"/>
                <w:sz w:val="18"/>
                <w:szCs w:val="18"/>
                <w:lang w:val="en-US"/>
              </w:rPr>
              <w:t>​</w:t>
            </w:r>
          </w:p>
        </w:tc>
      </w:tr>
      <w:tr w:rsidR="00767B75" w:rsidRPr="00DE108C" w14:paraId="5F7FB865" w14:textId="77777777" w:rsidTr="00491E6B">
        <w:trPr>
          <w:trHeight w:val="270"/>
        </w:trPr>
        <w:tc>
          <w:tcPr>
            <w:tcW w:w="1214" w:type="pct"/>
            <w:shd w:val="clear" w:color="auto" w:fill="00428B" w:themeFill="accent1"/>
            <w:hideMark/>
          </w:tcPr>
          <w:p w14:paraId="21FDF73C" w14:textId="77777777" w:rsidR="00767B75" w:rsidRPr="00DE108C" w:rsidRDefault="00767B75">
            <w:pPr>
              <w:spacing w:before="100" w:beforeAutospacing="1" w:after="100" w:afterAutospacing="1" w:line="240" w:lineRule="auto"/>
              <w:textAlignment w:val="baseline"/>
              <w:rPr>
                <w:rFonts w:eastAsiaTheme="minorEastAsia" w:cstheme="minorBidi"/>
                <w:color w:val="FFFFFF" w:themeColor="background1"/>
                <w:sz w:val="16"/>
                <w:szCs w:val="16"/>
              </w:rPr>
            </w:pPr>
            <w:r w:rsidRPr="00DE108C">
              <w:rPr>
                <w:rFonts w:eastAsiaTheme="minorEastAsia" w:cstheme="minorBidi"/>
                <w:color w:val="FFFFFF" w:themeColor="background1"/>
                <w:sz w:val="16"/>
                <w:szCs w:val="16"/>
              </w:rPr>
              <w:t>​</w:t>
            </w:r>
          </w:p>
        </w:tc>
        <w:tc>
          <w:tcPr>
            <w:tcW w:w="631" w:type="pct"/>
            <w:shd w:val="clear" w:color="auto" w:fill="00428B" w:themeFill="accent1"/>
            <w:hideMark/>
          </w:tcPr>
          <w:p w14:paraId="270289F2" w14:textId="77777777" w:rsidR="00767B75" w:rsidRPr="00DE108C" w:rsidRDefault="00767B75">
            <w:pPr>
              <w:spacing w:before="100" w:beforeAutospacing="1" w:after="100" w:afterAutospacing="1" w:line="240" w:lineRule="auto"/>
              <w:jc w:val="center"/>
              <w:textAlignment w:val="baseline"/>
              <w:rPr>
                <w:rFonts w:eastAsiaTheme="minorEastAsia" w:cstheme="minorBidi"/>
                <w:color w:val="FFFFFF" w:themeColor="background1"/>
                <w:sz w:val="16"/>
                <w:szCs w:val="16"/>
                <w:lang w:val="en-US"/>
              </w:rPr>
            </w:pPr>
            <w:r w:rsidRPr="00DE108C">
              <w:rPr>
                <w:rFonts w:eastAsiaTheme="minorEastAsia"/>
                <w:b/>
                <w:bCs/>
                <w:color w:val="FFFFFF" w:themeColor="background1"/>
                <w:sz w:val="16"/>
                <w:szCs w:val="16"/>
              </w:rPr>
              <w:t>2025-26</w:t>
            </w:r>
            <w:r w:rsidRPr="00DE108C">
              <w:rPr>
                <w:rFonts w:eastAsiaTheme="minorEastAsia" w:cstheme="minorBidi"/>
                <w:color w:val="FFFFFF" w:themeColor="background1"/>
                <w:sz w:val="16"/>
                <w:szCs w:val="16"/>
                <w:lang w:val="en-US"/>
              </w:rPr>
              <w:t>​</w:t>
            </w:r>
          </w:p>
        </w:tc>
        <w:tc>
          <w:tcPr>
            <w:tcW w:w="631" w:type="pct"/>
            <w:shd w:val="clear" w:color="auto" w:fill="00428B" w:themeFill="accent1"/>
            <w:hideMark/>
          </w:tcPr>
          <w:p w14:paraId="2772D7E4" w14:textId="77777777" w:rsidR="00767B75" w:rsidRPr="00DE108C" w:rsidRDefault="00767B75">
            <w:pPr>
              <w:spacing w:before="100" w:beforeAutospacing="1" w:after="100" w:afterAutospacing="1" w:line="240" w:lineRule="auto"/>
              <w:jc w:val="center"/>
              <w:textAlignment w:val="baseline"/>
              <w:rPr>
                <w:rFonts w:eastAsiaTheme="minorEastAsia" w:cstheme="minorBidi"/>
                <w:color w:val="FFFFFF" w:themeColor="background1"/>
                <w:sz w:val="16"/>
                <w:szCs w:val="16"/>
                <w:lang w:val="en-US"/>
              </w:rPr>
            </w:pPr>
            <w:r w:rsidRPr="00DE108C">
              <w:rPr>
                <w:rFonts w:eastAsiaTheme="minorEastAsia"/>
                <w:b/>
                <w:bCs/>
                <w:color w:val="FFFFFF" w:themeColor="background1"/>
                <w:sz w:val="16"/>
                <w:szCs w:val="16"/>
              </w:rPr>
              <w:t>2026-27</w:t>
            </w:r>
            <w:r w:rsidRPr="00DE108C">
              <w:rPr>
                <w:rFonts w:eastAsiaTheme="minorEastAsia" w:cstheme="minorBidi"/>
                <w:color w:val="FFFFFF" w:themeColor="background1"/>
                <w:sz w:val="16"/>
                <w:szCs w:val="16"/>
                <w:lang w:val="en-US"/>
              </w:rPr>
              <w:t>​</w:t>
            </w:r>
          </w:p>
        </w:tc>
        <w:tc>
          <w:tcPr>
            <w:tcW w:w="631" w:type="pct"/>
            <w:shd w:val="clear" w:color="auto" w:fill="00428B" w:themeFill="accent1"/>
            <w:hideMark/>
          </w:tcPr>
          <w:p w14:paraId="7BD10A89" w14:textId="77777777" w:rsidR="00767B75" w:rsidRPr="00DE108C" w:rsidRDefault="00767B75">
            <w:pPr>
              <w:spacing w:before="100" w:beforeAutospacing="1" w:after="100" w:afterAutospacing="1" w:line="240" w:lineRule="auto"/>
              <w:jc w:val="center"/>
              <w:textAlignment w:val="baseline"/>
              <w:rPr>
                <w:rFonts w:eastAsiaTheme="minorEastAsia" w:cstheme="minorBidi"/>
                <w:color w:val="FFFFFF" w:themeColor="background1"/>
                <w:sz w:val="16"/>
                <w:szCs w:val="16"/>
                <w:lang w:val="en-US"/>
              </w:rPr>
            </w:pPr>
            <w:r w:rsidRPr="00DE108C">
              <w:rPr>
                <w:rFonts w:eastAsiaTheme="minorEastAsia"/>
                <w:b/>
                <w:bCs/>
                <w:color w:val="FFFFFF" w:themeColor="background1"/>
                <w:sz w:val="16"/>
                <w:szCs w:val="16"/>
              </w:rPr>
              <w:t>2027-28</w:t>
            </w:r>
            <w:r w:rsidRPr="00DE108C">
              <w:rPr>
                <w:rFonts w:eastAsiaTheme="minorEastAsia" w:cstheme="minorBidi"/>
                <w:color w:val="FFFFFF" w:themeColor="background1"/>
                <w:sz w:val="16"/>
                <w:szCs w:val="16"/>
                <w:lang w:val="en-US"/>
              </w:rPr>
              <w:t>​</w:t>
            </w:r>
          </w:p>
        </w:tc>
        <w:tc>
          <w:tcPr>
            <w:tcW w:w="631" w:type="pct"/>
            <w:shd w:val="clear" w:color="auto" w:fill="00428B" w:themeFill="accent1"/>
            <w:hideMark/>
          </w:tcPr>
          <w:p w14:paraId="1D8E1944" w14:textId="77777777" w:rsidR="00767B75" w:rsidRPr="00DE108C" w:rsidRDefault="00767B75">
            <w:pPr>
              <w:spacing w:before="100" w:beforeAutospacing="1" w:after="100" w:afterAutospacing="1" w:line="240" w:lineRule="auto"/>
              <w:jc w:val="center"/>
              <w:textAlignment w:val="baseline"/>
              <w:rPr>
                <w:rFonts w:eastAsiaTheme="minorEastAsia" w:cstheme="minorBidi"/>
                <w:color w:val="FFFFFF" w:themeColor="background1"/>
                <w:sz w:val="16"/>
                <w:szCs w:val="16"/>
                <w:lang w:val="en-US"/>
              </w:rPr>
            </w:pPr>
            <w:r w:rsidRPr="00DE108C">
              <w:rPr>
                <w:rFonts w:eastAsiaTheme="minorEastAsia"/>
                <w:b/>
                <w:bCs/>
                <w:color w:val="FFFFFF" w:themeColor="background1"/>
                <w:sz w:val="16"/>
                <w:szCs w:val="16"/>
              </w:rPr>
              <w:t>2028-29</w:t>
            </w:r>
            <w:r w:rsidRPr="00DE108C">
              <w:rPr>
                <w:rFonts w:eastAsiaTheme="minorEastAsia" w:cstheme="minorBidi"/>
                <w:color w:val="FFFFFF" w:themeColor="background1"/>
                <w:sz w:val="16"/>
                <w:szCs w:val="16"/>
                <w:lang w:val="en-US"/>
              </w:rPr>
              <w:t>​</w:t>
            </w:r>
          </w:p>
        </w:tc>
        <w:tc>
          <w:tcPr>
            <w:tcW w:w="631" w:type="pct"/>
            <w:shd w:val="clear" w:color="auto" w:fill="00428B" w:themeFill="accent1"/>
            <w:hideMark/>
          </w:tcPr>
          <w:p w14:paraId="6F6C03F7" w14:textId="77777777" w:rsidR="00767B75" w:rsidRPr="00DE108C" w:rsidRDefault="00767B75">
            <w:pPr>
              <w:spacing w:before="100" w:beforeAutospacing="1" w:after="100" w:afterAutospacing="1" w:line="240" w:lineRule="auto"/>
              <w:jc w:val="center"/>
              <w:textAlignment w:val="baseline"/>
              <w:rPr>
                <w:rFonts w:eastAsiaTheme="minorEastAsia" w:cstheme="minorBidi"/>
                <w:color w:val="FFFFFF" w:themeColor="background1"/>
                <w:sz w:val="16"/>
                <w:szCs w:val="16"/>
                <w:lang w:val="en-US"/>
              </w:rPr>
            </w:pPr>
            <w:r w:rsidRPr="00DE108C">
              <w:rPr>
                <w:rFonts w:eastAsiaTheme="minorEastAsia"/>
                <w:b/>
                <w:bCs/>
                <w:color w:val="FFFFFF" w:themeColor="background1"/>
                <w:sz w:val="16"/>
                <w:szCs w:val="16"/>
              </w:rPr>
              <w:t>2029-30</w:t>
            </w:r>
            <w:r w:rsidRPr="00DE108C">
              <w:rPr>
                <w:rFonts w:eastAsiaTheme="minorEastAsia" w:cstheme="minorBidi"/>
                <w:color w:val="FFFFFF" w:themeColor="background1"/>
                <w:sz w:val="16"/>
                <w:szCs w:val="16"/>
                <w:lang w:val="en-US"/>
              </w:rPr>
              <w:t>​</w:t>
            </w:r>
          </w:p>
        </w:tc>
        <w:tc>
          <w:tcPr>
            <w:tcW w:w="631" w:type="pct"/>
            <w:shd w:val="clear" w:color="auto" w:fill="00428B" w:themeFill="accent1"/>
            <w:hideMark/>
          </w:tcPr>
          <w:p w14:paraId="1DE118C3" w14:textId="77777777" w:rsidR="00767B75" w:rsidRPr="00DE108C" w:rsidRDefault="00767B75">
            <w:pPr>
              <w:spacing w:before="100" w:beforeAutospacing="1" w:after="100" w:afterAutospacing="1" w:line="240" w:lineRule="auto"/>
              <w:jc w:val="center"/>
              <w:textAlignment w:val="baseline"/>
              <w:rPr>
                <w:rFonts w:eastAsiaTheme="minorEastAsia" w:cstheme="minorBidi"/>
                <w:color w:val="FFFFFF" w:themeColor="background1"/>
                <w:sz w:val="16"/>
                <w:szCs w:val="16"/>
                <w:lang w:val="en-US"/>
              </w:rPr>
            </w:pPr>
            <w:r w:rsidRPr="00DE108C">
              <w:rPr>
                <w:rFonts w:eastAsiaTheme="minorEastAsia"/>
                <w:b/>
                <w:bCs/>
                <w:color w:val="FFFFFF" w:themeColor="background1"/>
                <w:sz w:val="16"/>
                <w:szCs w:val="16"/>
              </w:rPr>
              <w:t>2030-31</w:t>
            </w:r>
            <w:r w:rsidRPr="00DE108C">
              <w:rPr>
                <w:rFonts w:eastAsiaTheme="minorEastAsia" w:cstheme="minorBidi"/>
                <w:color w:val="FFFFFF" w:themeColor="background1"/>
                <w:sz w:val="16"/>
                <w:szCs w:val="16"/>
                <w:lang w:val="en-US"/>
              </w:rPr>
              <w:t>​</w:t>
            </w:r>
          </w:p>
        </w:tc>
      </w:tr>
      <w:tr w:rsidR="00AC454B" w:rsidRPr="00DE108C" w14:paraId="205F0530" w14:textId="77777777" w:rsidTr="008D3963">
        <w:trPr>
          <w:cnfStyle w:val="000000010000" w:firstRow="0" w:lastRow="0" w:firstColumn="0" w:lastColumn="0" w:oddVBand="0" w:evenVBand="0" w:oddHBand="0" w:evenHBand="1" w:firstRowFirstColumn="0" w:firstRowLastColumn="0" w:lastRowFirstColumn="0" w:lastRowLastColumn="0"/>
          <w:trHeight w:val="270"/>
        </w:trPr>
        <w:tc>
          <w:tcPr>
            <w:tcW w:w="1214" w:type="pct"/>
            <w:vAlign w:val="center"/>
            <w:hideMark/>
          </w:tcPr>
          <w:p w14:paraId="41D1E670" w14:textId="77777777" w:rsidR="00767B75" w:rsidRPr="00DE108C" w:rsidRDefault="00767B75">
            <w:pPr>
              <w:spacing w:before="100" w:beforeAutospacing="1" w:after="100" w:afterAutospacing="1" w:line="240" w:lineRule="auto"/>
              <w:textAlignment w:val="baseline"/>
              <w:rPr>
                <w:rFonts w:eastAsiaTheme="minorEastAsia" w:cstheme="minorBidi"/>
                <w:color w:val="231F20"/>
                <w:sz w:val="16"/>
                <w:szCs w:val="16"/>
                <w:lang w:val="en-US"/>
              </w:rPr>
            </w:pPr>
            <w:r w:rsidRPr="00DE108C">
              <w:rPr>
                <w:rFonts w:eastAsiaTheme="minorEastAsia"/>
                <w:b/>
                <w:bCs/>
                <w:sz w:val="16"/>
                <w:szCs w:val="16"/>
              </w:rPr>
              <w:t>Greater Western Water</w:t>
            </w:r>
            <w:r w:rsidRPr="00DE108C">
              <w:rPr>
                <w:rFonts w:ascii="Arial" w:eastAsiaTheme="minorEastAsia" w:hAnsi="Arial" w:cs="Arial"/>
                <w:sz w:val="16"/>
                <w:szCs w:val="16"/>
                <w:lang w:val="en-US"/>
              </w:rPr>
              <w:t>​</w:t>
            </w:r>
          </w:p>
        </w:tc>
        <w:tc>
          <w:tcPr>
            <w:tcW w:w="631" w:type="pct"/>
            <w:vAlign w:val="center"/>
            <w:hideMark/>
          </w:tcPr>
          <w:p w14:paraId="2C82382C" w14:textId="63E8E24B" w:rsidR="00767B75" w:rsidRPr="00DE108C" w:rsidRDefault="00767B75">
            <w:pPr>
              <w:spacing w:before="100" w:beforeAutospacing="1" w:after="100" w:afterAutospacing="1" w:line="240" w:lineRule="auto"/>
              <w:jc w:val="right"/>
              <w:textAlignment w:val="baseline"/>
              <w:rPr>
                <w:rFonts w:eastAsiaTheme="minorEastAsia" w:cstheme="minorBidi"/>
                <w:color w:val="auto"/>
                <w:sz w:val="16"/>
                <w:szCs w:val="16"/>
                <w:lang w:val="en-US"/>
              </w:rPr>
            </w:pPr>
            <w:r w:rsidRPr="00DE108C">
              <w:rPr>
                <w:rFonts w:eastAsiaTheme="minorEastAsia" w:cstheme="minorBidi"/>
                <w:sz w:val="16"/>
                <w:szCs w:val="16"/>
              </w:rPr>
              <w:t>1,110</w:t>
            </w:r>
          </w:p>
        </w:tc>
        <w:tc>
          <w:tcPr>
            <w:tcW w:w="631" w:type="pct"/>
            <w:vAlign w:val="center"/>
          </w:tcPr>
          <w:p w14:paraId="1AB1AF87" w14:textId="06DBF363" w:rsidR="00767B75" w:rsidRPr="00DE108C" w:rsidRDefault="00120A6F" w:rsidP="00120A6F">
            <w:pPr>
              <w:pStyle w:val="TableBody"/>
              <w:jc w:val="right"/>
              <w:rPr>
                <w:rFonts w:eastAsiaTheme="minorEastAsia" w:cstheme="minorBidi"/>
                <w:szCs w:val="16"/>
                <w:lang w:val="en-US"/>
              </w:rPr>
            </w:pPr>
            <w:r>
              <w:rPr>
                <w:rFonts w:eastAsiaTheme="minorEastAsia" w:cstheme="minorBidi"/>
                <w:szCs w:val="16"/>
                <w:lang w:val="en-US"/>
              </w:rPr>
              <w:t>-</w:t>
            </w:r>
          </w:p>
        </w:tc>
        <w:tc>
          <w:tcPr>
            <w:tcW w:w="631" w:type="pct"/>
            <w:vAlign w:val="center"/>
            <w:hideMark/>
          </w:tcPr>
          <w:p w14:paraId="2DA782B8" w14:textId="24F5111A" w:rsidR="00767B75" w:rsidRPr="00DE108C" w:rsidRDefault="00767B75" w:rsidP="00120A6F">
            <w:pPr>
              <w:pStyle w:val="TableBody"/>
              <w:jc w:val="right"/>
              <w:rPr>
                <w:rFonts w:eastAsiaTheme="minorEastAsia" w:cstheme="minorBidi"/>
                <w:szCs w:val="16"/>
                <w:lang w:val="en-US"/>
              </w:rPr>
            </w:pPr>
            <w:r w:rsidRPr="00DE108C">
              <w:rPr>
                <w:rFonts w:eastAsiaTheme="minorEastAsia"/>
              </w:rPr>
              <w:t>1.5%</w:t>
            </w:r>
          </w:p>
        </w:tc>
        <w:tc>
          <w:tcPr>
            <w:tcW w:w="631" w:type="pct"/>
            <w:vAlign w:val="center"/>
            <w:hideMark/>
          </w:tcPr>
          <w:p w14:paraId="0E4E9AEC" w14:textId="15568811" w:rsidR="00767B75" w:rsidRPr="00DE108C" w:rsidRDefault="00767B75" w:rsidP="00120A6F">
            <w:pPr>
              <w:pStyle w:val="TableBody"/>
              <w:jc w:val="right"/>
              <w:rPr>
                <w:rFonts w:eastAsiaTheme="minorEastAsia" w:cstheme="minorBidi"/>
                <w:szCs w:val="16"/>
                <w:lang w:val="en-US"/>
              </w:rPr>
            </w:pPr>
            <w:r w:rsidRPr="00C754E6">
              <w:rPr>
                <w:rFonts w:eastAsiaTheme="minorEastAsia"/>
              </w:rPr>
              <w:t>0</w:t>
            </w:r>
            <w:r w:rsidR="008D3963" w:rsidRPr="00C754E6">
              <w:t>.9</w:t>
            </w:r>
            <w:r w:rsidRPr="00C754E6">
              <w:rPr>
                <w:rFonts w:eastAsiaTheme="minorEastAsia"/>
              </w:rPr>
              <w:t>%</w:t>
            </w:r>
          </w:p>
        </w:tc>
        <w:tc>
          <w:tcPr>
            <w:tcW w:w="631" w:type="pct"/>
            <w:vAlign w:val="center"/>
            <w:hideMark/>
          </w:tcPr>
          <w:p w14:paraId="789A0D8C" w14:textId="2E72EEB0" w:rsidR="00767B75" w:rsidRPr="00DE108C" w:rsidRDefault="00767B75" w:rsidP="00120A6F">
            <w:pPr>
              <w:pStyle w:val="TableBody"/>
              <w:jc w:val="right"/>
              <w:rPr>
                <w:rFonts w:eastAsiaTheme="minorEastAsia" w:cstheme="minorBidi"/>
                <w:szCs w:val="16"/>
                <w:lang w:val="en-US"/>
              </w:rPr>
            </w:pPr>
            <w:r w:rsidRPr="00DE108C">
              <w:rPr>
                <w:rFonts w:eastAsiaTheme="minorEastAsia"/>
              </w:rPr>
              <w:t>0.9%</w:t>
            </w:r>
          </w:p>
        </w:tc>
        <w:tc>
          <w:tcPr>
            <w:tcW w:w="631" w:type="pct"/>
            <w:vAlign w:val="center"/>
            <w:hideMark/>
          </w:tcPr>
          <w:p w14:paraId="4906AE71" w14:textId="777F2B5A" w:rsidR="00767B75" w:rsidRPr="00DE108C" w:rsidRDefault="00767B75" w:rsidP="00120A6F">
            <w:pPr>
              <w:pStyle w:val="TableBody"/>
              <w:jc w:val="right"/>
              <w:rPr>
                <w:rFonts w:eastAsiaTheme="minorEastAsia" w:cstheme="minorBidi"/>
                <w:szCs w:val="16"/>
                <w:lang w:val="en-US"/>
              </w:rPr>
            </w:pPr>
            <w:r w:rsidRPr="00C754E6">
              <w:rPr>
                <w:rFonts w:eastAsiaTheme="minorEastAsia"/>
              </w:rPr>
              <w:t>0.</w:t>
            </w:r>
            <w:r w:rsidR="008D3963" w:rsidRPr="00C754E6">
              <w:t>8</w:t>
            </w:r>
            <w:r w:rsidRPr="00C754E6">
              <w:rPr>
                <w:rFonts w:eastAsiaTheme="minorEastAsia"/>
              </w:rPr>
              <w:t>%</w:t>
            </w:r>
          </w:p>
        </w:tc>
      </w:tr>
      <w:tr w:rsidR="00767B75" w:rsidRPr="00DE108C" w14:paraId="7104DB7A" w14:textId="77777777" w:rsidTr="008D3963">
        <w:trPr>
          <w:trHeight w:val="270"/>
        </w:trPr>
        <w:tc>
          <w:tcPr>
            <w:tcW w:w="1214" w:type="pct"/>
            <w:vAlign w:val="center"/>
            <w:hideMark/>
          </w:tcPr>
          <w:p w14:paraId="7856B7A2" w14:textId="77777777" w:rsidR="00767B75" w:rsidRPr="00DE108C" w:rsidRDefault="00767B75">
            <w:pPr>
              <w:spacing w:before="100" w:beforeAutospacing="1" w:after="100" w:afterAutospacing="1" w:line="240" w:lineRule="auto"/>
              <w:textAlignment w:val="baseline"/>
              <w:rPr>
                <w:rFonts w:eastAsiaTheme="minorEastAsia" w:cstheme="minorBidi"/>
                <w:color w:val="231F20"/>
                <w:sz w:val="16"/>
                <w:szCs w:val="16"/>
                <w:lang w:val="en-US"/>
              </w:rPr>
            </w:pPr>
            <w:r w:rsidRPr="00DE108C">
              <w:rPr>
                <w:rFonts w:eastAsiaTheme="minorEastAsia"/>
                <w:b/>
                <w:bCs/>
                <w:sz w:val="16"/>
                <w:szCs w:val="16"/>
              </w:rPr>
              <w:t>South East Water</w:t>
            </w:r>
            <w:r w:rsidRPr="00DE108C">
              <w:rPr>
                <w:rFonts w:ascii="Arial" w:eastAsiaTheme="minorEastAsia" w:hAnsi="Arial" w:cs="Arial"/>
                <w:sz w:val="16"/>
                <w:szCs w:val="16"/>
                <w:lang w:val="en-US"/>
              </w:rPr>
              <w:t>​</w:t>
            </w:r>
          </w:p>
        </w:tc>
        <w:tc>
          <w:tcPr>
            <w:tcW w:w="631" w:type="pct"/>
            <w:vAlign w:val="center"/>
            <w:hideMark/>
          </w:tcPr>
          <w:p w14:paraId="31CFC0B5" w14:textId="783E43D0" w:rsidR="00767B75" w:rsidRPr="00DE108C" w:rsidRDefault="00767B75">
            <w:pPr>
              <w:spacing w:before="100" w:beforeAutospacing="1" w:after="100" w:afterAutospacing="1" w:line="240" w:lineRule="auto"/>
              <w:jc w:val="right"/>
              <w:textAlignment w:val="baseline"/>
              <w:rPr>
                <w:rFonts w:eastAsiaTheme="minorEastAsia" w:cstheme="minorBidi"/>
                <w:color w:val="auto"/>
                <w:sz w:val="16"/>
                <w:szCs w:val="16"/>
                <w:lang w:val="en-US"/>
              </w:rPr>
            </w:pPr>
            <w:r w:rsidRPr="00DE108C">
              <w:rPr>
                <w:rFonts w:eastAsiaTheme="minorEastAsia" w:cstheme="minorBidi"/>
                <w:sz w:val="16"/>
                <w:szCs w:val="16"/>
              </w:rPr>
              <w:t>1,057</w:t>
            </w:r>
          </w:p>
        </w:tc>
        <w:tc>
          <w:tcPr>
            <w:tcW w:w="631" w:type="pct"/>
            <w:vAlign w:val="center"/>
          </w:tcPr>
          <w:p w14:paraId="0A20A72A" w14:textId="1F2DF276" w:rsidR="00767B75" w:rsidRPr="00DE108C" w:rsidRDefault="00120A6F" w:rsidP="00120A6F">
            <w:pPr>
              <w:pStyle w:val="TableBody"/>
              <w:jc w:val="right"/>
              <w:rPr>
                <w:rFonts w:eastAsiaTheme="minorEastAsia" w:cstheme="minorBidi"/>
                <w:szCs w:val="16"/>
                <w:lang w:val="en-US"/>
              </w:rPr>
            </w:pPr>
            <w:r>
              <w:rPr>
                <w:rFonts w:eastAsiaTheme="minorEastAsia" w:cstheme="minorBidi"/>
                <w:szCs w:val="16"/>
                <w:lang w:val="en-US"/>
              </w:rPr>
              <w:t>-</w:t>
            </w:r>
          </w:p>
        </w:tc>
        <w:tc>
          <w:tcPr>
            <w:tcW w:w="631" w:type="pct"/>
            <w:vAlign w:val="center"/>
            <w:hideMark/>
          </w:tcPr>
          <w:p w14:paraId="21B9ADB5" w14:textId="3701899E" w:rsidR="00767B75" w:rsidRPr="00DE108C" w:rsidRDefault="00767B75" w:rsidP="00120A6F">
            <w:pPr>
              <w:pStyle w:val="TableBody"/>
              <w:jc w:val="right"/>
              <w:rPr>
                <w:rFonts w:eastAsiaTheme="minorEastAsia" w:cstheme="minorBidi"/>
                <w:szCs w:val="16"/>
                <w:lang w:val="en-US"/>
              </w:rPr>
            </w:pPr>
            <w:r w:rsidRPr="00DE108C">
              <w:rPr>
                <w:rFonts w:eastAsiaTheme="minorEastAsia"/>
              </w:rPr>
              <w:t>1.5%</w:t>
            </w:r>
          </w:p>
        </w:tc>
        <w:tc>
          <w:tcPr>
            <w:tcW w:w="631" w:type="pct"/>
            <w:vAlign w:val="center"/>
            <w:hideMark/>
          </w:tcPr>
          <w:p w14:paraId="6B49BC1D" w14:textId="6C5CD63A" w:rsidR="00767B75" w:rsidRPr="00DE108C" w:rsidRDefault="00767B75" w:rsidP="00120A6F">
            <w:pPr>
              <w:pStyle w:val="TableBody"/>
              <w:jc w:val="right"/>
              <w:rPr>
                <w:rFonts w:eastAsiaTheme="minorEastAsia" w:cstheme="minorBidi"/>
                <w:szCs w:val="16"/>
                <w:lang w:val="en-US"/>
              </w:rPr>
            </w:pPr>
            <w:r w:rsidRPr="00DE108C">
              <w:rPr>
                <w:rFonts w:eastAsiaTheme="minorEastAsia"/>
              </w:rPr>
              <w:t>0.</w:t>
            </w:r>
            <w:r w:rsidR="00120A6F" w:rsidRPr="00DE108C">
              <w:t>1</w:t>
            </w:r>
            <w:r w:rsidRPr="00DE108C">
              <w:rPr>
                <w:rFonts w:eastAsiaTheme="minorEastAsia"/>
              </w:rPr>
              <w:t>%</w:t>
            </w:r>
          </w:p>
        </w:tc>
        <w:tc>
          <w:tcPr>
            <w:tcW w:w="631" w:type="pct"/>
            <w:vAlign w:val="center"/>
            <w:hideMark/>
          </w:tcPr>
          <w:p w14:paraId="06C289B1" w14:textId="710FB9F8" w:rsidR="00767B75" w:rsidRPr="00DE108C" w:rsidRDefault="00767B75" w:rsidP="00120A6F">
            <w:pPr>
              <w:pStyle w:val="TableBody"/>
              <w:jc w:val="right"/>
              <w:rPr>
                <w:rFonts w:eastAsiaTheme="minorEastAsia" w:cstheme="minorBidi"/>
                <w:szCs w:val="16"/>
                <w:lang w:val="en-US"/>
              </w:rPr>
            </w:pPr>
            <w:r w:rsidRPr="00DE108C">
              <w:rPr>
                <w:rFonts w:eastAsiaTheme="minorEastAsia"/>
              </w:rPr>
              <w:t>0.1%</w:t>
            </w:r>
          </w:p>
        </w:tc>
        <w:tc>
          <w:tcPr>
            <w:tcW w:w="631" w:type="pct"/>
            <w:vAlign w:val="center"/>
            <w:hideMark/>
          </w:tcPr>
          <w:p w14:paraId="7029072A" w14:textId="561BDCB3" w:rsidR="00767B75" w:rsidRPr="00DE108C" w:rsidRDefault="00767B75" w:rsidP="00120A6F">
            <w:pPr>
              <w:pStyle w:val="TableBody"/>
              <w:jc w:val="right"/>
              <w:rPr>
                <w:rFonts w:eastAsiaTheme="minorEastAsia" w:cstheme="minorBidi"/>
                <w:szCs w:val="16"/>
                <w:lang w:val="en-US"/>
              </w:rPr>
            </w:pPr>
            <w:r w:rsidRPr="00DE108C">
              <w:rPr>
                <w:rFonts w:eastAsiaTheme="minorEastAsia"/>
              </w:rPr>
              <w:t>0.1%</w:t>
            </w:r>
          </w:p>
        </w:tc>
      </w:tr>
      <w:tr w:rsidR="00AC454B" w:rsidRPr="00DE108C" w14:paraId="61937317" w14:textId="77777777" w:rsidTr="008D3963">
        <w:trPr>
          <w:cnfStyle w:val="000000010000" w:firstRow="0" w:lastRow="0" w:firstColumn="0" w:lastColumn="0" w:oddVBand="0" w:evenVBand="0" w:oddHBand="0" w:evenHBand="1" w:firstRowFirstColumn="0" w:firstRowLastColumn="0" w:lastRowFirstColumn="0" w:lastRowLastColumn="0"/>
          <w:trHeight w:val="270"/>
        </w:trPr>
        <w:tc>
          <w:tcPr>
            <w:tcW w:w="1214" w:type="pct"/>
            <w:vAlign w:val="center"/>
            <w:hideMark/>
          </w:tcPr>
          <w:p w14:paraId="6264D606" w14:textId="77777777" w:rsidR="00767B75" w:rsidRPr="00DE108C" w:rsidRDefault="00767B75">
            <w:pPr>
              <w:spacing w:before="100" w:beforeAutospacing="1" w:after="100" w:afterAutospacing="1" w:line="240" w:lineRule="auto"/>
              <w:textAlignment w:val="baseline"/>
              <w:rPr>
                <w:rFonts w:eastAsiaTheme="minorEastAsia" w:cstheme="minorBidi"/>
                <w:color w:val="231F20"/>
                <w:sz w:val="16"/>
                <w:szCs w:val="16"/>
                <w:lang w:val="en-US"/>
              </w:rPr>
            </w:pPr>
            <w:r w:rsidRPr="00DE108C">
              <w:rPr>
                <w:rFonts w:eastAsiaTheme="minorEastAsia"/>
                <w:b/>
                <w:bCs/>
                <w:sz w:val="16"/>
                <w:szCs w:val="16"/>
              </w:rPr>
              <w:t>Yarra Valley Water</w:t>
            </w:r>
            <w:r w:rsidRPr="00DE108C">
              <w:rPr>
                <w:rFonts w:ascii="Arial" w:eastAsiaTheme="minorEastAsia" w:hAnsi="Arial" w:cs="Arial"/>
                <w:sz w:val="16"/>
                <w:szCs w:val="16"/>
                <w:lang w:val="en-US"/>
              </w:rPr>
              <w:t>​</w:t>
            </w:r>
          </w:p>
        </w:tc>
        <w:tc>
          <w:tcPr>
            <w:tcW w:w="631" w:type="pct"/>
            <w:vAlign w:val="center"/>
            <w:hideMark/>
          </w:tcPr>
          <w:p w14:paraId="51738403" w14:textId="07BC8A56" w:rsidR="00767B75" w:rsidRPr="00DE108C" w:rsidRDefault="00767B75">
            <w:pPr>
              <w:spacing w:before="100" w:beforeAutospacing="1" w:after="100" w:afterAutospacing="1" w:line="240" w:lineRule="auto"/>
              <w:jc w:val="right"/>
              <w:textAlignment w:val="baseline"/>
              <w:rPr>
                <w:rFonts w:eastAsiaTheme="minorEastAsia" w:cstheme="minorBidi"/>
                <w:color w:val="auto"/>
                <w:sz w:val="16"/>
                <w:szCs w:val="16"/>
                <w:lang w:val="en-US"/>
              </w:rPr>
            </w:pPr>
            <w:r w:rsidRPr="00DE108C">
              <w:rPr>
                <w:rFonts w:eastAsiaTheme="minorEastAsia" w:cstheme="minorBidi"/>
                <w:sz w:val="16"/>
                <w:szCs w:val="16"/>
              </w:rPr>
              <w:t>1,114</w:t>
            </w:r>
          </w:p>
        </w:tc>
        <w:tc>
          <w:tcPr>
            <w:tcW w:w="631" w:type="pct"/>
            <w:vAlign w:val="center"/>
          </w:tcPr>
          <w:p w14:paraId="579C4D24" w14:textId="7151E540" w:rsidR="00767B75" w:rsidRPr="00DE108C" w:rsidRDefault="00120A6F" w:rsidP="00120A6F">
            <w:pPr>
              <w:pStyle w:val="TableBody"/>
              <w:jc w:val="right"/>
              <w:rPr>
                <w:rFonts w:eastAsiaTheme="minorEastAsia" w:cstheme="minorBidi"/>
                <w:szCs w:val="16"/>
                <w:lang w:val="en-US"/>
              </w:rPr>
            </w:pPr>
            <w:r>
              <w:rPr>
                <w:rFonts w:eastAsiaTheme="minorEastAsia" w:cstheme="minorBidi"/>
                <w:szCs w:val="16"/>
                <w:lang w:val="en-US"/>
              </w:rPr>
              <w:t>-</w:t>
            </w:r>
          </w:p>
        </w:tc>
        <w:tc>
          <w:tcPr>
            <w:tcW w:w="631" w:type="pct"/>
            <w:vAlign w:val="center"/>
            <w:hideMark/>
          </w:tcPr>
          <w:p w14:paraId="2248470E" w14:textId="13710D31" w:rsidR="00767B75" w:rsidRPr="00DE108C" w:rsidRDefault="00767B75" w:rsidP="00120A6F">
            <w:pPr>
              <w:pStyle w:val="TableBody"/>
              <w:jc w:val="right"/>
              <w:rPr>
                <w:rFonts w:eastAsiaTheme="minorEastAsia" w:cstheme="minorBidi"/>
                <w:szCs w:val="16"/>
                <w:lang w:val="en-US"/>
              </w:rPr>
            </w:pPr>
            <w:r w:rsidRPr="00DE108C">
              <w:rPr>
                <w:rFonts w:eastAsiaTheme="minorEastAsia"/>
              </w:rPr>
              <w:t>1.5%</w:t>
            </w:r>
          </w:p>
        </w:tc>
        <w:tc>
          <w:tcPr>
            <w:tcW w:w="631" w:type="pct"/>
            <w:vAlign w:val="center"/>
            <w:hideMark/>
          </w:tcPr>
          <w:p w14:paraId="49DAA9EB" w14:textId="5A68ED74" w:rsidR="00767B75" w:rsidRPr="00DE108C" w:rsidRDefault="00767B75" w:rsidP="00120A6F">
            <w:pPr>
              <w:pStyle w:val="TableBody"/>
              <w:jc w:val="right"/>
              <w:rPr>
                <w:rFonts w:eastAsiaTheme="minorEastAsia" w:cstheme="minorBidi"/>
                <w:szCs w:val="16"/>
                <w:lang w:val="en-US"/>
              </w:rPr>
            </w:pPr>
            <w:r w:rsidRPr="00C754E6">
              <w:rPr>
                <w:rFonts w:eastAsiaTheme="minorEastAsia"/>
              </w:rPr>
              <w:t>-0.</w:t>
            </w:r>
            <w:r w:rsidR="008D3963" w:rsidRPr="00C754E6">
              <w:t>7</w:t>
            </w:r>
            <w:r w:rsidRPr="00C754E6">
              <w:rPr>
                <w:rFonts w:eastAsiaTheme="minorEastAsia"/>
              </w:rPr>
              <w:t>%</w:t>
            </w:r>
          </w:p>
        </w:tc>
        <w:tc>
          <w:tcPr>
            <w:tcW w:w="631" w:type="pct"/>
            <w:vAlign w:val="center"/>
            <w:hideMark/>
          </w:tcPr>
          <w:p w14:paraId="64B5814C" w14:textId="6A734C90" w:rsidR="00767B75" w:rsidRPr="00DE108C" w:rsidRDefault="00767B75" w:rsidP="00120A6F">
            <w:pPr>
              <w:pStyle w:val="TableBody"/>
              <w:jc w:val="right"/>
              <w:rPr>
                <w:rFonts w:eastAsiaTheme="minorEastAsia" w:cstheme="minorBidi"/>
                <w:szCs w:val="16"/>
                <w:lang w:val="en-US"/>
              </w:rPr>
            </w:pPr>
            <w:r w:rsidRPr="00DE108C">
              <w:rPr>
                <w:rFonts w:eastAsiaTheme="minorEastAsia"/>
              </w:rPr>
              <w:t>-0.</w:t>
            </w:r>
            <w:r w:rsidR="00120A6F" w:rsidRPr="00DE108C">
              <w:t>7</w:t>
            </w:r>
            <w:r w:rsidRPr="00DE108C">
              <w:rPr>
                <w:rFonts w:eastAsiaTheme="minorEastAsia"/>
              </w:rPr>
              <w:t>%</w:t>
            </w:r>
          </w:p>
        </w:tc>
        <w:tc>
          <w:tcPr>
            <w:tcW w:w="631" w:type="pct"/>
            <w:vAlign w:val="center"/>
            <w:hideMark/>
          </w:tcPr>
          <w:p w14:paraId="222E3427" w14:textId="7B37C414" w:rsidR="00767B75" w:rsidRPr="00DE108C" w:rsidRDefault="00767B75" w:rsidP="00120A6F">
            <w:pPr>
              <w:pStyle w:val="TableBody"/>
              <w:jc w:val="right"/>
              <w:rPr>
                <w:rFonts w:eastAsiaTheme="minorEastAsia" w:cstheme="minorBidi"/>
                <w:szCs w:val="16"/>
                <w:lang w:val="en-US"/>
              </w:rPr>
            </w:pPr>
            <w:r w:rsidRPr="00DE108C">
              <w:rPr>
                <w:rFonts w:eastAsiaTheme="minorEastAsia"/>
              </w:rPr>
              <w:t>-0.</w:t>
            </w:r>
            <w:r w:rsidR="00120A6F" w:rsidRPr="00DE108C">
              <w:t>8</w:t>
            </w:r>
            <w:r w:rsidRPr="00DE108C">
              <w:rPr>
                <w:rFonts w:eastAsiaTheme="minorEastAsia"/>
              </w:rPr>
              <w:t>%</w:t>
            </w:r>
          </w:p>
        </w:tc>
      </w:tr>
      <w:tr w:rsidR="00767B75" w:rsidRPr="00DE108C" w14:paraId="266BC0CD" w14:textId="77777777">
        <w:trPr>
          <w:trHeight w:val="270"/>
        </w:trPr>
        <w:tc>
          <w:tcPr>
            <w:tcW w:w="1214" w:type="pct"/>
            <w:vAlign w:val="center"/>
            <w:hideMark/>
          </w:tcPr>
          <w:p w14:paraId="70B318A9" w14:textId="77777777" w:rsidR="00767B75" w:rsidRPr="00DE108C" w:rsidRDefault="00767B75">
            <w:pPr>
              <w:spacing w:before="100" w:beforeAutospacing="1" w:after="100" w:afterAutospacing="1" w:line="240" w:lineRule="auto"/>
              <w:textAlignment w:val="baseline"/>
              <w:rPr>
                <w:rFonts w:eastAsiaTheme="minorEastAsia" w:cstheme="minorBidi"/>
                <w:color w:val="231F20"/>
                <w:sz w:val="16"/>
                <w:szCs w:val="16"/>
                <w:lang w:val="en-US"/>
              </w:rPr>
            </w:pPr>
            <w:r w:rsidRPr="00DE108C">
              <w:rPr>
                <w:rFonts w:eastAsiaTheme="minorEastAsia"/>
                <w:b/>
                <w:bCs/>
                <w:sz w:val="16"/>
                <w:szCs w:val="16"/>
              </w:rPr>
              <w:t>Barwon Water</w:t>
            </w:r>
            <w:r w:rsidRPr="00DE108C">
              <w:rPr>
                <w:rFonts w:ascii="Arial" w:eastAsiaTheme="minorEastAsia" w:hAnsi="Arial" w:cs="Arial"/>
                <w:sz w:val="16"/>
                <w:szCs w:val="16"/>
                <w:lang w:val="en-US"/>
              </w:rPr>
              <w:t>​</w:t>
            </w:r>
          </w:p>
        </w:tc>
        <w:tc>
          <w:tcPr>
            <w:tcW w:w="631" w:type="pct"/>
            <w:vAlign w:val="center"/>
            <w:hideMark/>
          </w:tcPr>
          <w:p w14:paraId="21C60D66" w14:textId="6713BDD0" w:rsidR="00767B75" w:rsidRPr="00DE108C" w:rsidRDefault="00767B75">
            <w:pPr>
              <w:spacing w:before="100" w:beforeAutospacing="1" w:after="100" w:afterAutospacing="1" w:line="240" w:lineRule="auto"/>
              <w:jc w:val="right"/>
              <w:textAlignment w:val="baseline"/>
              <w:rPr>
                <w:rFonts w:eastAsiaTheme="minorEastAsia" w:cstheme="minorBidi"/>
                <w:color w:val="auto"/>
                <w:sz w:val="16"/>
                <w:szCs w:val="16"/>
                <w:lang w:val="en-US"/>
              </w:rPr>
            </w:pPr>
            <w:r w:rsidRPr="00DE108C">
              <w:rPr>
                <w:rFonts w:eastAsiaTheme="minorEastAsia" w:cstheme="minorBidi"/>
                <w:sz w:val="16"/>
                <w:szCs w:val="16"/>
              </w:rPr>
              <w:t>1,183</w:t>
            </w:r>
          </w:p>
        </w:tc>
        <w:tc>
          <w:tcPr>
            <w:tcW w:w="631" w:type="pct"/>
            <w:vAlign w:val="center"/>
            <w:hideMark/>
          </w:tcPr>
          <w:p w14:paraId="45FCBB3A" w14:textId="77777777" w:rsidR="00767B75" w:rsidRPr="00DE108C" w:rsidRDefault="00767B75" w:rsidP="00120A6F">
            <w:pPr>
              <w:pStyle w:val="TableBody"/>
              <w:jc w:val="right"/>
              <w:rPr>
                <w:rFonts w:eastAsiaTheme="minorEastAsia" w:cstheme="minorBidi"/>
                <w:szCs w:val="16"/>
                <w:lang w:val="en-US"/>
              </w:rPr>
            </w:pPr>
            <w:r w:rsidRPr="00DE108C">
              <w:rPr>
                <w:rFonts w:eastAsiaTheme="minorEastAsia"/>
              </w:rPr>
              <w:t>-0.3%</w:t>
            </w:r>
          </w:p>
        </w:tc>
        <w:tc>
          <w:tcPr>
            <w:tcW w:w="631" w:type="pct"/>
            <w:vAlign w:val="center"/>
            <w:hideMark/>
          </w:tcPr>
          <w:p w14:paraId="0BA76A41" w14:textId="77777777" w:rsidR="00767B75" w:rsidRPr="00DE108C" w:rsidRDefault="00767B75" w:rsidP="00120A6F">
            <w:pPr>
              <w:pStyle w:val="TableBody"/>
              <w:jc w:val="right"/>
              <w:rPr>
                <w:rFonts w:eastAsiaTheme="minorEastAsia" w:cstheme="minorBidi"/>
                <w:szCs w:val="16"/>
                <w:lang w:val="en-US"/>
              </w:rPr>
            </w:pPr>
            <w:r w:rsidRPr="00DE108C">
              <w:rPr>
                <w:rFonts w:eastAsiaTheme="minorEastAsia"/>
              </w:rPr>
              <w:t>-0.1%</w:t>
            </w:r>
          </w:p>
        </w:tc>
        <w:tc>
          <w:tcPr>
            <w:tcW w:w="631" w:type="pct"/>
            <w:vAlign w:val="center"/>
            <w:hideMark/>
          </w:tcPr>
          <w:p w14:paraId="30A3EC59" w14:textId="77777777" w:rsidR="00767B75" w:rsidRPr="00DE108C" w:rsidRDefault="00767B75" w:rsidP="00120A6F">
            <w:pPr>
              <w:pStyle w:val="TableBody"/>
              <w:jc w:val="right"/>
              <w:rPr>
                <w:rFonts w:eastAsiaTheme="minorEastAsia" w:cstheme="minorBidi"/>
                <w:szCs w:val="16"/>
                <w:lang w:val="en-US"/>
              </w:rPr>
            </w:pPr>
            <w:r w:rsidRPr="00DE108C">
              <w:rPr>
                <w:rFonts w:eastAsiaTheme="minorEastAsia"/>
              </w:rPr>
              <w:t>-0.1%</w:t>
            </w:r>
          </w:p>
        </w:tc>
        <w:tc>
          <w:tcPr>
            <w:tcW w:w="631" w:type="pct"/>
            <w:vAlign w:val="center"/>
            <w:hideMark/>
          </w:tcPr>
          <w:p w14:paraId="1BAED6AB" w14:textId="77777777" w:rsidR="00767B75" w:rsidRPr="00DE108C" w:rsidRDefault="00767B75" w:rsidP="00120A6F">
            <w:pPr>
              <w:pStyle w:val="TableBody"/>
              <w:jc w:val="right"/>
              <w:rPr>
                <w:rFonts w:eastAsiaTheme="minorEastAsia" w:cstheme="minorBidi"/>
                <w:szCs w:val="16"/>
                <w:lang w:val="en-US"/>
              </w:rPr>
            </w:pPr>
            <w:r w:rsidRPr="00DE108C">
              <w:rPr>
                <w:rFonts w:eastAsiaTheme="minorEastAsia"/>
              </w:rPr>
              <w:t>-0.1%</w:t>
            </w:r>
          </w:p>
        </w:tc>
        <w:tc>
          <w:tcPr>
            <w:tcW w:w="631" w:type="pct"/>
            <w:vAlign w:val="center"/>
            <w:hideMark/>
          </w:tcPr>
          <w:p w14:paraId="1D6E2AC6" w14:textId="6866638F" w:rsidR="00767B75" w:rsidRPr="00DE108C" w:rsidRDefault="00767B75" w:rsidP="00120A6F">
            <w:pPr>
              <w:pStyle w:val="TableBody"/>
              <w:jc w:val="right"/>
              <w:rPr>
                <w:rFonts w:eastAsiaTheme="minorEastAsia" w:cstheme="minorBidi"/>
                <w:szCs w:val="16"/>
                <w:lang w:val="en-US"/>
              </w:rPr>
            </w:pPr>
            <w:r w:rsidRPr="00DE108C">
              <w:rPr>
                <w:rFonts w:eastAsiaTheme="minorEastAsia"/>
              </w:rPr>
              <w:t>0.4%</w:t>
            </w:r>
          </w:p>
        </w:tc>
      </w:tr>
      <w:tr w:rsidR="00AC454B" w:rsidRPr="00DE108C" w14:paraId="03B7C488" w14:textId="77777777">
        <w:trPr>
          <w:cnfStyle w:val="000000010000" w:firstRow="0" w:lastRow="0" w:firstColumn="0" w:lastColumn="0" w:oddVBand="0" w:evenVBand="0" w:oddHBand="0" w:evenHBand="1" w:firstRowFirstColumn="0" w:firstRowLastColumn="0" w:lastRowFirstColumn="0" w:lastRowLastColumn="0"/>
          <w:trHeight w:val="270"/>
        </w:trPr>
        <w:tc>
          <w:tcPr>
            <w:tcW w:w="1214" w:type="pct"/>
            <w:vAlign w:val="center"/>
            <w:hideMark/>
          </w:tcPr>
          <w:p w14:paraId="0ED04E45" w14:textId="41DAC34F" w:rsidR="00767B75" w:rsidRPr="00DE108C" w:rsidRDefault="00767B75">
            <w:pPr>
              <w:spacing w:before="100" w:beforeAutospacing="1" w:after="100" w:afterAutospacing="1" w:line="240" w:lineRule="auto"/>
              <w:textAlignment w:val="baseline"/>
              <w:rPr>
                <w:rFonts w:eastAsiaTheme="minorEastAsia" w:cstheme="minorBidi"/>
                <w:color w:val="231F20"/>
                <w:sz w:val="16"/>
                <w:szCs w:val="16"/>
                <w:lang w:val="en-US"/>
              </w:rPr>
            </w:pPr>
            <w:r w:rsidRPr="00DE108C">
              <w:rPr>
                <w:rFonts w:eastAsiaTheme="minorEastAsia"/>
                <w:b/>
                <w:bCs/>
                <w:sz w:val="16"/>
                <w:szCs w:val="16"/>
              </w:rPr>
              <w:t>South Gippsland Water</w:t>
            </w:r>
            <w:r w:rsidRPr="00DE108C">
              <w:rPr>
                <w:rFonts w:ascii="Arial" w:eastAsiaTheme="minorEastAsia" w:hAnsi="Arial" w:cs="Arial"/>
                <w:sz w:val="16"/>
                <w:szCs w:val="16"/>
                <w:lang w:val="en-US"/>
              </w:rPr>
              <w:t>​</w:t>
            </w:r>
            <w:r w:rsidR="008F26A3">
              <w:rPr>
                <w:rFonts w:ascii="Arial" w:eastAsiaTheme="minorEastAsia" w:hAnsi="Arial" w:cs="Arial"/>
                <w:sz w:val="16"/>
                <w:szCs w:val="16"/>
                <w:lang w:val="en-US"/>
              </w:rPr>
              <w:t xml:space="preserve"> </w:t>
            </w:r>
            <w:r w:rsidR="008F26A3">
              <w:rPr>
                <w:rFonts w:ascii="Arial" w:eastAsiaTheme="minorEastAsia" w:hAnsi="Arial" w:cs="Arial"/>
                <w:sz w:val="16"/>
                <w:szCs w:val="16"/>
                <w:vertAlign w:val="superscript"/>
                <w:lang w:val="en-US"/>
              </w:rPr>
              <w:t>c</w:t>
            </w:r>
            <w:r w:rsidR="008F26A3">
              <w:rPr>
                <w:rFonts w:ascii="Arial" w:eastAsiaTheme="minorEastAsia" w:hAnsi="Arial" w:cs="Arial"/>
                <w:sz w:val="16"/>
                <w:szCs w:val="16"/>
                <w:lang w:val="en-US"/>
              </w:rPr>
              <w:t xml:space="preserve"> </w:t>
            </w:r>
          </w:p>
        </w:tc>
        <w:tc>
          <w:tcPr>
            <w:tcW w:w="631" w:type="pct"/>
            <w:vAlign w:val="center"/>
            <w:hideMark/>
          </w:tcPr>
          <w:p w14:paraId="68575FB7" w14:textId="7B65B3B8" w:rsidR="00767B75" w:rsidRPr="00DE108C" w:rsidRDefault="00767B75">
            <w:pPr>
              <w:spacing w:before="100" w:beforeAutospacing="1" w:after="100" w:afterAutospacing="1" w:line="240" w:lineRule="auto"/>
              <w:jc w:val="right"/>
              <w:textAlignment w:val="baseline"/>
              <w:rPr>
                <w:rFonts w:eastAsiaTheme="minorEastAsia" w:cstheme="minorBidi"/>
                <w:color w:val="auto"/>
                <w:sz w:val="16"/>
                <w:szCs w:val="16"/>
                <w:lang w:val="en-US"/>
              </w:rPr>
            </w:pPr>
            <w:r w:rsidRPr="00DE108C">
              <w:rPr>
                <w:rFonts w:eastAsiaTheme="minorEastAsia" w:cstheme="minorBidi"/>
                <w:sz w:val="16"/>
                <w:szCs w:val="16"/>
              </w:rPr>
              <w:t>1,405</w:t>
            </w:r>
          </w:p>
        </w:tc>
        <w:tc>
          <w:tcPr>
            <w:tcW w:w="631" w:type="pct"/>
            <w:vAlign w:val="center"/>
            <w:hideMark/>
          </w:tcPr>
          <w:p w14:paraId="7AFFE796" w14:textId="3E13986F" w:rsidR="00767B75" w:rsidRPr="00DE108C" w:rsidRDefault="00767B75" w:rsidP="00120A6F">
            <w:pPr>
              <w:pStyle w:val="TableBody"/>
              <w:jc w:val="right"/>
              <w:rPr>
                <w:rFonts w:eastAsiaTheme="minorEastAsia" w:cstheme="minorBidi"/>
                <w:szCs w:val="16"/>
                <w:vertAlign w:val="superscript"/>
                <w:lang w:val="en-US"/>
              </w:rPr>
            </w:pPr>
            <w:r w:rsidRPr="00DE108C">
              <w:rPr>
                <w:rFonts w:eastAsiaTheme="minorEastAsia"/>
              </w:rPr>
              <w:t>1.6%</w:t>
            </w:r>
          </w:p>
        </w:tc>
        <w:tc>
          <w:tcPr>
            <w:tcW w:w="631" w:type="pct"/>
            <w:vAlign w:val="center"/>
            <w:hideMark/>
          </w:tcPr>
          <w:p w14:paraId="46646C37" w14:textId="502A08CF" w:rsidR="00767B75" w:rsidRPr="00DE108C" w:rsidRDefault="00767B75" w:rsidP="00120A6F">
            <w:pPr>
              <w:pStyle w:val="TableBody"/>
              <w:jc w:val="right"/>
              <w:rPr>
                <w:rFonts w:eastAsiaTheme="minorEastAsia" w:cstheme="minorBidi"/>
                <w:szCs w:val="16"/>
                <w:lang w:val="en-US"/>
              </w:rPr>
            </w:pPr>
            <w:r w:rsidRPr="00DE108C">
              <w:rPr>
                <w:rFonts w:eastAsiaTheme="minorEastAsia"/>
              </w:rPr>
              <w:t>0.6%</w:t>
            </w:r>
          </w:p>
        </w:tc>
        <w:tc>
          <w:tcPr>
            <w:tcW w:w="631" w:type="pct"/>
            <w:vAlign w:val="center"/>
            <w:hideMark/>
          </w:tcPr>
          <w:p w14:paraId="1598443D" w14:textId="6D7F4D96" w:rsidR="00767B75" w:rsidRPr="00DE108C" w:rsidRDefault="00767B75" w:rsidP="00120A6F">
            <w:pPr>
              <w:pStyle w:val="TableBody"/>
              <w:jc w:val="right"/>
              <w:rPr>
                <w:rFonts w:eastAsiaTheme="minorEastAsia" w:cstheme="minorBidi"/>
                <w:szCs w:val="16"/>
                <w:lang w:val="en-US"/>
              </w:rPr>
            </w:pPr>
            <w:r w:rsidRPr="00DE108C">
              <w:rPr>
                <w:rFonts w:eastAsiaTheme="minorEastAsia"/>
              </w:rPr>
              <w:t>0.7%</w:t>
            </w:r>
          </w:p>
        </w:tc>
        <w:tc>
          <w:tcPr>
            <w:tcW w:w="631" w:type="pct"/>
            <w:vAlign w:val="center"/>
            <w:hideMark/>
          </w:tcPr>
          <w:p w14:paraId="0D7E8BDD" w14:textId="20BFDEC3" w:rsidR="00767B75" w:rsidRPr="00DE108C" w:rsidRDefault="00767B75" w:rsidP="00120A6F">
            <w:pPr>
              <w:pStyle w:val="TableBody"/>
              <w:jc w:val="right"/>
              <w:rPr>
                <w:rFonts w:eastAsiaTheme="minorEastAsia" w:cstheme="minorBidi"/>
                <w:szCs w:val="16"/>
                <w:lang w:val="en-US"/>
              </w:rPr>
            </w:pPr>
            <w:r w:rsidRPr="00DE108C">
              <w:rPr>
                <w:rFonts w:eastAsiaTheme="minorEastAsia"/>
              </w:rPr>
              <w:t>0.9%</w:t>
            </w:r>
          </w:p>
        </w:tc>
        <w:tc>
          <w:tcPr>
            <w:tcW w:w="631" w:type="pct"/>
            <w:vAlign w:val="center"/>
            <w:hideMark/>
          </w:tcPr>
          <w:p w14:paraId="4AC85D80" w14:textId="3331903A" w:rsidR="00767B75" w:rsidRPr="00DE108C" w:rsidRDefault="00767B75" w:rsidP="00120A6F">
            <w:pPr>
              <w:pStyle w:val="TableBody"/>
              <w:jc w:val="right"/>
              <w:rPr>
                <w:rFonts w:eastAsiaTheme="minorEastAsia" w:cstheme="minorBidi"/>
                <w:szCs w:val="16"/>
                <w:lang w:val="en-US"/>
              </w:rPr>
            </w:pPr>
            <w:r w:rsidRPr="00DE108C">
              <w:rPr>
                <w:rFonts w:eastAsiaTheme="minorEastAsia"/>
              </w:rPr>
              <w:t>1.1%</w:t>
            </w:r>
          </w:p>
        </w:tc>
      </w:tr>
      <w:tr w:rsidR="00767B75" w:rsidRPr="00DE108C" w14:paraId="677854B5" w14:textId="77777777">
        <w:trPr>
          <w:trHeight w:val="270"/>
        </w:trPr>
        <w:tc>
          <w:tcPr>
            <w:tcW w:w="1214" w:type="pct"/>
            <w:vAlign w:val="center"/>
            <w:hideMark/>
          </w:tcPr>
          <w:p w14:paraId="3BFB3E65" w14:textId="77777777" w:rsidR="00767B75" w:rsidRPr="00DE108C" w:rsidRDefault="00767B75">
            <w:pPr>
              <w:spacing w:before="100" w:beforeAutospacing="1" w:after="100" w:afterAutospacing="1" w:line="240" w:lineRule="auto"/>
              <w:textAlignment w:val="baseline"/>
              <w:rPr>
                <w:rFonts w:eastAsiaTheme="minorEastAsia" w:cstheme="minorBidi"/>
                <w:color w:val="231F20"/>
                <w:sz w:val="16"/>
                <w:szCs w:val="16"/>
                <w:lang w:val="en-US"/>
              </w:rPr>
            </w:pPr>
            <w:r w:rsidRPr="00DE108C">
              <w:rPr>
                <w:rFonts w:eastAsiaTheme="minorEastAsia"/>
                <w:b/>
                <w:bCs/>
                <w:sz w:val="16"/>
                <w:szCs w:val="16"/>
              </w:rPr>
              <w:t>Westernport Water</w:t>
            </w:r>
            <w:r w:rsidRPr="00DE108C">
              <w:rPr>
                <w:rFonts w:ascii="Arial" w:eastAsiaTheme="minorEastAsia" w:hAnsi="Arial" w:cs="Arial"/>
                <w:sz w:val="16"/>
                <w:szCs w:val="16"/>
                <w:lang w:val="en-US"/>
              </w:rPr>
              <w:t>​</w:t>
            </w:r>
          </w:p>
        </w:tc>
        <w:tc>
          <w:tcPr>
            <w:tcW w:w="631" w:type="pct"/>
            <w:vAlign w:val="center"/>
            <w:hideMark/>
          </w:tcPr>
          <w:p w14:paraId="309569E1" w14:textId="07AC8DE9" w:rsidR="00767B75" w:rsidRPr="00DE108C" w:rsidRDefault="00767B75">
            <w:pPr>
              <w:spacing w:before="100" w:beforeAutospacing="1" w:after="100" w:afterAutospacing="1" w:line="240" w:lineRule="auto"/>
              <w:jc w:val="right"/>
              <w:textAlignment w:val="baseline"/>
              <w:rPr>
                <w:rFonts w:eastAsiaTheme="minorEastAsia" w:cstheme="minorBidi"/>
                <w:color w:val="auto"/>
                <w:sz w:val="16"/>
                <w:szCs w:val="16"/>
                <w:lang w:val="en-US"/>
              </w:rPr>
            </w:pPr>
            <w:r w:rsidRPr="00DE108C">
              <w:rPr>
                <w:rFonts w:eastAsiaTheme="minorEastAsia" w:cstheme="minorBidi"/>
                <w:sz w:val="16"/>
                <w:szCs w:val="16"/>
              </w:rPr>
              <w:t>1,394</w:t>
            </w:r>
          </w:p>
        </w:tc>
        <w:tc>
          <w:tcPr>
            <w:tcW w:w="631" w:type="pct"/>
            <w:vAlign w:val="center"/>
            <w:hideMark/>
          </w:tcPr>
          <w:p w14:paraId="6F0BB7A0" w14:textId="17FB11CE" w:rsidR="00767B75" w:rsidRPr="00DE108C" w:rsidRDefault="00120A6F" w:rsidP="00120A6F">
            <w:pPr>
              <w:pStyle w:val="TableBody"/>
              <w:jc w:val="right"/>
              <w:rPr>
                <w:rFonts w:eastAsiaTheme="minorEastAsia" w:cstheme="minorBidi"/>
                <w:szCs w:val="16"/>
                <w:lang w:val="en-US"/>
              </w:rPr>
            </w:pPr>
            <w:r w:rsidRPr="00DE108C">
              <w:t>-</w:t>
            </w:r>
          </w:p>
        </w:tc>
        <w:tc>
          <w:tcPr>
            <w:tcW w:w="631" w:type="pct"/>
            <w:vAlign w:val="center"/>
            <w:hideMark/>
          </w:tcPr>
          <w:p w14:paraId="2F905BA1" w14:textId="731E446F" w:rsidR="00767B75" w:rsidRPr="00DE108C" w:rsidRDefault="00767B75" w:rsidP="00120A6F">
            <w:pPr>
              <w:pStyle w:val="TableBody"/>
              <w:jc w:val="right"/>
              <w:rPr>
                <w:rFonts w:eastAsiaTheme="minorEastAsia" w:cstheme="minorBidi"/>
                <w:szCs w:val="16"/>
                <w:lang w:val="en-US"/>
              </w:rPr>
            </w:pPr>
            <w:r w:rsidRPr="00DE108C">
              <w:rPr>
                <w:rFonts w:eastAsiaTheme="minorEastAsia"/>
              </w:rPr>
              <w:t>0.1%</w:t>
            </w:r>
          </w:p>
        </w:tc>
        <w:tc>
          <w:tcPr>
            <w:tcW w:w="631" w:type="pct"/>
            <w:vAlign w:val="center"/>
            <w:hideMark/>
          </w:tcPr>
          <w:p w14:paraId="5017F58C" w14:textId="503EDDEE" w:rsidR="00767B75" w:rsidRPr="00DE108C" w:rsidRDefault="00767B75" w:rsidP="00120A6F">
            <w:pPr>
              <w:pStyle w:val="TableBody"/>
              <w:jc w:val="right"/>
              <w:rPr>
                <w:rFonts w:eastAsiaTheme="minorEastAsia" w:cstheme="minorBidi"/>
                <w:szCs w:val="16"/>
                <w:lang w:val="en-US"/>
              </w:rPr>
            </w:pPr>
            <w:r w:rsidRPr="00DE108C">
              <w:rPr>
                <w:rFonts w:eastAsiaTheme="minorEastAsia"/>
              </w:rPr>
              <w:t>0.1%</w:t>
            </w:r>
          </w:p>
        </w:tc>
        <w:tc>
          <w:tcPr>
            <w:tcW w:w="631" w:type="pct"/>
            <w:vAlign w:val="center"/>
            <w:hideMark/>
          </w:tcPr>
          <w:p w14:paraId="4233CF54" w14:textId="7D3C4FFC" w:rsidR="00767B75" w:rsidRPr="00DE108C" w:rsidRDefault="00767B75" w:rsidP="00120A6F">
            <w:pPr>
              <w:pStyle w:val="TableBody"/>
              <w:jc w:val="right"/>
              <w:rPr>
                <w:rFonts w:eastAsiaTheme="minorEastAsia" w:cstheme="minorBidi"/>
                <w:szCs w:val="16"/>
                <w:lang w:val="en-US"/>
              </w:rPr>
            </w:pPr>
            <w:r w:rsidRPr="00DE108C">
              <w:rPr>
                <w:rFonts w:eastAsiaTheme="minorEastAsia"/>
              </w:rPr>
              <w:t>0.2%</w:t>
            </w:r>
          </w:p>
        </w:tc>
        <w:tc>
          <w:tcPr>
            <w:tcW w:w="631" w:type="pct"/>
            <w:vAlign w:val="center"/>
            <w:hideMark/>
          </w:tcPr>
          <w:p w14:paraId="58A5B0B1" w14:textId="51EBAD7A" w:rsidR="00767B75" w:rsidRPr="00DE108C" w:rsidRDefault="00767B75" w:rsidP="00120A6F">
            <w:pPr>
              <w:pStyle w:val="TableBody"/>
              <w:jc w:val="right"/>
              <w:rPr>
                <w:rFonts w:eastAsiaTheme="minorEastAsia" w:cstheme="minorBidi"/>
                <w:szCs w:val="16"/>
                <w:lang w:val="en-US"/>
              </w:rPr>
            </w:pPr>
            <w:r w:rsidRPr="00DE108C">
              <w:rPr>
                <w:rFonts w:eastAsiaTheme="minorEastAsia"/>
              </w:rPr>
              <w:t>0.2%</w:t>
            </w:r>
          </w:p>
        </w:tc>
      </w:tr>
      <w:tr w:rsidR="00AC454B" w:rsidRPr="00DE108C" w14:paraId="0AFA4CBC" w14:textId="77777777">
        <w:trPr>
          <w:cnfStyle w:val="000000010000" w:firstRow="0" w:lastRow="0" w:firstColumn="0" w:lastColumn="0" w:oddVBand="0" w:evenVBand="0" w:oddHBand="0" w:evenHBand="1" w:firstRowFirstColumn="0" w:firstRowLastColumn="0" w:lastRowFirstColumn="0" w:lastRowLastColumn="0"/>
          <w:trHeight w:val="270"/>
        </w:trPr>
        <w:tc>
          <w:tcPr>
            <w:tcW w:w="1214" w:type="pct"/>
            <w:vAlign w:val="center"/>
            <w:hideMark/>
          </w:tcPr>
          <w:p w14:paraId="0E569EDD" w14:textId="77777777" w:rsidR="00767B75" w:rsidRPr="00DE108C" w:rsidRDefault="00767B75">
            <w:pPr>
              <w:spacing w:before="100" w:beforeAutospacing="1" w:after="100" w:afterAutospacing="1" w:line="240" w:lineRule="auto"/>
              <w:textAlignment w:val="baseline"/>
              <w:rPr>
                <w:rFonts w:eastAsiaTheme="minorEastAsia" w:cstheme="minorBidi"/>
                <w:color w:val="231F20"/>
                <w:sz w:val="16"/>
                <w:szCs w:val="16"/>
                <w:lang w:val="en-US"/>
              </w:rPr>
            </w:pPr>
            <w:r w:rsidRPr="00DE108C">
              <w:rPr>
                <w:rFonts w:eastAsiaTheme="minorEastAsia"/>
                <w:b/>
                <w:bCs/>
                <w:sz w:val="16"/>
                <w:szCs w:val="16"/>
              </w:rPr>
              <w:t>Gippsland Water</w:t>
            </w:r>
            <w:r w:rsidRPr="00DE108C">
              <w:rPr>
                <w:rFonts w:ascii="Arial" w:eastAsiaTheme="minorEastAsia" w:hAnsi="Arial" w:cs="Arial"/>
                <w:sz w:val="16"/>
                <w:szCs w:val="16"/>
                <w:lang w:val="en-US"/>
              </w:rPr>
              <w:t>​</w:t>
            </w:r>
          </w:p>
        </w:tc>
        <w:tc>
          <w:tcPr>
            <w:tcW w:w="631" w:type="pct"/>
            <w:vAlign w:val="center"/>
            <w:hideMark/>
          </w:tcPr>
          <w:p w14:paraId="2C194879" w14:textId="01CCE510" w:rsidR="00767B75" w:rsidRPr="00DE108C" w:rsidRDefault="00767B75">
            <w:pPr>
              <w:spacing w:before="100" w:beforeAutospacing="1" w:after="100" w:afterAutospacing="1" w:line="240" w:lineRule="auto"/>
              <w:jc w:val="right"/>
              <w:textAlignment w:val="baseline"/>
              <w:rPr>
                <w:rFonts w:eastAsiaTheme="minorEastAsia" w:cstheme="minorBidi"/>
                <w:color w:val="auto"/>
                <w:sz w:val="16"/>
                <w:szCs w:val="16"/>
                <w:lang w:val="en-US"/>
              </w:rPr>
            </w:pPr>
            <w:r w:rsidRPr="00DE108C">
              <w:rPr>
                <w:rFonts w:eastAsiaTheme="minorEastAsia" w:cstheme="minorBidi"/>
                <w:sz w:val="16"/>
                <w:szCs w:val="16"/>
              </w:rPr>
              <w:t>1,492</w:t>
            </w:r>
          </w:p>
        </w:tc>
        <w:tc>
          <w:tcPr>
            <w:tcW w:w="631" w:type="pct"/>
            <w:vAlign w:val="center"/>
            <w:hideMark/>
          </w:tcPr>
          <w:p w14:paraId="60FE08AC" w14:textId="7B2063CF" w:rsidR="00767B75" w:rsidRPr="00DE108C" w:rsidRDefault="00120A6F" w:rsidP="00120A6F">
            <w:pPr>
              <w:pStyle w:val="TableBody"/>
              <w:jc w:val="right"/>
              <w:rPr>
                <w:rFonts w:eastAsiaTheme="minorEastAsia" w:cstheme="minorBidi"/>
                <w:szCs w:val="16"/>
                <w:lang w:val="en-US"/>
              </w:rPr>
            </w:pPr>
            <w:r w:rsidRPr="00DE108C">
              <w:t>-</w:t>
            </w:r>
            <w:r w:rsidR="00767B75" w:rsidRPr="00DE108C">
              <w:rPr>
                <w:rFonts w:eastAsiaTheme="minorEastAsia"/>
              </w:rPr>
              <w:t>0.</w:t>
            </w:r>
            <w:r w:rsidRPr="00DE108C">
              <w:t>8</w:t>
            </w:r>
            <w:r w:rsidR="00767B75" w:rsidRPr="00DE108C">
              <w:rPr>
                <w:rFonts w:eastAsiaTheme="minorEastAsia"/>
              </w:rPr>
              <w:t>%</w:t>
            </w:r>
          </w:p>
        </w:tc>
        <w:tc>
          <w:tcPr>
            <w:tcW w:w="631" w:type="pct"/>
            <w:vAlign w:val="center"/>
            <w:hideMark/>
          </w:tcPr>
          <w:p w14:paraId="0C9F899A" w14:textId="298AF2F6" w:rsidR="00767B75" w:rsidRPr="00DE108C" w:rsidRDefault="00767B75" w:rsidP="00120A6F">
            <w:pPr>
              <w:pStyle w:val="TableBody"/>
              <w:jc w:val="right"/>
              <w:rPr>
                <w:rFonts w:eastAsiaTheme="minorEastAsia" w:cstheme="minorBidi"/>
                <w:szCs w:val="16"/>
                <w:lang w:val="en-US"/>
              </w:rPr>
            </w:pPr>
            <w:r w:rsidRPr="00DE108C">
              <w:rPr>
                <w:rFonts w:eastAsiaTheme="minorEastAsia"/>
              </w:rPr>
              <w:t>0.0%</w:t>
            </w:r>
          </w:p>
        </w:tc>
        <w:tc>
          <w:tcPr>
            <w:tcW w:w="631" w:type="pct"/>
            <w:vAlign w:val="center"/>
            <w:hideMark/>
          </w:tcPr>
          <w:p w14:paraId="5F6E87A0" w14:textId="0185A07A" w:rsidR="00767B75" w:rsidRPr="00DE108C" w:rsidRDefault="00767B75" w:rsidP="00120A6F">
            <w:pPr>
              <w:pStyle w:val="TableBody"/>
              <w:jc w:val="right"/>
              <w:rPr>
                <w:rFonts w:eastAsiaTheme="minorEastAsia" w:cstheme="minorBidi"/>
                <w:szCs w:val="16"/>
                <w:lang w:val="en-US"/>
              </w:rPr>
            </w:pPr>
            <w:r w:rsidRPr="00DE108C">
              <w:rPr>
                <w:rFonts w:eastAsiaTheme="minorEastAsia"/>
              </w:rPr>
              <w:t>0.</w:t>
            </w:r>
            <w:r w:rsidR="00120A6F" w:rsidRPr="00DE108C">
              <w:t>1</w:t>
            </w:r>
            <w:r w:rsidRPr="00DE108C">
              <w:rPr>
                <w:rFonts w:eastAsiaTheme="minorEastAsia"/>
              </w:rPr>
              <w:t>%</w:t>
            </w:r>
          </w:p>
        </w:tc>
        <w:tc>
          <w:tcPr>
            <w:tcW w:w="631" w:type="pct"/>
            <w:vAlign w:val="center"/>
            <w:hideMark/>
          </w:tcPr>
          <w:p w14:paraId="2E55E52F" w14:textId="49823E38" w:rsidR="00767B75" w:rsidRPr="00DE108C" w:rsidRDefault="00767B75" w:rsidP="00120A6F">
            <w:pPr>
              <w:pStyle w:val="TableBody"/>
              <w:jc w:val="right"/>
              <w:rPr>
                <w:rFonts w:eastAsiaTheme="minorEastAsia" w:cstheme="minorBidi"/>
                <w:szCs w:val="16"/>
                <w:lang w:val="en-US"/>
              </w:rPr>
            </w:pPr>
            <w:r w:rsidRPr="00DE108C">
              <w:rPr>
                <w:rFonts w:eastAsiaTheme="minorEastAsia"/>
              </w:rPr>
              <w:t>0.0%</w:t>
            </w:r>
          </w:p>
        </w:tc>
        <w:tc>
          <w:tcPr>
            <w:tcW w:w="631" w:type="pct"/>
            <w:vAlign w:val="center"/>
            <w:hideMark/>
          </w:tcPr>
          <w:p w14:paraId="304610AB" w14:textId="3B3E82C8" w:rsidR="00767B75" w:rsidRPr="00DE108C" w:rsidRDefault="00767B75" w:rsidP="00120A6F">
            <w:pPr>
              <w:pStyle w:val="TableBody"/>
              <w:jc w:val="right"/>
              <w:rPr>
                <w:rFonts w:eastAsiaTheme="minorEastAsia" w:cstheme="minorBidi"/>
                <w:szCs w:val="16"/>
                <w:lang w:val="en-US"/>
              </w:rPr>
            </w:pPr>
            <w:r w:rsidRPr="00DE108C">
              <w:rPr>
                <w:rFonts w:eastAsiaTheme="minorEastAsia"/>
              </w:rPr>
              <w:t>0.0%</w:t>
            </w:r>
          </w:p>
        </w:tc>
      </w:tr>
    </w:tbl>
    <w:p w14:paraId="3F5E8F41" w14:textId="7405C9D5" w:rsidR="00767B75" w:rsidRPr="00DE108C" w:rsidRDefault="007C2C16">
      <w:pPr>
        <w:pStyle w:val="FootnoteText"/>
      </w:pPr>
      <w:r w:rsidRPr="56E13B8F">
        <w:rPr>
          <w:vertAlign w:val="superscript"/>
        </w:rPr>
        <w:t xml:space="preserve">b </w:t>
      </w:r>
      <w:r w:rsidR="00767B75">
        <w:t>Bill impacts are indicative only and exclude impacts of water corporation 2028 submissions, desalination water orders and other passthroughs</w:t>
      </w:r>
      <w:r w:rsidR="628239F0">
        <w:t>.</w:t>
      </w:r>
    </w:p>
    <w:p w14:paraId="59AF1574" w14:textId="248B3D39" w:rsidR="00DC1654" w:rsidRPr="00DE108C" w:rsidRDefault="00DC1654">
      <w:pPr>
        <w:pStyle w:val="FootnoteText"/>
      </w:pPr>
      <w:r w:rsidRPr="56E13B8F">
        <w:rPr>
          <w:vertAlign w:val="superscript"/>
        </w:rPr>
        <w:t>c</w:t>
      </w:r>
      <w:r w:rsidR="00AF1F0A">
        <w:t xml:space="preserve"> </w:t>
      </w:r>
      <w:r w:rsidR="00B2437D">
        <w:t>South Gippsland Water's increase relates to increased water security provided by entry into the South-Central Pool</w:t>
      </w:r>
      <w:r w:rsidR="14707F67">
        <w:t>,</w:t>
      </w:r>
      <w:r w:rsidR="00B2437D">
        <w:t xml:space="preserve"> which </w:t>
      </w:r>
      <w:r w:rsidR="00FF596E">
        <w:t xml:space="preserve">was </w:t>
      </w:r>
      <w:r w:rsidR="002215BF">
        <w:t>scheduled</w:t>
      </w:r>
      <w:r w:rsidR="00FF596E">
        <w:t xml:space="preserve"> to occur in</w:t>
      </w:r>
      <w:r w:rsidR="00B2437D">
        <w:t xml:space="preserve"> 2024-25</w:t>
      </w:r>
      <w:r w:rsidR="00A625EA">
        <w:t xml:space="preserve"> in its 2023 </w:t>
      </w:r>
      <w:r w:rsidR="202CAEEA">
        <w:t>P</w:t>
      </w:r>
      <w:r w:rsidR="00A625EA">
        <w:t xml:space="preserve">rice </w:t>
      </w:r>
      <w:r w:rsidR="5075FC3D">
        <w:t>S</w:t>
      </w:r>
      <w:r w:rsidR="00A625EA">
        <w:t>ubmission</w:t>
      </w:r>
      <w:r w:rsidR="1D7764DA">
        <w:t>.</w:t>
      </w:r>
    </w:p>
    <w:p w14:paraId="55BE4AFA" w14:textId="77777777" w:rsidR="00D82215" w:rsidRPr="00DE108C" w:rsidRDefault="00D82215" w:rsidP="00491E6B">
      <w:pPr>
        <w:rPr>
          <w:rFonts w:eastAsiaTheme="minorEastAsia"/>
        </w:rPr>
      </w:pPr>
    </w:p>
    <w:p w14:paraId="0B8EE679" w14:textId="330F8F3B" w:rsidR="00767B75" w:rsidRPr="00DE108C" w:rsidRDefault="00767B75" w:rsidP="00E66AE3">
      <w:pPr>
        <w:rPr>
          <w:rFonts w:eastAsiaTheme="minorEastAsia"/>
        </w:rPr>
      </w:pPr>
      <w:r w:rsidRPr="00DE108C">
        <w:rPr>
          <w:rFonts w:eastAsiaTheme="minorEastAsia"/>
        </w:rPr>
        <w:t xml:space="preserve">Melbourne Water is forecasting a minor reduction to the waterways and drainage tariffs (excluding inflation) over the period. A flat charge will replace the current </w:t>
      </w:r>
      <w:r w:rsidR="00245EE3" w:rsidRPr="00C754E6">
        <w:rPr>
          <w:rFonts w:eastAsiaTheme="minorEastAsia"/>
        </w:rPr>
        <w:t xml:space="preserve">rate in </w:t>
      </w:r>
      <w:r w:rsidRPr="00C754E6">
        <w:rPr>
          <w:rFonts w:eastAsiaTheme="minorEastAsia"/>
        </w:rPr>
        <w:t>$</w:t>
      </w:r>
      <w:r w:rsidR="00245EE3" w:rsidRPr="00C754E6">
        <w:rPr>
          <w:rFonts w:eastAsiaTheme="minorEastAsia"/>
        </w:rPr>
        <w:t xml:space="preserve"> </w:t>
      </w:r>
      <w:r w:rsidRPr="00C754E6">
        <w:rPr>
          <w:rFonts w:eastAsiaTheme="minorEastAsia"/>
        </w:rPr>
        <w:t>NAV</w:t>
      </w:r>
      <w:r w:rsidRPr="00DE108C">
        <w:rPr>
          <w:rFonts w:eastAsiaTheme="minorEastAsia"/>
        </w:rPr>
        <w:t xml:space="preserve"> (</w:t>
      </w:r>
      <w:r w:rsidR="003F5896" w:rsidRPr="00C754E6">
        <w:rPr>
          <w:rFonts w:eastAsiaTheme="minorEastAsia"/>
        </w:rPr>
        <w:t>N</w:t>
      </w:r>
      <w:r w:rsidRPr="00C754E6">
        <w:rPr>
          <w:rFonts w:eastAsiaTheme="minorEastAsia"/>
        </w:rPr>
        <w:t xml:space="preserve">et </w:t>
      </w:r>
      <w:r w:rsidR="003F5896" w:rsidRPr="00C754E6">
        <w:rPr>
          <w:rFonts w:eastAsiaTheme="minorEastAsia"/>
        </w:rPr>
        <w:t>Annual</w:t>
      </w:r>
      <w:r w:rsidRPr="00C754E6">
        <w:rPr>
          <w:rFonts w:eastAsiaTheme="minorEastAsia"/>
        </w:rPr>
        <w:t xml:space="preserve"> </w:t>
      </w:r>
      <w:r w:rsidR="003F5896" w:rsidRPr="00C754E6">
        <w:rPr>
          <w:rFonts w:eastAsiaTheme="minorEastAsia"/>
        </w:rPr>
        <w:t>V</w:t>
      </w:r>
      <w:r w:rsidRPr="00C754E6">
        <w:rPr>
          <w:rFonts w:eastAsiaTheme="minorEastAsia"/>
        </w:rPr>
        <w:t>alue)</w:t>
      </w:r>
      <w:r w:rsidRPr="00DE108C">
        <w:rPr>
          <w:rFonts w:eastAsiaTheme="minorEastAsia"/>
        </w:rPr>
        <w:t xml:space="preserve"> for all non-residential customers.</w:t>
      </w:r>
      <w:r w:rsidR="00155E68" w:rsidRPr="00DE108C">
        <w:rPr>
          <w:rFonts w:eastAsiaTheme="minorEastAsia"/>
        </w:rPr>
        <w:t xml:space="preserve"> Forecast prices are shown in Table V.</w:t>
      </w:r>
    </w:p>
    <w:p w14:paraId="378F26BE" w14:textId="541A2F21" w:rsidR="00767B75" w:rsidRPr="00DE108C" w:rsidRDefault="00767B75" w:rsidP="00767B75">
      <w:pPr>
        <w:pStyle w:val="Caption"/>
      </w:pPr>
      <w:bookmarkStart w:id="53" w:name="_Toc207892967"/>
      <w:bookmarkStart w:id="54" w:name="_Toc208490496"/>
      <w:bookmarkStart w:id="55" w:name="_Toc208490834"/>
      <w:bookmarkStart w:id="56" w:name="_Toc208910992"/>
      <w:bookmarkStart w:id="57" w:name="_Toc210051299"/>
      <w:r w:rsidRPr="00DE108C">
        <w:t xml:space="preserve">Table </w:t>
      </w:r>
      <w:r w:rsidR="136C02CB" w:rsidRPr="00DE108C">
        <w:t>V</w:t>
      </w:r>
      <w:r w:rsidRPr="00DE108C">
        <w:t>: Waterways and drainage tariffs ($real 20</w:t>
      </w:r>
      <w:r w:rsidR="007C741C" w:rsidRPr="00DE108C">
        <w:t>25-</w:t>
      </w:r>
      <w:r w:rsidRPr="00DE108C">
        <w:t>26)</w:t>
      </w:r>
      <w:bookmarkEnd w:id="53"/>
      <w:bookmarkEnd w:id="54"/>
      <w:bookmarkEnd w:id="55"/>
      <w:bookmarkEnd w:id="56"/>
      <w:bookmarkEnd w:id="57"/>
    </w:p>
    <w:tbl>
      <w:tblPr>
        <w:tblStyle w:val="TableGrid"/>
        <w:tblW w:w="5000" w:type="pct"/>
        <w:tblLook w:val="04A0" w:firstRow="1" w:lastRow="0" w:firstColumn="1" w:lastColumn="0" w:noHBand="0" w:noVBand="1"/>
      </w:tblPr>
      <w:tblGrid>
        <w:gridCol w:w="2385"/>
        <w:gridCol w:w="1517"/>
        <w:gridCol w:w="1144"/>
        <w:gridCol w:w="1146"/>
        <w:gridCol w:w="1144"/>
        <w:gridCol w:w="1144"/>
        <w:gridCol w:w="1148"/>
      </w:tblGrid>
      <w:tr w:rsidR="00A47D3E" w:rsidRPr="00DE108C" w14:paraId="5E57FFC8" w14:textId="77777777" w:rsidTr="00A47D3E">
        <w:trPr>
          <w:cnfStyle w:val="100000000000" w:firstRow="1" w:lastRow="0" w:firstColumn="0" w:lastColumn="0" w:oddVBand="0" w:evenVBand="0" w:oddHBand="0" w:evenHBand="0" w:firstRowFirstColumn="0" w:firstRowLastColumn="0" w:lastRowFirstColumn="0" w:lastRowLastColumn="0"/>
          <w:trHeight w:val="270"/>
        </w:trPr>
        <w:tc>
          <w:tcPr>
            <w:tcW w:w="1239" w:type="pct"/>
            <w:shd w:val="clear" w:color="auto" w:fill="00428B" w:themeFill="accent1"/>
          </w:tcPr>
          <w:p w14:paraId="0370A558" w14:textId="77777777" w:rsidR="00A47D3E" w:rsidRPr="00DE108C" w:rsidRDefault="00A47D3E">
            <w:pPr>
              <w:spacing w:before="100" w:beforeAutospacing="1" w:after="100" w:afterAutospacing="1" w:line="240" w:lineRule="auto"/>
              <w:textAlignment w:val="baseline"/>
              <w:rPr>
                <w:rFonts w:eastAsiaTheme="minorEastAsia" w:cstheme="minorBidi"/>
                <w:color w:val="FFFFFF" w:themeColor="background1"/>
                <w:sz w:val="16"/>
                <w:szCs w:val="16"/>
              </w:rPr>
            </w:pPr>
          </w:p>
        </w:tc>
        <w:tc>
          <w:tcPr>
            <w:tcW w:w="788" w:type="pct"/>
            <w:shd w:val="clear" w:color="auto" w:fill="00428B" w:themeFill="accent1"/>
          </w:tcPr>
          <w:p w14:paraId="1383E049" w14:textId="77777777" w:rsidR="00A47D3E" w:rsidRPr="00DE108C" w:rsidRDefault="00A47D3E">
            <w:pPr>
              <w:spacing w:before="100" w:beforeAutospacing="1" w:after="100" w:afterAutospacing="1" w:line="240" w:lineRule="auto"/>
              <w:jc w:val="center"/>
              <w:textAlignment w:val="baseline"/>
              <w:rPr>
                <w:rFonts w:eastAsiaTheme="minorEastAsia"/>
                <w:b/>
                <w:bCs/>
                <w:color w:val="FFFFFF" w:themeColor="background1"/>
                <w:sz w:val="16"/>
                <w:szCs w:val="16"/>
              </w:rPr>
            </w:pPr>
          </w:p>
        </w:tc>
        <w:tc>
          <w:tcPr>
            <w:tcW w:w="2974" w:type="pct"/>
            <w:gridSpan w:val="5"/>
            <w:shd w:val="clear" w:color="auto" w:fill="00428B" w:themeFill="accent1"/>
          </w:tcPr>
          <w:p w14:paraId="4504A5C3" w14:textId="1CCBEF05" w:rsidR="00A47D3E" w:rsidRPr="00DE108C" w:rsidRDefault="00A47D3E">
            <w:pPr>
              <w:spacing w:before="100" w:beforeAutospacing="1" w:after="100" w:afterAutospacing="1" w:line="240" w:lineRule="auto"/>
              <w:jc w:val="center"/>
              <w:textAlignment w:val="baseline"/>
              <w:rPr>
                <w:rFonts w:eastAsiaTheme="minorEastAsia"/>
                <w:b/>
                <w:bCs/>
                <w:color w:val="FFFFFF" w:themeColor="background1"/>
                <w:sz w:val="16"/>
                <w:szCs w:val="16"/>
              </w:rPr>
            </w:pPr>
            <w:r w:rsidRPr="00DE108C">
              <w:rPr>
                <w:rFonts w:asciiTheme="majorHAnsi" w:hAnsiTheme="majorHAnsi"/>
                <w:b/>
                <w:bCs/>
                <w:color w:val="FFFFFF" w:themeColor="background1"/>
                <w:sz w:val="18"/>
                <w:szCs w:val="18"/>
              </w:rPr>
              <w:t>2026–2031 regulatory period</w:t>
            </w:r>
          </w:p>
        </w:tc>
      </w:tr>
      <w:tr w:rsidR="00767B75" w:rsidRPr="00DE108C" w14:paraId="194D8A67" w14:textId="77777777" w:rsidTr="000173F7">
        <w:trPr>
          <w:trHeight w:val="270"/>
        </w:trPr>
        <w:tc>
          <w:tcPr>
            <w:tcW w:w="1239" w:type="pct"/>
            <w:shd w:val="clear" w:color="auto" w:fill="00428B" w:themeFill="accent1"/>
            <w:hideMark/>
          </w:tcPr>
          <w:p w14:paraId="08499F76" w14:textId="77777777" w:rsidR="00767B75" w:rsidRPr="00DE108C" w:rsidRDefault="00767B75">
            <w:pPr>
              <w:spacing w:before="100" w:beforeAutospacing="1" w:after="100" w:afterAutospacing="1" w:line="240" w:lineRule="auto"/>
              <w:textAlignment w:val="baseline"/>
              <w:rPr>
                <w:rFonts w:eastAsiaTheme="minorEastAsia" w:cstheme="minorBidi"/>
                <w:color w:val="FFFFFF" w:themeColor="background1"/>
                <w:sz w:val="16"/>
                <w:szCs w:val="16"/>
              </w:rPr>
            </w:pPr>
            <w:r w:rsidRPr="00DE108C">
              <w:rPr>
                <w:rFonts w:eastAsiaTheme="minorEastAsia" w:cstheme="minorBidi"/>
                <w:color w:val="FFFFFF" w:themeColor="background1"/>
                <w:sz w:val="16"/>
                <w:szCs w:val="16"/>
              </w:rPr>
              <w:t>​</w:t>
            </w:r>
          </w:p>
        </w:tc>
        <w:tc>
          <w:tcPr>
            <w:tcW w:w="788" w:type="pct"/>
            <w:shd w:val="clear" w:color="auto" w:fill="00428B" w:themeFill="accent1"/>
            <w:hideMark/>
          </w:tcPr>
          <w:p w14:paraId="0B772B57" w14:textId="77777777" w:rsidR="00767B75" w:rsidRPr="00DE108C" w:rsidRDefault="00767B75">
            <w:pPr>
              <w:spacing w:before="100" w:beforeAutospacing="1" w:after="100" w:afterAutospacing="1" w:line="240" w:lineRule="auto"/>
              <w:jc w:val="center"/>
              <w:textAlignment w:val="baseline"/>
              <w:rPr>
                <w:rFonts w:eastAsiaTheme="minorEastAsia" w:cstheme="minorBidi"/>
                <w:b/>
                <w:bCs/>
                <w:color w:val="FFFFFF" w:themeColor="background1"/>
                <w:sz w:val="16"/>
                <w:szCs w:val="16"/>
              </w:rPr>
            </w:pPr>
            <w:r w:rsidRPr="00DE108C">
              <w:rPr>
                <w:rFonts w:eastAsiaTheme="minorEastAsia"/>
                <w:b/>
                <w:bCs/>
                <w:color w:val="FFFFFF" w:themeColor="background1"/>
                <w:sz w:val="16"/>
                <w:szCs w:val="16"/>
              </w:rPr>
              <w:t>2025-26</w:t>
            </w:r>
            <w:r w:rsidRPr="00DE108C">
              <w:rPr>
                <w:rFonts w:eastAsiaTheme="minorEastAsia" w:cstheme="minorBidi"/>
                <w:b/>
                <w:bCs/>
                <w:color w:val="FFFFFF" w:themeColor="background1"/>
                <w:sz w:val="16"/>
                <w:szCs w:val="16"/>
              </w:rPr>
              <w:t>​</w:t>
            </w:r>
          </w:p>
        </w:tc>
        <w:tc>
          <w:tcPr>
            <w:tcW w:w="594" w:type="pct"/>
            <w:shd w:val="clear" w:color="auto" w:fill="00428B" w:themeFill="accent1"/>
            <w:hideMark/>
          </w:tcPr>
          <w:p w14:paraId="75C6684B" w14:textId="77777777" w:rsidR="00767B75" w:rsidRPr="00DE108C" w:rsidRDefault="00767B75">
            <w:pPr>
              <w:spacing w:before="100" w:beforeAutospacing="1" w:after="100" w:afterAutospacing="1" w:line="240" w:lineRule="auto"/>
              <w:jc w:val="center"/>
              <w:textAlignment w:val="baseline"/>
              <w:rPr>
                <w:rFonts w:eastAsiaTheme="minorEastAsia" w:cstheme="minorBidi"/>
                <w:b/>
                <w:bCs/>
                <w:color w:val="FFFFFF" w:themeColor="background1"/>
                <w:sz w:val="16"/>
                <w:szCs w:val="16"/>
              </w:rPr>
            </w:pPr>
            <w:r w:rsidRPr="00DE108C">
              <w:rPr>
                <w:rFonts w:eastAsiaTheme="minorEastAsia"/>
                <w:b/>
                <w:bCs/>
                <w:color w:val="FFFFFF" w:themeColor="background1"/>
                <w:sz w:val="16"/>
                <w:szCs w:val="16"/>
              </w:rPr>
              <w:t>2026-27</w:t>
            </w:r>
            <w:r w:rsidRPr="00DE108C">
              <w:rPr>
                <w:rFonts w:eastAsiaTheme="minorEastAsia" w:cstheme="minorBidi"/>
                <w:b/>
                <w:bCs/>
                <w:color w:val="FFFFFF" w:themeColor="background1"/>
                <w:sz w:val="16"/>
                <w:szCs w:val="16"/>
              </w:rPr>
              <w:t>​</w:t>
            </w:r>
          </w:p>
        </w:tc>
        <w:tc>
          <w:tcPr>
            <w:tcW w:w="595" w:type="pct"/>
            <w:shd w:val="clear" w:color="auto" w:fill="00428B" w:themeFill="accent1"/>
            <w:hideMark/>
          </w:tcPr>
          <w:p w14:paraId="579BEE38" w14:textId="77777777" w:rsidR="00767B75" w:rsidRPr="00DE108C" w:rsidRDefault="00767B75">
            <w:pPr>
              <w:spacing w:before="100" w:beforeAutospacing="1" w:after="100" w:afterAutospacing="1" w:line="240" w:lineRule="auto"/>
              <w:jc w:val="center"/>
              <w:textAlignment w:val="baseline"/>
              <w:rPr>
                <w:rFonts w:eastAsiaTheme="minorEastAsia" w:cstheme="minorBidi"/>
                <w:b/>
                <w:bCs/>
                <w:color w:val="FFFFFF" w:themeColor="background1"/>
                <w:sz w:val="16"/>
                <w:szCs w:val="16"/>
              </w:rPr>
            </w:pPr>
            <w:r w:rsidRPr="00DE108C">
              <w:rPr>
                <w:rFonts w:eastAsiaTheme="minorEastAsia"/>
                <w:b/>
                <w:bCs/>
                <w:color w:val="FFFFFF" w:themeColor="background1"/>
                <w:sz w:val="16"/>
                <w:szCs w:val="16"/>
              </w:rPr>
              <w:t>2027-28</w:t>
            </w:r>
            <w:r w:rsidRPr="00DE108C">
              <w:rPr>
                <w:rFonts w:eastAsiaTheme="minorEastAsia" w:cstheme="minorBidi"/>
                <w:b/>
                <w:bCs/>
                <w:color w:val="FFFFFF" w:themeColor="background1"/>
                <w:sz w:val="16"/>
                <w:szCs w:val="16"/>
              </w:rPr>
              <w:t>​</w:t>
            </w:r>
          </w:p>
        </w:tc>
        <w:tc>
          <w:tcPr>
            <w:tcW w:w="594" w:type="pct"/>
            <w:shd w:val="clear" w:color="auto" w:fill="00428B" w:themeFill="accent1"/>
            <w:hideMark/>
          </w:tcPr>
          <w:p w14:paraId="140EC69E" w14:textId="77777777" w:rsidR="00767B75" w:rsidRPr="00DE108C" w:rsidRDefault="00767B75">
            <w:pPr>
              <w:spacing w:before="100" w:beforeAutospacing="1" w:after="100" w:afterAutospacing="1" w:line="240" w:lineRule="auto"/>
              <w:jc w:val="center"/>
              <w:textAlignment w:val="baseline"/>
              <w:rPr>
                <w:rFonts w:eastAsiaTheme="minorEastAsia" w:cstheme="minorBidi"/>
                <w:b/>
                <w:bCs/>
                <w:color w:val="FFFFFF" w:themeColor="background1"/>
                <w:sz w:val="16"/>
                <w:szCs w:val="16"/>
              </w:rPr>
            </w:pPr>
            <w:r w:rsidRPr="00DE108C">
              <w:rPr>
                <w:rFonts w:eastAsiaTheme="minorEastAsia"/>
                <w:b/>
                <w:bCs/>
                <w:color w:val="FFFFFF" w:themeColor="background1"/>
                <w:sz w:val="16"/>
                <w:szCs w:val="16"/>
              </w:rPr>
              <w:t>2028-29</w:t>
            </w:r>
            <w:r w:rsidRPr="00DE108C">
              <w:rPr>
                <w:rFonts w:eastAsiaTheme="minorEastAsia" w:cstheme="minorBidi"/>
                <w:b/>
                <w:bCs/>
                <w:color w:val="FFFFFF" w:themeColor="background1"/>
                <w:sz w:val="16"/>
                <w:szCs w:val="16"/>
              </w:rPr>
              <w:t>​</w:t>
            </w:r>
          </w:p>
        </w:tc>
        <w:tc>
          <w:tcPr>
            <w:tcW w:w="594" w:type="pct"/>
            <w:shd w:val="clear" w:color="auto" w:fill="00428B" w:themeFill="accent1"/>
            <w:hideMark/>
          </w:tcPr>
          <w:p w14:paraId="15E660EF" w14:textId="77777777" w:rsidR="00767B75" w:rsidRPr="00DE108C" w:rsidRDefault="00767B75">
            <w:pPr>
              <w:spacing w:before="100" w:beforeAutospacing="1" w:after="100" w:afterAutospacing="1" w:line="240" w:lineRule="auto"/>
              <w:jc w:val="center"/>
              <w:textAlignment w:val="baseline"/>
              <w:rPr>
                <w:rFonts w:eastAsiaTheme="minorEastAsia" w:cstheme="minorBidi"/>
                <w:b/>
                <w:bCs/>
                <w:color w:val="FFFFFF" w:themeColor="background1"/>
                <w:sz w:val="16"/>
                <w:szCs w:val="16"/>
              </w:rPr>
            </w:pPr>
            <w:r w:rsidRPr="00DE108C">
              <w:rPr>
                <w:rFonts w:eastAsiaTheme="minorEastAsia"/>
                <w:b/>
                <w:bCs/>
                <w:color w:val="FFFFFF" w:themeColor="background1"/>
                <w:sz w:val="16"/>
                <w:szCs w:val="16"/>
              </w:rPr>
              <w:t>2029-30</w:t>
            </w:r>
            <w:r w:rsidRPr="00DE108C">
              <w:rPr>
                <w:rFonts w:eastAsiaTheme="minorEastAsia" w:cstheme="minorBidi"/>
                <w:b/>
                <w:bCs/>
                <w:color w:val="FFFFFF" w:themeColor="background1"/>
                <w:sz w:val="16"/>
                <w:szCs w:val="16"/>
              </w:rPr>
              <w:t>​</w:t>
            </w:r>
          </w:p>
        </w:tc>
        <w:tc>
          <w:tcPr>
            <w:tcW w:w="596" w:type="pct"/>
            <w:shd w:val="clear" w:color="auto" w:fill="00428B" w:themeFill="accent1"/>
            <w:hideMark/>
          </w:tcPr>
          <w:p w14:paraId="422179E1" w14:textId="77777777" w:rsidR="00767B75" w:rsidRPr="00DE108C" w:rsidRDefault="00767B75">
            <w:pPr>
              <w:spacing w:before="100" w:beforeAutospacing="1" w:after="100" w:afterAutospacing="1" w:line="240" w:lineRule="auto"/>
              <w:jc w:val="center"/>
              <w:textAlignment w:val="baseline"/>
              <w:rPr>
                <w:rFonts w:eastAsiaTheme="minorEastAsia" w:cstheme="minorBidi"/>
                <w:b/>
                <w:bCs/>
                <w:color w:val="FFFFFF" w:themeColor="background1"/>
                <w:sz w:val="16"/>
                <w:szCs w:val="16"/>
              </w:rPr>
            </w:pPr>
            <w:r w:rsidRPr="00DE108C">
              <w:rPr>
                <w:rFonts w:eastAsiaTheme="minorEastAsia"/>
                <w:b/>
                <w:bCs/>
                <w:color w:val="FFFFFF" w:themeColor="background1"/>
                <w:sz w:val="16"/>
                <w:szCs w:val="16"/>
              </w:rPr>
              <w:t>2030-31</w:t>
            </w:r>
            <w:r w:rsidRPr="00DE108C">
              <w:rPr>
                <w:rFonts w:eastAsiaTheme="minorEastAsia" w:cstheme="minorBidi"/>
                <w:b/>
                <w:bCs/>
                <w:color w:val="FFFFFF" w:themeColor="background1"/>
                <w:sz w:val="16"/>
                <w:szCs w:val="16"/>
              </w:rPr>
              <w:t>​</w:t>
            </w:r>
          </w:p>
        </w:tc>
      </w:tr>
      <w:tr w:rsidR="00051542" w:rsidRPr="00DE108C" w14:paraId="514F0F31" w14:textId="77777777" w:rsidTr="000173F7">
        <w:trPr>
          <w:cnfStyle w:val="000000010000" w:firstRow="0" w:lastRow="0" w:firstColumn="0" w:lastColumn="0" w:oddVBand="0" w:evenVBand="0" w:oddHBand="0" w:evenHBand="1" w:firstRowFirstColumn="0" w:firstRowLastColumn="0" w:lastRowFirstColumn="0" w:lastRowLastColumn="0"/>
          <w:trHeight w:val="270"/>
        </w:trPr>
        <w:tc>
          <w:tcPr>
            <w:tcW w:w="1239" w:type="pct"/>
            <w:vAlign w:val="center"/>
            <w:hideMark/>
          </w:tcPr>
          <w:p w14:paraId="4EC346D7" w14:textId="77777777" w:rsidR="00767B75" w:rsidRPr="00DE108C" w:rsidRDefault="00767B75">
            <w:pPr>
              <w:spacing w:before="100" w:beforeAutospacing="1" w:after="100" w:afterAutospacing="1" w:line="240" w:lineRule="auto"/>
              <w:textAlignment w:val="baseline"/>
              <w:rPr>
                <w:rFonts w:eastAsiaTheme="minorEastAsia" w:cstheme="minorBidi"/>
                <w:color w:val="231F20"/>
                <w:sz w:val="16"/>
                <w:szCs w:val="16"/>
                <w:lang w:val="en-US"/>
              </w:rPr>
            </w:pPr>
            <w:r w:rsidRPr="00DE108C">
              <w:rPr>
                <w:rFonts w:eastAsiaTheme="minorEastAsia"/>
                <w:b/>
                <w:bCs/>
                <w:sz w:val="16"/>
                <w:szCs w:val="16"/>
              </w:rPr>
              <w:t>Residential</w:t>
            </w:r>
          </w:p>
        </w:tc>
        <w:tc>
          <w:tcPr>
            <w:tcW w:w="788" w:type="pct"/>
          </w:tcPr>
          <w:p w14:paraId="34819380" w14:textId="77777777" w:rsidR="00767B75" w:rsidRPr="00DE108C" w:rsidRDefault="00767B75">
            <w:pPr>
              <w:spacing w:before="100" w:beforeAutospacing="1" w:after="100" w:afterAutospacing="1" w:line="240" w:lineRule="auto"/>
              <w:jc w:val="center"/>
              <w:textAlignment w:val="baseline"/>
              <w:rPr>
                <w:rFonts w:eastAsiaTheme="minorEastAsia" w:cstheme="minorBidi"/>
                <w:color w:val="231F20"/>
                <w:sz w:val="16"/>
                <w:szCs w:val="16"/>
                <w:lang w:val="en-US"/>
              </w:rPr>
            </w:pPr>
          </w:p>
        </w:tc>
        <w:tc>
          <w:tcPr>
            <w:tcW w:w="594" w:type="pct"/>
          </w:tcPr>
          <w:p w14:paraId="6A0476D4" w14:textId="77777777" w:rsidR="00767B75" w:rsidRPr="00DE108C" w:rsidRDefault="00767B75">
            <w:pPr>
              <w:spacing w:before="100" w:beforeAutospacing="1" w:after="100" w:afterAutospacing="1" w:line="240" w:lineRule="auto"/>
              <w:jc w:val="center"/>
              <w:textAlignment w:val="baseline"/>
              <w:rPr>
                <w:rFonts w:eastAsiaTheme="minorEastAsia" w:cstheme="minorBidi"/>
                <w:color w:val="231F20"/>
                <w:sz w:val="16"/>
                <w:szCs w:val="16"/>
                <w:lang w:val="en-US"/>
              </w:rPr>
            </w:pPr>
          </w:p>
        </w:tc>
        <w:tc>
          <w:tcPr>
            <w:tcW w:w="595" w:type="pct"/>
          </w:tcPr>
          <w:p w14:paraId="484FA158" w14:textId="77777777" w:rsidR="00767B75" w:rsidRPr="00DE108C" w:rsidRDefault="00767B75">
            <w:pPr>
              <w:spacing w:before="100" w:beforeAutospacing="1" w:after="100" w:afterAutospacing="1" w:line="240" w:lineRule="auto"/>
              <w:jc w:val="center"/>
              <w:textAlignment w:val="baseline"/>
              <w:rPr>
                <w:rFonts w:eastAsiaTheme="minorEastAsia" w:cstheme="minorBidi"/>
                <w:color w:val="231F20"/>
                <w:sz w:val="16"/>
                <w:szCs w:val="16"/>
                <w:lang w:val="en-US"/>
              </w:rPr>
            </w:pPr>
          </w:p>
        </w:tc>
        <w:tc>
          <w:tcPr>
            <w:tcW w:w="594" w:type="pct"/>
          </w:tcPr>
          <w:p w14:paraId="31ED9040" w14:textId="77777777" w:rsidR="00767B75" w:rsidRPr="00DE108C" w:rsidRDefault="00767B75">
            <w:pPr>
              <w:spacing w:before="100" w:beforeAutospacing="1" w:after="100" w:afterAutospacing="1" w:line="240" w:lineRule="auto"/>
              <w:jc w:val="center"/>
              <w:textAlignment w:val="baseline"/>
              <w:rPr>
                <w:rFonts w:eastAsiaTheme="minorEastAsia" w:cstheme="minorBidi"/>
                <w:color w:val="231F20"/>
                <w:sz w:val="16"/>
                <w:szCs w:val="16"/>
                <w:lang w:val="en-US"/>
              </w:rPr>
            </w:pPr>
          </w:p>
        </w:tc>
        <w:tc>
          <w:tcPr>
            <w:tcW w:w="594" w:type="pct"/>
          </w:tcPr>
          <w:p w14:paraId="01C3B495" w14:textId="77777777" w:rsidR="00767B75" w:rsidRPr="00DE108C" w:rsidRDefault="00767B75">
            <w:pPr>
              <w:spacing w:before="100" w:beforeAutospacing="1" w:after="100" w:afterAutospacing="1" w:line="240" w:lineRule="auto"/>
              <w:jc w:val="center"/>
              <w:textAlignment w:val="baseline"/>
              <w:rPr>
                <w:rFonts w:eastAsiaTheme="minorEastAsia" w:cstheme="minorBidi"/>
                <w:color w:val="231F20"/>
                <w:sz w:val="16"/>
                <w:szCs w:val="16"/>
                <w:lang w:val="en-US"/>
              </w:rPr>
            </w:pPr>
          </w:p>
        </w:tc>
        <w:tc>
          <w:tcPr>
            <w:tcW w:w="596" w:type="pct"/>
          </w:tcPr>
          <w:p w14:paraId="4BF356A0" w14:textId="77777777" w:rsidR="00767B75" w:rsidRPr="00DE108C" w:rsidRDefault="00767B75">
            <w:pPr>
              <w:spacing w:before="100" w:beforeAutospacing="1" w:after="100" w:afterAutospacing="1" w:line="240" w:lineRule="auto"/>
              <w:jc w:val="center"/>
              <w:textAlignment w:val="baseline"/>
              <w:rPr>
                <w:rFonts w:eastAsiaTheme="minorEastAsia" w:cstheme="minorBidi"/>
                <w:color w:val="231F20"/>
                <w:sz w:val="16"/>
                <w:szCs w:val="16"/>
                <w:lang w:val="en-US"/>
              </w:rPr>
            </w:pPr>
          </w:p>
        </w:tc>
      </w:tr>
      <w:tr w:rsidR="00767B75" w:rsidRPr="00DE108C" w14:paraId="6E2BA1A2" w14:textId="77777777" w:rsidTr="000173F7">
        <w:trPr>
          <w:trHeight w:val="270"/>
        </w:trPr>
        <w:tc>
          <w:tcPr>
            <w:tcW w:w="1239" w:type="pct"/>
            <w:vAlign w:val="center"/>
          </w:tcPr>
          <w:p w14:paraId="6106BE30" w14:textId="77777777" w:rsidR="00767B75" w:rsidRPr="00DE108C" w:rsidRDefault="00767B75">
            <w:pPr>
              <w:spacing w:before="100" w:beforeAutospacing="1" w:after="100" w:afterAutospacing="1" w:line="240" w:lineRule="auto"/>
              <w:jc w:val="right"/>
              <w:textAlignment w:val="baseline"/>
              <w:rPr>
                <w:rFonts w:eastAsiaTheme="minorEastAsia" w:cstheme="minorBidi"/>
                <w:color w:val="231F20"/>
                <w:sz w:val="16"/>
                <w:szCs w:val="16"/>
              </w:rPr>
            </w:pPr>
            <w:r w:rsidRPr="00DE108C">
              <w:rPr>
                <w:rFonts w:eastAsiaTheme="minorEastAsia"/>
                <w:sz w:val="16"/>
                <w:szCs w:val="16"/>
              </w:rPr>
              <w:t>$ per annum</w:t>
            </w:r>
          </w:p>
        </w:tc>
        <w:tc>
          <w:tcPr>
            <w:tcW w:w="788" w:type="pct"/>
          </w:tcPr>
          <w:p w14:paraId="5ABB2D26" w14:textId="450BADC7" w:rsidR="00767B75" w:rsidRPr="00DE108C" w:rsidRDefault="00767B75" w:rsidP="000173F7">
            <w:pPr>
              <w:pStyle w:val="TableBody"/>
              <w:jc w:val="right"/>
              <w:rPr>
                <w:rFonts w:eastAsiaTheme="minorEastAsia" w:cstheme="minorBidi"/>
                <w:color w:val="231F20"/>
                <w:lang w:val="en-US"/>
              </w:rPr>
            </w:pPr>
            <w:r w:rsidRPr="00DE108C">
              <w:rPr>
                <w:rFonts w:eastAsiaTheme="minorEastAsia"/>
                <w:lang w:val="en-US"/>
              </w:rPr>
              <w:t>125.01</w:t>
            </w:r>
          </w:p>
        </w:tc>
        <w:tc>
          <w:tcPr>
            <w:tcW w:w="594" w:type="pct"/>
            <w:vAlign w:val="center"/>
          </w:tcPr>
          <w:p w14:paraId="59BFF25B" w14:textId="7E776E37" w:rsidR="00767B75" w:rsidRPr="00DE108C" w:rsidRDefault="007C2702" w:rsidP="000173F7">
            <w:pPr>
              <w:pStyle w:val="TableBody"/>
              <w:jc w:val="right"/>
              <w:rPr>
                <w:rFonts w:eastAsiaTheme="minorEastAsia"/>
                <w:lang w:val="en-US"/>
              </w:rPr>
            </w:pPr>
            <w:r w:rsidRPr="00C754E6">
              <w:rPr>
                <w:rFonts w:cs="Tahoma"/>
              </w:rPr>
              <w:t>123.96</w:t>
            </w:r>
          </w:p>
        </w:tc>
        <w:tc>
          <w:tcPr>
            <w:tcW w:w="595" w:type="pct"/>
          </w:tcPr>
          <w:p w14:paraId="33C167F3" w14:textId="7AFB8394" w:rsidR="00767B75" w:rsidRPr="00DE108C" w:rsidRDefault="007C2702" w:rsidP="000173F7">
            <w:pPr>
              <w:pStyle w:val="TableBody"/>
              <w:jc w:val="right"/>
              <w:rPr>
                <w:rFonts w:eastAsiaTheme="minorEastAsia"/>
                <w:lang w:val="en-US"/>
              </w:rPr>
            </w:pPr>
            <w:r w:rsidRPr="00C754E6">
              <w:rPr>
                <w:rFonts w:cs="Tahoma"/>
              </w:rPr>
              <w:t>123.96</w:t>
            </w:r>
          </w:p>
        </w:tc>
        <w:tc>
          <w:tcPr>
            <w:tcW w:w="594" w:type="pct"/>
          </w:tcPr>
          <w:p w14:paraId="1DBD956B" w14:textId="2BD82FD8" w:rsidR="00767B75" w:rsidRPr="00DE108C" w:rsidRDefault="007C2702" w:rsidP="000173F7">
            <w:pPr>
              <w:pStyle w:val="TableBody"/>
              <w:jc w:val="right"/>
              <w:rPr>
                <w:rFonts w:eastAsiaTheme="minorEastAsia"/>
                <w:lang w:val="en-US"/>
              </w:rPr>
            </w:pPr>
            <w:r w:rsidRPr="00C754E6">
              <w:rPr>
                <w:rFonts w:cs="Tahoma"/>
              </w:rPr>
              <w:t>123.96</w:t>
            </w:r>
          </w:p>
        </w:tc>
        <w:tc>
          <w:tcPr>
            <w:tcW w:w="594" w:type="pct"/>
          </w:tcPr>
          <w:p w14:paraId="0D19EFEF" w14:textId="44803E56" w:rsidR="00767B75" w:rsidRPr="00DE108C" w:rsidRDefault="007C2702" w:rsidP="000173F7">
            <w:pPr>
              <w:pStyle w:val="TableBody"/>
              <w:jc w:val="right"/>
              <w:rPr>
                <w:rFonts w:eastAsiaTheme="minorEastAsia"/>
                <w:lang w:val="en-US"/>
              </w:rPr>
            </w:pPr>
            <w:r w:rsidRPr="00C754E6">
              <w:rPr>
                <w:rFonts w:cs="Tahoma"/>
              </w:rPr>
              <w:t>123.96</w:t>
            </w:r>
          </w:p>
        </w:tc>
        <w:tc>
          <w:tcPr>
            <w:tcW w:w="596" w:type="pct"/>
          </w:tcPr>
          <w:p w14:paraId="371650EF" w14:textId="7BE045F7" w:rsidR="00767B75" w:rsidRPr="00DE108C" w:rsidRDefault="007C2702" w:rsidP="000173F7">
            <w:pPr>
              <w:pStyle w:val="TableBody"/>
              <w:jc w:val="right"/>
              <w:rPr>
                <w:rFonts w:eastAsiaTheme="minorEastAsia"/>
                <w:lang w:val="en-US"/>
              </w:rPr>
            </w:pPr>
            <w:r w:rsidRPr="00C754E6">
              <w:rPr>
                <w:rFonts w:cs="Tahoma"/>
              </w:rPr>
              <w:t>123.96</w:t>
            </w:r>
          </w:p>
        </w:tc>
      </w:tr>
      <w:tr w:rsidR="00051542" w:rsidRPr="00DE108C" w14:paraId="4EF0C8DD" w14:textId="77777777" w:rsidTr="000173F7">
        <w:trPr>
          <w:cnfStyle w:val="000000010000" w:firstRow="0" w:lastRow="0" w:firstColumn="0" w:lastColumn="0" w:oddVBand="0" w:evenVBand="0" w:oddHBand="0" w:evenHBand="1" w:firstRowFirstColumn="0" w:firstRowLastColumn="0" w:lastRowFirstColumn="0" w:lastRowLastColumn="0"/>
          <w:trHeight w:val="270"/>
        </w:trPr>
        <w:tc>
          <w:tcPr>
            <w:tcW w:w="1239" w:type="pct"/>
            <w:vAlign w:val="center"/>
          </w:tcPr>
          <w:p w14:paraId="1AE4C8A1" w14:textId="77777777" w:rsidR="00767B75" w:rsidRPr="00DE108C" w:rsidRDefault="00767B75">
            <w:pPr>
              <w:spacing w:before="100" w:beforeAutospacing="1" w:after="100" w:afterAutospacing="1" w:line="240" w:lineRule="auto"/>
              <w:jc w:val="right"/>
              <w:textAlignment w:val="baseline"/>
              <w:rPr>
                <w:rFonts w:eastAsiaTheme="minorEastAsia" w:cstheme="minorBidi"/>
                <w:color w:val="231F20"/>
                <w:sz w:val="16"/>
                <w:szCs w:val="16"/>
              </w:rPr>
            </w:pPr>
            <w:r w:rsidRPr="00DE108C">
              <w:rPr>
                <w:rFonts w:eastAsiaTheme="minorEastAsia"/>
                <w:sz w:val="16"/>
                <w:szCs w:val="16"/>
              </w:rPr>
              <w:t>Percentage change</w:t>
            </w:r>
          </w:p>
        </w:tc>
        <w:tc>
          <w:tcPr>
            <w:tcW w:w="788" w:type="pct"/>
          </w:tcPr>
          <w:p w14:paraId="55F176DE" w14:textId="77777777" w:rsidR="00767B75" w:rsidRPr="00DE108C" w:rsidRDefault="00767B75" w:rsidP="000173F7">
            <w:pPr>
              <w:pStyle w:val="TableBody"/>
              <w:jc w:val="right"/>
              <w:rPr>
                <w:rFonts w:eastAsiaTheme="minorEastAsia" w:cstheme="minorBidi"/>
                <w:color w:val="231F20"/>
                <w:lang w:val="en-US"/>
              </w:rPr>
            </w:pPr>
          </w:p>
        </w:tc>
        <w:tc>
          <w:tcPr>
            <w:tcW w:w="594" w:type="pct"/>
          </w:tcPr>
          <w:p w14:paraId="2B6A0D33" w14:textId="2210307C" w:rsidR="00767B75" w:rsidRPr="00DE108C" w:rsidRDefault="00767B75" w:rsidP="000173F7">
            <w:pPr>
              <w:pStyle w:val="TableBody"/>
              <w:jc w:val="right"/>
              <w:rPr>
                <w:rFonts w:eastAsiaTheme="minorEastAsia"/>
                <w:lang w:val="en-US"/>
              </w:rPr>
            </w:pPr>
            <w:r w:rsidRPr="00DE108C">
              <w:rPr>
                <w:rFonts w:eastAsiaTheme="minorEastAsia"/>
                <w:lang w:val="en-US"/>
              </w:rPr>
              <w:t>-0.</w:t>
            </w:r>
            <w:r w:rsidR="005E501E" w:rsidRPr="00DE108C">
              <w:rPr>
                <w:rFonts w:eastAsiaTheme="minorEastAsia"/>
                <w:lang w:val="en-US"/>
              </w:rPr>
              <w:t>8</w:t>
            </w:r>
            <w:r w:rsidRPr="00DE108C">
              <w:rPr>
                <w:rFonts w:eastAsiaTheme="minorEastAsia"/>
                <w:lang w:val="en-US"/>
              </w:rPr>
              <w:t>%</w:t>
            </w:r>
          </w:p>
        </w:tc>
        <w:tc>
          <w:tcPr>
            <w:tcW w:w="595" w:type="pct"/>
          </w:tcPr>
          <w:p w14:paraId="1E891C3F" w14:textId="77777777" w:rsidR="00767B75" w:rsidRPr="00DE108C" w:rsidRDefault="00767B75" w:rsidP="000173F7">
            <w:pPr>
              <w:pStyle w:val="TableBody"/>
              <w:jc w:val="right"/>
              <w:rPr>
                <w:rFonts w:eastAsiaTheme="minorEastAsia"/>
                <w:lang w:val="en-US"/>
              </w:rPr>
            </w:pPr>
            <w:r w:rsidRPr="00DE108C">
              <w:rPr>
                <w:rFonts w:eastAsiaTheme="minorEastAsia"/>
                <w:lang w:val="en-US"/>
              </w:rPr>
              <w:t>0%</w:t>
            </w:r>
          </w:p>
        </w:tc>
        <w:tc>
          <w:tcPr>
            <w:tcW w:w="594" w:type="pct"/>
          </w:tcPr>
          <w:p w14:paraId="0D0D51A4" w14:textId="77777777" w:rsidR="00767B75" w:rsidRPr="00DE108C" w:rsidRDefault="00767B75" w:rsidP="000173F7">
            <w:pPr>
              <w:pStyle w:val="TableBody"/>
              <w:jc w:val="right"/>
              <w:rPr>
                <w:rFonts w:eastAsiaTheme="minorEastAsia"/>
                <w:lang w:val="en-US"/>
              </w:rPr>
            </w:pPr>
            <w:r w:rsidRPr="00DE108C">
              <w:rPr>
                <w:rFonts w:eastAsiaTheme="minorEastAsia"/>
                <w:lang w:val="en-US"/>
              </w:rPr>
              <w:t>0%</w:t>
            </w:r>
          </w:p>
        </w:tc>
        <w:tc>
          <w:tcPr>
            <w:tcW w:w="594" w:type="pct"/>
          </w:tcPr>
          <w:p w14:paraId="5301AF42" w14:textId="77777777" w:rsidR="00767B75" w:rsidRPr="00DE108C" w:rsidRDefault="00767B75" w:rsidP="000173F7">
            <w:pPr>
              <w:pStyle w:val="TableBody"/>
              <w:jc w:val="right"/>
              <w:rPr>
                <w:rFonts w:eastAsiaTheme="minorEastAsia"/>
                <w:lang w:val="en-US"/>
              </w:rPr>
            </w:pPr>
            <w:r w:rsidRPr="00DE108C">
              <w:rPr>
                <w:rFonts w:eastAsiaTheme="minorEastAsia"/>
                <w:lang w:val="en-US"/>
              </w:rPr>
              <w:t>0%</w:t>
            </w:r>
          </w:p>
        </w:tc>
        <w:tc>
          <w:tcPr>
            <w:tcW w:w="596" w:type="pct"/>
          </w:tcPr>
          <w:p w14:paraId="02AD570A" w14:textId="77777777" w:rsidR="00767B75" w:rsidRPr="00DE108C" w:rsidRDefault="00767B75" w:rsidP="000173F7">
            <w:pPr>
              <w:pStyle w:val="TableBody"/>
              <w:jc w:val="right"/>
              <w:rPr>
                <w:rFonts w:eastAsiaTheme="minorEastAsia"/>
                <w:lang w:val="en-US"/>
              </w:rPr>
            </w:pPr>
            <w:r w:rsidRPr="00DE108C">
              <w:rPr>
                <w:rFonts w:eastAsiaTheme="minorEastAsia"/>
                <w:lang w:val="en-US"/>
              </w:rPr>
              <w:t>0%</w:t>
            </w:r>
          </w:p>
        </w:tc>
      </w:tr>
      <w:tr w:rsidR="00767B75" w:rsidRPr="00DE108C" w14:paraId="3D9B9D9B" w14:textId="77777777" w:rsidTr="000173F7">
        <w:trPr>
          <w:trHeight w:val="270"/>
        </w:trPr>
        <w:tc>
          <w:tcPr>
            <w:tcW w:w="1239" w:type="pct"/>
            <w:vAlign w:val="center"/>
            <w:hideMark/>
          </w:tcPr>
          <w:p w14:paraId="0656A2E7" w14:textId="77777777" w:rsidR="00767B75" w:rsidRPr="00DE108C" w:rsidRDefault="00767B75">
            <w:pPr>
              <w:spacing w:before="100" w:beforeAutospacing="1" w:after="100" w:afterAutospacing="1" w:line="240" w:lineRule="auto"/>
              <w:textAlignment w:val="baseline"/>
              <w:rPr>
                <w:rFonts w:eastAsiaTheme="minorEastAsia" w:cstheme="minorBidi"/>
                <w:color w:val="231F20"/>
                <w:sz w:val="16"/>
                <w:szCs w:val="16"/>
                <w:lang w:val="en-US"/>
              </w:rPr>
            </w:pPr>
            <w:r w:rsidRPr="00DE108C">
              <w:rPr>
                <w:rFonts w:eastAsiaTheme="minorEastAsia"/>
                <w:b/>
                <w:bCs/>
                <w:sz w:val="16"/>
                <w:szCs w:val="16"/>
              </w:rPr>
              <w:t>Rural ($ per annum)</w:t>
            </w:r>
          </w:p>
        </w:tc>
        <w:tc>
          <w:tcPr>
            <w:tcW w:w="788" w:type="pct"/>
          </w:tcPr>
          <w:p w14:paraId="44B42F84" w14:textId="77777777" w:rsidR="00767B75" w:rsidRPr="00DE108C" w:rsidRDefault="00767B75" w:rsidP="000173F7">
            <w:pPr>
              <w:pStyle w:val="TableBody"/>
              <w:jc w:val="right"/>
              <w:rPr>
                <w:rFonts w:eastAsiaTheme="minorEastAsia" w:cstheme="minorBidi"/>
                <w:color w:val="231F20"/>
                <w:lang w:val="en-US"/>
              </w:rPr>
            </w:pPr>
          </w:p>
        </w:tc>
        <w:tc>
          <w:tcPr>
            <w:tcW w:w="594" w:type="pct"/>
          </w:tcPr>
          <w:p w14:paraId="4F8FAC40" w14:textId="77777777" w:rsidR="00767B75" w:rsidRPr="00DE108C" w:rsidRDefault="00767B75" w:rsidP="000173F7">
            <w:pPr>
              <w:pStyle w:val="TableBody"/>
              <w:jc w:val="right"/>
              <w:rPr>
                <w:rFonts w:eastAsiaTheme="minorEastAsia"/>
                <w:lang w:val="en-US"/>
              </w:rPr>
            </w:pPr>
          </w:p>
        </w:tc>
        <w:tc>
          <w:tcPr>
            <w:tcW w:w="595" w:type="pct"/>
          </w:tcPr>
          <w:p w14:paraId="55CFF029" w14:textId="77777777" w:rsidR="00767B75" w:rsidRPr="00DE108C" w:rsidRDefault="00767B75" w:rsidP="000173F7">
            <w:pPr>
              <w:pStyle w:val="TableBody"/>
              <w:jc w:val="right"/>
              <w:rPr>
                <w:rFonts w:eastAsiaTheme="minorEastAsia"/>
                <w:lang w:val="en-US"/>
              </w:rPr>
            </w:pPr>
          </w:p>
        </w:tc>
        <w:tc>
          <w:tcPr>
            <w:tcW w:w="594" w:type="pct"/>
          </w:tcPr>
          <w:p w14:paraId="253D37BA" w14:textId="77777777" w:rsidR="00767B75" w:rsidRPr="00DE108C" w:rsidRDefault="00767B75" w:rsidP="000173F7">
            <w:pPr>
              <w:pStyle w:val="TableBody"/>
              <w:jc w:val="right"/>
              <w:rPr>
                <w:rFonts w:eastAsiaTheme="minorEastAsia"/>
                <w:lang w:val="en-US"/>
              </w:rPr>
            </w:pPr>
          </w:p>
        </w:tc>
        <w:tc>
          <w:tcPr>
            <w:tcW w:w="594" w:type="pct"/>
          </w:tcPr>
          <w:p w14:paraId="388FA473" w14:textId="77777777" w:rsidR="00767B75" w:rsidRPr="00DE108C" w:rsidRDefault="00767B75" w:rsidP="000173F7">
            <w:pPr>
              <w:pStyle w:val="TableBody"/>
              <w:jc w:val="right"/>
              <w:rPr>
                <w:rFonts w:eastAsiaTheme="minorEastAsia"/>
                <w:lang w:val="en-US"/>
              </w:rPr>
            </w:pPr>
          </w:p>
        </w:tc>
        <w:tc>
          <w:tcPr>
            <w:tcW w:w="596" w:type="pct"/>
          </w:tcPr>
          <w:p w14:paraId="79A4AD5C" w14:textId="77777777" w:rsidR="00767B75" w:rsidRPr="00DE108C" w:rsidRDefault="00767B75" w:rsidP="000173F7">
            <w:pPr>
              <w:pStyle w:val="TableBody"/>
              <w:jc w:val="right"/>
              <w:rPr>
                <w:rFonts w:eastAsiaTheme="minorEastAsia"/>
                <w:lang w:val="en-US"/>
              </w:rPr>
            </w:pPr>
          </w:p>
        </w:tc>
      </w:tr>
      <w:tr w:rsidR="00055179" w:rsidRPr="00DE108C" w14:paraId="75B950A2" w14:textId="77777777">
        <w:trPr>
          <w:cnfStyle w:val="000000010000" w:firstRow="0" w:lastRow="0" w:firstColumn="0" w:lastColumn="0" w:oddVBand="0" w:evenVBand="0" w:oddHBand="0" w:evenHBand="1" w:firstRowFirstColumn="0" w:firstRowLastColumn="0" w:lastRowFirstColumn="0" w:lastRowLastColumn="0"/>
          <w:trHeight w:val="270"/>
        </w:trPr>
        <w:tc>
          <w:tcPr>
            <w:tcW w:w="1239" w:type="pct"/>
            <w:vAlign w:val="center"/>
          </w:tcPr>
          <w:p w14:paraId="15FA0E77" w14:textId="77777777" w:rsidR="00767B75" w:rsidRPr="00DE108C" w:rsidRDefault="00767B75">
            <w:pPr>
              <w:spacing w:before="100" w:beforeAutospacing="1" w:after="100" w:afterAutospacing="1" w:line="240" w:lineRule="auto"/>
              <w:jc w:val="right"/>
              <w:textAlignment w:val="baseline"/>
              <w:rPr>
                <w:rFonts w:eastAsiaTheme="minorEastAsia" w:cstheme="minorBidi"/>
                <w:b/>
                <w:bCs/>
                <w:color w:val="231F20"/>
                <w:sz w:val="16"/>
                <w:szCs w:val="16"/>
              </w:rPr>
            </w:pPr>
            <w:r w:rsidRPr="00DE108C">
              <w:rPr>
                <w:rFonts w:eastAsiaTheme="minorEastAsia"/>
                <w:sz w:val="16"/>
                <w:szCs w:val="16"/>
              </w:rPr>
              <w:t>$ per annum</w:t>
            </w:r>
          </w:p>
        </w:tc>
        <w:tc>
          <w:tcPr>
            <w:tcW w:w="788" w:type="pct"/>
          </w:tcPr>
          <w:p w14:paraId="3509A5D3" w14:textId="6C168A4D" w:rsidR="00767B75" w:rsidRPr="00DE108C" w:rsidRDefault="00767B75" w:rsidP="007C741C">
            <w:pPr>
              <w:pStyle w:val="TableBody"/>
              <w:jc w:val="right"/>
              <w:rPr>
                <w:rFonts w:eastAsiaTheme="minorEastAsia" w:cstheme="minorBidi"/>
                <w:color w:val="231F20"/>
                <w:lang w:val="en-US"/>
              </w:rPr>
            </w:pPr>
            <w:r w:rsidRPr="00DE108C">
              <w:rPr>
                <w:rFonts w:eastAsiaTheme="minorEastAsia"/>
                <w:lang w:val="en-US"/>
              </w:rPr>
              <w:t>68.63</w:t>
            </w:r>
          </w:p>
        </w:tc>
        <w:tc>
          <w:tcPr>
            <w:tcW w:w="594" w:type="pct"/>
            <w:vAlign w:val="center"/>
          </w:tcPr>
          <w:p w14:paraId="4E2B6B24" w14:textId="2CD79150" w:rsidR="00767B75" w:rsidRPr="00C754E6" w:rsidRDefault="00767B75" w:rsidP="007C741C">
            <w:pPr>
              <w:pStyle w:val="TableBody"/>
              <w:jc w:val="right"/>
              <w:rPr>
                <w:rFonts w:eastAsiaTheme="minorEastAsia" w:cs="Tahoma"/>
              </w:rPr>
            </w:pPr>
            <w:r w:rsidRPr="00C754E6">
              <w:rPr>
                <w:rFonts w:cs="Tahoma"/>
              </w:rPr>
              <w:t>68.</w:t>
            </w:r>
            <w:r w:rsidR="00A850CF" w:rsidRPr="00C754E6">
              <w:rPr>
                <w:rFonts w:cs="Tahoma"/>
              </w:rPr>
              <w:t>03</w:t>
            </w:r>
          </w:p>
        </w:tc>
        <w:tc>
          <w:tcPr>
            <w:tcW w:w="595" w:type="pct"/>
          </w:tcPr>
          <w:p w14:paraId="72BA1599" w14:textId="66A582F9" w:rsidR="00767B75" w:rsidRPr="00DE108C" w:rsidRDefault="00767B75" w:rsidP="007C741C">
            <w:pPr>
              <w:pStyle w:val="TableBody"/>
              <w:jc w:val="right"/>
              <w:rPr>
                <w:rFonts w:eastAsiaTheme="minorEastAsia"/>
                <w:lang w:val="en-US"/>
              </w:rPr>
            </w:pPr>
            <w:r w:rsidRPr="00C754E6">
              <w:rPr>
                <w:rFonts w:cs="Tahoma"/>
              </w:rPr>
              <w:t>68.</w:t>
            </w:r>
            <w:r w:rsidR="00A850CF" w:rsidRPr="00C754E6">
              <w:rPr>
                <w:rFonts w:cs="Tahoma"/>
              </w:rPr>
              <w:t>03</w:t>
            </w:r>
          </w:p>
        </w:tc>
        <w:tc>
          <w:tcPr>
            <w:tcW w:w="594" w:type="pct"/>
          </w:tcPr>
          <w:p w14:paraId="67DB8065" w14:textId="3629E165" w:rsidR="00767B75" w:rsidRPr="00DE108C" w:rsidRDefault="00767B75" w:rsidP="007C741C">
            <w:pPr>
              <w:pStyle w:val="TableBody"/>
              <w:jc w:val="right"/>
              <w:rPr>
                <w:rFonts w:eastAsiaTheme="minorEastAsia"/>
                <w:lang w:val="en-US"/>
              </w:rPr>
            </w:pPr>
            <w:r w:rsidRPr="00C754E6">
              <w:rPr>
                <w:rFonts w:cs="Tahoma"/>
              </w:rPr>
              <w:t>68.</w:t>
            </w:r>
            <w:r w:rsidR="00A850CF" w:rsidRPr="00C754E6">
              <w:rPr>
                <w:rFonts w:cs="Tahoma"/>
              </w:rPr>
              <w:t>03</w:t>
            </w:r>
          </w:p>
        </w:tc>
        <w:tc>
          <w:tcPr>
            <w:tcW w:w="594" w:type="pct"/>
          </w:tcPr>
          <w:p w14:paraId="6AD99F98" w14:textId="69768D52" w:rsidR="00767B75" w:rsidRPr="00DE108C" w:rsidRDefault="00767B75" w:rsidP="007C741C">
            <w:pPr>
              <w:pStyle w:val="TableBody"/>
              <w:jc w:val="right"/>
              <w:rPr>
                <w:rFonts w:eastAsiaTheme="minorEastAsia"/>
                <w:lang w:val="en-US"/>
              </w:rPr>
            </w:pPr>
            <w:r w:rsidRPr="00C754E6">
              <w:rPr>
                <w:rFonts w:cs="Tahoma"/>
              </w:rPr>
              <w:t>68.</w:t>
            </w:r>
            <w:r w:rsidR="00A850CF" w:rsidRPr="00C754E6">
              <w:rPr>
                <w:rFonts w:cs="Tahoma"/>
              </w:rPr>
              <w:t>03</w:t>
            </w:r>
          </w:p>
        </w:tc>
        <w:tc>
          <w:tcPr>
            <w:tcW w:w="596" w:type="pct"/>
          </w:tcPr>
          <w:p w14:paraId="39CC828E" w14:textId="3AFEA09A" w:rsidR="00767B75" w:rsidRPr="00DE108C" w:rsidRDefault="00767B75" w:rsidP="007C741C">
            <w:pPr>
              <w:pStyle w:val="TableBody"/>
              <w:jc w:val="right"/>
              <w:rPr>
                <w:rFonts w:eastAsiaTheme="minorEastAsia"/>
                <w:lang w:val="en-US"/>
              </w:rPr>
            </w:pPr>
            <w:r w:rsidRPr="00C754E6">
              <w:rPr>
                <w:rFonts w:cs="Tahoma"/>
              </w:rPr>
              <w:t>68.</w:t>
            </w:r>
            <w:r w:rsidR="00A850CF" w:rsidRPr="00C754E6">
              <w:rPr>
                <w:rFonts w:cs="Tahoma"/>
              </w:rPr>
              <w:t>03</w:t>
            </w:r>
          </w:p>
        </w:tc>
      </w:tr>
      <w:tr w:rsidR="00767B75" w:rsidRPr="00DE108C" w14:paraId="27D02823" w14:textId="77777777" w:rsidTr="000173F7">
        <w:trPr>
          <w:trHeight w:val="270"/>
        </w:trPr>
        <w:tc>
          <w:tcPr>
            <w:tcW w:w="1239" w:type="pct"/>
            <w:vAlign w:val="center"/>
          </w:tcPr>
          <w:p w14:paraId="615748E4" w14:textId="77777777" w:rsidR="00767B75" w:rsidRPr="00DE108C" w:rsidRDefault="00767B75">
            <w:pPr>
              <w:spacing w:before="100" w:beforeAutospacing="1" w:after="100" w:afterAutospacing="1" w:line="240" w:lineRule="auto"/>
              <w:jc w:val="right"/>
              <w:textAlignment w:val="baseline"/>
              <w:rPr>
                <w:rFonts w:eastAsiaTheme="minorEastAsia" w:cstheme="minorBidi"/>
                <w:b/>
                <w:bCs/>
                <w:color w:val="231F20"/>
                <w:sz w:val="16"/>
                <w:szCs w:val="16"/>
              </w:rPr>
            </w:pPr>
            <w:r w:rsidRPr="00DE108C">
              <w:rPr>
                <w:rFonts w:eastAsiaTheme="minorEastAsia"/>
                <w:sz w:val="16"/>
                <w:szCs w:val="16"/>
              </w:rPr>
              <w:t>Percentage change</w:t>
            </w:r>
          </w:p>
        </w:tc>
        <w:tc>
          <w:tcPr>
            <w:tcW w:w="788" w:type="pct"/>
          </w:tcPr>
          <w:p w14:paraId="6C943E59" w14:textId="77777777" w:rsidR="00767B75" w:rsidRPr="00DE108C" w:rsidRDefault="00767B75" w:rsidP="000173F7">
            <w:pPr>
              <w:pStyle w:val="TableBody"/>
              <w:jc w:val="right"/>
              <w:rPr>
                <w:rFonts w:eastAsiaTheme="minorEastAsia" w:cstheme="minorBidi"/>
                <w:color w:val="231F20"/>
                <w:lang w:val="en-US"/>
              </w:rPr>
            </w:pPr>
          </w:p>
        </w:tc>
        <w:tc>
          <w:tcPr>
            <w:tcW w:w="594" w:type="pct"/>
          </w:tcPr>
          <w:p w14:paraId="0E28CF47" w14:textId="217E02DD" w:rsidR="00767B75" w:rsidRPr="00DE108C" w:rsidRDefault="00767B75" w:rsidP="000173F7">
            <w:pPr>
              <w:pStyle w:val="TableBody"/>
              <w:jc w:val="right"/>
              <w:rPr>
                <w:rFonts w:eastAsiaTheme="minorEastAsia"/>
                <w:lang w:val="en-US"/>
              </w:rPr>
            </w:pPr>
            <w:r w:rsidRPr="00DE108C">
              <w:rPr>
                <w:rFonts w:eastAsiaTheme="minorEastAsia"/>
                <w:lang w:val="en-US"/>
              </w:rPr>
              <w:t>-0.</w:t>
            </w:r>
            <w:r w:rsidR="005E501E" w:rsidRPr="00DE108C">
              <w:rPr>
                <w:rFonts w:eastAsiaTheme="minorEastAsia"/>
                <w:lang w:val="en-US"/>
              </w:rPr>
              <w:t>8</w:t>
            </w:r>
            <w:r w:rsidRPr="00DE108C">
              <w:rPr>
                <w:rFonts w:eastAsiaTheme="minorEastAsia"/>
                <w:lang w:val="en-US"/>
              </w:rPr>
              <w:t>%</w:t>
            </w:r>
          </w:p>
        </w:tc>
        <w:tc>
          <w:tcPr>
            <w:tcW w:w="595" w:type="pct"/>
          </w:tcPr>
          <w:p w14:paraId="4EA47C7B" w14:textId="77777777" w:rsidR="00767B75" w:rsidRPr="00DE108C" w:rsidRDefault="00767B75" w:rsidP="000173F7">
            <w:pPr>
              <w:pStyle w:val="TableBody"/>
              <w:jc w:val="right"/>
              <w:rPr>
                <w:rFonts w:eastAsiaTheme="minorEastAsia"/>
                <w:lang w:val="en-US"/>
              </w:rPr>
            </w:pPr>
            <w:r w:rsidRPr="00DE108C">
              <w:rPr>
                <w:rFonts w:eastAsiaTheme="minorEastAsia"/>
                <w:lang w:val="en-US"/>
              </w:rPr>
              <w:t>0%</w:t>
            </w:r>
          </w:p>
        </w:tc>
        <w:tc>
          <w:tcPr>
            <w:tcW w:w="594" w:type="pct"/>
          </w:tcPr>
          <w:p w14:paraId="17486289" w14:textId="77777777" w:rsidR="00767B75" w:rsidRPr="00DE108C" w:rsidRDefault="00767B75" w:rsidP="000173F7">
            <w:pPr>
              <w:pStyle w:val="TableBody"/>
              <w:jc w:val="right"/>
              <w:rPr>
                <w:rFonts w:eastAsiaTheme="minorEastAsia"/>
                <w:lang w:val="en-US"/>
              </w:rPr>
            </w:pPr>
            <w:r w:rsidRPr="00DE108C">
              <w:rPr>
                <w:rFonts w:eastAsiaTheme="minorEastAsia"/>
                <w:lang w:val="en-US"/>
              </w:rPr>
              <w:t>0%</w:t>
            </w:r>
          </w:p>
        </w:tc>
        <w:tc>
          <w:tcPr>
            <w:tcW w:w="594" w:type="pct"/>
          </w:tcPr>
          <w:p w14:paraId="4EF8F22B" w14:textId="77777777" w:rsidR="00767B75" w:rsidRPr="00DE108C" w:rsidRDefault="00767B75" w:rsidP="000173F7">
            <w:pPr>
              <w:pStyle w:val="TableBody"/>
              <w:jc w:val="right"/>
              <w:rPr>
                <w:rFonts w:eastAsiaTheme="minorEastAsia"/>
                <w:lang w:val="en-US"/>
              </w:rPr>
            </w:pPr>
            <w:r w:rsidRPr="00DE108C">
              <w:rPr>
                <w:rFonts w:eastAsiaTheme="minorEastAsia"/>
                <w:lang w:val="en-US"/>
              </w:rPr>
              <w:t>0%</w:t>
            </w:r>
          </w:p>
        </w:tc>
        <w:tc>
          <w:tcPr>
            <w:tcW w:w="596" w:type="pct"/>
          </w:tcPr>
          <w:p w14:paraId="3F6F31A4" w14:textId="77777777" w:rsidR="00767B75" w:rsidRPr="00DE108C" w:rsidRDefault="00767B75" w:rsidP="000173F7">
            <w:pPr>
              <w:pStyle w:val="TableBody"/>
              <w:jc w:val="right"/>
              <w:rPr>
                <w:rFonts w:eastAsiaTheme="minorEastAsia"/>
                <w:lang w:val="en-US"/>
              </w:rPr>
            </w:pPr>
            <w:r w:rsidRPr="00DE108C">
              <w:rPr>
                <w:rFonts w:eastAsiaTheme="minorEastAsia"/>
                <w:lang w:val="en-US"/>
              </w:rPr>
              <w:t>0%</w:t>
            </w:r>
          </w:p>
        </w:tc>
      </w:tr>
      <w:tr w:rsidR="00051542" w:rsidRPr="00DE108C" w14:paraId="7D5DC5B1" w14:textId="77777777" w:rsidTr="000173F7">
        <w:trPr>
          <w:cnfStyle w:val="000000010000" w:firstRow="0" w:lastRow="0" w:firstColumn="0" w:lastColumn="0" w:oddVBand="0" w:evenVBand="0" w:oddHBand="0" w:evenHBand="1" w:firstRowFirstColumn="0" w:firstRowLastColumn="0" w:lastRowFirstColumn="0" w:lastRowLastColumn="0"/>
          <w:trHeight w:val="270"/>
        </w:trPr>
        <w:tc>
          <w:tcPr>
            <w:tcW w:w="1239" w:type="pct"/>
            <w:vAlign w:val="center"/>
            <w:hideMark/>
          </w:tcPr>
          <w:p w14:paraId="77A08C18" w14:textId="074FE556" w:rsidR="00767B75" w:rsidRPr="00E3023C" w:rsidRDefault="00767B75">
            <w:pPr>
              <w:spacing w:before="100" w:beforeAutospacing="1" w:after="100" w:afterAutospacing="1" w:line="240" w:lineRule="auto"/>
              <w:textAlignment w:val="baseline"/>
              <w:rPr>
                <w:rFonts w:eastAsiaTheme="minorEastAsia" w:cstheme="minorBidi"/>
                <w:color w:val="231F20"/>
                <w:sz w:val="16"/>
                <w:szCs w:val="16"/>
                <w:vertAlign w:val="superscript"/>
                <w:lang w:val="en-US"/>
              </w:rPr>
            </w:pPr>
            <w:r w:rsidRPr="00C754E6">
              <w:rPr>
                <w:rFonts w:eastAsiaTheme="minorEastAsia"/>
                <w:b/>
                <w:bCs/>
                <w:sz w:val="16"/>
                <w:szCs w:val="16"/>
              </w:rPr>
              <w:t>Non-residential</w:t>
            </w:r>
            <w:r w:rsidR="002B4CEB" w:rsidRPr="002B4CEB">
              <w:rPr>
                <w:rFonts w:eastAsiaTheme="minorEastAsia"/>
                <w:b/>
                <w:bCs/>
                <w:sz w:val="16"/>
                <w:szCs w:val="16"/>
                <w:vertAlign w:val="superscript"/>
              </w:rPr>
              <w:t>d</w:t>
            </w:r>
          </w:p>
        </w:tc>
        <w:tc>
          <w:tcPr>
            <w:tcW w:w="788" w:type="pct"/>
          </w:tcPr>
          <w:p w14:paraId="652B7C90" w14:textId="77777777" w:rsidR="00767B75" w:rsidRPr="00DE108C" w:rsidRDefault="00767B75" w:rsidP="000173F7">
            <w:pPr>
              <w:pStyle w:val="TableBody"/>
              <w:jc w:val="right"/>
              <w:rPr>
                <w:rFonts w:eastAsiaTheme="minorEastAsia" w:cstheme="minorBidi"/>
                <w:color w:val="231F20"/>
                <w:lang w:val="en-US"/>
              </w:rPr>
            </w:pPr>
          </w:p>
        </w:tc>
        <w:tc>
          <w:tcPr>
            <w:tcW w:w="594" w:type="pct"/>
          </w:tcPr>
          <w:p w14:paraId="5056864A" w14:textId="77777777" w:rsidR="00767B75" w:rsidRPr="00DE108C" w:rsidRDefault="00767B75" w:rsidP="000173F7">
            <w:pPr>
              <w:pStyle w:val="TableBody"/>
              <w:jc w:val="right"/>
              <w:rPr>
                <w:rFonts w:eastAsiaTheme="minorEastAsia"/>
                <w:lang w:val="en-US"/>
              </w:rPr>
            </w:pPr>
          </w:p>
        </w:tc>
        <w:tc>
          <w:tcPr>
            <w:tcW w:w="595" w:type="pct"/>
          </w:tcPr>
          <w:p w14:paraId="226AA6E4" w14:textId="77777777" w:rsidR="00767B75" w:rsidRPr="00DE108C" w:rsidRDefault="00767B75" w:rsidP="000173F7">
            <w:pPr>
              <w:pStyle w:val="TableBody"/>
              <w:jc w:val="right"/>
              <w:rPr>
                <w:rFonts w:eastAsiaTheme="minorEastAsia"/>
                <w:lang w:val="en-US"/>
              </w:rPr>
            </w:pPr>
          </w:p>
        </w:tc>
        <w:tc>
          <w:tcPr>
            <w:tcW w:w="594" w:type="pct"/>
          </w:tcPr>
          <w:p w14:paraId="709142C8" w14:textId="77777777" w:rsidR="00767B75" w:rsidRPr="00DE108C" w:rsidRDefault="00767B75" w:rsidP="000173F7">
            <w:pPr>
              <w:pStyle w:val="TableBody"/>
              <w:jc w:val="right"/>
              <w:rPr>
                <w:rFonts w:eastAsiaTheme="minorEastAsia"/>
                <w:lang w:val="en-US"/>
              </w:rPr>
            </w:pPr>
          </w:p>
        </w:tc>
        <w:tc>
          <w:tcPr>
            <w:tcW w:w="594" w:type="pct"/>
          </w:tcPr>
          <w:p w14:paraId="0FBBD737" w14:textId="77777777" w:rsidR="00767B75" w:rsidRPr="00DE108C" w:rsidRDefault="00767B75" w:rsidP="000173F7">
            <w:pPr>
              <w:pStyle w:val="TableBody"/>
              <w:jc w:val="right"/>
              <w:rPr>
                <w:rFonts w:eastAsiaTheme="minorEastAsia"/>
                <w:lang w:val="en-US"/>
              </w:rPr>
            </w:pPr>
          </w:p>
        </w:tc>
        <w:tc>
          <w:tcPr>
            <w:tcW w:w="596" w:type="pct"/>
          </w:tcPr>
          <w:p w14:paraId="343C0377" w14:textId="77777777" w:rsidR="00767B75" w:rsidRPr="00DE108C" w:rsidRDefault="00767B75" w:rsidP="000173F7">
            <w:pPr>
              <w:pStyle w:val="TableBody"/>
              <w:jc w:val="right"/>
              <w:rPr>
                <w:rFonts w:eastAsiaTheme="minorEastAsia"/>
                <w:lang w:val="en-US"/>
              </w:rPr>
            </w:pPr>
          </w:p>
        </w:tc>
      </w:tr>
      <w:tr w:rsidR="00767B75" w:rsidRPr="00DE108C" w14:paraId="4D369CD7" w14:textId="77777777">
        <w:trPr>
          <w:trHeight w:val="270"/>
        </w:trPr>
        <w:tc>
          <w:tcPr>
            <w:tcW w:w="1239" w:type="pct"/>
            <w:vAlign w:val="center"/>
          </w:tcPr>
          <w:p w14:paraId="117612DC" w14:textId="77777777" w:rsidR="00767B75" w:rsidRPr="00DE108C" w:rsidRDefault="00767B75">
            <w:pPr>
              <w:spacing w:before="100" w:beforeAutospacing="1" w:after="100" w:afterAutospacing="1" w:line="240" w:lineRule="auto"/>
              <w:jc w:val="right"/>
              <w:textAlignment w:val="baseline"/>
              <w:rPr>
                <w:rFonts w:eastAsiaTheme="minorEastAsia" w:cstheme="minorBidi"/>
                <w:color w:val="231F20"/>
                <w:sz w:val="16"/>
                <w:szCs w:val="16"/>
                <w:lang w:val="en-US"/>
              </w:rPr>
            </w:pPr>
            <w:r w:rsidRPr="00DE108C">
              <w:rPr>
                <w:rFonts w:eastAsiaTheme="minorEastAsia"/>
                <w:sz w:val="16"/>
                <w:szCs w:val="16"/>
              </w:rPr>
              <w:t>$ per annum</w:t>
            </w:r>
          </w:p>
        </w:tc>
        <w:tc>
          <w:tcPr>
            <w:tcW w:w="788" w:type="pct"/>
          </w:tcPr>
          <w:p w14:paraId="79BE49A0" w14:textId="5B79DF29" w:rsidR="00767B75" w:rsidRPr="00DE108C" w:rsidRDefault="00767B75" w:rsidP="007C741C">
            <w:pPr>
              <w:pStyle w:val="TableBody"/>
              <w:jc w:val="right"/>
              <w:rPr>
                <w:rFonts w:eastAsiaTheme="minorEastAsia" w:cstheme="minorBidi"/>
                <w:color w:val="231F20"/>
                <w:lang w:val="en-US"/>
              </w:rPr>
            </w:pPr>
            <w:r w:rsidRPr="00DE108C">
              <w:rPr>
                <w:rFonts w:eastAsiaTheme="minorEastAsia"/>
                <w:lang w:val="en-US"/>
              </w:rPr>
              <w:t>187.81</w:t>
            </w:r>
          </w:p>
        </w:tc>
        <w:tc>
          <w:tcPr>
            <w:tcW w:w="594" w:type="pct"/>
            <w:vAlign w:val="center"/>
          </w:tcPr>
          <w:p w14:paraId="141B78D0" w14:textId="19FD00DA" w:rsidR="00767B75" w:rsidRPr="00DE108C" w:rsidRDefault="00767B75" w:rsidP="007C741C">
            <w:pPr>
              <w:pStyle w:val="TableBody"/>
              <w:jc w:val="right"/>
              <w:rPr>
                <w:rFonts w:eastAsiaTheme="minorEastAsia"/>
                <w:lang w:val="en-US"/>
              </w:rPr>
            </w:pPr>
            <w:r w:rsidRPr="00C754E6">
              <w:rPr>
                <w:rFonts w:cs="Tahoma"/>
              </w:rPr>
              <w:t>186.</w:t>
            </w:r>
            <w:r w:rsidR="00A850CF" w:rsidRPr="00C754E6">
              <w:rPr>
                <w:rFonts w:cs="Tahoma"/>
              </w:rPr>
              <w:t>23</w:t>
            </w:r>
          </w:p>
        </w:tc>
        <w:tc>
          <w:tcPr>
            <w:tcW w:w="595" w:type="pct"/>
          </w:tcPr>
          <w:p w14:paraId="7CF6766F" w14:textId="6ABF2564" w:rsidR="00767B75" w:rsidRPr="00DE108C" w:rsidRDefault="00767B75" w:rsidP="007C741C">
            <w:pPr>
              <w:pStyle w:val="TableBody"/>
              <w:jc w:val="right"/>
              <w:rPr>
                <w:rFonts w:eastAsiaTheme="minorEastAsia"/>
                <w:lang w:val="en-US"/>
              </w:rPr>
            </w:pPr>
            <w:r w:rsidRPr="00C754E6">
              <w:rPr>
                <w:rFonts w:cs="Tahoma"/>
              </w:rPr>
              <w:t>186.</w:t>
            </w:r>
            <w:r w:rsidR="00A850CF" w:rsidRPr="00C754E6">
              <w:rPr>
                <w:rFonts w:cs="Tahoma"/>
              </w:rPr>
              <w:t>23</w:t>
            </w:r>
          </w:p>
        </w:tc>
        <w:tc>
          <w:tcPr>
            <w:tcW w:w="594" w:type="pct"/>
          </w:tcPr>
          <w:p w14:paraId="162A8D58" w14:textId="2197F46E" w:rsidR="00767B75" w:rsidRPr="00DE108C" w:rsidRDefault="00767B75" w:rsidP="007C741C">
            <w:pPr>
              <w:pStyle w:val="TableBody"/>
              <w:jc w:val="right"/>
              <w:rPr>
                <w:rFonts w:eastAsiaTheme="minorEastAsia"/>
                <w:lang w:val="en-US"/>
              </w:rPr>
            </w:pPr>
            <w:r w:rsidRPr="00C754E6">
              <w:rPr>
                <w:rFonts w:cs="Tahoma"/>
              </w:rPr>
              <w:t>186.</w:t>
            </w:r>
            <w:r w:rsidR="00A850CF" w:rsidRPr="00C754E6">
              <w:rPr>
                <w:rFonts w:cs="Tahoma"/>
              </w:rPr>
              <w:t>23</w:t>
            </w:r>
          </w:p>
        </w:tc>
        <w:tc>
          <w:tcPr>
            <w:tcW w:w="594" w:type="pct"/>
          </w:tcPr>
          <w:p w14:paraId="797D16BF" w14:textId="6809DFFE" w:rsidR="00767B75" w:rsidRPr="00DE108C" w:rsidRDefault="00767B75" w:rsidP="007C741C">
            <w:pPr>
              <w:pStyle w:val="TableBody"/>
              <w:jc w:val="right"/>
              <w:rPr>
                <w:rFonts w:eastAsiaTheme="minorEastAsia"/>
                <w:lang w:val="en-US"/>
              </w:rPr>
            </w:pPr>
            <w:r w:rsidRPr="00C754E6">
              <w:rPr>
                <w:rFonts w:cs="Tahoma"/>
              </w:rPr>
              <w:t>186.</w:t>
            </w:r>
            <w:r w:rsidR="00A850CF" w:rsidRPr="00C754E6">
              <w:rPr>
                <w:rFonts w:cs="Tahoma"/>
              </w:rPr>
              <w:t>23</w:t>
            </w:r>
          </w:p>
        </w:tc>
        <w:tc>
          <w:tcPr>
            <w:tcW w:w="596" w:type="pct"/>
          </w:tcPr>
          <w:p w14:paraId="4EDE9CEA" w14:textId="6741B119" w:rsidR="00767B75" w:rsidRPr="00DE108C" w:rsidRDefault="00767B75" w:rsidP="007C741C">
            <w:pPr>
              <w:pStyle w:val="TableBody"/>
              <w:jc w:val="right"/>
              <w:rPr>
                <w:rFonts w:eastAsiaTheme="minorEastAsia"/>
                <w:lang w:val="en-US"/>
              </w:rPr>
            </w:pPr>
            <w:r w:rsidRPr="00C754E6">
              <w:rPr>
                <w:rFonts w:cs="Tahoma"/>
              </w:rPr>
              <w:t>186.</w:t>
            </w:r>
            <w:r w:rsidR="00A850CF" w:rsidRPr="00C754E6">
              <w:rPr>
                <w:rFonts w:cs="Tahoma"/>
              </w:rPr>
              <w:t>23</w:t>
            </w:r>
          </w:p>
        </w:tc>
      </w:tr>
      <w:tr w:rsidR="00051542" w:rsidRPr="00DE108C" w14:paraId="5CDFC73D" w14:textId="77777777" w:rsidTr="000173F7">
        <w:trPr>
          <w:cnfStyle w:val="000000010000" w:firstRow="0" w:lastRow="0" w:firstColumn="0" w:lastColumn="0" w:oddVBand="0" w:evenVBand="0" w:oddHBand="0" w:evenHBand="1" w:firstRowFirstColumn="0" w:firstRowLastColumn="0" w:lastRowFirstColumn="0" w:lastRowLastColumn="0"/>
          <w:trHeight w:val="270"/>
        </w:trPr>
        <w:tc>
          <w:tcPr>
            <w:tcW w:w="1239" w:type="pct"/>
            <w:vAlign w:val="center"/>
          </w:tcPr>
          <w:p w14:paraId="432BCA28" w14:textId="77777777" w:rsidR="00767B75" w:rsidRPr="00DE108C" w:rsidRDefault="00767B75">
            <w:pPr>
              <w:spacing w:before="100" w:beforeAutospacing="1" w:after="100" w:afterAutospacing="1" w:line="240" w:lineRule="auto"/>
              <w:jc w:val="right"/>
              <w:textAlignment w:val="baseline"/>
              <w:rPr>
                <w:rFonts w:eastAsiaTheme="minorEastAsia" w:cstheme="minorBidi"/>
                <w:color w:val="231F20"/>
                <w:sz w:val="16"/>
                <w:szCs w:val="16"/>
                <w:lang w:val="en-US"/>
              </w:rPr>
            </w:pPr>
            <w:r w:rsidRPr="00DE108C">
              <w:rPr>
                <w:rFonts w:eastAsiaTheme="minorEastAsia"/>
                <w:sz w:val="16"/>
                <w:szCs w:val="16"/>
              </w:rPr>
              <w:t>Percentage change</w:t>
            </w:r>
          </w:p>
        </w:tc>
        <w:tc>
          <w:tcPr>
            <w:tcW w:w="788" w:type="pct"/>
          </w:tcPr>
          <w:p w14:paraId="01F74983" w14:textId="77777777" w:rsidR="00767B75" w:rsidRPr="00DE108C" w:rsidRDefault="00767B75" w:rsidP="000173F7">
            <w:pPr>
              <w:pStyle w:val="TableBody"/>
              <w:jc w:val="right"/>
              <w:rPr>
                <w:rFonts w:eastAsiaTheme="minorEastAsia" w:cstheme="minorBidi"/>
                <w:color w:val="231F20"/>
                <w:lang w:val="en-US"/>
              </w:rPr>
            </w:pPr>
          </w:p>
        </w:tc>
        <w:tc>
          <w:tcPr>
            <w:tcW w:w="594" w:type="pct"/>
          </w:tcPr>
          <w:p w14:paraId="06CBC610" w14:textId="1C8BA37E" w:rsidR="00767B75" w:rsidRPr="00DE108C" w:rsidRDefault="00767B75" w:rsidP="000173F7">
            <w:pPr>
              <w:pStyle w:val="TableBody"/>
              <w:jc w:val="right"/>
              <w:rPr>
                <w:rFonts w:eastAsiaTheme="minorEastAsia"/>
                <w:lang w:val="en-US"/>
              </w:rPr>
            </w:pPr>
            <w:r w:rsidRPr="00DE108C">
              <w:rPr>
                <w:rFonts w:eastAsiaTheme="minorEastAsia"/>
                <w:lang w:val="en-US"/>
              </w:rPr>
              <w:t>-0.</w:t>
            </w:r>
            <w:r w:rsidR="005E501E" w:rsidRPr="00DE108C">
              <w:rPr>
                <w:rFonts w:eastAsiaTheme="minorEastAsia"/>
                <w:lang w:val="en-US"/>
              </w:rPr>
              <w:t>8</w:t>
            </w:r>
            <w:r w:rsidRPr="00DE108C">
              <w:rPr>
                <w:rFonts w:eastAsiaTheme="minorEastAsia"/>
                <w:lang w:val="en-US"/>
              </w:rPr>
              <w:t>%</w:t>
            </w:r>
          </w:p>
        </w:tc>
        <w:tc>
          <w:tcPr>
            <w:tcW w:w="595" w:type="pct"/>
          </w:tcPr>
          <w:p w14:paraId="527A1261" w14:textId="77777777" w:rsidR="00767B75" w:rsidRPr="00DE108C" w:rsidRDefault="00767B75" w:rsidP="000173F7">
            <w:pPr>
              <w:pStyle w:val="TableBody"/>
              <w:jc w:val="right"/>
              <w:rPr>
                <w:rFonts w:eastAsiaTheme="minorEastAsia"/>
                <w:lang w:val="en-US"/>
              </w:rPr>
            </w:pPr>
            <w:r w:rsidRPr="00DE108C">
              <w:rPr>
                <w:rFonts w:eastAsiaTheme="minorEastAsia"/>
                <w:lang w:val="en-US"/>
              </w:rPr>
              <w:t>0%</w:t>
            </w:r>
          </w:p>
        </w:tc>
        <w:tc>
          <w:tcPr>
            <w:tcW w:w="594" w:type="pct"/>
          </w:tcPr>
          <w:p w14:paraId="301FF769" w14:textId="77777777" w:rsidR="00767B75" w:rsidRPr="00DE108C" w:rsidRDefault="00767B75" w:rsidP="000173F7">
            <w:pPr>
              <w:pStyle w:val="TableBody"/>
              <w:jc w:val="right"/>
              <w:rPr>
                <w:rFonts w:eastAsiaTheme="minorEastAsia"/>
                <w:lang w:val="en-US"/>
              </w:rPr>
            </w:pPr>
            <w:r w:rsidRPr="00DE108C">
              <w:rPr>
                <w:rFonts w:eastAsiaTheme="minorEastAsia"/>
                <w:lang w:val="en-US"/>
              </w:rPr>
              <w:t>0%</w:t>
            </w:r>
          </w:p>
        </w:tc>
        <w:tc>
          <w:tcPr>
            <w:tcW w:w="594" w:type="pct"/>
          </w:tcPr>
          <w:p w14:paraId="55633C14" w14:textId="77777777" w:rsidR="00767B75" w:rsidRPr="00DE108C" w:rsidRDefault="00767B75" w:rsidP="000173F7">
            <w:pPr>
              <w:pStyle w:val="TableBody"/>
              <w:jc w:val="right"/>
              <w:rPr>
                <w:rFonts w:eastAsiaTheme="minorEastAsia"/>
                <w:lang w:val="en-US"/>
              </w:rPr>
            </w:pPr>
            <w:r w:rsidRPr="00DE108C">
              <w:rPr>
                <w:rFonts w:eastAsiaTheme="minorEastAsia"/>
                <w:lang w:val="en-US"/>
              </w:rPr>
              <w:t>0%</w:t>
            </w:r>
          </w:p>
        </w:tc>
        <w:tc>
          <w:tcPr>
            <w:tcW w:w="596" w:type="pct"/>
          </w:tcPr>
          <w:p w14:paraId="5B04A94D" w14:textId="77777777" w:rsidR="00767B75" w:rsidRPr="00DE108C" w:rsidRDefault="00767B75" w:rsidP="000173F7">
            <w:pPr>
              <w:pStyle w:val="TableBody"/>
              <w:jc w:val="right"/>
              <w:rPr>
                <w:rFonts w:eastAsiaTheme="minorEastAsia"/>
                <w:lang w:val="en-US"/>
              </w:rPr>
            </w:pPr>
            <w:r w:rsidRPr="00DE108C">
              <w:rPr>
                <w:rFonts w:eastAsiaTheme="minorEastAsia"/>
                <w:lang w:val="en-US"/>
              </w:rPr>
              <w:t>0%</w:t>
            </w:r>
          </w:p>
        </w:tc>
      </w:tr>
      <w:tr w:rsidR="00767B75" w:rsidRPr="00DE108C" w14:paraId="1DC7BFC8" w14:textId="77777777" w:rsidTr="000173F7">
        <w:trPr>
          <w:trHeight w:val="270"/>
        </w:trPr>
        <w:tc>
          <w:tcPr>
            <w:tcW w:w="1239" w:type="pct"/>
            <w:vAlign w:val="center"/>
          </w:tcPr>
          <w:p w14:paraId="0FEB47F4" w14:textId="77777777" w:rsidR="00767B75" w:rsidRPr="00DE108C" w:rsidRDefault="00767B75">
            <w:pPr>
              <w:spacing w:before="100" w:beforeAutospacing="1" w:after="100" w:afterAutospacing="1" w:line="240" w:lineRule="auto"/>
              <w:jc w:val="right"/>
              <w:textAlignment w:val="baseline"/>
              <w:rPr>
                <w:rFonts w:eastAsiaTheme="minorEastAsia" w:cstheme="minorBidi"/>
                <w:color w:val="231F20"/>
                <w:sz w:val="16"/>
                <w:szCs w:val="16"/>
              </w:rPr>
            </w:pPr>
            <w:r w:rsidRPr="00DE108C">
              <w:rPr>
                <w:rFonts w:eastAsiaTheme="minorEastAsia"/>
                <w:sz w:val="16"/>
                <w:szCs w:val="16"/>
              </w:rPr>
              <w:t>$ per rate in NAV</w:t>
            </w:r>
          </w:p>
        </w:tc>
        <w:tc>
          <w:tcPr>
            <w:tcW w:w="788" w:type="pct"/>
          </w:tcPr>
          <w:p w14:paraId="5034187B" w14:textId="642839A6" w:rsidR="00767B75" w:rsidRPr="00DE108C" w:rsidRDefault="00767B75" w:rsidP="000173F7">
            <w:pPr>
              <w:pStyle w:val="TableBody"/>
              <w:jc w:val="right"/>
              <w:rPr>
                <w:rFonts w:eastAsiaTheme="minorEastAsia" w:cstheme="minorBidi"/>
                <w:color w:val="231F20"/>
                <w:lang w:val="en-US"/>
              </w:rPr>
            </w:pPr>
            <w:r w:rsidRPr="00DE108C">
              <w:rPr>
                <w:rFonts w:eastAsiaTheme="minorEastAsia"/>
                <w:lang w:val="en-US"/>
              </w:rPr>
              <w:t>0.005032</w:t>
            </w:r>
          </w:p>
        </w:tc>
        <w:tc>
          <w:tcPr>
            <w:tcW w:w="594" w:type="pct"/>
          </w:tcPr>
          <w:p w14:paraId="799C1367" w14:textId="77777777" w:rsidR="00767B75" w:rsidRPr="00DE108C" w:rsidRDefault="00767B75" w:rsidP="000173F7">
            <w:pPr>
              <w:pStyle w:val="TableBody"/>
              <w:jc w:val="right"/>
              <w:rPr>
                <w:rFonts w:eastAsiaTheme="minorEastAsia" w:cstheme="minorBidi"/>
                <w:color w:val="231F20"/>
                <w:lang w:val="en-US"/>
              </w:rPr>
            </w:pPr>
            <w:r w:rsidRPr="00DE108C">
              <w:rPr>
                <w:rFonts w:eastAsiaTheme="minorEastAsia"/>
                <w:lang w:val="en-US"/>
              </w:rPr>
              <w:t>-</w:t>
            </w:r>
          </w:p>
        </w:tc>
        <w:tc>
          <w:tcPr>
            <w:tcW w:w="595" w:type="pct"/>
          </w:tcPr>
          <w:p w14:paraId="73A145C2" w14:textId="77777777" w:rsidR="00767B75" w:rsidRPr="00DE108C" w:rsidRDefault="00767B75" w:rsidP="000173F7">
            <w:pPr>
              <w:pStyle w:val="TableBody"/>
              <w:jc w:val="right"/>
              <w:rPr>
                <w:rFonts w:eastAsiaTheme="minorEastAsia" w:cstheme="minorBidi"/>
                <w:color w:val="231F20"/>
                <w:lang w:val="en-US"/>
              </w:rPr>
            </w:pPr>
            <w:r w:rsidRPr="00DE108C">
              <w:rPr>
                <w:rFonts w:eastAsiaTheme="minorEastAsia"/>
                <w:lang w:val="en-US"/>
              </w:rPr>
              <w:t>-</w:t>
            </w:r>
          </w:p>
        </w:tc>
        <w:tc>
          <w:tcPr>
            <w:tcW w:w="594" w:type="pct"/>
          </w:tcPr>
          <w:p w14:paraId="0CFE20AF" w14:textId="77777777" w:rsidR="00767B75" w:rsidRPr="00DE108C" w:rsidRDefault="00767B75" w:rsidP="000173F7">
            <w:pPr>
              <w:pStyle w:val="TableBody"/>
              <w:jc w:val="right"/>
              <w:rPr>
                <w:rFonts w:eastAsiaTheme="minorEastAsia" w:cstheme="minorBidi"/>
                <w:color w:val="231F20"/>
                <w:lang w:val="en-US"/>
              </w:rPr>
            </w:pPr>
            <w:r w:rsidRPr="00DE108C">
              <w:rPr>
                <w:rFonts w:eastAsiaTheme="minorEastAsia"/>
                <w:lang w:val="en-US"/>
              </w:rPr>
              <w:t>-</w:t>
            </w:r>
          </w:p>
        </w:tc>
        <w:tc>
          <w:tcPr>
            <w:tcW w:w="594" w:type="pct"/>
          </w:tcPr>
          <w:p w14:paraId="0C38A122" w14:textId="77777777" w:rsidR="00767B75" w:rsidRPr="00DE108C" w:rsidRDefault="00767B75" w:rsidP="000173F7">
            <w:pPr>
              <w:pStyle w:val="TableBody"/>
              <w:jc w:val="right"/>
              <w:rPr>
                <w:rFonts w:eastAsiaTheme="minorEastAsia" w:cstheme="minorBidi"/>
                <w:color w:val="231F20"/>
                <w:lang w:val="en-US"/>
              </w:rPr>
            </w:pPr>
            <w:r w:rsidRPr="00DE108C">
              <w:rPr>
                <w:rFonts w:eastAsiaTheme="minorEastAsia"/>
                <w:lang w:val="en-US"/>
              </w:rPr>
              <w:t>-</w:t>
            </w:r>
          </w:p>
        </w:tc>
        <w:tc>
          <w:tcPr>
            <w:tcW w:w="596" w:type="pct"/>
          </w:tcPr>
          <w:p w14:paraId="738A5ABB" w14:textId="77777777" w:rsidR="00767B75" w:rsidRPr="00DE108C" w:rsidRDefault="00767B75" w:rsidP="000173F7">
            <w:pPr>
              <w:pStyle w:val="TableBody"/>
              <w:jc w:val="right"/>
              <w:rPr>
                <w:rFonts w:eastAsiaTheme="minorEastAsia" w:cstheme="minorBidi"/>
                <w:color w:val="231F20"/>
                <w:lang w:val="en-US"/>
              </w:rPr>
            </w:pPr>
            <w:r w:rsidRPr="00DE108C">
              <w:rPr>
                <w:rFonts w:eastAsiaTheme="minorEastAsia"/>
                <w:lang w:val="en-US"/>
              </w:rPr>
              <w:t>-</w:t>
            </w:r>
          </w:p>
        </w:tc>
      </w:tr>
    </w:tbl>
    <w:p w14:paraId="13151B46" w14:textId="550509B2" w:rsidR="00767B75" w:rsidRPr="00DE108C" w:rsidRDefault="002B4CEB">
      <w:pPr>
        <w:pStyle w:val="BodyTextBold"/>
        <w:spacing w:line="259" w:lineRule="auto"/>
        <w:ind w:left="284" w:hanging="284"/>
        <w:rPr>
          <w:rFonts w:eastAsiaTheme="minorEastAsia" w:cstheme="minorBidi"/>
          <w:b w:val="0"/>
        </w:rPr>
      </w:pPr>
      <w:r>
        <w:rPr>
          <w:rFonts w:eastAsiaTheme="minorEastAsia" w:cstheme="minorBidi"/>
          <w:b w:val="0"/>
          <w:vertAlign w:val="superscript"/>
        </w:rPr>
        <w:t>d</w:t>
      </w:r>
      <w:r w:rsidR="00767B75">
        <w:rPr>
          <w:rFonts w:eastAsiaTheme="minorEastAsia" w:cstheme="minorBidi"/>
          <w:b w:val="0"/>
        </w:rPr>
        <w:t xml:space="preserve"> </w:t>
      </w:r>
      <w:r w:rsidR="00767B75" w:rsidRPr="00DE108C">
        <w:rPr>
          <w:rFonts w:eastAsiaTheme="minorEastAsia" w:cstheme="minorBidi"/>
          <w:b w:val="0"/>
          <w:sz w:val="16"/>
          <w:szCs w:val="16"/>
        </w:rPr>
        <w:t>A flat charge replaces the current $NAV for all non-residential customers.</w:t>
      </w:r>
    </w:p>
    <w:p w14:paraId="069D8D62" w14:textId="77777777" w:rsidR="00BA6877" w:rsidRPr="00DE108C" w:rsidRDefault="00BA6877">
      <w:pPr>
        <w:rPr>
          <w:rFonts w:eastAsiaTheme="minorEastAsia"/>
        </w:rPr>
      </w:pPr>
    </w:p>
    <w:p w14:paraId="292EB6E2" w14:textId="77777777" w:rsidR="00BA6877" w:rsidRPr="00DE108C" w:rsidRDefault="00BA6877">
      <w:pPr>
        <w:rPr>
          <w:rFonts w:eastAsiaTheme="minorEastAsia"/>
        </w:rPr>
        <w:sectPr w:rsidR="00BA6877" w:rsidRPr="00DE108C" w:rsidSect="00642593">
          <w:footerReference w:type="default" r:id="rId38"/>
          <w:pgSz w:w="11906" w:h="16838" w:code="9"/>
          <w:pgMar w:top="1134" w:right="1134" w:bottom="1134" w:left="1134" w:header="567" w:footer="680" w:gutter="0"/>
          <w:pgNumType w:fmt="lowerRoman"/>
          <w:cols w:space="708"/>
          <w:docGrid w:linePitch="360"/>
        </w:sectPr>
      </w:pPr>
    </w:p>
    <w:p w14:paraId="69F18EFF" w14:textId="396B6845" w:rsidR="009704E4" w:rsidRPr="00DE108C" w:rsidRDefault="009704E4" w:rsidP="009704E4">
      <w:pPr>
        <w:pStyle w:val="Heading1"/>
      </w:pPr>
      <w:bookmarkStart w:id="58" w:name="_Toc207853366"/>
      <w:bookmarkStart w:id="59" w:name="_Toc210229031"/>
      <w:r w:rsidRPr="00DE108C">
        <w:lastRenderedPageBreak/>
        <w:t xml:space="preserve">Table of </w:t>
      </w:r>
      <w:r w:rsidR="00952222" w:rsidRPr="00DE108C">
        <w:t>c</w:t>
      </w:r>
      <w:r w:rsidRPr="00DE108C">
        <w:t>ontents</w:t>
      </w:r>
      <w:bookmarkEnd w:id="58"/>
      <w:bookmarkEnd w:id="59"/>
    </w:p>
    <w:p w14:paraId="56BDE7EC" w14:textId="0EABE202" w:rsidR="00416169" w:rsidRDefault="006A158F">
      <w:pPr>
        <w:pStyle w:val="TOC2"/>
        <w:rPr>
          <w:rFonts w:eastAsiaTheme="minorEastAsia"/>
          <w:bCs w:val="0"/>
          <w:color w:val="auto"/>
          <w:kern w:val="2"/>
          <w:sz w:val="24"/>
          <w:lang w:eastAsia="en-AU"/>
          <w14:ligatures w14:val="standardContextual"/>
        </w:rPr>
      </w:pPr>
      <w:r>
        <w:rPr>
          <w:rFonts w:eastAsiaTheme="minorEastAsia"/>
          <w:szCs w:val="18"/>
        </w:rPr>
        <w:fldChar w:fldCharType="begin"/>
      </w:r>
      <w:r>
        <w:rPr>
          <w:rFonts w:eastAsiaTheme="minorEastAsia"/>
          <w:szCs w:val="18"/>
        </w:rPr>
        <w:instrText xml:space="preserve"> TOC \h \z \t "Heading 1,2,Title,1" </w:instrText>
      </w:r>
      <w:r>
        <w:rPr>
          <w:rFonts w:eastAsiaTheme="minorEastAsia"/>
          <w:szCs w:val="18"/>
        </w:rPr>
        <w:fldChar w:fldCharType="separate"/>
      </w:r>
      <w:hyperlink w:anchor="_Toc210229025" w:history="1">
        <w:r w:rsidR="00416169" w:rsidRPr="003F4A90">
          <w:rPr>
            <w:rStyle w:val="Hyperlink"/>
          </w:rPr>
          <w:t>Aboriginal Acknowledgement</w:t>
        </w:r>
        <w:r w:rsidR="00416169">
          <w:rPr>
            <w:webHidden/>
          </w:rPr>
          <w:tab/>
        </w:r>
        <w:r w:rsidR="00416169">
          <w:rPr>
            <w:webHidden/>
          </w:rPr>
          <w:fldChar w:fldCharType="begin"/>
        </w:r>
        <w:r w:rsidR="00416169">
          <w:rPr>
            <w:webHidden/>
          </w:rPr>
          <w:instrText xml:space="preserve"> PAGEREF _Toc210229025 \h </w:instrText>
        </w:r>
        <w:r w:rsidR="00416169">
          <w:rPr>
            <w:webHidden/>
          </w:rPr>
        </w:r>
        <w:r w:rsidR="00416169">
          <w:rPr>
            <w:webHidden/>
          </w:rPr>
          <w:fldChar w:fldCharType="separate"/>
        </w:r>
        <w:r w:rsidR="00416169">
          <w:rPr>
            <w:webHidden/>
          </w:rPr>
          <w:t>ii</w:t>
        </w:r>
        <w:r w:rsidR="00416169">
          <w:rPr>
            <w:webHidden/>
          </w:rPr>
          <w:fldChar w:fldCharType="end"/>
        </w:r>
      </w:hyperlink>
    </w:p>
    <w:p w14:paraId="4E773D19" w14:textId="64545D4E" w:rsidR="00416169" w:rsidRDefault="00416169">
      <w:pPr>
        <w:pStyle w:val="TOC2"/>
        <w:rPr>
          <w:rFonts w:eastAsiaTheme="minorEastAsia"/>
          <w:bCs w:val="0"/>
          <w:color w:val="auto"/>
          <w:kern w:val="2"/>
          <w:sz w:val="24"/>
          <w:lang w:eastAsia="en-AU"/>
          <w14:ligatures w14:val="standardContextual"/>
        </w:rPr>
      </w:pPr>
      <w:hyperlink w:anchor="_Toc210229026" w:history="1">
        <w:r w:rsidRPr="003F4A90">
          <w:rPr>
            <w:rStyle w:val="Hyperlink"/>
          </w:rPr>
          <w:t>About this document</w:t>
        </w:r>
        <w:r>
          <w:rPr>
            <w:webHidden/>
          </w:rPr>
          <w:tab/>
        </w:r>
        <w:r>
          <w:rPr>
            <w:webHidden/>
          </w:rPr>
          <w:fldChar w:fldCharType="begin"/>
        </w:r>
        <w:r>
          <w:rPr>
            <w:webHidden/>
          </w:rPr>
          <w:instrText xml:space="preserve"> PAGEREF _Toc210229026 \h </w:instrText>
        </w:r>
        <w:r>
          <w:rPr>
            <w:webHidden/>
          </w:rPr>
        </w:r>
        <w:r>
          <w:rPr>
            <w:webHidden/>
          </w:rPr>
          <w:fldChar w:fldCharType="separate"/>
        </w:r>
        <w:r>
          <w:rPr>
            <w:webHidden/>
          </w:rPr>
          <w:t>iii</w:t>
        </w:r>
        <w:r>
          <w:rPr>
            <w:webHidden/>
          </w:rPr>
          <w:fldChar w:fldCharType="end"/>
        </w:r>
      </w:hyperlink>
    </w:p>
    <w:p w14:paraId="4F6FC54B" w14:textId="0AB8A781" w:rsidR="00416169" w:rsidRDefault="00416169">
      <w:pPr>
        <w:pStyle w:val="TOC2"/>
        <w:rPr>
          <w:rFonts w:eastAsiaTheme="minorEastAsia"/>
          <w:bCs w:val="0"/>
          <w:color w:val="auto"/>
          <w:kern w:val="2"/>
          <w:sz w:val="24"/>
          <w:lang w:eastAsia="en-AU"/>
          <w14:ligatures w14:val="standardContextual"/>
        </w:rPr>
      </w:pPr>
      <w:hyperlink w:anchor="_Toc210229027" w:history="1">
        <w:r w:rsidRPr="003F4A90">
          <w:rPr>
            <w:rStyle w:val="Hyperlink"/>
          </w:rPr>
          <w:t>Price Submission on a page</w:t>
        </w:r>
        <w:r>
          <w:rPr>
            <w:webHidden/>
          </w:rPr>
          <w:tab/>
        </w:r>
        <w:r>
          <w:rPr>
            <w:webHidden/>
          </w:rPr>
          <w:fldChar w:fldCharType="begin"/>
        </w:r>
        <w:r>
          <w:rPr>
            <w:webHidden/>
          </w:rPr>
          <w:instrText xml:space="preserve"> PAGEREF _Toc210229027 \h </w:instrText>
        </w:r>
        <w:r>
          <w:rPr>
            <w:webHidden/>
          </w:rPr>
        </w:r>
        <w:r>
          <w:rPr>
            <w:webHidden/>
          </w:rPr>
          <w:fldChar w:fldCharType="separate"/>
        </w:r>
        <w:r>
          <w:rPr>
            <w:webHidden/>
          </w:rPr>
          <w:t>iv</w:t>
        </w:r>
        <w:r>
          <w:rPr>
            <w:webHidden/>
          </w:rPr>
          <w:fldChar w:fldCharType="end"/>
        </w:r>
      </w:hyperlink>
    </w:p>
    <w:p w14:paraId="0DF0A697" w14:textId="0EC29BD0" w:rsidR="00416169" w:rsidRDefault="00416169">
      <w:pPr>
        <w:pStyle w:val="TOC2"/>
        <w:rPr>
          <w:rFonts w:eastAsiaTheme="minorEastAsia"/>
          <w:bCs w:val="0"/>
          <w:color w:val="auto"/>
          <w:kern w:val="2"/>
          <w:sz w:val="24"/>
          <w:lang w:eastAsia="en-AU"/>
          <w14:ligatures w14:val="standardContextual"/>
        </w:rPr>
      </w:pPr>
      <w:hyperlink w:anchor="_Toc210229028" w:history="1">
        <w:r w:rsidRPr="003F4A90">
          <w:rPr>
            <w:rStyle w:val="Hyperlink"/>
          </w:rPr>
          <w:t>Message from Melbourne Water’s Board of Directors</w:t>
        </w:r>
        <w:r>
          <w:rPr>
            <w:webHidden/>
          </w:rPr>
          <w:tab/>
        </w:r>
        <w:r>
          <w:rPr>
            <w:webHidden/>
          </w:rPr>
          <w:fldChar w:fldCharType="begin"/>
        </w:r>
        <w:r>
          <w:rPr>
            <w:webHidden/>
          </w:rPr>
          <w:instrText xml:space="preserve"> PAGEREF _Toc210229028 \h </w:instrText>
        </w:r>
        <w:r>
          <w:rPr>
            <w:webHidden/>
          </w:rPr>
        </w:r>
        <w:r>
          <w:rPr>
            <w:webHidden/>
          </w:rPr>
          <w:fldChar w:fldCharType="separate"/>
        </w:r>
        <w:r>
          <w:rPr>
            <w:webHidden/>
          </w:rPr>
          <w:t>v</w:t>
        </w:r>
        <w:r>
          <w:rPr>
            <w:webHidden/>
          </w:rPr>
          <w:fldChar w:fldCharType="end"/>
        </w:r>
      </w:hyperlink>
    </w:p>
    <w:p w14:paraId="6433A840" w14:textId="68DF5E6F" w:rsidR="00416169" w:rsidRDefault="00416169">
      <w:pPr>
        <w:pStyle w:val="TOC2"/>
        <w:rPr>
          <w:rFonts w:eastAsiaTheme="minorEastAsia"/>
          <w:bCs w:val="0"/>
          <w:color w:val="auto"/>
          <w:kern w:val="2"/>
          <w:sz w:val="24"/>
          <w:lang w:eastAsia="en-AU"/>
          <w14:ligatures w14:val="standardContextual"/>
        </w:rPr>
      </w:pPr>
      <w:hyperlink w:anchor="_Toc210229029" w:history="1">
        <w:r w:rsidRPr="003F4A90">
          <w:rPr>
            <w:rStyle w:val="Hyperlink"/>
          </w:rPr>
          <w:t>Who is Melbourne Water</w:t>
        </w:r>
        <w:r>
          <w:rPr>
            <w:webHidden/>
          </w:rPr>
          <w:tab/>
        </w:r>
        <w:r>
          <w:rPr>
            <w:webHidden/>
          </w:rPr>
          <w:fldChar w:fldCharType="begin"/>
        </w:r>
        <w:r>
          <w:rPr>
            <w:webHidden/>
          </w:rPr>
          <w:instrText xml:space="preserve"> PAGEREF _Toc210229029 \h </w:instrText>
        </w:r>
        <w:r>
          <w:rPr>
            <w:webHidden/>
          </w:rPr>
        </w:r>
        <w:r>
          <w:rPr>
            <w:webHidden/>
          </w:rPr>
          <w:fldChar w:fldCharType="separate"/>
        </w:r>
        <w:r>
          <w:rPr>
            <w:webHidden/>
          </w:rPr>
          <w:t>vii</w:t>
        </w:r>
        <w:r>
          <w:rPr>
            <w:webHidden/>
          </w:rPr>
          <w:fldChar w:fldCharType="end"/>
        </w:r>
      </w:hyperlink>
    </w:p>
    <w:p w14:paraId="2CCA7E56" w14:textId="3CF6F1DF" w:rsidR="00416169" w:rsidRDefault="00416169">
      <w:pPr>
        <w:pStyle w:val="TOC2"/>
        <w:rPr>
          <w:rFonts w:eastAsiaTheme="minorEastAsia"/>
          <w:bCs w:val="0"/>
          <w:color w:val="auto"/>
          <w:kern w:val="2"/>
          <w:sz w:val="24"/>
          <w:lang w:eastAsia="en-AU"/>
          <w14:ligatures w14:val="standardContextual"/>
        </w:rPr>
      </w:pPr>
      <w:hyperlink w:anchor="_Toc210229030" w:history="1">
        <w:r w:rsidRPr="003F4A90">
          <w:rPr>
            <w:rStyle w:val="Hyperlink"/>
          </w:rPr>
          <w:t>Executive summary</w:t>
        </w:r>
        <w:r>
          <w:rPr>
            <w:webHidden/>
          </w:rPr>
          <w:tab/>
        </w:r>
        <w:r>
          <w:rPr>
            <w:webHidden/>
          </w:rPr>
          <w:fldChar w:fldCharType="begin"/>
        </w:r>
        <w:r>
          <w:rPr>
            <w:webHidden/>
          </w:rPr>
          <w:instrText xml:space="preserve"> PAGEREF _Toc210229030 \h </w:instrText>
        </w:r>
        <w:r>
          <w:rPr>
            <w:webHidden/>
          </w:rPr>
        </w:r>
        <w:r>
          <w:rPr>
            <w:webHidden/>
          </w:rPr>
          <w:fldChar w:fldCharType="separate"/>
        </w:r>
        <w:r>
          <w:rPr>
            <w:webHidden/>
          </w:rPr>
          <w:t>viii</w:t>
        </w:r>
        <w:r>
          <w:rPr>
            <w:webHidden/>
          </w:rPr>
          <w:fldChar w:fldCharType="end"/>
        </w:r>
      </w:hyperlink>
    </w:p>
    <w:p w14:paraId="6F5D6FF9" w14:textId="53BC82B2" w:rsidR="00416169" w:rsidRDefault="00416169">
      <w:pPr>
        <w:pStyle w:val="TOC2"/>
        <w:rPr>
          <w:rFonts w:eastAsiaTheme="minorEastAsia"/>
          <w:bCs w:val="0"/>
          <w:color w:val="auto"/>
          <w:kern w:val="2"/>
          <w:sz w:val="24"/>
          <w:lang w:eastAsia="en-AU"/>
          <w14:ligatures w14:val="standardContextual"/>
        </w:rPr>
      </w:pPr>
      <w:hyperlink w:anchor="_Toc210229031" w:history="1">
        <w:r w:rsidRPr="003F4A90">
          <w:rPr>
            <w:rStyle w:val="Hyperlink"/>
          </w:rPr>
          <w:t>Table of contents</w:t>
        </w:r>
        <w:r>
          <w:rPr>
            <w:webHidden/>
          </w:rPr>
          <w:tab/>
        </w:r>
        <w:r>
          <w:rPr>
            <w:webHidden/>
          </w:rPr>
          <w:fldChar w:fldCharType="begin"/>
        </w:r>
        <w:r>
          <w:rPr>
            <w:webHidden/>
          </w:rPr>
          <w:instrText xml:space="preserve"> PAGEREF _Toc210229031 \h </w:instrText>
        </w:r>
        <w:r>
          <w:rPr>
            <w:webHidden/>
          </w:rPr>
        </w:r>
        <w:r>
          <w:rPr>
            <w:webHidden/>
          </w:rPr>
          <w:fldChar w:fldCharType="separate"/>
        </w:r>
        <w:r>
          <w:rPr>
            <w:webHidden/>
          </w:rPr>
          <w:t>xxi</w:t>
        </w:r>
        <w:r>
          <w:rPr>
            <w:webHidden/>
          </w:rPr>
          <w:fldChar w:fldCharType="end"/>
        </w:r>
      </w:hyperlink>
    </w:p>
    <w:p w14:paraId="6E9D8F47" w14:textId="42E27DED" w:rsidR="00416169" w:rsidRDefault="00416169">
      <w:pPr>
        <w:pStyle w:val="TOC1"/>
        <w:rPr>
          <w:rFonts w:asciiTheme="minorHAnsi" w:eastAsiaTheme="minorEastAsia" w:hAnsiTheme="minorHAnsi"/>
          <w:b w:val="0"/>
          <w:color w:val="auto"/>
          <w:kern w:val="2"/>
          <w:sz w:val="24"/>
          <w:lang w:val="en-AU" w:eastAsia="en-AU"/>
          <w14:ligatures w14:val="standardContextual"/>
        </w:rPr>
      </w:pPr>
      <w:hyperlink w:anchor="_Toc210229032" w:history="1">
        <w:r w:rsidRPr="003F4A90">
          <w:rPr>
            <w:rStyle w:val="Hyperlink"/>
          </w:rPr>
          <w:t>Part A – PREMO</w:t>
        </w:r>
        <w:r>
          <w:rPr>
            <w:webHidden/>
          </w:rPr>
          <w:tab/>
        </w:r>
        <w:r>
          <w:rPr>
            <w:webHidden/>
          </w:rPr>
          <w:fldChar w:fldCharType="begin"/>
        </w:r>
        <w:r>
          <w:rPr>
            <w:webHidden/>
          </w:rPr>
          <w:instrText xml:space="preserve"> PAGEREF _Toc210229032 \h </w:instrText>
        </w:r>
        <w:r>
          <w:rPr>
            <w:webHidden/>
          </w:rPr>
        </w:r>
        <w:r>
          <w:rPr>
            <w:webHidden/>
          </w:rPr>
          <w:fldChar w:fldCharType="separate"/>
        </w:r>
        <w:r>
          <w:rPr>
            <w:webHidden/>
          </w:rPr>
          <w:t>1</w:t>
        </w:r>
        <w:r>
          <w:rPr>
            <w:webHidden/>
          </w:rPr>
          <w:fldChar w:fldCharType="end"/>
        </w:r>
      </w:hyperlink>
    </w:p>
    <w:p w14:paraId="2D8E7F52" w14:textId="28293CCB" w:rsidR="00416169" w:rsidRDefault="00416169">
      <w:pPr>
        <w:pStyle w:val="TOC2"/>
        <w:rPr>
          <w:rFonts w:eastAsiaTheme="minorEastAsia"/>
          <w:bCs w:val="0"/>
          <w:color w:val="auto"/>
          <w:kern w:val="2"/>
          <w:sz w:val="24"/>
          <w:lang w:eastAsia="en-AU"/>
          <w14:ligatures w14:val="standardContextual"/>
        </w:rPr>
      </w:pPr>
      <w:hyperlink w:anchor="_Toc210229033" w:history="1">
        <w:r w:rsidRPr="003F4A90">
          <w:rPr>
            <w:rStyle w:val="Hyperlink"/>
          </w:rPr>
          <w:t>1. Management</w:t>
        </w:r>
        <w:r>
          <w:rPr>
            <w:webHidden/>
          </w:rPr>
          <w:tab/>
        </w:r>
        <w:r>
          <w:rPr>
            <w:webHidden/>
          </w:rPr>
          <w:fldChar w:fldCharType="begin"/>
        </w:r>
        <w:r>
          <w:rPr>
            <w:webHidden/>
          </w:rPr>
          <w:instrText xml:space="preserve"> PAGEREF _Toc210229033 \h </w:instrText>
        </w:r>
        <w:r>
          <w:rPr>
            <w:webHidden/>
          </w:rPr>
        </w:r>
        <w:r>
          <w:rPr>
            <w:webHidden/>
          </w:rPr>
          <w:fldChar w:fldCharType="separate"/>
        </w:r>
        <w:r>
          <w:rPr>
            <w:webHidden/>
          </w:rPr>
          <w:t>2</w:t>
        </w:r>
        <w:r>
          <w:rPr>
            <w:webHidden/>
          </w:rPr>
          <w:fldChar w:fldCharType="end"/>
        </w:r>
      </w:hyperlink>
    </w:p>
    <w:p w14:paraId="4EB72F40" w14:textId="214FF57D" w:rsidR="00416169" w:rsidRDefault="00416169">
      <w:pPr>
        <w:pStyle w:val="TOC2"/>
        <w:rPr>
          <w:rFonts w:eastAsiaTheme="minorEastAsia"/>
          <w:bCs w:val="0"/>
          <w:color w:val="auto"/>
          <w:kern w:val="2"/>
          <w:sz w:val="24"/>
          <w:lang w:eastAsia="en-AU"/>
          <w14:ligatures w14:val="standardContextual"/>
        </w:rPr>
      </w:pPr>
      <w:hyperlink w:anchor="_Toc210229034" w:history="1">
        <w:r w:rsidRPr="003F4A90">
          <w:rPr>
            <w:rStyle w:val="Hyperlink"/>
          </w:rPr>
          <w:t>2. Performance</w:t>
        </w:r>
        <w:r>
          <w:rPr>
            <w:webHidden/>
          </w:rPr>
          <w:tab/>
        </w:r>
        <w:r>
          <w:rPr>
            <w:webHidden/>
          </w:rPr>
          <w:fldChar w:fldCharType="begin"/>
        </w:r>
        <w:r>
          <w:rPr>
            <w:webHidden/>
          </w:rPr>
          <w:instrText xml:space="preserve"> PAGEREF _Toc210229034 \h </w:instrText>
        </w:r>
        <w:r>
          <w:rPr>
            <w:webHidden/>
          </w:rPr>
        </w:r>
        <w:r>
          <w:rPr>
            <w:webHidden/>
          </w:rPr>
          <w:fldChar w:fldCharType="separate"/>
        </w:r>
        <w:r>
          <w:rPr>
            <w:webHidden/>
          </w:rPr>
          <w:t>15</w:t>
        </w:r>
        <w:r>
          <w:rPr>
            <w:webHidden/>
          </w:rPr>
          <w:fldChar w:fldCharType="end"/>
        </w:r>
      </w:hyperlink>
    </w:p>
    <w:p w14:paraId="649C8882" w14:textId="1D8A2720" w:rsidR="00416169" w:rsidRDefault="00416169">
      <w:pPr>
        <w:pStyle w:val="TOC2"/>
        <w:rPr>
          <w:rFonts w:eastAsiaTheme="minorEastAsia"/>
          <w:bCs w:val="0"/>
          <w:color w:val="auto"/>
          <w:kern w:val="2"/>
          <w:sz w:val="24"/>
          <w:lang w:eastAsia="en-AU"/>
          <w14:ligatures w14:val="standardContextual"/>
        </w:rPr>
      </w:pPr>
      <w:hyperlink w:anchor="_Toc210229035" w:history="1">
        <w:r w:rsidRPr="003F4A90">
          <w:rPr>
            <w:rStyle w:val="Hyperlink"/>
          </w:rPr>
          <w:t>3. Engagement</w:t>
        </w:r>
        <w:r>
          <w:rPr>
            <w:webHidden/>
          </w:rPr>
          <w:tab/>
        </w:r>
        <w:r>
          <w:rPr>
            <w:webHidden/>
          </w:rPr>
          <w:fldChar w:fldCharType="begin"/>
        </w:r>
        <w:r>
          <w:rPr>
            <w:webHidden/>
          </w:rPr>
          <w:instrText xml:space="preserve"> PAGEREF _Toc210229035 \h </w:instrText>
        </w:r>
        <w:r>
          <w:rPr>
            <w:webHidden/>
          </w:rPr>
        </w:r>
        <w:r>
          <w:rPr>
            <w:webHidden/>
          </w:rPr>
          <w:fldChar w:fldCharType="separate"/>
        </w:r>
        <w:r>
          <w:rPr>
            <w:webHidden/>
          </w:rPr>
          <w:t>38</w:t>
        </w:r>
        <w:r>
          <w:rPr>
            <w:webHidden/>
          </w:rPr>
          <w:fldChar w:fldCharType="end"/>
        </w:r>
      </w:hyperlink>
    </w:p>
    <w:p w14:paraId="642DD065" w14:textId="56C5285C" w:rsidR="00416169" w:rsidRDefault="00416169">
      <w:pPr>
        <w:pStyle w:val="TOC2"/>
        <w:rPr>
          <w:rFonts w:eastAsiaTheme="minorEastAsia"/>
          <w:bCs w:val="0"/>
          <w:color w:val="auto"/>
          <w:kern w:val="2"/>
          <w:sz w:val="24"/>
          <w:lang w:eastAsia="en-AU"/>
          <w14:ligatures w14:val="standardContextual"/>
        </w:rPr>
      </w:pPr>
      <w:hyperlink w:anchor="_Toc210229036" w:history="1">
        <w:r w:rsidRPr="003F4A90">
          <w:rPr>
            <w:rStyle w:val="Hyperlink"/>
          </w:rPr>
          <w:t>4. Outcomes</w:t>
        </w:r>
        <w:r>
          <w:rPr>
            <w:webHidden/>
          </w:rPr>
          <w:tab/>
        </w:r>
        <w:r>
          <w:rPr>
            <w:webHidden/>
          </w:rPr>
          <w:fldChar w:fldCharType="begin"/>
        </w:r>
        <w:r>
          <w:rPr>
            <w:webHidden/>
          </w:rPr>
          <w:instrText xml:space="preserve"> PAGEREF _Toc210229036 \h </w:instrText>
        </w:r>
        <w:r>
          <w:rPr>
            <w:webHidden/>
          </w:rPr>
        </w:r>
        <w:r>
          <w:rPr>
            <w:webHidden/>
          </w:rPr>
          <w:fldChar w:fldCharType="separate"/>
        </w:r>
        <w:r>
          <w:rPr>
            <w:webHidden/>
          </w:rPr>
          <w:t>67</w:t>
        </w:r>
        <w:r>
          <w:rPr>
            <w:webHidden/>
          </w:rPr>
          <w:fldChar w:fldCharType="end"/>
        </w:r>
      </w:hyperlink>
    </w:p>
    <w:p w14:paraId="4CA0A57B" w14:textId="721BFA8C" w:rsidR="00416169" w:rsidRDefault="00416169">
      <w:pPr>
        <w:pStyle w:val="TOC2"/>
        <w:rPr>
          <w:rFonts w:eastAsiaTheme="minorEastAsia"/>
          <w:bCs w:val="0"/>
          <w:color w:val="auto"/>
          <w:kern w:val="2"/>
          <w:sz w:val="24"/>
          <w:lang w:eastAsia="en-AU"/>
          <w14:ligatures w14:val="standardContextual"/>
        </w:rPr>
      </w:pPr>
      <w:hyperlink w:anchor="_Toc210229037" w:history="1">
        <w:r w:rsidRPr="003F4A90">
          <w:rPr>
            <w:rStyle w:val="Hyperlink"/>
          </w:rPr>
          <w:t>5. Risk</w:t>
        </w:r>
        <w:r>
          <w:rPr>
            <w:webHidden/>
          </w:rPr>
          <w:tab/>
        </w:r>
        <w:r>
          <w:rPr>
            <w:webHidden/>
          </w:rPr>
          <w:fldChar w:fldCharType="begin"/>
        </w:r>
        <w:r>
          <w:rPr>
            <w:webHidden/>
          </w:rPr>
          <w:instrText xml:space="preserve"> PAGEREF _Toc210229037 \h </w:instrText>
        </w:r>
        <w:r>
          <w:rPr>
            <w:webHidden/>
          </w:rPr>
        </w:r>
        <w:r>
          <w:rPr>
            <w:webHidden/>
          </w:rPr>
          <w:fldChar w:fldCharType="separate"/>
        </w:r>
        <w:r>
          <w:rPr>
            <w:webHidden/>
          </w:rPr>
          <w:t>87</w:t>
        </w:r>
        <w:r>
          <w:rPr>
            <w:webHidden/>
          </w:rPr>
          <w:fldChar w:fldCharType="end"/>
        </w:r>
      </w:hyperlink>
    </w:p>
    <w:p w14:paraId="49F94403" w14:textId="47580ECE" w:rsidR="00416169" w:rsidRDefault="00416169">
      <w:pPr>
        <w:pStyle w:val="TOC1"/>
        <w:rPr>
          <w:rFonts w:asciiTheme="minorHAnsi" w:eastAsiaTheme="minorEastAsia" w:hAnsiTheme="minorHAnsi"/>
          <w:b w:val="0"/>
          <w:color w:val="auto"/>
          <w:kern w:val="2"/>
          <w:sz w:val="24"/>
          <w:lang w:val="en-AU" w:eastAsia="en-AU"/>
          <w14:ligatures w14:val="standardContextual"/>
        </w:rPr>
      </w:pPr>
      <w:hyperlink w:anchor="_Toc210229038" w:history="1">
        <w:r w:rsidRPr="003F4A90">
          <w:rPr>
            <w:rStyle w:val="Hyperlink"/>
          </w:rPr>
          <w:t>Part B – Regulatory building blocks</w:t>
        </w:r>
        <w:r>
          <w:rPr>
            <w:webHidden/>
          </w:rPr>
          <w:tab/>
        </w:r>
        <w:r>
          <w:rPr>
            <w:webHidden/>
          </w:rPr>
          <w:fldChar w:fldCharType="begin"/>
        </w:r>
        <w:r>
          <w:rPr>
            <w:webHidden/>
          </w:rPr>
          <w:instrText xml:space="preserve"> PAGEREF _Toc210229038 \h </w:instrText>
        </w:r>
        <w:r>
          <w:rPr>
            <w:webHidden/>
          </w:rPr>
        </w:r>
        <w:r>
          <w:rPr>
            <w:webHidden/>
          </w:rPr>
          <w:fldChar w:fldCharType="separate"/>
        </w:r>
        <w:r>
          <w:rPr>
            <w:webHidden/>
          </w:rPr>
          <w:t>100</w:t>
        </w:r>
        <w:r>
          <w:rPr>
            <w:webHidden/>
          </w:rPr>
          <w:fldChar w:fldCharType="end"/>
        </w:r>
      </w:hyperlink>
    </w:p>
    <w:p w14:paraId="7AB3093E" w14:textId="6D78CF8C" w:rsidR="00416169" w:rsidRDefault="00416169">
      <w:pPr>
        <w:pStyle w:val="TOC2"/>
        <w:rPr>
          <w:rFonts w:eastAsiaTheme="minorEastAsia"/>
          <w:bCs w:val="0"/>
          <w:color w:val="auto"/>
          <w:kern w:val="2"/>
          <w:sz w:val="24"/>
          <w:lang w:eastAsia="en-AU"/>
          <w14:ligatures w14:val="standardContextual"/>
        </w:rPr>
      </w:pPr>
      <w:hyperlink w:anchor="_Toc210229039" w:history="1">
        <w:r w:rsidRPr="003F4A90">
          <w:rPr>
            <w:rStyle w:val="Hyperlink"/>
          </w:rPr>
          <w:t>6. Capital expenditure</w:t>
        </w:r>
        <w:r>
          <w:rPr>
            <w:webHidden/>
          </w:rPr>
          <w:tab/>
        </w:r>
        <w:r>
          <w:rPr>
            <w:webHidden/>
          </w:rPr>
          <w:fldChar w:fldCharType="begin"/>
        </w:r>
        <w:r>
          <w:rPr>
            <w:webHidden/>
          </w:rPr>
          <w:instrText xml:space="preserve"> PAGEREF _Toc210229039 \h </w:instrText>
        </w:r>
        <w:r>
          <w:rPr>
            <w:webHidden/>
          </w:rPr>
        </w:r>
        <w:r>
          <w:rPr>
            <w:webHidden/>
          </w:rPr>
          <w:fldChar w:fldCharType="separate"/>
        </w:r>
        <w:r>
          <w:rPr>
            <w:webHidden/>
          </w:rPr>
          <w:t>101</w:t>
        </w:r>
        <w:r>
          <w:rPr>
            <w:webHidden/>
          </w:rPr>
          <w:fldChar w:fldCharType="end"/>
        </w:r>
      </w:hyperlink>
    </w:p>
    <w:p w14:paraId="41768DC7" w14:textId="141DF29B" w:rsidR="00416169" w:rsidRDefault="00416169">
      <w:pPr>
        <w:pStyle w:val="TOC2"/>
        <w:rPr>
          <w:rFonts w:eastAsiaTheme="minorEastAsia"/>
          <w:bCs w:val="0"/>
          <w:color w:val="auto"/>
          <w:kern w:val="2"/>
          <w:sz w:val="24"/>
          <w:lang w:eastAsia="en-AU"/>
          <w14:ligatures w14:val="standardContextual"/>
        </w:rPr>
      </w:pPr>
      <w:hyperlink w:anchor="_Toc210229040" w:history="1">
        <w:r w:rsidRPr="003F4A90">
          <w:rPr>
            <w:rStyle w:val="Hyperlink"/>
          </w:rPr>
          <w:t>7. Operating expenditure</w:t>
        </w:r>
        <w:r>
          <w:rPr>
            <w:webHidden/>
          </w:rPr>
          <w:tab/>
        </w:r>
        <w:r>
          <w:rPr>
            <w:webHidden/>
          </w:rPr>
          <w:fldChar w:fldCharType="begin"/>
        </w:r>
        <w:r>
          <w:rPr>
            <w:webHidden/>
          </w:rPr>
          <w:instrText xml:space="preserve"> PAGEREF _Toc210229040 \h </w:instrText>
        </w:r>
        <w:r>
          <w:rPr>
            <w:webHidden/>
          </w:rPr>
        </w:r>
        <w:r>
          <w:rPr>
            <w:webHidden/>
          </w:rPr>
          <w:fldChar w:fldCharType="separate"/>
        </w:r>
        <w:r>
          <w:rPr>
            <w:webHidden/>
          </w:rPr>
          <w:t>135</w:t>
        </w:r>
        <w:r>
          <w:rPr>
            <w:webHidden/>
          </w:rPr>
          <w:fldChar w:fldCharType="end"/>
        </w:r>
      </w:hyperlink>
    </w:p>
    <w:p w14:paraId="7C29E7AD" w14:textId="4087B7B8" w:rsidR="00416169" w:rsidRDefault="00416169">
      <w:pPr>
        <w:pStyle w:val="TOC2"/>
        <w:rPr>
          <w:rFonts w:eastAsiaTheme="minorEastAsia"/>
          <w:bCs w:val="0"/>
          <w:color w:val="auto"/>
          <w:kern w:val="2"/>
          <w:sz w:val="24"/>
          <w:lang w:eastAsia="en-AU"/>
          <w14:ligatures w14:val="standardContextual"/>
        </w:rPr>
      </w:pPr>
      <w:hyperlink w:anchor="_Toc210229041" w:history="1">
        <w:r w:rsidRPr="003F4A90">
          <w:rPr>
            <w:rStyle w:val="Hyperlink"/>
          </w:rPr>
          <w:t>8. Asset base</w:t>
        </w:r>
        <w:r>
          <w:rPr>
            <w:webHidden/>
          </w:rPr>
          <w:tab/>
        </w:r>
        <w:r>
          <w:rPr>
            <w:webHidden/>
          </w:rPr>
          <w:fldChar w:fldCharType="begin"/>
        </w:r>
        <w:r>
          <w:rPr>
            <w:webHidden/>
          </w:rPr>
          <w:instrText xml:space="preserve"> PAGEREF _Toc210229041 \h </w:instrText>
        </w:r>
        <w:r>
          <w:rPr>
            <w:webHidden/>
          </w:rPr>
        </w:r>
        <w:r>
          <w:rPr>
            <w:webHidden/>
          </w:rPr>
          <w:fldChar w:fldCharType="separate"/>
        </w:r>
        <w:r>
          <w:rPr>
            <w:webHidden/>
          </w:rPr>
          <w:t>165</w:t>
        </w:r>
        <w:r>
          <w:rPr>
            <w:webHidden/>
          </w:rPr>
          <w:fldChar w:fldCharType="end"/>
        </w:r>
      </w:hyperlink>
    </w:p>
    <w:p w14:paraId="6EA9D6A0" w14:textId="5E6857AB" w:rsidR="00416169" w:rsidRDefault="00416169">
      <w:pPr>
        <w:pStyle w:val="TOC2"/>
        <w:rPr>
          <w:rFonts w:eastAsiaTheme="minorEastAsia"/>
          <w:bCs w:val="0"/>
          <w:color w:val="auto"/>
          <w:kern w:val="2"/>
          <w:sz w:val="24"/>
          <w:lang w:eastAsia="en-AU"/>
          <w14:ligatures w14:val="standardContextual"/>
        </w:rPr>
      </w:pPr>
      <w:hyperlink w:anchor="_Toc210229042" w:history="1">
        <w:r w:rsidRPr="003F4A90">
          <w:rPr>
            <w:rStyle w:val="Hyperlink"/>
          </w:rPr>
          <w:t>9. Revenue requirement</w:t>
        </w:r>
        <w:r>
          <w:rPr>
            <w:webHidden/>
          </w:rPr>
          <w:tab/>
        </w:r>
        <w:r>
          <w:rPr>
            <w:webHidden/>
          </w:rPr>
          <w:fldChar w:fldCharType="begin"/>
        </w:r>
        <w:r>
          <w:rPr>
            <w:webHidden/>
          </w:rPr>
          <w:instrText xml:space="preserve"> PAGEREF _Toc210229042 \h </w:instrText>
        </w:r>
        <w:r>
          <w:rPr>
            <w:webHidden/>
          </w:rPr>
        </w:r>
        <w:r>
          <w:rPr>
            <w:webHidden/>
          </w:rPr>
          <w:fldChar w:fldCharType="separate"/>
        </w:r>
        <w:r>
          <w:rPr>
            <w:webHidden/>
          </w:rPr>
          <w:t>179</w:t>
        </w:r>
        <w:r>
          <w:rPr>
            <w:webHidden/>
          </w:rPr>
          <w:fldChar w:fldCharType="end"/>
        </w:r>
      </w:hyperlink>
    </w:p>
    <w:p w14:paraId="049B9EDB" w14:textId="404307CA" w:rsidR="00416169" w:rsidRDefault="00416169">
      <w:pPr>
        <w:pStyle w:val="TOC2"/>
        <w:rPr>
          <w:rFonts w:eastAsiaTheme="minorEastAsia"/>
          <w:bCs w:val="0"/>
          <w:color w:val="auto"/>
          <w:kern w:val="2"/>
          <w:sz w:val="24"/>
          <w:lang w:eastAsia="en-AU"/>
          <w14:ligatures w14:val="standardContextual"/>
        </w:rPr>
      </w:pPr>
      <w:hyperlink w:anchor="_Toc210229043" w:history="1">
        <w:r w:rsidRPr="003F4A90">
          <w:rPr>
            <w:rStyle w:val="Hyperlink"/>
          </w:rPr>
          <w:t>10. Demand forecasts</w:t>
        </w:r>
        <w:r>
          <w:rPr>
            <w:webHidden/>
          </w:rPr>
          <w:tab/>
        </w:r>
        <w:r>
          <w:rPr>
            <w:webHidden/>
          </w:rPr>
          <w:fldChar w:fldCharType="begin"/>
        </w:r>
        <w:r>
          <w:rPr>
            <w:webHidden/>
          </w:rPr>
          <w:instrText xml:space="preserve"> PAGEREF _Toc210229043 \h </w:instrText>
        </w:r>
        <w:r>
          <w:rPr>
            <w:webHidden/>
          </w:rPr>
        </w:r>
        <w:r>
          <w:rPr>
            <w:webHidden/>
          </w:rPr>
          <w:fldChar w:fldCharType="separate"/>
        </w:r>
        <w:r>
          <w:rPr>
            <w:webHidden/>
          </w:rPr>
          <w:t>186</w:t>
        </w:r>
        <w:r>
          <w:rPr>
            <w:webHidden/>
          </w:rPr>
          <w:fldChar w:fldCharType="end"/>
        </w:r>
      </w:hyperlink>
    </w:p>
    <w:p w14:paraId="6129EC3B" w14:textId="0817160D" w:rsidR="00416169" w:rsidRDefault="00416169">
      <w:pPr>
        <w:pStyle w:val="TOC2"/>
        <w:rPr>
          <w:rFonts w:eastAsiaTheme="minorEastAsia"/>
          <w:bCs w:val="0"/>
          <w:color w:val="auto"/>
          <w:kern w:val="2"/>
          <w:sz w:val="24"/>
          <w:lang w:eastAsia="en-AU"/>
          <w14:ligatures w14:val="standardContextual"/>
        </w:rPr>
      </w:pPr>
      <w:hyperlink w:anchor="_Toc210229044" w:history="1">
        <w:r w:rsidRPr="003F4A90">
          <w:rPr>
            <w:rStyle w:val="Hyperlink"/>
          </w:rPr>
          <w:t>11. Prices and tariffs</w:t>
        </w:r>
        <w:r>
          <w:rPr>
            <w:webHidden/>
          </w:rPr>
          <w:tab/>
        </w:r>
        <w:r>
          <w:rPr>
            <w:webHidden/>
          </w:rPr>
          <w:fldChar w:fldCharType="begin"/>
        </w:r>
        <w:r>
          <w:rPr>
            <w:webHidden/>
          </w:rPr>
          <w:instrText xml:space="preserve"> PAGEREF _Toc210229044 \h </w:instrText>
        </w:r>
        <w:r>
          <w:rPr>
            <w:webHidden/>
          </w:rPr>
        </w:r>
        <w:r>
          <w:rPr>
            <w:webHidden/>
          </w:rPr>
          <w:fldChar w:fldCharType="separate"/>
        </w:r>
        <w:r>
          <w:rPr>
            <w:webHidden/>
          </w:rPr>
          <w:t>200</w:t>
        </w:r>
        <w:r>
          <w:rPr>
            <w:webHidden/>
          </w:rPr>
          <w:fldChar w:fldCharType="end"/>
        </w:r>
      </w:hyperlink>
    </w:p>
    <w:p w14:paraId="205887E0" w14:textId="6960C19B" w:rsidR="00416169" w:rsidRDefault="00416169">
      <w:pPr>
        <w:pStyle w:val="TOC2"/>
        <w:rPr>
          <w:rFonts w:eastAsiaTheme="minorEastAsia"/>
          <w:bCs w:val="0"/>
          <w:color w:val="auto"/>
          <w:kern w:val="2"/>
          <w:sz w:val="24"/>
          <w:lang w:eastAsia="en-AU"/>
          <w14:ligatures w14:val="standardContextual"/>
        </w:rPr>
      </w:pPr>
      <w:hyperlink w:anchor="_Toc210229045" w:history="1">
        <w:r w:rsidRPr="003F4A90">
          <w:rPr>
            <w:rStyle w:val="Hyperlink"/>
          </w:rPr>
          <w:t>12. Financial position and non-prescribed services</w:t>
        </w:r>
        <w:r>
          <w:rPr>
            <w:webHidden/>
          </w:rPr>
          <w:tab/>
        </w:r>
        <w:r>
          <w:rPr>
            <w:webHidden/>
          </w:rPr>
          <w:fldChar w:fldCharType="begin"/>
        </w:r>
        <w:r>
          <w:rPr>
            <w:webHidden/>
          </w:rPr>
          <w:instrText xml:space="preserve"> PAGEREF _Toc210229045 \h </w:instrText>
        </w:r>
        <w:r>
          <w:rPr>
            <w:webHidden/>
          </w:rPr>
        </w:r>
        <w:r>
          <w:rPr>
            <w:webHidden/>
          </w:rPr>
          <w:fldChar w:fldCharType="separate"/>
        </w:r>
        <w:r>
          <w:rPr>
            <w:webHidden/>
          </w:rPr>
          <w:t>226</w:t>
        </w:r>
        <w:r>
          <w:rPr>
            <w:webHidden/>
          </w:rPr>
          <w:fldChar w:fldCharType="end"/>
        </w:r>
      </w:hyperlink>
    </w:p>
    <w:p w14:paraId="7F615A30" w14:textId="7F1873C3" w:rsidR="00416169" w:rsidRDefault="00416169">
      <w:pPr>
        <w:pStyle w:val="TOC1"/>
        <w:rPr>
          <w:rFonts w:asciiTheme="minorHAnsi" w:eastAsiaTheme="minorEastAsia" w:hAnsiTheme="minorHAnsi"/>
          <w:b w:val="0"/>
          <w:color w:val="auto"/>
          <w:kern w:val="2"/>
          <w:sz w:val="24"/>
          <w:lang w:val="en-AU" w:eastAsia="en-AU"/>
          <w14:ligatures w14:val="standardContextual"/>
        </w:rPr>
      </w:pPr>
      <w:hyperlink w:anchor="_Toc210229046" w:history="1">
        <w:r w:rsidRPr="003F4A90">
          <w:rPr>
            <w:rStyle w:val="Hyperlink"/>
          </w:rPr>
          <w:t>Part C – Appendices</w:t>
        </w:r>
        <w:r>
          <w:rPr>
            <w:webHidden/>
          </w:rPr>
          <w:tab/>
        </w:r>
        <w:r>
          <w:rPr>
            <w:webHidden/>
          </w:rPr>
          <w:fldChar w:fldCharType="begin"/>
        </w:r>
        <w:r>
          <w:rPr>
            <w:webHidden/>
          </w:rPr>
          <w:instrText xml:space="preserve"> PAGEREF _Toc210229046 \h </w:instrText>
        </w:r>
        <w:r>
          <w:rPr>
            <w:webHidden/>
          </w:rPr>
        </w:r>
        <w:r>
          <w:rPr>
            <w:webHidden/>
          </w:rPr>
          <w:fldChar w:fldCharType="separate"/>
        </w:r>
        <w:r>
          <w:rPr>
            <w:webHidden/>
          </w:rPr>
          <w:t>229</w:t>
        </w:r>
        <w:r>
          <w:rPr>
            <w:webHidden/>
          </w:rPr>
          <w:fldChar w:fldCharType="end"/>
        </w:r>
      </w:hyperlink>
    </w:p>
    <w:p w14:paraId="54CDDE05" w14:textId="62C36E6E" w:rsidR="00416169" w:rsidRDefault="00416169">
      <w:pPr>
        <w:pStyle w:val="TOC2"/>
        <w:rPr>
          <w:rFonts w:eastAsiaTheme="minorEastAsia"/>
          <w:bCs w:val="0"/>
          <w:color w:val="auto"/>
          <w:kern w:val="2"/>
          <w:sz w:val="24"/>
          <w:lang w:eastAsia="en-AU"/>
          <w14:ligatures w14:val="standardContextual"/>
        </w:rPr>
      </w:pPr>
      <w:hyperlink w:anchor="_Toc210229047" w:history="1">
        <w:r w:rsidRPr="003F4A90">
          <w:rPr>
            <w:rStyle w:val="Hyperlink"/>
          </w:rPr>
          <w:t>Appendix A: Water corporation summaries</w:t>
        </w:r>
        <w:r>
          <w:rPr>
            <w:webHidden/>
          </w:rPr>
          <w:tab/>
        </w:r>
        <w:r>
          <w:rPr>
            <w:webHidden/>
          </w:rPr>
          <w:fldChar w:fldCharType="begin"/>
        </w:r>
        <w:r>
          <w:rPr>
            <w:webHidden/>
          </w:rPr>
          <w:instrText xml:space="preserve"> PAGEREF _Toc210229047 \h </w:instrText>
        </w:r>
        <w:r>
          <w:rPr>
            <w:webHidden/>
          </w:rPr>
        </w:r>
        <w:r>
          <w:rPr>
            <w:webHidden/>
          </w:rPr>
          <w:fldChar w:fldCharType="separate"/>
        </w:r>
        <w:r>
          <w:rPr>
            <w:webHidden/>
          </w:rPr>
          <w:t>230</w:t>
        </w:r>
        <w:r>
          <w:rPr>
            <w:webHidden/>
          </w:rPr>
          <w:fldChar w:fldCharType="end"/>
        </w:r>
      </w:hyperlink>
    </w:p>
    <w:p w14:paraId="78CB45F2" w14:textId="3799CC4E" w:rsidR="00416169" w:rsidRDefault="00416169">
      <w:pPr>
        <w:pStyle w:val="TOC2"/>
        <w:rPr>
          <w:rFonts w:eastAsiaTheme="minorEastAsia"/>
          <w:bCs w:val="0"/>
          <w:color w:val="auto"/>
          <w:kern w:val="2"/>
          <w:sz w:val="24"/>
          <w:lang w:eastAsia="en-AU"/>
          <w14:ligatures w14:val="standardContextual"/>
        </w:rPr>
      </w:pPr>
      <w:hyperlink w:anchor="_Toc210229048" w:history="1">
        <w:r w:rsidRPr="003F4A90">
          <w:rPr>
            <w:rStyle w:val="Hyperlink"/>
          </w:rPr>
          <w:t>Appendix B: Outcomes measures and targets</w:t>
        </w:r>
        <w:r>
          <w:rPr>
            <w:webHidden/>
          </w:rPr>
          <w:tab/>
        </w:r>
        <w:r>
          <w:rPr>
            <w:webHidden/>
          </w:rPr>
          <w:fldChar w:fldCharType="begin"/>
        </w:r>
        <w:r>
          <w:rPr>
            <w:webHidden/>
          </w:rPr>
          <w:instrText xml:space="preserve"> PAGEREF _Toc210229048 \h </w:instrText>
        </w:r>
        <w:r>
          <w:rPr>
            <w:webHidden/>
          </w:rPr>
        </w:r>
        <w:r>
          <w:rPr>
            <w:webHidden/>
          </w:rPr>
          <w:fldChar w:fldCharType="separate"/>
        </w:r>
        <w:r>
          <w:rPr>
            <w:webHidden/>
          </w:rPr>
          <w:t>248</w:t>
        </w:r>
        <w:r>
          <w:rPr>
            <w:webHidden/>
          </w:rPr>
          <w:fldChar w:fldCharType="end"/>
        </w:r>
      </w:hyperlink>
    </w:p>
    <w:p w14:paraId="294756D7" w14:textId="7F0A9BB0" w:rsidR="00416169" w:rsidRDefault="00416169">
      <w:pPr>
        <w:pStyle w:val="TOC2"/>
        <w:rPr>
          <w:rFonts w:eastAsiaTheme="minorEastAsia"/>
          <w:bCs w:val="0"/>
          <w:color w:val="auto"/>
          <w:kern w:val="2"/>
          <w:sz w:val="24"/>
          <w:lang w:eastAsia="en-AU"/>
          <w14:ligatures w14:val="standardContextual"/>
        </w:rPr>
      </w:pPr>
      <w:hyperlink w:anchor="_Toc210229049" w:history="1">
        <w:r w:rsidRPr="003F4A90">
          <w:rPr>
            <w:rStyle w:val="Hyperlink"/>
          </w:rPr>
          <w:t>Appendix C: Major project delivery</w:t>
        </w:r>
        <w:r>
          <w:rPr>
            <w:webHidden/>
          </w:rPr>
          <w:tab/>
        </w:r>
        <w:r>
          <w:rPr>
            <w:webHidden/>
          </w:rPr>
          <w:fldChar w:fldCharType="begin"/>
        </w:r>
        <w:r>
          <w:rPr>
            <w:webHidden/>
          </w:rPr>
          <w:instrText xml:space="preserve"> PAGEREF _Toc210229049 \h </w:instrText>
        </w:r>
        <w:r>
          <w:rPr>
            <w:webHidden/>
          </w:rPr>
        </w:r>
        <w:r>
          <w:rPr>
            <w:webHidden/>
          </w:rPr>
          <w:fldChar w:fldCharType="separate"/>
        </w:r>
        <w:r>
          <w:rPr>
            <w:webHidden/>
          </w:rPr>
          <w:t>251</w:t>
        </w:r>
        <w:r>
          <w:rPr>
            <w:webHidden/>
          </w:rPr>
          <w:fldChar w:fldCharType="end"/>
        </w:r>
      </w:hyperlink>
    </w:p>
    <w:p w14:paraId="30DB4EBF" w14:textId="09B34635" w:rsidR="00416169" w:rsidRDefault="00416169">
      <w:pPr>
        <w:pStyle w:val="TOC2"/>
        <w:rPr>
          <w:rFonts w:eastAsiaTheme="minorEastAsia"/>
          <w:bCs w:val="0"/>
          <w:color w:val="auto"/>
          <w:kern w:val="2"/>
          <w:sz w:val="24"/>
          <w:lang w:eastAsia="en-AU"/>
          <w14:ligatures w14:val="standardContextual"/>
        </w:rPr>
      </w:pPr>
      <w:hyperlink w:anchor="_Toc210229050" w:history="1">
        <w:r w:rsidRPr="003F4A90">
          <w:rPr>
            <w:rStyle w:val="Hyperlink"/>
          </w:rPr>
          <w:t>Appendix D: Guaranteed Service Levels proposal</w:t>
        </w:r>
        <w:r>
          <w:rPr>
            <w:webHidden/>
          </w:rPr>
          <w:tab/>
        </w:r>
        <w:r>
          <w:rPr>
            <w:webHidden/>
          </w:rPr>
          <w:fldChar w:fldCharType="begin"/>
        </w:r>
        <w:r>
          <w:rPr>
            <w:webHidden/>
          </w:rPr>
          <w:instrText xml:space="preserve"> PAGEREF _Toc210229050 \h </w:instrText>
        </w:r>
        <w:r>
          <w:rPr>
            <w:webHidden/>
          </w:rPr>
        </w:r>
        <w:r>
          <w:rPr>
            <w:webHidden/>
          </w:rPr>
          <w:fldChar w:fldCharType="separate"/>
        </w:r>
        <w:r>
          <w:rPr>
            <w:webHidden/>
          </w:rPr>
          <w:t>262</w:t>
        </w:r>
        <w:r>
          <w:rPr>
            <w:webHidden/>
          </w:rPr>
          <w:fldChar w:fldCharType="end"/>
        </w:r>
      </w:hyperlink>
    </w:p>
    <w:p w14:paraId="5D4B9CA9" w14:textId="6868CAA7" w:rsidR="009704E4" w:rsidRPr="00DE108C" w:rsidRDefault="006A158F" w:rsidP="009704E4">
      <w:pPr>
        <w:pStyle w:val="BodyText"/>
        <w:rPr>
          <w:rFonts w:eastAsiaTheme="minorEastAsia"/>
        </w:rPr>
      </w:pPr>
      <w:r>
        <w:rPr>
          <w:rFonts w:eastAsiaTheme="minorEastAsia" w:cstheme="minorBidi"/>
          <w:noProof/>
          <w:sz w:val="18"/>
          <w:szCs w:val="18"/>
          <w:lang w:eastAsia="fr-CA"/>
        </w:rPr>
        <w:fldChar w:fldCharType="end"/>
      </w:r>
    </w:p>
    <w:p w14:paraId="6525C8AD" w14:textId="02C0B52B" w:rsidR="00642593" w:rsidRPr="00DE108C" w:rsidRDefault="00642593">
      <w:pPr>
        <w:spacing w:before="0" w:after="0" w:line="320" w:lineRule="atLeast"/>
        <w:rPr>
          <w:rFonts w:eastAsiaTheme="minorEastAsia"/>
        </w:rPr>
      </w:pPr>
      <w:r w:rsidRPr="00DE108C">
        <w:rPr>
          <w:rFonts w:eastAsiaTheme="minorEastAsia"/>
        </w:rPr>
        <w:br w:type="page"/>
      </w:r>
    </w:p>
    <w:p w14:paraId="35F2D504" w14:textId="3886CBED" w:rsidR="00642593" w:rsidRPr="00DE108C" w:rsidRDefault="00642593" w:rsidP="00713C19">
      <w:pPr>
        <w:pStyle w:val="TOC1"/>
        <w:rPr>
          <w:rFonts w:eastAsiaTheme="minorEastAsia"/>
        </w:rPr>
        <w:sectPr w:rsidR="00642593" w:rsidRPr="00DE108C" w:rsidSect="0031757D">
          <w:pgSz w:w="11906" w:h="16838" w:code="9"/>
          <w:pgMar w:top="1134" w:right="1134" w:bottom="1134" w:left="1134" w:header="567" w:footer="680" w:gutter="0"/>
          <w:pgNumType w:fmt="lowerRoman"/>
          <w:cols w:space="708"/>
          <w:docGrid w:linePitch="360"/>
        </w:sectPr>
      </w:pPr>
    </w:p>
    <w:p w14:paraId="12739598" w14:textId="23247036" w:rsidR="003557E0" w:rsidRPr="00C32666" w:rsidRDefault="00F17FFE" w:rsidP="00C32666">
      <w:pPr>
        <w:pStyle w:val="Title"/>
        <w:rPr>
          <w:color w:val="FFFFFF" w:themeColor="background1"/>
          <w:sz w:val="80"/>
          <w:szCs w:val="80"/>
        </w:rPr>
      </w:pPr>
      <w:bookmarkStart w:id="60" w:name="_Toc207892875"/>
      <w:bookmarkStart w:id="61" w:name="_Toc207853368"/>
      <w:bookmarkStart w:id="62" w:name="_Toc210229032"/>
      <w:r w:rsidRPr="00DE108C">
        <w:rPr>
          <w:noProof/>
          <w:color w:val="FFFFFF" w:themeColor="background1"/>
          <w:sz w:val="80"/>
          <w:szCs w:val="80"/>
        </w:rPr>
        <w:lastRenderedPageBreak/>
        <w:drawing>
          <wp:anchor distT="0" distB="0" distL="114300" distR="114300" simplePos="0" relativeHeight="251658250" behindDoc="1" locked="0" layoutInCell="1" allowOverlap="1" wp14:anchorId="5DA2FC3F" wp14:editId="7C272EBD">
            <wp:simplePos x="0" y="0"/>
            <wp:positionH relativeFrom="page">
              <wp:align>left</wp:align>
            </wp:positionH>
            <wp:positionV relativeFrom="page">
              <wp:posOffset>4445</wp:posOffset>
            </wp:positionV>
            <wp:extent cx="7628255" cy="10782300"/>
            <wp:effectExtent l="0" t="0" r="0" b="0"/>
            <wp:wrapNone/>
            <wp:docPr id="173577205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72055" name="Picture 8">
                      <a:extLst>
                        <a:ext uri="{C183D7F6-B498-43B3-948B-1728B52AA6E4}">
                          <adec:decorative xmlns:adec="http://schemas.microsoft.com/office/drawing/2017/decorative" val="1"/>
                        </a:ext>
                      </a:extLst>
                    </pic:cNvPr>
                    <pic:cNvPicPr/>
                  </pic:nvPicPr>
                  <pic:blipFill>
                    <a:blip r:embed="rId39" cstate="email">
                      <a:extLst>
                        <a:ext uri="{28A0092B-C50C-407E-A947-70E740481C1C}">
                          <a14:useLocalDpi xmlns:a14="http://schemas.microsoft.com/office/drawing/2010/main"/>
                        </a:ext>
                      </a:extLst>
                    </a:blip>
                    <a:stretch>
                      <a:fillRect/>
                    </a:stretch>
                  </pic:blipFill>
                  <pic:spPr>
                    <a:xfrm>
                      <a:off x="0" y="0"/>
                      <a:ext cx="7628255" cy="10782300"/>
                    </a:xfrm>
                    <a:prstGeom prst="rect">
                      <a:avLst/>
                    </a:prstGeom>
                  </pic:spPr>
                </pic:pic>
              </a:graphicData>
            </a:graphic>
            <wp14:sizeRelH relativeFrom="page">
              <wp14:pctWidth>0</wp14:pctWidth>
            </wp14:sizeRelH>
            <wp14:sizeRelV relativeFrom="page">
              <wp14:pctHeight>0</wp14:pctHeight>
            </wp14:sizeRelV>
          </wp:anchor>
        </w:drawing>
      </w:r>
      <w:r w:rsidR="003557E0" w:rsidRPr="00DE108C">
        <w:rPr>
          <w:color w:val="FFFFFF" w:themeColor="background1"/>
          <w:sz w:val="80"/>
          <w:szCs w:val="80"/>
        </w:rPr>
        <w:t>P</w:t>
      </w:r>
      <w:r w:rsidRPr="00DE108C">
        <w:rPr>
          <w:color w:val="FFFFFF" w:themeColor="background1"/>
          <w:sz w:val="80"/>
          <w:szCs w:val="80"/>
        </w:rPr>
        <w:t>art</w:t>
      </w:r>
      <w:r w:rsidR="003557E0" w:rsidRPr="00DE108C">
        <w:rPr>
          <w:color w:val="FFFFFF" w:themeColor="background1"/>
          <w:sz w:val="80"/>
          <w:szCs w:val="80"/>
        </w:rPr>
        <w:t xml:space="preserve"> A – PREMO</w:t>
      </w:r>
      <w:bookmarkEnd w:id="60"/>
      <w:bookmarkEnd w:id="61"/>
      <w:bookmarkEnd w:id="62"/>
    </w:p>
    <w:p w14:paraId="656E172E" w14:textId="77777777" w:rsidR="00767B75" w:rsidRPr="00DE108C" w:rsidRDefault="00767B75">
      <w:pPr>
        <w:rPr>
          <w:rFonts w:eastAsiaTheme="minorEastAsia"/>
        </w:rPr>
      </w:pPr>
    </w:p>
    <w:p w14:paraId="1467A5DB" w14:textId="77777777" w:rsidR="00767B75" w:rsidRPr="00DE108C" w:rsidRDefault="00767B75" w:rsidP="00BA6877">
      <w:pPr>
        <w:rPr>
          <w:rFonts w:eastAsiaTheme="majorEastAsia"/>
        </w:rPr>
      </w:pPr>
      <w:r w:rsidRPr="00DE108C">
        <w:br w:type="page"/>
      </w:r>
    </w:p>
    <w:bookmarkStart w:id="63" w:name="_Toc207892876"/>
    <w:bookmarkStart w:id="64" w:name="_Toc207853369"/>
    <w:bookmarkStart w:id="65" w:name="_Toc210229033"/>
    <w:p w14:paraId="1A654A52" w14:textId="088647BF" w:rsidR="00767B75" w:rsidRPr="00DE108C" w:rsidRDefault="00FA4200">
      <w:pPr>
        <w:pStyle w:val="Heading1"/>
        <w:rPr>
          <w:b w:val="0"/>
          <w:color w:val="231F20" w:themeColor="text1"/>
          <w:sz w:val="76"/>
          <w:szCs w:val="76"/>
        </w:rPr>
      </w:pPr>
      <w:r>
        <w:rPr>
          <w:noProof/>
        </w:rPr>
        <w:lastRenderedPageBreak/>
        <mc:AlternateContent>
          <mc:Choice Requires="wps">
            <w:drawing>
              <wp:anchor distT="45720" distB="45720" distL="114300" distR="114300" simplePos="0" relativeHeight="251658254" behindDoc="0" locked="0" layoutInCell="1" allowOverlap="1" wp14:anchorId="3E8D1004" wp14:editId="28D033CB">
                <wp:simplePos x="0" y="0"/>
                <wp:positionH relativeFrom="margin">
                  <wp:posOffset>0</wp:posOffset>
                </wp:positionH>
                <wp:positionV relativeFrom="margin">
                  <wp:posOffset>0</wp:posOffset>
                </wp:positionV>
                <wp:extent cx="4122000" cy="90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000" cy="907200"/>
                        </a:xfrm>
                        <a:prstGeom prst="rect">
                          <a:avLst/>
                        </a:prstGeom>
                        <a:noFill/>
                        <a:ln w="9525">
                          <a:noFill/>
                          <a:miter lim="800000"/>
                          <a:headEnd/>
                          <a:tailEnd/>
                        </a:ln>
                      </wps:spPr>
                      <wps:txbx>
                        <w:txbxContent>
                          <w:p w14:paraId="6E851886" w14:textId="02B493C7" w:rsidR="00FA4200" w:rsidRPr="00FA4200" w:rsidRDefault="00FA4200">
                            <w:pPr>
                              <w:rPr>
                                <w:color w:val="FFFFFF" w:themeColor="background1"/>
                                <w:sz w:val="80"/>
                                <w:szCs w:val="80"/>
                              </w:rPr>
                            </w:pPr>
                            <w:r w:rsidRPr="00FA4200">
                              <w:rPr>
                                <w:color w:val="FFFFFF" w:themeColor="background1"/>
                                <w:sz w:val="80"/>
                                <w:szCs w:val="80"/>
                              </w:rPr>
                              <w:t>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D1004" id="_x0000_s1035" type="#_x0000_t202" style="position:absolute;margin-left:0;margin-top:0;width:324.55pt;height:71.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" filled="f" stroked="f">
                <v:textbox>
                  <w:txbxContent>
                    <w:p w14:paraId="6E851886" w14:textId="02B493C7" w:rsidR="00FA4200" w:rsidRPr="00FA4200" w:rsidRDefault="00FA4200">
                      <w:pPr>
                        <w:rPr>
                          <w:color w:val="FFFFFF" w:themeColor="background1"/>
                          <w:sz w:val="80"/>
                          <w:szCs w:val="80"/>
                        </w:rPr>
                      </w:pPr>
                      <w:r w:rsidRPr="00FA4200">
                        <w:rPr>
                          <w:color w:val="FFFFFF" w:themeColor="background1"/>
                          <w:sz w:val="80"/>
                          <w:szCs w:val="80"/>
                        </w:rPr>
                        <w:t>Management</w:t>
                      </w:r>
                    </w:p>
                  </w:txbxContent>
                </v:textbox>
                <w10:wrap type="square" anchorx="margin" anchory="margin"/>
              </v:shape>
            </w:pict>
          </mc:Fallback>
        </mc:AlternateContent>
      </w:r>
      <w:r w:rsidR="009A7075" w:rsidRPr="00D81C49">
        <w:rPr>
          <w:b w:val="0"/>
          <w:bCs w:val="0"/>
          <w:noProof/>
          <w:color w:val="FFFFFF" w:themeColor="background1"/>
          <w:sz w:val="76"/>
          <w:szCs w:val="76"/>
        </w:rPr>
        <w:drawing>
          <wp:anchor distT="0" distB="0" distL="114300" distR="114300" simplePos="0" relativeHeight="251658251" behindDoc="0" locked="1" layoutInCell="1" allowOverlap="1" wp14:anchorId="016EC997" wp14:editId="3A015F93">
            <wp:simplePos x="0" y="0"/>
            <wp:positionH relativeFrom="page">
              <wp:align>left</wp:align>
            </wp:positionH>
            <wp:positionV relativeFrom="page">
              <wp:posOffset>-14605</wp:posOffset>
            </wp:positionV>
            <wp:extent cx="7559675" cy="10684510"/>
            <wp:effectExtent l="0" t="0" r="3175" b="2540"/>
            <wp:wrapNone/>
            <wp:docPr id="79474225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42250" name="Picture 8">
                      <a:extLst>
                        <a:ext uri="{C183D7F6-B498-43B3-948B-1728B52AA6E4}">
                          <adec:decorative xmlns:adec="http://schemas.microsoft.com/office/drawing/2017/decorative" val="1"/>
                        </a:ext>
                      </a:extLst>
                    </pic:cNvPr>
                    <pic:cNvPicPr/>
                  </pic:nvPicPr>
                  <pic:blipFill>
                    <a:blip r:embed="rId40" cstate="email">
                      <a:extLst>
                        <a:ext uri="{28A0092B-C50C-407E-A947-70E740481C1C}">
                          <a14:useLocalDpi xmlns:a14="http://schemas.microsoft.com/office/drawing/2010/main"/>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r w:rsidR="00767B75" w:rsidRPr="00D81C49">
        <w:rPr>
          <w:b w:val="0"/>
          <w:color w:val="FFFFFF" w:themeColor="background1"/>
          <w:sz w:val="76"/>
          <w:szCs w:val="76"/>
        </w:rPr>
        <w:t xml:space="preserve">1. </w:t>
      </w:r>
      <w:r w:rsidR="00767B75" w:rsidRPr="00DE108C">
        <w:rPr>
          <w:b w:val="0"/>
          <w:color w:val="FFFFFF" w:themeColor="background1"/>
          <w:sz w:val="76"/>
          <w:szCs w:val="76"/>
        </w:rPr>
        <w:t>Management</w:t>
      </w:r>
      <w:bookmarkEnd w:id="63"/>
      <w:bookmarkEnd w:id="64"/>
      <w:bookmarkEnd w:id="65"/>
    </w:p>
    <w:p w14:paraId="672D22F9" w14:textId="227F4BA9" w:rsidR="5F013AD7" w:rsidRPr="00DE108C" w:rsidRDefault="5F013AD7">
      <w:r w:rsidRPr="00DE108C">
        <w:br w:type="page"/>
      </w:r>
    </w:p>
    <w:p w14:paraId="3AE0F8E4" w14:textId="77777777" w:rsidR="00767B75" w:rsidRPr="00DE108C" w:rsidRDefault="00767B75" w:rsidP="005A5C6F">
      <w:pPr>
        <w:pStyle w:val="HighlightBoxHeading"/>
        <w:rPr>
          <w:rFonts w:eastAsiaTheme="minorEastAsia" w:cstheme="minorBidi"/>
          <w:b w:val="0"/>
          <w:sz w:val="22"/>
          <w:szCs w:val="22"/>
        </w:rPr>
      </w:pPr>
      <w:r w:rsidRPr="00DE108C">
        <w:rPr>
          <w:rFonts w:eastAsiaTheme="minorEastAsia"/>
        </w:rPr>
        <w:lastRenderedPageBreak/>
        <w:t>In Summary</w:t>
      </w:r>
    </w:p>
    <w:p w14:paraId="2C78E605" w14:textId="0D2A4482" w:rsidR="004D5413" w:rsidRPr="00DE108C" w:rsidRDefault="000C22FE" w:rsidP="004D5413">
      <w:pPr>
        <w:pStyle w:val="HighlightBoxBullet"/>
        <w:rPr>
          <w:rFonts w:eastAsia="Aptos" w:cs="Aptos"/>
        </w:rPr>
      </w:pPr>
      <w:r>
        <w:t>Our 2026 Price Submission (</w:t>
      </w:r>
      <w:r w:rsidR="004D5413" w:rsidRPr="00DE108C">
        <w:t>PS26</w:t>
      </w:r>
      <w:r>
        <w:t>)</w:t>
      </w:r>
      <w:r w:rsidR="004D5413" w:rsidRPr="00DE108C">
        <w:t xml:space="preserve"> reflects a robust and evidence-based planning process, grounded in strong engagement and collaboration with our community and water corporation customers</w:t>
      </w:r>
      <w:r w:rsidR="004D5413" w:rsidRPr="00DE108C">
        <w:rPr>
          <w:rFonts w:eastAsia="Aptos" w:cs="Aptos"/>
        </w:rPr>
        <w:t>.</w:t>
      </w:r>
    </w:p>
    <w:p w14:paraId="1EE0466E" w14:textId="77777777" w:rsidR="004D5413" w:rsidRPr="00DE108C" w:rsidRDefault="004D5413" w:rsidP="004D5413">
      <w:pPr>
        <w:pStyle w:val="HighlightBoxBullet"/>
        <w:rPr>
          <w:rFonts w:eastAsia="Verdana" w:cs="Verdana"/>
        </w:rPr>
      </w:pPr>
      <w:r w:rsidRPr="00DE108C">
        <w:t>We implemented a robust governance framework to guide the development of a customer-centric pricing proposal. This ensured accountability across all levels of our organisation, including our Board and Executive Leadership Group.</w:t>
      </w:r>
    </w:p>
    <w:p w14:paraId="1DA370C2" w14:textId="245F06B1" w:rsidR="004D5413" w:rsidRPr="00DE108C" w:rsidRDefault="004D5413" w:rsidP="004D5413">
      <w:pPr>
        <w:pStyle w:val="HighlightBoxBullet"/>
        <w:rPr>
          <w:rFonts w:eastAsia="Verdana" w:cs="Verdana"/>
        </w:rPr>
      </w:pPr>
      <w:r w:rsidRPr="00DE108C">
        <w:t>We have applied lessons learn</w:t>
      </w:r>
      <w:r w:rsidR="00E7119E">
        <w:t>t</w:t>
      </w:r>
      <w:r w:rsidRPr="00DE108C">
        <w:t xml:space="preserve"> from </w:t>
      </w:r>
      <w:r>
        <w:t xml:space="preserve">the 2021 </w:t>
      </w:r>
      <w:r w:rsidRPr="00DE108C">
        <w:t xml:space="preserve">Price Submission (PS21) to more deeply involve customers in the development of PS26 and to ensure transparency in decision making – all to ensure we deliver enduring value for our customers and communities. </w:t>
      </w:r>
    </w:p>
    <w:p w14:paraId="0150344A" w14:textId="16076448" w:rsidR="004D5413" w:rsidRPr="00DE108C" w:rsidRDefault="004D5413" w:rsidP="004D5413">
      <w:pPr>
        <w:pStyle w:val="HighlightBoxBullet"/>
        <w:rPr>
          <w:rFonts w:eastAsia="Verdana" w:cs="Verdana"/>
        </w:rPr>
      </w:pPr>
      <w:r w:rsidRPr="00DE108C">
        <w:rPr>
          <w:rFonts w:eastAsia="Verdana" w:cs="Verdana"/>
        </w:rPr>
        <w:t>We have applied</w:t>
      </w:r>
      <w:r w:rsidR="00F67A37">
        <w:rPr>
          <w:rFonts w:eastAsia="Verdana" w:cs="Verdana"/>
        </w:rPr>
        <w:t xml:space="preserve"> these</w:t>
      </w:r>
      <w:r w:rsidRPr="00DE108C">
        <w:rPr>
          <w:rFonts w:eastAsia="Verdana" w:cs="Verdana"/>
        </w:rPr>
        <w:t xml:space="preserve"> lessons to strengthen our analysis and frameworks to develop prudent and efficient expenditure forecasts for PS26.</w:t>
      </w:r>
    </w:p>
    <w:p w14:paraId="63B91925" w14:textId="56ADC64C" w:rsidR="00767B75" w:rsidRPr="00DE108C" w:rsidRDefault="00767B75" w:rsidP="005A5C6F">
      <w:pPr>
        <w:pStyle w:val="HighlightBoxBullet"/>
        <w:rPr>
          <w:rFonts w:eastAsia="Verdana" w:cs="Verdana"/>
        </w:rPr>
      </w:pPr>
      <w:r w:rsidRPr="00DE108C">
        <w:t>Our corporate strategy places customers at the heart of all we do – PS26 reflects that strategic positioning.</w:t>
      </w:r>
    </w:p>
    <w:p w14:paraId="3D3CCAB6" w14:textId="10FBF088" w:rsidR="00767B75" w:rsidRPr="00DE108C" w:rsidRDefault="00767B75" w:rsidP="005A5C6F">
      <w:pPr>
        <w:pStyle w:val="HighlightBoxBullet"/>
        <w:rPr>
          <w:rFonts w:eastAsiaTheme="minorEastAsia"/>
        </w:rPr>
      </w:pPr>
      <w:r w:rsidRPr="00DE108C">
        <w:t xml:space="preserve">For PS26 capital expenditure (capex) forecasts, major projects have a P50 forecast and undertake a Monte Carlo analysis incorporating contingency allowances adapted for the stage, complexity and scope of work. Business cases for the top 15 projects have been subject to independent review and are </w:t>
      </w:r>
      <w:r w:rsidRPr="00DE108C">
        <w:rPr>
          <w:rFonts w:eastAsiaTheme="minorEastAsia"/>
        </w:rPr>
        <w:t>available upon request.</w:t>
      </w:r>
    </w:p>
    <w:p w14:paraId="60397DAF" w14:textId="4211D5FF" w:rsidR="00767B75" w:rsidRPr="00DE108C" w:rsidRDefault="00767B75" w:rsidP="005A5C6F">
      <w:pPr>
        <w:pStyle w:val="HighlightBoxBullet"/>
      </w:pPr>
      <w:r w:rsidRPr="00DE108C">
        <w:t>Projects and programs have been refined to ensure they are deliverable. This has been tested at a project and program level and at a global whole-of-business level to ensure customers are only paying for what we can deliver in the period.</w:t>
      </w:r>
    </w:p>
    <w:p w14:paraId="18978D0D" w14:textId="77777777" w:rsidR="00767B75" w:rsidRPr="00DE108C" w:rsidRDefault="00767B75" w:rsidP="005A5C6F">
      <w:pPr>
        <w:pStyle w:val="HighlightBoxBullet"/>
        <w:rPr>
          <w:rFonts w:eastAsia="Verdana" w:cs="Verdana"/>
        </w:rPr>
      </w:pPr>
      <w:r w:rsidRPr="00DE108C">
        <w:t>Our capex program includes assumptions about incentives for efficiency savings, as specified in our external contracts.</w:t>
      </w:r>
    </w:p>
    <w:p w14:paraId="090AE379" w14:textId="77777777" w:rsidR="00767B75" w:rsidRPr="00DE108C" w:rsidRDefault="00767B75" w:rsidP="005A5C6F">
      <w:pPr>
        <w:pStyle w:val="HighlightBoxBullet"/>
      </w:pPr>
      <w:r w:rsidRPr="00DE108C">
        <w:t>Our operating expenditure (opex) profile includes a commitment to no net growth in operating cost outside of predefined steps. The opex efficiency rate of 2 per cent per annum outperforms the average rate of an ‘Advanced’ rated business at the 2023 water price review (of approximately 1.8 per cent per annum).</w:t>
      </w:r>
    </w:p>
    <w:p w14:paraId="09E106B0" w14:textId="215E4B90" w:rsidR="00767B75" w:rsidRPr="00DE108C" w:rsidRDefault="00767B75" w:rsidP="005A5C6F">
      <w:pPr>
        <w:pStyle w:val="HighlightBoxBullet"/>
        <w:rPr>
          <w:rFonts w:eastAsia="Verdana" w:cs="Verdana"/>
        </w:rPr>
      </w:pPr>
      <w:r w:rsidRPr="00DE108C">
        <w:t xml:space="preserve">Our PREMO self-assessment rating for Management is </w:t>
      </w:r>
      <w:r w:rsidRPr="004966F4">
        <w:rPr>
          <w:i/>
        </w:rPr>
        <w:t>‘Standard’</w:t>
      </w:r>
      <w:r w:rsidRPr="00DE108C">
        <w:t>.</w:t>
      </w:r>
    </w:p>
    <w:p w14:paraId="18CA4B29" w14:textId="77777777" w:rsidR="00767B75" w:rsidRPr="00DE108C" w:rsidRDefault="00767B75" w:rsidP="007B314D">
      <w:pPr>
        <w:rPr>
          <w:rFonts w:eastAsia="Aptos"/>
        </w:rPr>
      </w:pPr>
      <w:r w:rsidRPr="00DE108C">
        <w:rPr>
          <w:rFonts w:eastAsia="Aptos"/>
        </w:rPr>
        <w:t>Chapter 1 provides key insights into the process we have used to develop a quality submission, and the methodologies applied to develop prudent and efficient expenditure forecasts that also reflect strong commitments to efficiency and productivity improvement. The development of PS26 has been an ‘open book’ process involving our customers, key stakeholders, shareholder and regulators throughout.</w:t>
      </w:r>
    </w:p>
    <w:p w14:paraId="23B2175D" w14:textId="77777777" w:rsidR="00767B75" w:rsidRPr="00DE108C" w:rsidRDefault="00767B75" w:rsidP="007B314D">
      <w:pPr>
        <w:rPr>
          <w:rFonts w:eastAsia="Aptos"/>
        </w:rPr>
      </w:pPr>
      <w:r w:rsidRPr="00DE108C">
        <w:rPr>
          <w:rFonts w:eastAsia="Aptos"/>
        </w:rPr>
        <w:t>Melbourne Water has implemented comprehensive engagement, governance, assessment and assurance processes that allow us to attest to the quality of this submission and that prices reflect only prudent and efficient expenditure.</w:t>
      </w:r>
    </w:p>
    <w:p w14:paraId="02370D37" w14:textId="77777777" w:rsidR="00767B75" w:rsidRPr="00DE108C" w:rsidRDefault="00767B75" w:rsidP="007B314D">
      <w:pPr>
        <w:rPr>
          <w:rFonts w:eastAsia="Aptos"/>
        </w:rPr>
      </w:pPr>
      <w:r w:rsidRPr="00DE108C">
        <w:rPr>
          <w:rFonts w:eastAsia="Aptos"/>
        </w:rPr>
        <w:t>To support the Management assessment, the first part of this chapter explains the process Melbourne Water followed to produce a quality submission, including:</w:t>
      </w:r>
    </w:p>
    <w:p w14:paraId="15029837" w14:textId="77777777" w:rsidR="00767B75" w:rsidRPr="00DE108C" w:rsidRDefault="00767B75" w:rsidP="00274DB5">
      <w:pPr>
        <w:pStyle w:val="ListBullet"/>
        <w:rPr>
          <w:rFonts w:eastAsia="Aptos"/>
        </w:rPr>
      </w:pPr>
      <w:r w:rsidRPr="00DE108C">
        <w:rPr>
          <w:rFonts w:eastAsia="Aptos"/>
        </w:rPr>
        <w:lastRenderedPageBreak/>
        <w:t>the involvement of our executive and Board in the development and endorsement of PS26</w:t>
      </w:r>
    </w:p>
    <w:p w14:paraId="1F962BAC" w14:textId="77777777" w:rsidR="00767B75" w:rsidRPr="00DE108C" w:rsidRDefault="00767B75" w:rsidP="00274DB5">
      <w:pPr>
        <w:pStyle w:val="ListBullet"/>
        <w:rPr>
          <w:rFonts w:eastAsia="Aptos"/>
        </w:rPr>
      </w:pPr>
      <w:r w:rsidRPr="00DE108C">
        <w:rPr>
          <w:rFonts w:eastAsia="Aptos"/>
        </w:rPr>
        <w:t xml:space="preserve">learnings applied from PS21 </w:t>
      </w:r>
    </w:p>
    <w:p w14:paraId="5F16225D" w14:textId="77777777" w:rsidR="00767B75" w:rsidRPr="00DE108C" w:rsidRDefault="00767B75" w:rsidP="00274DB5">
      <w:pPr>
        <w:pStyle w:val="ListBullet"/>
        <w:rPr>
          <w:rFonts w:eastAsia="Aptos"/>
        </w:rPr>
      </w:pPr>
      <w:r w:rsidRPr="00DE108C">
        <w:rPr>
          <w:rFonts w:eastAsia="Aptos"/>
        </w:rPr>
        <w:t>the independent and thorough assurance process that was implemented for PS26.</w:t>
      </w:r>
    </w:p>
    <w:p w14:paraId="6F3126CE" w14:textId="414B5CCC" w:rsidR="00767B75" w:rsidRPr="00DE108C" w:rsidRDefault="00767B75" w:rsidP="007B314D">
      <w:pPr>
        <w:rPr>
          <w:rFonts w:eastAsia="Aptos"/>
        </w:rPr>
      </w:pPr>
      <w:r w:rsidRPr="00DE108C">
        <w:rPr>
          <w:rFonts w:eastAsia="Aptos"/>
        </w:rPr>
        <w:t>The chapter then outlines how our proposed prices reflect only prudent and efficient expenditure, including how we prioritised and refined our expenditure to ensure it is aligned to Outcomes, is deliverable and reflects commitments to efficiency and productivity improvements. The final part of this chapter provides our Management self-assessment rating.</w:t>
      </w:r>
    </w:p>
    <w:p w14:paraId="4BAAAD43" w14:textId="77777777" w:rsidR="00767B75" w:rsidRPr="00DE108C" w:rsidRDefault="00767B75" w:rsidP="007B314D">
      <w:pPr>
        <w:pStyle w:val="Heading2"/>
      </w:pPr>
      <w:bookmarkStart w:id="66" w:name="_Toc207892877"/>
      <w:bookmarkStart w:id="67" w:name="_Toc207853370"/>
      <w:r w:rsidRPr="00DE108C">
        <w:t>1.1 How we developed a quality submission</w:t>
      </w:r>
      <w:bookmarkEnd w:id="66"/>
      <w:bookmarkEnd w:id="67"/>
    </w:p>
    <w:p w14:paraId="6DC5CA10" w14:textId="77777777" w:rsidR="00767B75" w:rsidRPr="00DE108C" w:rsidRDefault="00767B75">
      <w:pPr>
        <w:pStyle w:val="Heading3"/>
      </w:pPr>
      <w:r w:rsidRPr="00DE108C">
        <w:t>1.1.1 Robust governance framework</w:t>
      </w:r>
    </w:p>
    <w:p w14:paraId="57E5C923" w14:textId="77777777" w:rsidR="00767B75" w:rsidRPr="00DE108C" w:rsidRDefault="00767B75" w:rsidP="007B314D">
      <w:r w:rsidRPr="00DE108C">
        <w:t xml:space="preserve">A robust governance framework guided the development of this submission, ensuring ownership and buy-in across all levels of our organisation. Incorporating insights from our ongoing engagement program was a key focus of this governance framework, with engagement recognised as an overarching workstream, to ensure that the proposals set out in this submission reflected the preferences and priorities of our customers. </w:t>
      </w:r>
    </w:p>
    <w:p w14:paraId="25623156" w14:textId="77777777" w:rsidR="00767B75" w:rsidRPr="00DE108C" w:rsidRDefault="00767B75" w:rsidP="007B314D">
      <w:r w:rsidRPr="00DE108C">
        <w:rPr>
          <w:rFonts w:eastAsia="Aptos"/>
        </w:rPr>
        <w:t xml:space="preserve">An overview of this process is provided in Figure </w:t>
      </w:r>
      <w:r w:rsidRPr="00DE108C">
        <w:t xml:space="preserve">1.1 </w:t>
      </w:r>
      <w:r w:rsidRPr="00DE108C">
        <w:rPr>
          <w:rFonts w:eastAsia="Aptos"/>
        </w:rPr>
        <w:t>and described in more detail below</w:t>
      </w:r>
      <w:r w:rsidRPr="00DE108C">
        <w:t>.</w:t>
      </w:r>
    </w:p>
    <w:p w14:paraId="430B801E" w14:textId="2C4745A2" w:rsidR="00767B75" w:rsidRPr="00DE108C" w:rsidRDefault="00767B75" w:rsidP="00094CD4">
      <w:pPr>
        <w:pStyle w:val="Caption"/>
      </w:pPr>
      <w:bookmarkStart w:id="68" w:name="_Toc207892968"/>
      <w:bookmarkStart w:id="69" w:name="_Toc208490497"/>
      <w:bookmarkStart w:id="70" w:name="_Toc208490835"/>
      <w:bookmarkStart w:id="71" w:name="_Toc208910993"/>
      <w:bookmarkStart w:id="72" w:name="_Toc210051300"/>
      <w:r w:rsidRPr="00DE108C">
        <w:t>Figure 1.1: Our internal governance framework</w:t>
      </w:r>
      <w:bookmarkEnd w:id="68"/>
      <w:bookmarkEnd w:id="69"/>
      <w:bookmarkEnd w:id="70"/>
      <w:bookmarkEnd w:id="71"/>
      <w:bookmarkEnd w:id="72"/>
      <w:r w:rsidRPr="00DE108C">
        <w:t xml:space="preserve"> </w:t>
      </w:r>
    </w:p>
    <w:p w14:paraId="2B3ECA81" w14:textId="77777777" w:rsidR="00767B75" w:rsidRPr="00DE108C" w:rsidRDefault="00767B75">
      <w:pPr>
        <w:pStyle w:val="BodyText"/>
      </w:pPr>
      <w:r w:rsidRPr="00DE108C">
        <w:rPr>
          <w:noProof/>
          <w14:ligatures w14:val="standardContextual"/>
        </w:rPr>
        <w:drawing>
          <wp:inline distT="0" distB="0" distL="0" distR="0" wp14:anchorId="1F38E11B" wp14:editId="39CF9CDA">
            <wp:extent cx="6559246" cy="3689497"/>
            <wp:effectExtent l="0" t="0" r="0" b="6350"/>
            <wp:docPr id="1570224685" name="Picture 4" descr="A diagram of the internal governance framework.&#10;&#10;MW business units were overseen by the PS26 program team and Senior Leadership Groups for Waterways and drainage and One Water.&#10;&#10;The PS26 Steering Committee oversaw the Program team and reported to the wider Executive Leadership Group.&#10;&#10;The Board oversaw the whole process including setting strategy and direction and attesting to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24685" name="Picture 4" descr="A diagram of the internal governance framework.&#10;&#10;MW business units were overseen by the PS26 program team and Senior Leadership Groups for Waterways and drainage and One Water.&#10;&#10;The PS26 Steering Committee oversaw the Program team and reported to the wider Executive Leadership Group.&#10;&#10;The Board oversaw the whole process including setting strategy and direction and attesting to the submission."/>
                    <pic:cNvPicPr/>
                  </pic:nvPicPr>
                  <pic:blipFill>
                    <a:blip r:embed="rId41">
                      <a:extLst>
                        <a:ext uri="{28A0092B-C50C-407E-A947-70E740481C1C}">
                          <a14:useLocalDpi xmlns:a14="http://schemas.microsoft.com/office/drawing/2010/main"/>
                        </a:ext>
                      </a:extLst>
                    </a:blip>
                    <a:stretch>
                      <a:fillRect/>
                    </a:stretch>
                  </pic:blipFill>
                  <pic:spPr>
                    <a:xfrm>
                      <a:off x="0" y="0"/>
                      <a:ext cx="6568354" cy="3694620"/>
                    </a:xfrm>
                    <a:prstGeom prst="rect">
                      <a:avLst/>
                    </a:prstGeom>
                  </pic:spPr>
                </pic:pic>
              </a:graphicData>
            </a:graphic>
          </wp:inline>
        </w:drawing>
      </w:r>
    </w:p>
    <w:p w14:paraId="22EB74E8" w14:textId="77777777" w:rsidR="00767B75" w:rsidRPr="00DE108C" w:rsidRDefault="00767B75">
      <w:pPr>
        <w:pStyle w:val="Heading4"/>
      </w:pPr>
      <w:bookmarkStart w:id="73" w:name="_Toc196745168"/>
      <w:r w:rsidRPr="00DE108C">
        <w:t>1.1.1.1 Board</w:t>
      </w:r>
      <w:bookmarkEnd w:id="73"/>
    </w:p>
    <w:p w14:paraId="3DF0AB0B" w14:textId="0CF7036C" w:rsidR="00767B75" w:rsidRPr="00DE108C" w:rsidRDefault="00767B75" w:rsidP="007B314D">
      <w:pPr>
        <w:rPr>
          <w:rFonts w:eastAsia="Aptos"/>
        </w:rPr>
      </w:pPr>
      <w:r w:rsidRPr="00DE108C">
        <w:rPr>
          <w:rFonts w:eastAsia="Aptos"/>
        </w:rPr>
        <w:t xml:space="preserve">Our Board played an active role in shaping and delivering a customer-centric strategy and risk appetite and applying learnings from PS21 to lay strong foundations for PS26 and driving the organisation to present a ‘best offer’ for our customers. The Board held strategic workshops in December 2023, December 2024, February 2025 and April 2025, focused on aligning the development of PS26 with Melbourne Water’s risk appetite, strategies and accounting for the </w:t>
      </w:r>
      <w:r w:rsidRPr="00DE108C">
        <w:rPr>
          <w:rFonts w:eastAsia="Aptos"/>
        </w:rPr>
        <w:lastRenderedPageBreak/>
        <w:t xml:space="preserve">engagement inputs. In addition, PS26 has been a standing agenda item at all Board meetings since </w:t>
      </w:r>
      <w:r w:rsidR="00B7565B">
        <w:rPr>
          <w:rFonts w:eastAsia="Aptos"/>
        </w:rPr>
        <w:t>December 2023</w:t>
      </w:r>
      <w:r w:rsidRPr="00DE108C">
        <w:rPr>
          <w:rFonts w:eastAsia="Aptos"/>
        </w:rPr>
        <w:t>, with key decisions made along the way.</w:t>
      </w:r>
    </w:p>
    <w:p w14:paraId="54DE98C4" w14:textId="77777777" w:rsidR="00767B75" w:rsidRPr="00DE108C" w:rsidRDefault="00767B75" w:rsidP="007B314D">
      <w:r w:rsidRPr="00DE108C">
        <w:t>The Board also took an active role in our community and stakeholder engagement by attending community deliberative panels and reviewing and contributing to our engagement materials.</w:t>
      </w:r>
    </w:p>
    <w:p w14:paraId="7A9773E3" w14:textId="77777777" w:rsidR="00767B75" w:rsidRPr="00DE108C" w:rsidRDefault="00767B75">
      <w:pPr>
        <w:pStyle w:val="Heading4"/>
      </w:pPr>
      <w:bookmarkStart w:id="74" w:name="_Toc196745169"/>
      <w:r w:rsidRPr="00DE108C">
        <w:t>1.1.1.2 The Executive Leadership Group</w:t>
      </w:r>
      <w:bookmarkEnd w:id="74"/>
    </w:p>
    <w:p w14:paraId="1F45BFC2" w14:textId="132B450A" w:rsidR="00767B75" w:rsidRPr="00DE108C" w:rsidRDefault="00767B75" w:rsidP="007B314D">
      <w:pPr>
        <w:rPr>
          <w:rFonts w:eastAsia="Aptos"/>
        </w:rPr>
      </w:pPr>
      <w:r w:rsidRPr="00DE108C">
        <w:t xml:space="preserve">An Executive Leadership Group </w:t>
      </w:r>
      <w:r w:rsidR="3FEE72D6">
        <w:t>(ELG)</w:t>
      </w:r>
      <w:r>
        <w:t xml:space="preserve"> </w:t>
      </w:r>
      <w:r w:rsidRPr="00DE108C">
        <w:t xml:space="preserve">has met twice monthly since May 2023 to oversee and steer the development of PS26. Detailed briefing materials were always provided </w:t>
      </w:r>
      <w:r w:rsidRPr="00DE108C">
        <w:rPr>
          <w:rFonts w:eastAsia="Aptos"/>
        </w:rPr>
        <w:t>for meetings to guide discussion and facilitate decisions.</w:t>
      </w:r>
    </w:p>
    <w:p w14:paraId="51DA255B" w14:textId="77777777" w:rsidR="00767B75" w:rsidRPr="00DE108C" w:rsidRDefault="00767B75" w:rsidP="007B314D">
      <w:pPr>
        <w:rPr>
          <w:rFonts w:eastAsia="Aptos"/>
        </w:rPr>
      </w:pPr>
      <w:r w:rsidRPr="00DE108C">
        <w:rPr>
          <w:rFonts w:eastAsia="Aptos"/>
        </w:rPr>
        <w:t xml:space="preserve">The ELG connected decision making across the corporation, embedded the learnings from PS21, and drove customer focus in Outcomes and investments. </w:t>
      </w:r>
    </w:p>
    <w:p w14:paraId="38D7F085" w14:textId="77777777" w:rsidR="00767B75" w:rsidRPr="00DE108C" w:rsidRDefault="00767B75" w:rsidP="007B314D">
      <w:pPr>
        <w:rPr>
          <w:rFonts w:eastAsia="Aptos"/>
        </w:rPr>
      </w:pPr>
      <w:r w:rsidRPr="00DE108C">
        <w:rPr>
          <w:rFonts w:eastAsia="Aptos"/>
        </w:rPr>
        <w:t>The ELG also played a leading role in community engagement.</w:t>
      </w:r>
    </w:p>
    <w:p w14:paraId="4F32FDB3" w14:textId="77777777" w:rsidR="00767B75" w:rsidRPr="00DE108C" w:rsidRDefault="00767B75">
      <w:pPr>
        <w:pStyle w:val="Heading4"/>
      </w:pPr>
      <w:bookmarkStart w:id="75" w:name="_Toc196745170"/>
      <w:r w:rsidRPr="00DE108C">
        <w:t xml:space="preserve">1.1.1.3 The Senior </w:t>
      </w:r>
      <w:bookmarkEnd w:id="75"/>
      <w:r w:rsidRPr="00DE108C">
        <w:t>Managers</w:t>
      </w:r>
    </w:p>
    <w:p w14:paraId="723B9EA1" w14:textId="448411C8" w:rsidR="00767B75" w:rsidRPr="00DE108C" w:rsidRDefault="00767B75" w:rsidP="007B314D">
      <w:r w:rsidRPr="00DE108C">
        <w:t xml:space="preserve">Managers and subject matter experts across our organisation were assigned as </w:t>
      </w:r>
      <w:r w:rsidR="6A73E59F">
        <w:t>l</w:t>
      </w:r>
      <w:r w:rsidRPr="00DE108C">
        <w:t xml:space="preserve">eads for respective elements of PS26, with weekly meetings held with dedicated Project Teams to review progress, resolve issues and escalate decisions to </w:t>
      </w:r>
      <w:r w:rsidR="2574ACC8">
        <w:t>ELG</w:t>
      </w:r>
      <w:r w:rsidRPr="00DE108C">
        <w:t xml:space="preserve">. We also employed a rigorous internal quality assurance approach that required managers and subject matter experts to review and verify all elements of PS26 before it was presented to our </w:t>
      </w:r>
      <w:r w:rsidR="56392F45">
        <w:t>ELG</w:t>
      </w:r>
      <w:r w:rsidRPr="00DE108C">
        <w:t xml:space="preserve"> for final review and to our Board for attestation.</w:t>
      </w:r>
    </w:p>
    <w:p w14:paraId="74418830" w14:textId="77777777" w:rsidR="00767B75" w:rsidRPr="00DE108C" w:rsidRDefault="00767B75">
      <w:pPr>
        <w:pStyle w:val="Heading4"/>
      </w:pPr>
      <w:bookmarkStart w:id="76" w:name="_Toc196745171"/>
      <w:r w:rsidRPr="00DE108C">
        <w:t>1.1.1.4 Staff</w:t>
      </w:r>
      <w:bookmarkEnd w:id="76"/>
    </w:p>
    <w:p w14:paraId="11128377" w14:textId="47A95212" w:rsidR="00767B75" w:rsidRPr="00DE108C" w:rsidRDefault="00767B75" w:rsidP="007B314D">
      <w:r w:rsidRPr="00DE108C">
        <w:t>We kept our people engaged throughout the process with a series of introductory interactive ‘</w:t>
      </w:r>
      <w:r w:rsidR="001E1A64">
        <w:t>L</w:t>
      </w:r>
      <w:r w:rsidRPr="00DE108C">
        <w:t xml:space="preserve">unch and learn’ webinars, </w:t>
      </w:r>
      <w:r w:rsidR="00E7631D" w:rsidRPr="00DE108C">
        <w:t>each</w:t>
      </w:r>
      <w:r w:rsidRPr="00DE108C">
        <w:t xml:space="preserve"> attended or viewed by over 1,000 staff, as well as regular internal news stories and discussions via our ‘Leaders Live’ forum.</w:t>
      </w:r>
    </w:p>
    <w:p w14:paraId="0E4A209C" w14:textId="6C1B6E8B" w:rsidR="00767B75" w:rsidRPr="00DE108C" w:rsidRDefault="00767B75">
      <w:pPr>
        <w:pStyle w:val="Heading3"/>
      </w:pPr>
      <w:bookmarkStart w:id="77" w:name="_Ref192500528"/>
      <w:bookmarkStart w:id="78" w:name="_Ref192500525"/>
      <w:bookmarkStart w:id="79" w:name="_Toc183623987"/>
      <w:bookmarkStart w:id="80" w:name="_Toc196745172"/>
      <w:bookmarkEnd w:id="77"/>
      <w:bookmarkEnd w:id="78"/>
      <w:r w:rsidRPr="00DE108C">
        <w:t>1.1.2 Attestation support</w:t>
      </w:r>
      <w:bookmarkEnd w:id="79"/>
      <w:bookmarkEnd w:id="80"/>
    </w:p>
    <w:p w14:paraId="4CD1B2E0" w14:textId="77777777" w:rsidR="00767B75" w:rsidRPr="00DE108C" w:rsidRDefault="00767B75" w:rsidP="007B314D">
      <w:r w:rsidRPr="00DE108C">
        <w:t xml:space="preserve">We engaged Frontier Economics to provide independent advice in support of the attestation process. The attestation workstream assisted in verifying and providing recommendations to improve the quality, accuracy and comprehensiveness of Melbourne Water’s PS26. This included: </w:t>
      </w:r>
    </w:p>
    <w:p w14:paraId="23C809AD" w14:textId="77777777" w:rsidR="00767B75" w:rsidRPr="00DE108C" w:rsidRDefault="00767B75" w:rsidP="00274DB5">
      <w:pPr>
        <w:pStyle w:val="ListBullet"/>
      </w:pPr>
      <w:r w:rsidRPr="00DE108C">
        <w:t xml:space="preserve">reviewing business cases for major projects and allocations, including against business case and expenditure forecasting guidelines </w:t>
      </w:r>
    </w:p>
    <w:p w14:paraId="4C280491" w14:textId="517FCCA4" w:rsidR="00767B75" w:rsidRPr="00DE108C" w:rsidRDefault="00767B75" w:rsidP="00274DB5">
      <w:pPr>
        <w:pStyle w:val="ListBullet"/>
      </w:pPr>
      <w:r w:rsidRPr="00DE108C">
        <w:t xml:space="preserve">assessing the submission to ensure it addressed the requirements of the ESC’s Guidance </w:t>
      </w:r>
    </w:p>
    <w:p w14:paraId="36441CE5" w14:textId="77777777" w:rsidR="00767B75" w:rsidRPr="00DE108C" w:rsidRDefault="00767B75" w:rsidP="00274DB5">
      <w:pPr>
        <w:pStyle w:val="ListBullet"/>
        <w:rPr>
          <w:rFonts w:eastAsia="Aptos" w:cs="Aptos"/>
        </w:rPr>
      </w:pPr>
      <w:r w:rsidRPr="00DE108C">
        <w:rPr>
          <w:rFonts w:eastAsia="Aptos" w:cs="Aptos"/>
        </w:rPr>
        <w:t>assessing pricing models and submission documentation to verify accuracy and consistency before submission</w:t>
      </w:r>
    </w:p>
    <w:p w14:paraId="6E155E72" w14:textId="77777777" w:rsidR="00767B75" w:rsidRPr="00DE108C" w:rsidRDefault="00767B75" w:rsidP="00274DB5">
      <w:pPr>
        <w:pStyle w:val="ListBullet"/>
      </w:pPr>
      <w:r w:rsidRPr="00DE108C">
        <w:t xml:space="preserve">providing advice on requirements and precedents regarding different levels of PREMO ambition. </w:t>
      </w:r>
    </w:p>
    <w:p w14:paraId="44D532C6" w14:textId="77777777" w:rsidR="00767B75" w:rsidRPr="00DE108C" w:rsidRDefault="00767B75" w:rsidP="007B314D">
      <w:r w:rsidRPr="00DE108C">
        <w:t>This approach helped maintain accountability and drive informed decision-making across all aspects of the PS26 development process.</w:t>
      </w:r>
    </w:p>
    <w:p w14:paraId="4209BD68" w14:textId="77777777" w:rsidR="00767B75" w:rsidRPr="00DE108C" w:rsidRDefault="00767B75">
      <w:pPr>
        <w:pStyle w:val="Heading3"/>
      </w:pPr>
      <w:bookmarkStart w:id="81" w:name="_Toc183623988"/>
      <w:bookmarkStart w:id="82" w:name="_Toc190876150"/>
      <w:bookmarkStart w:id="83" w:name="_Toc196745173"/>
      <w:r w:rsidRPr="00DE108C">
        <w:t>1.1.3 Incorporating lessons from PS21</w:t>
      </w:r>
      <w:bookmarkEnd w:id="81"/>
      <w:bookmarkEnd w:id="82"/>
      <w:bookmarkEnd w:id="83"/>
    </w:p>
    <w:p w14:paraId="0AB412B4" w14:textId="77777777" w:rsidR="00767B75" w:rsidRPr="00DE108C" w:rsidRDefault="00767B75" w:rsidP="007B314D">
      <w:r w:rsidRPr="00DE108C">
        <w:t>The ESC’s draft and final decisions on Melbourne Water’s PS21 provided valuable insights that we have used to shape the development of PS26. Key learnings and their influence on PS26 are summarised in Table 1.1.</w:t>
      </w:r>
    </w:p>
    <w:p w14:paraId="393E47A7" w14:textId="6D380BD8" w:rsidR="00767B75" w:rsidRPr="00DE108C" w:rsidRDefault="00767B75" w:rsidP="00DE65C4">
      <w:pPr>
        <w:pStyle w:val="Caption"/>
      </w:pPr>
      <w:bookmarkStart w:id="84" w:name="_Toc190878397"/>
      <w:bookmarkStart w:id="85" w:name="_Toc207892969"/>
      <w:bookmarkStart w:id="86" w:name="_Toc208490498"/>
      <w:bookmarkStart w:id="87" w:name="_Toc208490836"/>
      <w:bookmarkStart w:id="88" w:name="_Toc208910994"/>
      <w:bookmarkStart w:id="89" w:name="_Toc210051301"/>
      <w:r w:rsidRPr="00DE108C">
        <w:lastRenderedPageBreak/>
        <w:t xml:space="preserve">Table 1.1: Key learnings and </w:t>
      </w:r>
      <w:r w:rsidR="00047B8E" w:rsidRPr="00DE108C">
        <w:t xml:space="preserve">our </w:t>
      </w:r>
      <w:r w:rsidRPr="00DE108C">
        <w:t>response from PS21</w:t>
      </w:r>
      <w:bookmarkEnd w:id="84"/>
      <w:bookmarkEnd w:id="85"/>
      <w:bookmarkEnd w:id="86"/>
      <w:bookmarkEnd w:id="87"/>
      <w:bookmarkEnd w:id="88"/>
      <w:bookmarkEnd w:id="89"/>
    </w:p>
    <w:tbl>
      <w:tblPr>
        <w:tblStyle w:val="MWTableGrid"/>
        <w:tblW w:w="9016" w:type="dxa"/>
        <w:tblLayout w:type="fixed"/>
        <w:tblLook w:val="0420" w:firstRow="1" w:lastRow="0" w:firstColumn="0" w:lastColumn="0" w:noHBand="0" w:noVBand="1"/>
      </w:tblPr>
      <w:tblGrid>
        <w:gridCol w:w="1875"/>
        <w:gridCol w:w="7141"/>
      </w:tblGrid>
      <w:tr w:rsidR="005B2F07" w:rsidRPr="00DE108C" w14:paraId="1301EB5C" w14:textId="77777777" w:rsidTr="35762B23">
        <w:trPr>
          <w:cnfStyle w:val="100000000000" w:firstRow="1" w:lastRow="0" w:firstColumn="0" w:lastColumn="0" w:oddVBand="0" w:evenVBand="0" w:oddHBand="0" w:evenHBand="0" w:firstRowFirstColumn="0" w:firstRowLastColumn="0" w:lastRowFirstColumn="0" w:lastRowLastColumn="0"/>
          <w:cantSplit/>
        </w:trPr>
        <w:tc>
          <w:tcPr>
            <w:tcW w:w="1875" w:type="dxa"/>
          </w:tcPr>
          <w:p w14:paraId="254F975A" w14:textId="77777777" w:rsidR="00767B75" w:rsidRPr="00DE108C" w:rsidRDefault="00767B75" w:rsidP="00ED4468">
            <w:pPr>
              <w:pStyle w:val="TableHeading"/>
            </w:pPr>
            <w:r w:rsidRPr="00DE108C">
              <w:t>Theme</w:t>
            </w:r>
          </w:p>
        </w:tc>
        <w:tc>
          <w:tcPr>
            <w:tcW w:w="7141" w:type="dxa"/>
          </w:tcPr>
          <w:p w14:paraId="796E2EAF" w14:textId="277B0FD0" w:rsidR="00767B75" w:rsidRPr="00DE108C" w:rsidRDefault="00767B75" w:rsidP="00ED4468">
            <w:pPr>
              <w:pStyle w:val="TableHeading"/>
            </w:pPr>
            <w:r w:rsidRPr="00DE108C">
              <w:t>Key learnings</w:t>
            </w:r>
            <w:r w:rsidR="00047B8E" w:rsidRPr="00DE108C">
              <w:t xml:space="preserve"> and our </w:t>
            </w:r>
            <w:r w:rsidRPr="00DE108C">
              <w:t>response</w:t>
            </w:r>
          </w:p>
        </w:tc>
      </w:tr>
      <w:tr w:rsidR="00767B75" w:rsidRPr="00DE108C" w14:paraId="69B07E64" w14:textId="77777777" w:rsidTr="35762B23">
        <w:trPr>
          <w:cantSplit/>
        </w:trPr>
        <w:tc>
          <w:tcPr>
            <w:tcW w:w="1875" w:type="dxa"/>
          </w:tcPr>
          <w:p w14:paraId="4BAEDE98" w14:textId="77777777" w:rsidR="00767B75" w:rsidRPr="00DE108C" w:rsidRDefault="00767B75" w:rsidP="00ED4468">
            <w:pPr>
              <w:pStyle w:val="TableText"/>
            </w:pPr>
            <w:r w:rsidRPr="00DE108C">
              <w:t>Strengthened customer and community engagement</w:t>
            </w:r>
          </w:p>
        </w:tc>
        <w:tc>
          <w:tcPr>
            <w:tcW w:w="7141" w:type="dxa"/>
          </w:tcPr>
          <w:p w14:paraId="0E9E5393" w14:textId="77777777" w:rsidR="00767B75" w:rsidRPr="00DE108C" w:rsidRDefault="00767B75" w:rsidP="00ED4468">
            <w:pPr>
              <w:pStyle w:val="TableText"/>
            </w:pPr>
            <w:r w:rsidRPr="00DE108C">
              <w:t>The ESC’s decisions identified opportunities to deepen our understanding of customer preferences and integrate these insights more comprehensively into our plans.</w:t>
            </w:r>
          </w:p>
          <w:p w14:paraId="6AF8E685" w14:textId="35A42782" w:rsidR="00767B75" w:rsidRPr="00DE108C" w:rsidRDefault="00767B75" w:rsidP="00ED4468">
            <w:pPr>
              <w:pStyle w:val="TableText"/>
            </w:pPr>
            <w:r w:rsidRPr="00DE108C">
              <w:t>In response, we significantly expanded the scope and scale of our engagement efforts for PS26. We undertook extensive consultation with water corporations, end-use customers, community groups, partners, Traditional Owners and other stakeholders. This has ensured that customer values</w:t>
            </w:r>
            <w:r w:rsidR="44F0329E">
              <w:t>,</w:t>
            </w:r>
            <w:r w:rsidR="1F7465F3" w:rsidRPr="00DE108C">
              <w:t xml:space="preserve"> </w:t>
            </w:r>
            <w:r w:rsidRPr="00DE108C">
              <w:t>such</w:t>
            </w:r>
            <w:r w:rsidR="1F7465F3" w:rsidRPr="00DE108C">
              <w:t xml:space="preserve"> </w:t>
            </w:r>
            <w:r w:rsidRPr="00DE108C">
              <w:t>as safe and reliable services, affordability, resilience, equity and environmental sustainability</w:t>
            </w:r>
            <w:r w:rsidR="43BC1C41">
              <w:t>,</w:t>
            </w:r>
            <w:r w:rsidR="7D9D87F9">
              <w:t xml:space="preserve"> </w:t>
            </w:r>
            <w:r w:rsidRPr="00DE108C">
              <w:t>are at the core of PS26, making it strongly aligned to agreed Outcomes.</w:t>
            </w:r>
          </w:p>
        </w:tc>
      </w:tr>
      <w:tr w:rsidR="005B2F07" w:rsidRPr="00DE108C" w14:paraId="5C588281" w14:textId="77777777" w:rsidTr="35762B23">
        <w:trPr>
          <w:cnfStyle w:val="000000010000" w:firstRow="0" w:lastRow="0" w:firstColumn="0" w:lastColumn="0" w:oddVBand="0" w:evenVBand="0" w:oddHBand="0" w:evenHBand="1" w:firstRowFirstColumn="0" w:firstRowLastColumn="0" w:lastRowFirstColumn="0" w:lastRowLastColumn="0"/>
          <w:cantSplit/>
        </w:trPr>
        <w:tc>
          <w:tcPr>
            <w:tcW w:w="1875" w:type="dxa"/>
          </w:tcPr>
          <w:p w14:paraId="32EDA8C2" w14:textId="77777777" w:rsidR="00767B75" w:rsidRPr="00DE108C" w:rsidRDefault="00767B75" w:rsidP="00ED4468">
            <w:pPr>
              <w:pStyle w:val="TableText"/>
            </w:pPr>
            <w:r w:rsidRPr="00DE108C">
              <w:t>Demonstrating value for customers</w:t>
            </w:r>
          </w:p>
        </w:tc>
        <w:tc>
          <w:tcPr>
            <w:tcW w:w="7141" w:type="dxa"/>
          </w:tcPr>
          <w:p w14:paraId="626FD990" w14:textId="7048CDB6" w:rsidR="00767B75" w:rsidRPr="00DE108C" w:rsidRDefault="00767B75" w:rsidP="00ED4468">
            <w:pPr>
              <w:pStyle w:val="TableText"/>
            </w:pPr>
            <w:r w:rsidRPr="00DE108C">
              <w:rPr>
                <w:rFonts w:eastAsia="Aptos" w:cs="Aptos"/>
              </w:rPr>
              <w:t>The decisions highlighted the need for Melbourne Water to better demonstrate value for money in its proposals.</w:t>
            </w:r>
            <w:r w:rsidRPr="00DE108C">
              <w:t xml:space="preserve"> This included ensuring that investments were not only prudent and efficient</w:t>
            </w:r>
            <w:r w:rsidR="52787173">
              <w:t>,</w:t>
            </w:r>
            <w:r w:rsidRPr="00DE108C">
              <w:t xml:space="preserve"> but also clearly linked to tangible customer benefits.</w:t>
            </w:r>
          </w:p>
          <w:p w14:paraId="77FA6744" w14:textId="354BAEEF" w:rsidR="00767B75" w:rsidRPr="00DE108C" w:rsidRDefault="00767B75" w:rsidP="00ED4468">
            <w:pPr>
              <w:pStyle w:val="TableText"/>
            </w:pPr>
            <w:r w:rsidRPr="00DE108C">
              <w:t xml:space="preserve">For PS26, we have simplified our proposed Outcomes and clearly linked our investments to these. We recognise that, as a bulk supplier of water and sewerage services and provider of waterways and drainage services, our assets are designed to last and shape urban development. </w:t>
            </w:r>
            <w:r w:rsidR="00A3F633">
              <w:t>Therefore</w:t>
            </w:r>
            <w:r w:rsidRPr="00DE108C">
              <w:t>, we have strengthened our focus on collaborative long-term planning to ensure that our investments balance immediate price impacts with long-term price stability and intergenerational equity</w:t>
            </w:r>
            <w:r w:rsidR="00376610">
              <w:t xml:space="preserve"> </w:t>
            </w:r>
            <w:r w:rsidRPr="00DE108C">
              <w:t>and deliver the Outcomes our customers expect.</w:t>
            </w:r>
          </w:p>
        </w:tc>
      </w:tr>
      <w:tr w:rsidR="00767B75" w:rsidRPr="00DE108C" w14:paraId="6E281180" w14:textId="77777777" w:rsidTr="35762B23">
        <w:trPr>
          <w:cantSplit/>
        </w:trPr>
        <w:tc>
          <w:tcPr>
            <w:tcW w:w="1875" w:type="dxa"/>
          </w:tcPr>
          <w:p w14:paraId="155B0519" w14:textId="6C907D6E" w:rsidR="00767B75" w:rsidRPr="00DE108C" w:rsidRDefault="00767B75" w:rsidP="00ED4468">
            <w:pPr>
              <w:pStyle w:val="TableText"/>
            </w:pPr>
            <w:r w:rsidRPr="00DE108C">
              <w:t>Balancing risk and deliverability</w:t>
            </w:r>
          </w:p>
        </w:tc>
        <w:tc>
          <w:tcPr>
            <w:tcW w:w="7141" w:type="dxa"/>
          </w:tcPr>
          <w:p w14:paraId="5FDF5264" w14:textId="77777777" w:rsidR="00767B75" w:rsidRPr="00DE108C" w:rsidRDefault="00767B75" w:rsidP="00ED4468">
            <w:pPr>
              <w:pStyle w:val="TableText"/>
            </w:pPr>
            <w:r w:rsidRPr="00DE108C">
              <w:t>The ESC expressed concerns about the scale and deliverability of the PS21 capital program, particularly given the inherent risks associated with large-scale projects.</w:t>
            </w:r>
          </w:p>
          <w:p w14:paraId="1568BD04" w14:textId="77777777" w:rsidR="00767B75" w:rsidRPr="00DE108C" w:rsidRDefault="00767B75" w:rsidP="00ED4468">
            <w:pPr>
              <w:pStyle w:val="TableText"/>
            </w:pPr>
            <w:r w:rsidRPr="00DE108C">
              <w:t>For PS26, we conducted a detailed deliverability assessment to ensure our proposed program is realistic and achievable</w:t>
            </w:r>
            <w:r w:rsidRPr="00DE108C">
              <w:rPr>
                <w:rFonts w:eastAsia="Aptos" w:cs="Aptos"/>
              </w:rPr>
              <w:t>. This assessment includes careful project sequencing, rigorous risk management and leveraging market insights to validate our capacity to deliver</w:t>
            </w:r>
            <w:r w:rsidRPr="00DE108C">
              <w:t>. Additionally, we have adopted a more balanced approach to managing risk, retaining risks internally where possible.</w:t>
            </w:r>
          </w:p>
        </w:tc>
      </w:tr>
      <w:tr w:rsidR="005B2F07" w:rsidRPr="00DE108C" w14:paraId="0B6943BA" w14:textId="77777777" w:rsidTr="35762B23">
        <w:trPr>
          <w:cnfStyle w:val="000000010000" w:firstRow="0" w:lastRow="0" w:firstColumn="0" w:lastColumn="0" w:oddVBand="0" w:evenVBand="0" w:oddHBand="0" w:evenHBand="1" w:firstRowFirstColumn="0" w:firstRowLastColumn="0" w:lastRowFirstColumn="0" w:lastRowLastColumn="0"/>
          <w:cantSplit/>
        </w:trPr>
        <w:tc>
          <w:tcPr>
            <w:tcW w:w="1875" w:type="dxa"/>
          </w:tcPr>
          <w:p w14:paraId="12344D8B" w14:textId="77777777" w:rsidR="00767B75" w:rsidRPr="00DE108C" w:rsidRDefault="00767B75" w:rsidP="00ED4468">
            <w:pPr>
              <w:pStyle w:val="TableText"/>
            </w:pPr>
            <w:r w:rsidRPr="00DE108C">
              <w:t>Managing cost of living pressures</w:t>
            </w:r>
          </w:p>
        </w:tc>
        <w:tc>
          <w:tcPr>
            <w:tcW w:w="7141" w:type="dxa"/>
          </w:tcPr>
          <w:p w14:paraId="7B8F92A7" w14:textId="77777777" w:rsidR="00767B75" w:rsidRPr="00DE108C" w:rsidRDefault="00767B75" w:rsidP="00ED4468">
            <w:pPr>
              <w:pStyle w:val="TableText"/>
              <w:rPr>
                <w:rFonts w:eastAsia="Aptos" w:cs="Aptos"/>
              </w:rPr>
            </w:pPr>
            <w:r w:rsidRPr="00DE108C">
              <w:rPr>
                <w:rFonts w:eastAsia="Aptos" w:cs="Aptos"/>
              </w:rPr>
              <w:t>The decisions highlighted the need for Melbourne Water to account for the rising cost of living and to balance investment in safe and reliable services against the need to minimise financial impacts on customers, particularly those experiencing vulnerability.</w:t>
            </w:r>
          </w:p>
          <w:p w14:paraId="4DFA039C" w14:textId="79D441F4" w:rsidR="00767B75" w:rsidRPr="00DE108C" w:rsidRDefault="00767B75" w:rsidP="00ED4468">
            <w:pPr>
              <w:pStyle w:val="TableText"/>
            </w:pPr>
            <w:r w:rsidRPr="00DE108C">
              <w:t xml:space="preserve">Our approach includes smoothing price increases over time, placing more revenue at risk and working with our partners to enhance the support our sector provides to customers experiencing financial hardship. </w:t>
            </w:r>
          </w:p>
        </w:tc>
      </w:tr>
      <w:tr w:rsidR="00767B75" w:rsidRPr="00DE108C" w14:paraId="6642887F" w14:textId="77777777" w:rsidTr="35762B23">
        <w:trPr>
          <w:cantSplit/>
          <w:trHeight w:val="3986"/>
        </w:trPr>
        <w:tc>
          <w:tcPr>
            <w:tcW w:w="1875" w:type="dxa"/>
          </w:tcPr>
          <w:p w14:paraId="6057F80E" w14:textId="77777777" w:rsidR="00767B75" w:rsidRPr="00DE108C" w:rsidRDefault="00767B75" w:rsidP="00ED4468">
            <w:pPr>
              <w:pStyle w:val="TableText"/>
            </w:pPr>
            <w:r w:rsidRPr="00DE108C">
              <w:lastRenderedPageBreak/>
              <w:t>Improving transparency and governance</w:t>
            </w:r>
          </w:p>
        </w:tc>
        <w:tc>
          <w:tcPr>
            <w:tcW w:w="7141" w:type="dxa"/>
          </w:tcPr>
          <w:p w14:paraId="29D427D9" w14:textId="77777777" w:rsidR="00767B75" w:rsidRPr="00DE108C" w:rsidRDefault="00767B75" w:rsidP="00ED4468">
            <w:pPr>
              <w:pStyle w:val="TableText"/>
            </w:pPr>
            <w:r w:rsidRPr="00DE108C">
              <w:t>The decisions encouraged greater transparency in how investment decisions were made, including clearer links between proposed expenditures and outcomes for customers.</w:t>
            </w:r>
          </w:p>
          <w:p w14:paraId="4B0985D9" w14:textId="77777777" w:rsidR="00767B75" w:rsidRPr="00DE108C" w:rsidRDefault="00767B75" w:rsidP="00ED4468">
            <w:pPr>
              <w:pStyle w:val="TableText"/>
            </w:pPr>
            <w:r w:rsidRPr="00DE108C">
              <w:t xml:space="preserve">We have transparently reported our progress and the decisions we are making, including through our first Public Playback. This is consistent with a ‘no surprises’ approach for our stakeholders, customers and the communities we serve. </w:t>
            </w:r>
          </w:p>
          <w:p w14:paraId="4760C3C0" w14:textId="2068BFAD" w:rsidR="00767B75" w:rsidRPr="00DE108C" w:rsidRDefault="00767B75" w:rsidP="00ED4468">
            <w:pPr>
              <w:pStyle w:val="TableText"/>
            </w:pPr>
            <w:r w:rsidRPr="00DE108C">
              <w:t>In consultation with our customers, we have simplified our Outcomes – linking them to each of the core services we provide. This means that any customer, whether a water corporation, end</w:t>
            </w:r>
            <w:r w:rsidR="008160C0">
              <w:t>-</w:t>
            </w:r>
            <w:r w:rsidRPr="00DE108C">
              <w:t>user or stakeholder, can easily understand our commitments. More importantly, everyone can understand how we are performing against these commitments during the period, the actions we are taking to address any underperformance and how we have re-prioritised. We have enhanced the transparency of our planning and governance processes, providing clear, evidence-based justification for all proposed investments. This includes detailed business cases for major projects and a robust stage-gate framework to manage and prioritise investments.</w:t>
            </w:r>
          </w:p>
        </w:tc>
      </w:tr>
      <w:tr w:rsidR="005B2F07" w:rsidRPr="00DE108C" w14:paraId="50D6F22A" w14:textId="77777777" w:rsidTr="35762B23">
        <w:trPr>
          <w:cnfStyle w:val="000000010000" w:firstRow="0" w:lastRow="0" w:firstColumn="0" w:lastColumn="0" w:oddVBand="0" w:evenVBand="0" w:oddHBand="0" w:evenHBand="1" w:firstRowFirstColumn="0" w:firstRowLastColumn="0" w:lastRowFirstColumn="0" w:lastRowLastColumn="0"/>
          <w:cantSplit/>
        </w:trPr>
        <w:tc>
          <w:tcPr>
            <w:tcW w:w="1875" w:type="dxa"/>
          </w:tcPr>
          <w:p w14:paraId="217B519F" w14:textId="77777777" w:rsidR="00767B75" w:rsidRPr="00DE108C" w:rsidRDefault="00767B75" w:rsidP="00ED4468">
            <w:pPr>
              <w:pStyle w:val="TableText"/>
            </w:pPr>
            <w:r w:rsidRPr="00DE108C">
              <w:t>Focus on environmental sustainability and resilience</w:t>
            </w:r>
          </w:p>
        </w:tc>
        <w:tc>
          <w:tcPr>
            <w:tcW w:w="7141" w:type="dxa"/>
          </w:tcPr>
          <w:p w14:paraId="12F7004E" w14:textId="431423B0" w:rsidR="00767B75" w:rsidRPr="00DE108C" w:rsidRDefault="00767B75" w:rsidP="00ED4468">
            <w:pPr>
              <w:pStyle w:val="TableText"/>
            </w:pPr>
            <w:r w:rsidRPr="00DE108C">
              <w:t>The decisions acknowledged the importance of sustainability and resilience in our proposals</w:t>
            </w:r>
            <w:r w:rsidR="0571B65E">
              <w:t>,</w:t>
            </w:r>
            <w:r w:rsidRPr="00DE108C">
              <w:t xml:space="preserve"> but called for stronger integration of these elements into our decision-making.</w:t>
            </w:r>
          </w:p>
          <w:p w14:paraId="28D36503" w14:textId="13C77468" w:rsidR="00767B75" w:rsidRPr="00DE108C" w:rsidRDefault="00767B75" w:rsidP="00ED4468">
            <w:pPr>
              <w:pStyle w:val="TableText"/>
            </w:pPr>
            <w:r w:rsidRPr="00DE108C">
              <w:t xml:space="preserve">Consistent with the decisions and our corporate strategy, we have elevated resilience and sustainability as guiding principles in PS26. This includes actions required to transition our services to be </w:t>
            </w:r>
            <w:r w:rsidR="05F4EDB5">
              <w:t>n</w:t>
            </w:r>
            <w:r>
              <w:t xml:space="preserve">et </w:t>
            </w:r>
            <w:r w:rsidR="655DC50D">
              <w:t>z</w:t>
            </w:r>
            <w:r w:rsidRPr="00DE108C">
              <w:t>ero and to build resilience in the face of climate change and climate variability. This aligns with customer and community expectations that Melbourne Water should proactively plan for reliable services and a more sustainable future.</w:t>
            </w:r>
          </w:p>
        </w:tc>
      </w:tr>
    </w:tbl>
    <w:p w14:paraId="6115196F" w14:textId="77777777" w:rsidR="00767B75" w:rsidRPr="00DE108C" w:rsidRDefault="00767B75"/>
    <w:p w14:paraId="017DB1E9" w14:textId="77777777" w:rsidR="00767B75" w:rsidRPr="00DE108C" w:rsidRDefault="00767B75">
      <w:pPr>
        <w:pStyle w:val="Heading3"/>
      </w:pPr>
      <w:r w:rsidRPr="00DE108C">
        <w:t>1.1.4 Ensuring strategic alignment to corporate plans</w:t>
      </w:r>
    </w:p>
    <w:p w14:paraId="4E1EF16A" w14:textId="2B155E9E" w:rsidR="00767B75" w:rsidRPr="00DE108C" w:rsidRDefault="00767B75" w:rsidP="00BC1F3F">
      <w:pPr>
        <w:rPr>
          <w:rFonts w:eastAsia="Aptos"/>
        </w:rPr>
      </w:pPr>
      <w:r w:rsidRPr="00DE108C">
        <w:rPr>
          <w:rFonts w:eastAsia="Aptos"/>
        </w:rPr>
        <w:t xml:space="preserve">An early step in the development of </w:t>
      </w:r>
      <w:r w:rsidR="00044094">
        <w:rPr>
          <w:rFonts w:eastAsia="Aptos"/>
        </w:rPr>
        <w:t>this</w:t>
      </w:r>
      <w:r w:rsidRPr="00DE108C">
        <w:rPr>
          <w:rFonts w:eastAsia="Aptos"/>
        </w:rPr>
        <w:t xml:space="preserve"> submission was to ensure that it aligned with Melbourne Water’s own strategy.</w:t>
      </w:r>
    </w:p>
    <w:p w14:paraId="14204B13" w14:textId="1F9D1BF7" w:rsidR="00767B75" w:rsidRPr="00DE108C" w:rsidRDefault="00767B75" w:rsidP="00BC1F3F">
      <w:r w:rsidRPr="00DE108C">
        <w:t xml:space="preserve">Melbourne Water is committed to ‘enhancing life and liveability’ for the </w:t>
      </w:r>
      <w:r w:rsidR="6EF79027">
        <w:t>G</w:t>
      </w:r>
      <w:r w:rsidRPr="00DE108C">
        <w:t>reater Melbourne region. Our Strategy identifies three Strategic Goals, which outline how we:</w:t>
      </w:r>
    </w:p>
    <w:p w14:paraId="35ECD57F" w14:textId="77777777" w:rsidR="00767B75" w:rsidRPr="00DE108C" w:rsidRDefault="00767B75" w:rsidP="00BC1F3F">
      <w:pPr>
        <w:pStyle w:val="ListBullet"/>
      </w:pPr>
      <w:r w:rsidRPr="00DE108C">
        <w:t xml:space="preserve">work to build </w:t>
      </w:r>
      <w:r w:rsidRPr="00DE108C">
        <w:rPr>
          <w:b/>
          <w:bCs/>
          <w:color w:val="75BB19" w:themeColor="accent4"/>
        </w:rPr>
        <w:t>Resilience</w:t>
      </w:r>
      <w:r w:rsidRPr="00DE108C">
        <w:rPr>
          <w:color w:val="75BB19" w:themeColor="accent4"/>
        </w:rPr>
        <w:t xml:space="preserve"> </w:t>
      </w:r>
      <w:r w:rsidRPr="00DE108C">
        <w:t>in and strengthen our services </w:t>
      </w:r>
    </w:p>
    <w:p w14:paraId="59C72873" w14:textId="77777777" w:rsidR="00767B75" w:rsidRPr="00DE108C" w:rsidRDefault="00767B75" w:rsidP="00BC1F3F">
      <w:pPr>
        <w:pStyle w:val="ListBullet"/>
      </w:pPr>
      <w:r w:rsidRPr="00DE108C">
        <w:t xml:space="preserve">work proactively to </w:t>
      </w:r>
      <w:r w:rsidRPr="00DE108C">
        <w:rPr>
          <w:b/>
          <w:bCs/>
          <w:color w:val="F0AB00" w:themeColor="accent6"/>
        </w:rPr>
        <w:t xml:space="preserve">Transition </w:t>
      </w:r>
      <w:r w:rsidRPr="00DE108C">
        <w:t>our systems to manage future challenges and demands</w:t>
      </w:r>
    </w:p>
    <w:p w14:paraId="4867B046" w14:textId="305B1E6D" w:rsidR="00767B75" w:rsidRPr="00DE108C" w:rsidRDefault="00767B75" w:rsidP="00BC1F3F">
      <w:pPr>
        <w:pStyle w:val="ListBullet"/>
      </w:pPr>
      <w:r w:rsidRPr="00DE108C">
        <w:t xml:space="preserve">work in </w:t>
      </w:r>
      <w:r w:rsidRPr="00DE108C">
        <w:rPr>
          <w:b/>
          <w:bCs/>
          <w:color w:val="0092D7" w:themeColor="accent2"/>
        </w:rPr>
        <w:t>Partnership</w:t>
      </w:r>
      <w:r w:rsidRPr="00DE108C">
        <w:t xml:space="preserve"> with other </w:t>
      </w:r>
      <w:r>
        <w:t>organisation</w:t>
      </w:r>
      <w:r w:rsidR="0B7120C1">
        <w:t>s</w:t>
      </w:r>
      <w:r w:rsidRPr="00DE108C">
        <w:t xml:space="preserve"> to support a thriving community and </w:t>
      </w:r>
      <w:r w:rsidR="14FAE90F">
        <w:t>C</w:t>
      </w:r>
      <w:r w:rsidRPr="00DE108C">
        <w:t>ountry.</w:t>
      </w:r>
      <w:r w:rsidR="008C46DF">
        <w:t xml:space="preserve"> </w:t>
      </w:r>
    </w:p>
    <w:p w14:paraId="4CE247DE" w14:textId="77777777" w:rsidR="00767B75" w:rsidRPr="00DE108C" w:rsidRDefault="00767B75" w:rsidP="00BC1F3F">
      <w:r w:rsidRPr="00DE108C">
        <w:t xml:space="preserve">Figure 1.2 demonstrates how Melbourne Water’s three Strategic Goals intersect and work together to place customers at the centre of all we do. </w:t>
      </w:r>
    </w:p>
    <w:p w14:paraId="1FEBF2B5" w14:textId="5375BD89" w:rsidR="00767B75" w:rsidRPr="00DE108C" w:rsidRDefault="00767B75" w:rsidP="00094CD4">
      <w:pPr>
        <w:pStyle w:val="Caption"/>
      </w:pPr>
      <w:bookmarkStart w:id="90" w:name="_Toc210051302"/>
      <w:bookmarkStart w:id="91" w:name="_Toc207892970"/>
      <w:bookmarkStart w:id="92" w:name="_Toc208490499"/>
      <w:bookmarkStart w:id="93" w:name="_Toc208490837"/>
      <w:bookmarkStart w:id="94" w:name="_Toc208910995"/>
      <w:r w:rsidRPr="00DE108C">
        <w:lastRenderedPageBreak/>
        <w:t xml:space="preserve">Figure 1.2: The customer is firmly at centre of Melbourne Water’s </w:t>
      </w:r>
      <w:r w:rsidR="008F67AC">
        <w:t>strategy</w:t>
      </w:r>
      <w:bookmarkEnd w:id="90"/>
      <w:r w:rsidR="008F67AC">
        <w:t xml:space="preserve"> </w:t>
      </w:r>
      <w:bookmarkEnd w:id="91"/>
      <w:bookmarkEnd w:id="92"/>
      <w:bookmarkEnd w:id="93"/>
      <w:bookmarkEnd w:id="94"/>
    </w:p>
    <w:p w14:paraId="39CAC22D" w14:textId="566E74C6" w:rsidR="00767B75" w:rsidRPr="00DE108C" w:rsidRDefault="00767B75">
      <w:pPr>
        <w:pStyle w:val="BodyText"/>
        <w:jc w:val="center"/>
      </w:pPr>
      <w:r w:rsidRPr="00DE108C">
        <w:rPr>
          <w:noProof/>
        </w:rPr>
        <w:drawing>
          <wp:inline distT="0" distB="0" distL="0" distR="0" wp14:anchorId="4F12F9C2" wp14:editId="176FDF20">
            <wp:extent cx="3048000" cy="2992344"/>
            <wp:effectExtent l="0" t="0" r="0" b="0"/>
            <wp:docPr id="491804128" name="Picture 1" descr="Melbourne Water's strategy on a page has the customer at the centre, and a focus on core services and safety. There are three pillars of the Strategy: Parternships, Resilience an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04128" name="Picture 1" descr="Melbourne Water's strategy on a page has the customer at the centre, and a focus on core services and safety. There are three pillars of the Strategy: Parternships, Resilience and Transition."/>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3155515" cy="3097896"/>
                    </a:xfrm>
                    <a:prstGeom prst="rect">
                      <a:avLst/>
                    </a:prstGeom>
                    <a:noFill/>
                    <a:ln>
                      <a:noFill/>
                    </a:ln>
                    <a:extLst>
                      <a:ext uri="{53640926-AAD7-44D8-BBD7-CCE9431645EC}">
                        <a14:shadowObscured xmlns:a14="http://schemas.microsoft.com/office/drawing/2010/main"/>
                      </a:ext>
                    </a:extLst>
                  </pic:spPr>
                </pic:pic>
              </a:graphicData>
            </a:graphic>
          </wp:inline>
        </w:drawing>
      </w:r>
    </w:p>
    <w:p w14:paraId="32880992" w14:textId="77777777" w:rsidR="00767B75" w:rsidRPr="00DE108C" w:rsidRDefault="00767B75">
      <w:pPr>
        <w:pStyle w:val="Heading2"/>
        <w:rPr>
          <w:rFonts w:asciiTheme="minorHAnsi" w:hAnsiTheme="minorHAnsi"/>
        </w:rPr>
      </w:pPr>
      <w:bookmarkStart w:id="95" w:name="_Toc183623989"/>
      <w:bookmarkStart w:id="96" w:name="_Toc183686746"/>
      <w:bookmarkStart w:id="97" w:name="_Toc183698064"/>
      <w:bookmarkStart w:id="98" w:name="_Toc183623990"/>
      <w:bookmarkStart w:id="99" w:name="_Toc190876151"/>
      <w:bookmarkStart w:id="100" w:name="_Toc196745174"/>
      <w:bookmarkStart w:id="101" w:name="_Toc207892878"/>
      <w:bookmarkStart w:id="102" w:name="_Toc207853371"/>
      <w:bookmarkEnd w:id="95"/>
      <w:bookmarkEnd w:id="96"/>
      <w:bookmarkEnd w:id="97"/>
      <w:r w:rsidRPr="00DE108C">
        <w:rPr>
          <w:rFonts w:asciiTheme="minorHAnsi" w:hAnsiTheme="minorHAnsi"/>
        </w:rPr>
        <w:t xml:space="preserve">1.2. Developing, </w:t>
      </w:r>
      <w:r w:rsidRPr="00DE108C">
        <w:t xml:space="preserve">efficient and deliverable </w:t>
      </w:r>
      <w:r w:rsidRPr="00DE108C">
        <w:rPr>
          <w:rFonts w:asciiTheme="minorHAnsi" w:hAnsiTheme="minorHAnsi"/>
        </w:rPr>
        <w:t>expenditure proposals</w:t>
      </w:r>
      <w:bookmarkEnd w:id="98"/>
      <w:bookmarkEnd w:id="99"/>
      <w:bookmarkEnd w:id="100"/>
      <w:bookmarkEnd w:id="101"/>
      <w:bookmarkEnd w:id="102"/>
    </w:p>
    <w:p w14:paraId="27E3FBFC" w14:textId="77777777" w:rsidR="00767B75" w:rsidRPr="00DE108C" w:rsidRDefault="00767B75" w:rsidP="000E5AFF">
      <w:r w:rsidRPr="00DE108C">
        <w:t>Melbourne Water has followed the expenditure forecasting guidance of the ESC to develop prudent and efficient expenditure proposals. The expenditure proposals have also been tested and refined through a range of processes, including collaborative planning with the water corporations, broader customer and stakeholder engagement and expenditure prioritisation, which also formed an important part of our risk identification and allocation process.</w:t>
      </w:r>
    </w:p>
    <w:p w14:paraId="7046B322" w14:textId="6ACA8785" w:rsidR="00767B75" w:rsidRPr="00DE108C" w:rsidRDefault="00767B75" w:rsidP="000E5AFF">
      <w:r w:rsidRPr="00DE108C">
        <w:t xml:space="preserve">Melbourne Water is proposing a significantly expanded </w:t>
      </w:r>
      <w:r w:rsidR="2A5701A3">
        <w:t xml:space="preserve">its </w:t>
      </w:r>
      <w:r w:rsidRPr="00DE108C">
        <w:t>capex program for the 2026–31 period (</w:t>
      </w:r>
      <w:r w:rsidRPr="00DE108C">
        <w:rPr>
          <w:rFonts w:eastAsia="Verdana"/>
        </w:rPr>
        <w:t xml:space="preserve">a </w:t>
      </w:r>
      <w:r w:rsidRPr="00044094">
        <w:rPr>
          <w:rFonts w:eastAsia="Verdana"/>
        </w:rPr>
        <w:t>6</w:t>
      </w:r>
      <w:r w:rsidR="00F20046" w:rsidRPr="00044094">
        <w:rPr>
          <w:rFonts w:eastAsia="Verdana"/>
        </w:rPr>
        <w:t>2</w:t>
      </w:r>
      <w:r w:rsidRPr="00DE108C">
        <w:rPr>
          <w:rFonts w:eastAsia="Verdana"/>
        </w:rPr>
        <w:t xml:space="preserve"> per cent increase in capex compared to the current period)</w:t>
      </w:r>
      <w:r w:rsidRPr="00DE108C">
        <w:t xml:space="preserve">. As demonstrated in this proposal, this is driven by growth, renewal and compliance-related investments. This expenditure program ensures we can deliver the Outcomes sought by our community, particularly our ability to maintain safe and reliable services, which is their highest priority. </w:t>
      </w:r>
    </w:p>
    <w:p w14:paraId="63530F38" w14:textId="2CECAF3A" w:rsidR="00767B75" w:rsidRPr="00DE108C" w:rsidRDefault="00767B75" w:rsidP="000E5AFF">
      <w:r w:rsidRPr="00DE108C">
        <w:t>Melbourne</w:t>
      </w:r>
      <w:r w:rsidR="00FE3834">
        <w:t>’s</w:t>
      </w:r>
      <w:r w:rsidRPr="00DE108C">
        <w:t xml:space="preserve"> </w:t>
      </w:r>
      <w:r w:rsidR="00FE3834">
        <w:t>w</w:t>
      </w:r>
      <w:r w:rsidRPr="00DE108C">
        <w:t xml:space="preserve">ater </w:t>
      </w:r>
      <w:r w:rsidR="00FE3834">
        <w:t>services are</w:t>
      </w:r>
      <w:r w:rsidRPr="00DE108C">
        <w:t xml:space="preserve"> at a crossroads, facing critical challenges that demand decisive action and strategic investment. Recent experience demonstrates that further delays in renewing and expanding our asset capacity will have direct consequences for both customers and the environment. Our program optimises essential investment now to avoid a cycle of reactive spending that becomes increasingly difficult to manage, ultimately driving up project costs and heightening the risk of major adverse events. </w:t>
      </w:r>
    </w:p>
    <w:p w14:paraId="047BB888" w14:textId="77777777" w:rsidR="00767B75" w:rsidRPr="00DE108C" w:rsidRDefault="00767B75" w:rsidP="000E5AFF">
      <w:r w:rsidRPr="00DE108C">
        <w:t>The remainder of this chapter explains how we have developed prudent, efficient and deliverable capital and operating expenditure forecasts that include commitments to cost efficiency and productivity improvements.</w:t>
      </w:r>
    </w:p>
    <w:p w14:paraId="1962DD13" w14:textId="7CE3A8BE" w:rsidR="00767B75" w:rsidRPr="00DE108C" w:rsidRDefault="00767B75" w:rsidP="000E5AFF">
      <w:r w:rsidRPr="00DE108C">
        <w:t xml:space="preserve">The approach to developing the capital </w:t>
      </w:r>
      <w:r>
        <w:t>expenditure</w:t>
      </w:r>
      <w:r w:rsidRPr="00DE108C">
        <w:t xml:space="preserve"> forecasts is explained first, followed by the operating expenditure forecasts.</w:t>
      </w:r>
    </w:p>
    <w:p w14:paraId="00C7E711" w14:textId="77777777" w:rsidR="00767B75" w:rsidRPr="00DE108C" w:rsidRDefault="00767B75">
      <w:pPr>
        <w:pStyle w:val="Heading3"/>
        <w:ind w:left="851" w:hanging="851"/>
      </w:pPr>
      <w:r w:rsidRPr="00DE108C">
        <w:t>1.2.1 Prudent, efficient and deliverable capital expenditure</w:t>
      </w:r>
    </w:p>
    <w:p w14:paraId="0FF81D64" w14:textId="269D5416" w:rsidR="00767B75" w:rsidRPr="00DE108C" w:rsidRDefault="00767B75" w:rsidP="000E5AFF">
      <w:r w:rsidRPr="00DE108C">
        <w:t xml:space="preserve">Melbourne Water developed prudent and efficient capex forecasts by incorporating the ESC’s </w:t>
      </w:r>
      <w:r w:rsidR="007F4C15">
        <w:t>G</w:t>
      </w:r>
      <w:r w:rsidRPr="00DE108C">
        <w:t>uidance and following the steps</w:t>
      </w:r>
      <w:r w:rsidR="5AA860AE">
        <w:t>:</w:t>
      </w:r>
    </w:p>
    <w:p w14:paraId="3C8C513B" w14:textId="77777777" w:rsidR="00767B75" w:rsidRPr="00DE108C" w:rsidRDefault="15E3975F" w:rsidP="00274DB5">
      <w:pPr>
        <w:pStyle w:val="ListBullet"/>
      </w:pPr>
      <w:r>
        <w:t>using the best available information and forecasts as inputs</w:t>
      </w:r>
    </w:p>
    <w:p w14:paraId="6E1529D9" w14:textId="77777777" w:rsidR="00767B75" w:rsidRPr="00DE108C" w:rsidRDefault="15E3975F" w:rsidP="00274DB5">
      <w:pPr>
        <w:pStyle w:val="ListBullet"/>
      </w:pPr>
      <w:r>
        <w:lastRenderedPageBreak/>
        <w:t>basing forecasts on efficient cost assumptions</w:t>
      </w:r>
    </w:p>
    <w:p w14:paraId="3CF35115" w14:textId="77777777" w:rsidR="00767B75" w:rsidRPr="00DE108C" w:rsidRDefault="15E3975F" w:rsidP="00274DB5">
      <w:pPr>
        <w:pStyle w:val="ListBullet"/>
      </w:pPr>
      <w:r>
        <w:t>applying a capex prioritisation framework to refine down the forecasts</w:t>
      </w:r>
    </w:p>
    <w:p w14:paraId="5D7A7828" w14:textId="77777777" w:rsidR="00767B75" w:rsidRPr="00DE108C" w:rsidRDefault="15E3975F" w:rsidP="00274DB5">
      <w:pPr>
        <w:pStyle w:val="ListBullet"/>
      </w:pPr>
      <w:r>
        <w:t>testing for deliverability</w:t>
      </w:r>
    </w:p>
    <w:p w14:paraId="3E607517" w14:textId="77777777" w:rsidR="00767B75" w:rsidRPr="00DE108C" w:rsidRDefault="15E3975F" w:rsidP="00274DB5">
      <w:pPr>
        <w:pStyle w:val="ListBullet"/>
      </w:pPr>
      <w:r>
        <w:t>collaboration and testing with the water corporations</w:t>
      </w:r>
    </w:p>
    <w:p w14:paraId="1578D60A" w14:textId="77777777" w:rsidR="00767B75" w:rsidRPr="00DE108C" w:rsidRDefault="15E3975F" w:rsidP="00274DB5">
      <w:pPr>
        <w:pStyle w:val="ListBullet"/>
      </w:pPr>
      <w:r>
        <w:t>testing that our proposal provides value for money through public consultation to close the loop.</w:t>
      </w:r>
    </w:p>
    <w:p w14:paraId="57B7F993" w14:textId="77777777" w:rsidR="00767B75" w:rsidRPr="00DE108C" w:rsidRDefault="00767B75">
      <w:pPr>
        <w:pStyle w:val="Heading4"/>
        <w:rPr>
          <w:rFonts w:eastAsia="Aptos" w:cs="Aptos"/>
        </w:rPr>
      </w:pPr>
      <w:r w:rsidRPr="00DE108C">
        <w:t>1.2.1.1 Using best available information inputs for prudent decisions</w:t>
      </w:r>
    </w:p>
    <w:p w14:paraId="47EE623B" w14:textId="109AF268" w:rsidR="00767B75" w:rsidRPr="00DE108C" w:rsidRDefault="00767B75" w:rsidP="000E5AFF">
      <w:r w:rsidRPr="00DE108C">
        <w:t xml:space="preserve">We have used the best available information </w:t>
      </w:r>
      <w:r w:rsidR="0E6BBD1C">
        <w:t xml:space="preserve">to </w:t>
      </w:r>
      <w:r>
        <w:t>develop</w:t>
      </w:r>
      <w:r w:rsidRPr="00DE108C">
        <w:t xml:space="preserve"> our capex proposal, including planning information and forecasts.</w:t>
      </w:r>
    </w:p>
    <w:p w14:paraId="1F3B4581" w14:textId="33A51686" w:rsidR="00767B75" w:rsidRPr="00DE108C" w:rsidRDefault="00767B75" w:rsidP="003E7AD7">
      <w:r w:rsidRPr="00DE108C">
        <w:rPr>
          <w:b/>
          <w:bCs/>
        </w:rPr>
        <w:t>Collaborative long-term planning:</w:t>
      </w:r>
      <w:r w:rsidRPr="00DE108C">
        <w:t xml:space="preserve"> Our investment program is informed by the trends, projections and assumptions that underpin the agreed strategies for the Greater Melbourne </w:t>
      </w:r>
      <w:r w:rsidR="05CCF1AC">
        <w:t>r</w:t>
      </w:r>
      <w:r w:rsidRPr="00DE108C">
        <w:t xml:space="preserve">egion. This includes the </w:t>
      </w:r>
      <w:r w:rsidRPr="40AD8E0A">
        <w:rPr>
          <w:i/>
        </w:rPr>
        <w:t>Central and Gippsland Region Sustainable Water Strategy</w:t>
      </w:r>
      <w:r w:rsidRPr="00DE108C">
        <w:t xml:space="preserve"> (CGRSWS), each water corporation’s network/growth servicing plans, the </w:t>
      </w:r>
      <w:r w:rsidRPr="40AD8E0A">
        <w:rPr>
          <w:i/>
        </w:rPr>
        <w:t>Greater Melbourne Urban Water and System Strategy</w:t>
      </w:r>
      <w:r w:rsidRPr="00DE108C">
        <w:t xml:space="preserve"> (GMUWSS)</w:t>
      </w:r>
      <w:r w:rsidR="00E865AE">
        <w:t xml:space="preserve">, </w:t>
      </w:r>
      <w:r w:rsidR="00F12CB5" w:rsidRPr="00CC14FE">
        <w:t>The</w:t>
      </w:r>
      <w:r w:rsidR="00E865AE">
        <w:t xml:space="preserve"> </w:t>
      </w:r>
      <w:r w:rsidR="00E865AE">
        <w:rPr>
          <w:i/>
          <w:iCs/>
        </w:rPr>
        <w:t>Water Security Plan</w:t>
      </w:r>
      <w:r w:rsidR="003E7AD7">
        <w:rPr>
          <w:i/>
          <w:iCs/>
        </w:rPr>
        <w:t xml:space="preserve"> </w:t>
      </w:r>
      <w:r w:rsidR="003E7AD7" w:rsidRPr="003E7AD7">
        <w:rPr>
          <w:i/>
          <w:iCs/>
        </w:rPr>
        <w:t>for</w:t>
      </w:r>
      <w:r w:rsidR="003E7AD7">
        <w:rPr>
          <w:i/>
          <w:iCs/>
        </w:rPr>
        <w:t xml:space="preserve"> </w:t>
      </w:r>
      <w:r w:rsidR="003E7AD7" w:rsidRPr="003E7AD7">
        <w:rPr>
          <w:i/>
          <w:iCs/>
        </w:rPr>
        <w:t>Greater Melbourne, Geelong</w:t>
      </w:r>
      <w:r w:rsidR="003E7AD7">
        <w:rPr>
          <w:i/>
          <w:iCs/>
        </w:rPr>
        <w:t xml:space="preserve"> </w:t>
      </w:r>
      <w:r w:rsidR="003E7AD7" w:rsidRPr="003E7AD7">
        <w:rPr>
          <w:i/>
          <w:iCs/>
        </w:rPr>
        <w:t>and connected towns</w:t>
      </w:r>
      <w:r w:rsidRPr="00DE108C">
        <w:t xml:space="preserve"> </w:t>
      </w:r>
      <w:r w:rsidR="003E7AD7">
        <w:t xml:space="preserve">(Water Security Plan) </w:t>
      </w:r>
      <w:r w:rsidRPr="00DE108C">
        <w:t xml:space="preserve">and </w:t>
      </w:r>
      <w:r w:rsidR="001B1EFB">
        <w:t>Victorian</w:t>
      </w:r>
      <w:r w:rsidRPr="00DE108C">
        <w:t xml:space="preserve"> Government Climate Scenarios. Collaboration strengthens our planning process and our further commitments to this process are set out in Chapter 4 (Outcomes).</w:t>
      </w:r>
    </w:p>
    <w:p w14:paraId="3FE6380F" w14:textId="2E4DAD53" w:rsidR="00767B75" w:rsidRPr="00DE108C" w:rsidRDefault="00767B75" w:rsidP="000E5AFF">
      <w:pPr>
        <w:rPr>
          <w:rFonts w:eastAsiaTheme="minorEastAsia" w:cstheme="minorBidi"/>
        </w:rPr>
      </w:pPr>
      <w:r w:rsidRPr="00DE108C">
        <w:rPr>
          <w:b/>
          <w:bCs/>
        </w:rPr>
        <w:t>Considering scenarios:</w:t>
      </w:r>
      <w:r w:rsidRPr="00DE108C">
        <w:t xml:space="preserve"> </w:t>
      </w:r>
      <w:r w:rsidRPr="00DE108C">
        <w:rPr>
          <w:rFonts w:eastAsiaTheme="minorEastAsia"/>
        </w:rPr>
        <w:t xml:space="preserve">Our customers expect our infrastructure to be resilient to shocks and for us to adapt to long-term trends. We use scenarios to assess the ability of our infrastructure to continue to provide services under a range of short- and long-term assumptions. For example, for our water services, we consider probabilistic combinations of inflow and demand to examine supply adequacy, and we test the implications of unexpected supply outages. Our adaptive plans consider these scenarios and help us identify the preferred investment pathways for the short, medium and long term. </w:t>
      </w:r>
      <w:r w:rsidRPr="00DE108C">
        <w:t xml:space="preserve">To support </w:t>
      </w:r>
      <w:r w:rsidRPr="00DE108C">
        <w:rPr>
          <w:rFonts w:eastAsiaTheme="minorEastAsia"/>
        </w:rPr>
        <w:t xml:space="preserve">secure and reliable water supplies, </w:t>
      </w:r>
      <w:r w:rsidRPr="00DE108C">
        <w:t xml:space="preserve">these plans </w:t>
      </w:r>
      <w:r w:rsidRPr="00DE108C">
        <w:rPr>
          <w:rFonts w:eastAsiaTheme="minorEastAsia"/>
        </w:rPr>
        <w:t xml:space="preserve">include options for </w:t>
      </w:r>
      <w:r w:rsidR="20B447C3" w:rsidRPr="1F6A8299">
        <w:rPr>
          <w:rFonts w:eastAsiaTheme="minorEastAsia"/>
        </w:rPr>
        <w:t>m</w:t>
      </w:r>
      <w:r w:rsidRPr="00DE108C">
        <w:rPr>
          <w:rFonts w:eastAsiaTheme="minorEastAsia"/>
        </w:rPr>
        <w:t xml:space="preserve">anufactured and </w:t>
      </w:r>
      <w:r w:rsidR="51323C62" w:rsidRPr="1F6A8299">
        <w:rPr>
          <w:rFonts w:eastAsiaTheme="minorEastAsia"/>
        </w:rPr>
        <w:t>n</w:t>
      </w:r>
      <w:r w:rsidRPr="1F6A8299">
        <w:rPr>
          <w:rFonts w:eastAsiaTheme="minorEastAsia"/>
        </w:rPr>
        <w:t xml:space="preserve">ew </w:t>
      </w:r>
      <w:r w:rsidR="0C94E56E" w:rsidRPr="1F6A8299">
        <w:rPr>
          <w:rFonts w:eastAsiaTheme="minorEastAsia"/>
        </w:rPr>
        <w:t>w</w:t>
      </w:r>
      <w:r w:rsidRPr="00DE108C">
        <w:rPr>
          <w:rFonts w:eastAsiaTheme="minorEastAsia"/>
        </w:rPr>
        <w:t>ater for the region’s next major augmentation.</w:t>
      </w:r>
    </w:p>
    <w:p w14:paraId="7E017B40" w14:textId="1686F317" w:rsidR="00767B75" w:rsidRPr="00DE108C" w:rsidRDefault="00767B75" w:rsidP="000E5AFF">
      <w:r w:rsidRPr="00DE108C">
        <w:rPr>
          <w:b/>
          <w:bCs/>
        </w:rPr>
        <w:t>Latest population forecasts:</w:t>
      </w:r>
      <w:r w:rsidRPr="00DE108C">
        <w:t xml:space="preserve"> Our growth and demand forecasts are consistent with </w:t>
      </w:r>
      <w:r w:rsidR="00DD4A85">
        <w:t>data provided by the</w:t>
      </w:r>
      <w:r w:rsidR="77A8EA02" w:rsidRPr="00DE108C">
        <w:t xml:space="preserve"> Victorian Government </w:t>
      </w:r>
      <w:r w:rsidRPr="00DE108C">
        <w:t xml:space="preserve">and consider demographic analysis completed by SGS Economics and Planning in 2025. </w:t>
      </w:r>
    </w:p>
    <w:p w14:paraId="19E2445B" w14:textId="77777777" w:rsidR="00767B75" w:rsidRPr="00DE108C" w:rsidRDefault="00767B75" w:rsidP="000E5AFF">
      <w:r w:rsidRPr="00DE108C">
        <w:rPr>
          <w:b/>
          <w:bCs/>
        </w:rPr>
        <w:t>Collaborative demand forecasting using water corporation insights:</w:t>
      </w:r>
      <w:r w:rsidRPr="00DE108C">
        <w:t xml:space="preserve"> We have engaged deeply with the water corporations to develop forecasts for load and volumes for our services for the next regulatory period. We believe our forecasts are reasonable estimates, directly endorsed by our bulk customers.</w:t>
      </w:r>
    </w:p>
    <w:p w14:paraId="18652583" w14:textId="77777777" w:rsidR="00767B75" w:rsidRPr="00DE108C" w:rsidRDefault="00767B75">
      <w:pPr>
        <w:pStyle w:val="Heading4"/>
      </w:pPr>
      <w:r w:rsidRPr="00DE108C">
        <w:t>1.2.1.2 Efficient cost assumptions</w:t>
      </w:r>
    </w:p>
    <w:p w14:paraId="7B5CCCE1" w14:textId="53BACB05" w:rsidR="00767B75" w:rsidRPr="00DE108C" w:rsidRDefault="00767B75" w:rsidP="000E5AFF">
      <w:r w:rsidRPr="00DE108C">
        <w:t>The capex forecast reflects efficient cost input assumptions</w:t>
      </w:r>
      <w:r w:rsidR="125B38CA">
        <w:t>, including</w:t>
      </w:r>
      <w:r w:rsidRPr="00DE108C">
        <w:t>:</w:t>
      </w:r>
    </w:p>
    <w:p w14:paraId="322CE015" w14:textId="77777777" w:rsidR="00767B75" w:rsidRPr="00DE108C" w:rsidRDefault="15E3975F" w:rsidP="00274DB5">
      <w:pPr>
        <w:pStyle w:val="ListBullet"/>
      </w:pPr>
      <w:r w:rsidRPr="7CFB4304">
        <w:rPr>
          <w:b/>
          <w:bCs/>
        </w:rPr>
        <w:t>Identifying efficient options:</w:t>
      </w:r>
      <w:r w:rsidRPr="00274DB5">
        <w:t xml:space="preserve"> </w:t>
      </w:r>
      <w:r>
        <w:t>Melbourne Water applies the Department of Treasury and Finance’s (DTF) Investment Management Standard to the development of major capital projects, including the use of investment logic maps.</w:t>
      </w:r>
    </w:p>
    <w:p w14:paraId="7E9D4158" w14:textId="77777777" w:rsidR="00767B75" w:rsidRPr="00DE108C" w:rsidRDefault="15E3975F" w:rsidP="00274DB5">
      <w:pPr>
        <w:pStyle w:val="ListBullet"/>
        <w:rPr>
          <w:rFonts w:eastAsiaTheme="minorEastAsia" w:cstheme="minorBidi"/>
        </w:rPr>
      </w:pPr>
      <w:r w:rsidRPr="7CFB4304">
        <w:rPr>
          <w:b/>
          <w:bCs/>
        </w:rPr>
        <w:t>Using our extensive dataset and unit cost estimates:</w:t>
      </w:r>
      <w:r w:rsidRPr="00274DB5">
        <w:t xml:space="preserve"> </w:t>
      </w:r>
      <w:r w:rsidRPr="7CFB4304">
        <w:rPr>
          <w:rFonts w:eastAsiaTheme="minorEastAsia" w:cstheme="minorBidi"/>
        </w:rPr>
        <w:t>Our unit costs are based on an extensive library of actual and tendered project cost information.</w:t>
      </w:r>
    </w:p>
    <w:p w14:paraId="71E0C440" w14:textId="5FC36F38" w:rsidR="00767B75" w:rsidRPr="00DE108C" w:rsidRDefault="15E3975F" w:rsidP="00274DB5">
      <w:pPr>
        <w:pStyle w:val="ListBullet"/>
      </w:pPr>
      <w:r w:rsidRPr="7CFB4304">
        <w:rPr>
          <w:b/>
          <w:bCs/>
        </w:rPr>
        <w:t>Using P50 estimates</w:t>
      </w:r>
      <w:r w:rsidRPr="00274DB5">
        <w:rPr>
          <w:b/>
        </w:rPr>
        <w:t>:</w:t>
      </w:r>
      <w:r>
        <w:t xml:space="preserve"> We use probabilistic Monte Carlo analysis (applied as the Melbourne Water ‘RANE’ methodology) to each civil project’s P50 cost estimate.</w:t>
      </w:r>
    </w:p>
    <w:p w14:paraId="56D5D20C" w14:textId="77777777" w:rsidR="00767B75" w:rsidRPr="00274DB5" w:rsidRDefault="15E3975F" w:rsidP="00274DB5">
      <w:pPr>
        <w:pStyle w:val="ListBullet"/>
        <w:rPr>
          <w:rFonts w:eastAsia="Verdana"/>
        </w:rPr>
      </w:pPr>
      <w:r w:rsidRPr="7CFB4304">
        <w:rPr>
          <w:b/>
          <w:bCs/>
        </w:rPr>
        <w:t>Competitive tendering:</w:t>
      </w:r>
      <w:r w:rsidRPr="00274DB5">
        <w:t xml:space="preserve"> </w:t>
      </w:r>
      <w:r w:rsidRPr="00274DB5">
        <w:rPr>
          <w:rFonts w:eastAsia="Verdana"/>
        </w:rPr>
        <w:t>We seek ongoing efficiencies through competitive tendering, including bundling projects to drive the lowest possible cost over the regulatory period.</w:t>
      </w:r>
    </w:p>
    <w:p w14:paraId="63E7E781" w14:textId="7218A033" w:rsidR="00767B75" w:rsidRPr="00274DB5" w:rsidRDefault="15E3975F" w:rsidP="00274DB5">
      <w:pPr>
        <w:pStyle w:val="ListBullet"/>
        <w:rPr>
          <w:rFonts w:eastAsia="Verdana"/>
        </w:rPr>
      </w:pPr>
      <w:r w:rsidRPr="00274DB5">
        <w:rPr>
          <w:rFonts w:eastAsia="Verdana"/>
          <w:b/>
        </w:rPr>
        <w:t>Efficiency in renewals:</w:t>
      </w:r>
      <w:r w:rsidRPr="00274DB5">
        <w:rPr>
          <w:rFonts w:eastAsia="Verdana"/>
        </w:rPr>
        <w:t xml:space="preserve"> Unlike retail and regi</w:t>
      </w:r>
      <w:r w:rsidR="7FF7E7D4" w:rsidRPr="00274DB5">
        <w:rPr>
          <w:rFonts w:eastAsia="Verdana"/>
        </w:rPr>
        <w:t>o</w:t>
      </w:r>
      <w:r w:rsidRPr="00274DB5">
        <w:rPr>
          <w:rFonts w:eastAsia="Verdana"/>
        </w:rPr>
        <w:t xml:space="preserve">nal urban water corporations, who have high volumes of reticulation and distribution main renewals, renewals for our bulk assets </w:t>
      </w:r>
      <w:r w:rsidRPr="00274DB5">
        <w:rPr>
          <w:rFonts w:eastAsia="Verdana"/>
        </w:rPr>
        <w:lastRenderedPageBreak/>
        <w:t>and treatment infrastructure require bespoke solutions that are competitively tendered, ensuring we get efficient costs.</w:t>
      </w:r>
    </w:p>
    <w:p w14:paraId="52A93533" w14:textId="77777777" w:rsidR="00767B75" w:rsidRPr="00DE108C" w:rsidRDefault="00767B75">
      <w:pPr>
        <w:pStyle w:val="Heading4"/>
        <w:rPr>
          <w:rFonts w:eastAsia="Aptos" w:cs="Aptos"/>
        </w:rPr>
      </w:pPr>
      <w:r w:rsidRPr="00DE108C">
        <w:rPr>
          <w:rFonts w:eastAsia="Aptos" w:cs="Aptos"/>
        </w:rPr>
        <w:t>1.2.1.3 Capex forecast refined through a prioritisation framework</w:t>
      </w:r>
    </w:p>
    <w:p w14:paraId="406AD09A" w14:textId="77777777" w:rsidR="00767B75" w:rsidRPr="00DE108C" w:rsidRDefault="00767B75" w:rsidP="000E5AFF">
      <w:pPr>
        <w:rPr>
          <w:rFonts w:eastAsia="Verdana"/>
        </w:rPr>
      </w:pPr>
      <w:r w:rsidRPr="00DE108C">
        <w:rPr>
          <w:rFonts w:eastAsia="Verdana"/>
        </w:rPr>
        <w:t>The starting point for the forecasts is a needs-based capital investment program that reflects the investment required to meet core obligations, which aligns with our risk appetite, accounts for asset condition and performance assessments, and considers customer and community expectations. Melbourne Water’s rolling 10-year capital plans provide an important foundation for the needs-based capital program.</w:t>
      </w:r>
    </w:p>
    <w:p w14:paraId="5CD16D13" w14:textId="77777777" w:rsidR="00767B75" w:rsidRPr="00DE108C" w:rsidRDefault="00767B75" w:rsidP="000E5AFF">
      <w:pPr>
        <w:rPr>
          <w:rFonts w:eastAsia="Verdana"/>
        </w:rPr>
      </w:pPr>
      <w:r w:rsidRPr="00DE108C">
        <w:rPr>
          <w:rFonts w:eastAsia="Verdana"/>
        </w:rPr>
        <w:t>We undertook an extensive process to prioritise the needs-based investment program to meet regulatory requirements, make targeted service improvements, meet growing demand for our services and deliver customer value into the future.</w:t>
      </w:r>
    </w:p>
    <w:p w14:paraId="69525687" w14:textId="6D0EB025" w:rsidR="00767B75" w:rsidRPr="00DE108C" w:rsidRDefault="00767B75" w:rsidP="000E5AFF">
      <w:pPr>
        <w:rPr>
          <w:rFonts w:eastAsia="Verdana"/>
        </w:rPr>
      </w:pPr>
      <w:r w:rsidRPr="00DE108C">
        <w:rPr>
          <w:rFonts w:eastAsia="Verdana"/>
        </w:rPr>
        <w:t>For our water, sewerage, and waterways and drainage investment programs</w:t>
      </w:r>
      <w:r w:rsidR="5EEA3453" w:rsidRPr="60A9D92A">
        <w:rPr>
          <w:rFonts w:eastAsia="Verdana"/>
        </w:rPr>
        <w:t>,</w:t>
      </w:r>
      <w:r w:rsidRPr="00DE108C">
        <w:rPr>
          <w:rFonts w:eastAsia="Verdana"/>
        </w:rPr>
        <w:t xml:space="preserve"> the prioritisation process applied and balanced several criteria</w:t>
      </w:r>
      <w:r w:rsidR="1F51F6CE" w:rsidRPr="362E702D">
        <w:rPr>
          <w:rFonts w:eastAsia="Verdana"/>
        </w:rPr>
        <w:t>,</w:t>
      </w:r>
      <w:r w:rsidRPr="00DE108C">
        <w:rPr>
          <w:rFonts w:eastAsia="Verdana"/>
        </w:rPr>
        <w:t xml:space="preserve"> including:</w:t>
      </w:r>
    </w:p>
    <w:p w14:paraId="16CE7713" w14:textId="77777777" w:rsidR="00767B75" w:rsidRPr="00DE108C" w:rsidRDefault="15E3975F" w:rsidP="00274DB5">
      <w:pPr>
        <w:pStyle w:val="ListBullet"/>
        <w:rPr>
          <w:rFonts w:eastAsia="Verdana"/>
        </w:rPr>
      </w:pPr>
      <w:r w:rsidRPr="7CFB4304">
        <w:rPr>
          <w:rFonts w:eastAsia="Verdana"/>
        </w:rPr>
        <w:t>the incremental bill impacts of the investment program</w:t>
      </w:r>
    </w:p>
    <w:p w14:paraId="09BADB50" w14:textId="001600B1" w:rsidR="00767B75" w:rsidRPr="00DE108C" w:rsidRDefault="15E3975F" w:rsidP="00274DB5">
      <w:pPr>
        <w:pStyle w:val="ListBullet"/>
        <w:rPr>
          <w:rFonts w:eastAsia="Verdana"/>
        </w:rPr>
      </w:pPr>
      <w:r w:rsidRPr="7CFB4304">
        <w:rPr>
          <w:rFonts w:eastAsia="Verdana"/>
        </w:rPr>
        <w:t xml:space="preserve">the risks from investing or not investing, including avoiding ‘unacceptable’ risk outcomes based on Melbourne Water’s Risk Appetite Statement </w:t>
      </w:r>
    </w:p>
    <w:p w14:paraId="607C4382" w14:textId="69376AEC" w:rsidR="00767B75" w:rsidRPr="00DE108C" w:rsidRDefault="15E3975F" w:rsidP="00274DB5">
      <w:pPr>
        <w:pStyle w:val="ListBullet"/>
        <w:rPr>
          <w:rFonts w:eastAsia="Verdana"/>
        </w:rPr>
      </w:pPr>
      <w:r w:rsidRPr="7CFB4304">
        <w:rPr>
          <w:rFonts w:eastAsia="Verdana"/>
        </w:rPr>
        <w:t xml:space="preserve">the ESC’s certainty principles, for example some projects were identified as needed but were not progressed sufficiently to justify prudency and efficiency in line with the ESC </w:t>
      </w:r>
      <w:r w:rsidR="00D8113E">
        <w:rPr>
          <w:rFonts w:eastAsia="Verdana"/>
        </w:rPr>
        <w:t>Guidance</w:t>
      </w:r>
    </w:p>
    <w:p w14:paraId="1A36BBF4" w14:textId="77777777" w:rsidR="00767B75" w:rsidRPr="00DE108C" w:rsidRDefault="15E3975F" w:rsidP="00274DB5">
      <w:pPr>
        <w:pStyle w:val="ListBullet"/>
        <w:rPr>
          <w:rFonts w:eastAsia="Verdana"/>
        </w:rPr>
      </w:pPr>
      <w:r w:rsidRPr="7CFB4304">
        <w:rPr>
          <w:rFonts w:eastAsia="Verdana"/>
        </w:rPr>
        <w:t>the impacts on long-term asset and service performance for the community and the environment</w:t>
      </w:r>
    </w:p>
    <w:p w14:paraId="40D53E6E" w14:textId="343ACB39" w:rsidR="00767B75" w:rsidRPr="00DE108C" w:rsidRDefault="15E3975F" w:rsidP="00274DB5">
      <w:pPr>
        <w:pStyle w:val="ListBullet"/>
        <w:rPr>
          <w:rFonts w:eastAsia="Verdana"/>
        </w:rPr>
      </w:pPr>
      <w:r w:rsidRPr="7CFB4304">
        <w:rPr>
          <w:rFonts w:eastAsia="Verdana"/>
        </w:rPr>
        <w:t>the deliverability of the program, incorporating individual project development and delivery timelines (accounting for time needed for investigations, approvals, market ability to deliver and site constrain</w:t>
      </w:r>
      <w:r w:rsidR="3A5F1B54" w:rsidRPr="7CFB4304">
        <w:rPr>
          <w:rFonts w:eastAsia="Verdana"/>
        </w:rPr>
        <w:t>ts</w:t>
      </w:r>
      <w:r w:rsidRPr="7CFB4304">
        <w:rPr>
          <w:rFonts w:eastAsia="Verdana"/>
        </w:rPr>
        <w:t>)</w:t>
      </w:r>
    </w:p>
    <w:p w14:paraId="4FC8E40B" w14:textId="11079F05" w:rsidR="00767B75" w:rsidRPr="00DE108C" w:rsidRDefault="15E3975F" w:rsidP="00274DB5">
      <w:pPr>
        <w:pStyle w:val="ListBullet"/>
        <w:rPr>
          <w:rFonts w:eastAsia="Verdana"/>
        </w:rPr>
      </w:pPr>
      <w:r w:rsidRPr="7CFB4304">
        <w:rPr>
          <w:rFonts w:eastAsia="Verdana"/>
        </w:rPr>
        <w:t>sequencing and dependencies, for example some projects can only occur at certain times of year (</w:t>
      </w:r>
      <w:r w:rsidR="2C88FABD" w:rsidRPr="7CFB4304">
        <w:rPr>
          <w:rFonts w:eastAsia="Verdana"/>
        </w:rPr>
        <w:t>such as</w:t>
      </w:r>
      <w:r w:rsidRPr="7CFB4304">
        <w:rPr>
          <w:rFonts w:eastAsia="Verdana"/>
        </w:rPr>
        <w:t xml:space="preserve"> winter</w:t>
      </w:r>
      <w:r w:rsidR="006E5259">
        <w:rPr>
          <w:rFonts w:eastAsia="Verdana"/>
        </w:rPr>
        <w:t>,</w:t>
      </w:r>
      <w:r w:rsidRPr="7CFB4304">
        <w:rPr>
          <w:rFonts w:eastAsia="Verdana"/>
        </w:rPr>
        <w:t xml:space="preserve"> when demand is lower), once other projects have been completed or are best delivered as a package of work (for efficiency or to reduce interface risk). </w:t>
      </w:r>
    </w:p>
    <w:p w14:paraId="68E14AEB" w14:textId="77777777" w:rsidR="00767B75" w:rsidRPr="00DE108C" w:rsidRDefault="00767B75" w:rsidP="00EE3DD6">
      <w:pPr>
        <w:rPr>
          <w:rFonts w:eastAsia="Verdana"/>
        </w:rPr>
      </w:pPr>
      <w:r w:rsidRPr="00DE108C">
        <w:rPr>
          <w:rFonts w:eastAsia="Verdana"/>
        </w:rPr>
        <w:t>Our investment prioritisation process was iterative, whereby we progressively reduced our proposed expenditure and tested the impact on risk and outcomes. We ran a series of workshops and targeted risk assessments to assess the performance of different portfolios against the criteria.</w:t>
      </w:r>
    </w:p>
    <w:p w14:paraId="2603F9CE" w14:textId="77777777" w:rsidR="00767B75" w:rsidRPr="00DE108C" w:rsidRDefault="00767B75" w:rsidP="00EE3DD6">
      <w:r w:rsidRPr="00DE108C">
        <w:t>We also iterated these portfolios with the water corporations, individually and collectively, to understand how different project timings and compositions supported the outcomes and service needs of their customers.</w:t>
      </w:r>
    </w:p>
    <w:p w14:paraId="019324EA" w14:textId="17B0567B" w:rsidR="00767B75" w:rsidRPr="00DE108C" w:rsidRDefault="00767B75" w:rsidP="00EE3DD6">
      <w:pPr>
        <w:rPr>
          <w:rFonts w:eastAsia="Verdana"/>
        </w:rPr>
      </w:pPr>
      <w:r w:rsidRPr="00DE108C">
        <w:rPr>
          <w:rFonts w:eastAsia="Verdana"/>
        </w:rPr>
        <w:t>The outcome of the prioritisation process is a capital investment program that we consider strikes an appropriate balance between affordability, risk reduction, customer-driven service improvements and deliverability. This includes business cases for our</w:t>
      </w:r>
      <w:r w:rsidR="00ED2585">
        <w:rPr>
          <w:rFonts w:eastAsia="Verdana"/>
        </w:rPr>
        <w:t xml:space="preserve"> top</w:t>
      </w:r>
      <w:r w:rsidRPr="00DE108C">
        <w:rPr>
          <w:rFonts w:eastAsia="Verdana"/>
        </w:rPr>
        <w:t xml:space="preserve"> 15 major projects and our investment programs.</w:t>
      </w:r>
    </w:p>
    <w:p w14:paraId="04FBC6A8" w14:textId="77777777" w:rsidR="00767B75" w:rsidRPr="00DE108C" w:rsidRDefault="00767B75">
      <w:pPr>
        <w:pStyle w:val="Heading4"/>
      </w:pPr>
      <w:r w:rsidRPr="00DE108C">
        <w:t>1.2.1.4 Deliverability</w:t>
      </w:r>
    </w:p>
    <w:p w14:paraId="4A00BD80" w14:textId="620AFD70" w:rsidR="00767B75" w:rsidRPr="00DE108C" w:rsidRDefault="00767B75" w:rsidP="00EE3DD6">
      <w:pPr>
        <w:rPr>
          <w:rFonts w:eastAsia="Verdana"/>
        </w:rPr>
      </w:pPr>
      <w:r w:rsidRPr="00DE108C">
        <w:t xml:space="preserve">Melbourne Water understands the vital importance of ensuring our proposed capital program is prudent, efficient and deliverable. </w:t>
      </w:r>
      <w:r w:rsidR="3A5D5EA8">
        <w:t>Therefore</w:t>
      </w:r>
      <w:r w:rsidRPr="00DE108C">
        <w:t xml:space="preserve">, we have conducted a thorough deliverability assessment to ensure our plans are realistic and balance the scale of investment with our capacity to deliver effectively and efficiently. Based on this assessment, which has also drawn </w:t>
      </w:r>
      <w:r w:rsidRPr="00DE108C">
        <w:lastRenderedPageBreak/>
        <w:t>on the lessons learn</w:t>
      </w:r>
      <w:r w:rsidR="00E7119E">
        <w:t>t</w:t>
      </w:r>
      <w:r w:rsidRPr="00DE108C">
        <w:t xml:space="preserve"> during the 2021–26 regulatory period, we are c</w:t>
      </w:r>
      <w:r w:rsidRPr="00DE108C">
        <w:rPr>
          <w:rFonts w:eastAsia="Verdana"/>
        </w:rPr>
        <w:t>onfident in our ability to deliver the proposed capital program.</w:t>
      </w:r>
    </w:p>
    <w:p w14:paraId="1972ABC1" w14:textId="77777777" w:rsidR="00767B75" w:rsidRPr="00DE108C" w:rsidRDefault="00767B75" w:rsidP="00EE3DD6">
      <w:r w:rsidRPr="00DE108C">
        <w:t xml:space="preserve">Following the deliverability assessment, the capex forecasts have been refined as follows: </w:t>
      </w:r>
    </w:p>
    <w:p w14:paraId="5F33D3F1" w14:textId="77777777" w:rsidR="00767B75" w:rsidRPr="00DE108C" w:rsidRDefault="15E3975F" w:rsidP="00274DB5">
      <w:pPr>
        <w:pStyle w:val="ListBullet"/>
      </w:pPr>
      <w:r>
        <w:t xml:space="preserve">Uncertain projects, including where deliverability had lower confidence, have been deferred or funding has been limited to expenditure required for project development. </w:t>
      </w:r>
    </w:p>
    <w:p w14:paraId="6256B3AB" w14:textId="77777777" w:rsidR="00767B75" w:rsidRPr="00DE108C" w:rsidRDefault="15E3975F" w:rsidP="00274DB5">
      <w:pPr>
        <w:pStyle w:val="ListBullet"/>
      </w:pPr>
      <w:r>
        <w:t>Projects with high customer value and readiness for delivery have been identified and prioritised for funding.</w:t>
      </w:r>
    </w:p>
    <w:p w14:paraId="7D6E6CED" w14:textId="429E0EB0" w:rsidR="00767B75" w:rsidRPr="00DE108C" w:rsidRDefault="15E3975F" w:rsidP="00274DB5">
      <w:pPr>
        <w:pStyle w:val="ListBullet"/>
      </w:pPr>
      <w:r>
        <w:t>The capital program has been reprofiled to reflect realistic project sequencing and delivery timelines</w:t>
      </w:r>
      <w:r w:rsidR="02554280">
        <w:t>,</w:t>
      </w:r>
      <w:r>
        <w:t xml:space="preserve"> including</w:t>
      </w:r>
      <w:r w:rsidR="7F89C3D2">
        <w:t>:</w:t>
      </w:r>
      <w:r>
        <w:t xml:space="preserve"> </w:t>
      </w:r>
    </w:p>
    <w:p w14:paraId="00EDF8FF" w14:textId="0455E198" w:rsidR="15E3975F" w:rsidRDefault="15E3975F" w:rsidP="00274DB5">
      <w:pPr>
        <w:pStyle w:val="ListBullet2"/>
      </w:pPr>
      <w:r w:rsidRPr="0017337D">
        <w:rPr>
          <w:b/>
        </w:rPr>
        <w:t>Sequencing and dependencies:</w:t>
      </w:r>
      <w:r>
        <w:t xml:space="preserve"> We considered interdependencies between projects, seasonal constraints and service continuity while undertaking works. This has the effect of delaying some previously planned expenditure. </w:t>
      </w:r>
    </w:p>
    <w:p w14:paraId="64827F33" w14:textId="3F3CCA72" w:rsidR="12986028" w:rsidRDefault="12986028" w:rsidP="00274DB5">
      <w:pPr>
        <w:pStyle w:val="ListBullet2"/>
      </w:pPr>
      <w:r w:rsidRPr="0017337D">
        <w:rPr>
          <w:b/>
        </w:rPr>
        <w:t>Site constraints:</w:t>
      </w:r>
      <w:r>
        <w:t xml:space="preserve"> We assessed physical limitations at key sites</w:t>
      </w:r>
      <w:r w:rsidR="00EB3BF2">
        <w:t xml:space="preserve">, </w:t>
      </w:r>
      <w:r>
        <w:t>including the Eastern Treatment Plant (ETP) and Western Treatment Plant (WTP)</w:t>
      </w:r>
      <w:r w:rsidR="00EB3BF2">
        <w:t>,</w:t>
      </w:r>
      <w:r>
        <w:t xml:space="preserve"> and community impacts. The forecasts reflect planning scheduled for specific sites (such as ETP), where projects would compete for space, and ensure there are no adverse impacts on required plant operation.</w:t>
      </w:r>
    </w:p>
    <w:p w14:paraId="5F30DDF6" w14:textId="194C0ABD" w:rsidR="12986028" w:rsidRDefault="12986028" w:rsidP="00274DB5">
      <w:pPr>
        <w:pStyle w:val="ListBullet2"/>
      </w:pPr>
      <w:r w:rsidRPr="0017337D">
        <w:rPr>
          <w:b/>
        </w:rPr>
        <w:t>More realistic lead times:</w:t>
      </w:r>
      <w:r>
        <w:t xml:space="preserve"> We reassessed our project lead times, including recent lead times for the development, delivery and commissioning of complex projects. We have reflected these timelines in our forecasts. We also applied realistic timeframes for stakeholder engagement, permitting and accounting for the technical complexity of our major projects.</w:t>
      </w:r>
    </w:p>
    <w:p w14:paraId="06174777" w14:textId="152C7CEB" w:rsidR="12986028" w:rsidRDefault="12986028" w:rsidP="00274DB5">
      <w:pPr>
        <w:pStyle w:val="ListBullet2"/>
      </w:pPr>
      <w:r w:rsidRPr="0017337D">
        <w:rPr>
          <w:b/>
        </w:rPr>
        <w:t>Adjusted annual expenditure profiles:</w:t>
      </w:r>
      <w:r>
        <w:t xml:space="preserve"> We have considered deliverability as part of the profiling of the capex forecasts across the regulatory period. This was also tested with the water corporations.</w:t>
      </w:r>
    </w:p>
    <w:p w14:paraId="7BB4C721" w14:textId="0493FE86" w:rsidR="00767B75" w:rsidRPr="00DE108C" w:rsidRDefault="00767B75" w:rsidP="425138B5">
      <w:pPr>
        <w:pStyle w:val="ListBullet2"/>
        <w:numPr>
          <w:ilvl w:val="0"/>
          <w:numId w:val="0"/>
        </w:numPr>
        <w:ind w:left="1363"/>
      </w:pPr>
    </w:p>
    <w:p w14:paraId="2BF2EC07" w14:textId="6D48D0E8" w:rsidR="00767B75" w:rsidRPr="00DE108C" w:rsidRDefault="00767B75" w:rsidP="00EE3DD6">
      <w:pPr>
        <w:rPr>
          <w:rFonts w:eastAsiaTheme="minorEastAsia"/>
        </w:rPr>
      </w:pPr>
      <w:r w:rsidRPr="00DE108C">
        <w:t xml:space="preserve">Melbourne Water is also proposing to increase its internal and external project management and delivery resourcing to support the expanded capital program. </w:t>
      </w:r>
    </w:p>
    <w:p w14:paraId="21559D84" w14:textId="2D0CF9CB" w:rsidR="00767B75" w:rsidRPr="00DE108C" w:rsidRDefault="00767B75" w:rsidP="00EE3DD6">
      <w:pPr>
        <w:rPr>
          <w:rFonts w:eastAsiaTheme="minorEastAsia"/>
        </w:rPr>
      </w:pPr>
      <w:r w:rsidRPr="00DE108C">
        <w:t>Melbourne Water will in</w:t>
      </w:r>
      <w:r w:rsidRPr="00DE108C">
        <w:rPr>
          <w:rFonts w:eastAsiaTheme="minorEastAsia"/>
        </w:rPr>
        <w:t>crease our internal project management staffing but will ensure that this is efficient by further developing the internal workflow tools used by managers. Melbourne Water has also established the Project Management Panel to efficiently meet peaks in demand for project management resources.</w:t>
      </w:r>
    </w:p>
    <w:p w14:paraId="6C8883AD" w14:textId="181290E5" w:rsidR="00767B75" w:rsidRPr="00DE108C" w:rsidRDefault="00767B75" w:rsidP="00EE3DD6">
      <w:r w:rsidRPr="00DE108C">
        <w:t>For project delivery resourcing, Melbourne Water is refreshing its service provider panels to secure the capacity needed to deliver the planned capex program. We expect to award contracts under our new Major Capital Delivery Model in June 2026. This provides a two-year overlap between new and incumbent providers and provides additional capacity to increase our capital delivery going forward. As part of this procurement process, Melbourne Water has verified that market delivery capacity is available</w:t>
      </w:r>
      <w:r w:rsidR="61DF21D3">
        <w:t>,</w:t>
      </w:r>
      <w:r w:rsidRPr="00DE108C">
        <w:t xml:space="preserve"> including factoring for the concurrent decline in transport infrastructure spending across Victoria. Melbourne Water has also verified that contractor skills and resources are highly transferable to Melbourne Water’s infrastructure works. </w:t>
      </w:r>
    </w:p>
    <w:p w14:paraId="4C3082ED" w14:textId="77777777" w:rsidR="00767B75" w:rsidRPr="00DE108C" w:rsidRDefault="00767B75" w:rsidP="00EE3DD6">
      <w:r w:rsidRPr="00DE108C">
        <w:t>Our detailed Deliverability Plan is available on request.</w:t>
      </w:r>
    </w:p>
    <w:p w14:paraId="7C1B9A55" w14:textId="77777777" w:rsidR="00767B75" w:rsidRPr="00DE108C" w:rsidRDefault="00767B75">
      <w:pPr>
        <w:pStyle w:val="Heading4"/>
        <w:spacing w:before="120" w:after="200"/>
      </w:pPr>
      <w:bookmarkStart w:id="103" w:name="_Toc196745175"/>
      <w:r w:rsidRPr="00DE108C">
        <w:t xml:space="preserve">1.2.1.5 Collaboration with the water corporations </w:t>
      </w:r>
      <w:bookmarkEnd w:id="103"/>
    </w:p>
    <w:p w14:paraId="49FC9FB8" w14:textId="77777777" w:rsidR="00767B75" w:rsidRPr="00DE108C" w:rsidRDefault="00767B75" w:rsidP="00EE3DD6">
      <w:pPr>
        <w:rPr>
          <w:rFonts w:eastAsia="Aptos"/>
        </w:rPr>
      </w:pPr>
      <w:r w:rsidRPr="00DE108C">
        <w:t xml:space="preserve">Our Greater Melbourne water corporation customers are highly engaged and informed. </w:t>
      </w:r>
      <w:r w:rsidRPr="00DE108C">
        <w:rPr>
          <w:rFonts w:eastAsia="Aptos"/>
        </w:rPr>
        <w:t>Strong collaboration with these customers is a cornerstone of how water and sewerage services are planned and delivered and is reflected in our pricing proposal.</w:t>
      </w:r>
    </w:p>
    <w:p w14:paraId="7B8844F6" w14:textId="27232FA5" w:rsidR="00767B75" w:rsidRPr="00DE108C" w:rsidRDefault="00767B75" w:rsidP="00EE3DD6">
      <w:r w:rsidRPr="00DE108C">
        <w:lastRenderedPageBreak/>
        <w:t>We recognise that the decisions we make impact different corporations and their customers in different ways. While we aim to provide value holistically to all end–use customers, sometime</w:t>
      </w:r>
      <w:r w:rsidR="0080065C">
        <w:t>s</w:t>
      </w:r>
      <w:r w:rsidRPr="00DE108C">
        <w:t xml:space="preserve"> the decisions we make result in differential value across our region, depending on the complex interactions of the following factors:</w:t>
      </w:r>
    </w:p>
    <w:p w14:paraId="35CA7985" w14:textId="77777777" w:rsidR="00767B75" w:rsidRPr="00DE108C" w:rsidRDefault="15E3975F" w:rsidP="008038AA">
      <w:pPr>
        <w:pStyle w:val="ListBullet"/>
      </w:pPr>
      <w:r>
        <w:t>the type and location of the projects we deliver</w:t>
      </w:r>
    </w:p>
    <w:p w14:paraId="33A4A960" w14:textId="77777777" w:rsidR="00767B75" w:rsidRPr="00DE108C" w:rsidRDefault="15E3975F" w:rsidP="008038AA">
      <w:pPr>
        <w:pStyle w:val="ListBullet"/>
      </w:pPr>
      <w:r>
        <w:t>how we allocate costs</w:t>
      </w:r>
    </w:p>
    <w:p w14:paraId="4F029B58" w14:textId="77777777" w:rsidR="00767B75" w:rsidRPr="00DE108C" w:rsidRDefault="15E3975F" w:rsidP="008038AA">
      <w:pPr>
        <w:pStyle w:val="ListBullet"/>
      </w:pPr>
      <w:r>
        <w:t>how we design tariffs</w:t>
      </w:r>
    </w:p>
    <w:p w14:paraId="320E6625" w14:textId="77777777" w:rsidR="00767B75" w:rsidRPr="00DE108C" w:rsidRDefault="15E3975F" w:rsidP="008038AA">
      <w:pPr>
        <w:pStyle w:val="ListBullet"/>
      </w:pPr>
      <w:r>
        <w:t xml:space="preserve">how we set prices. </w:t>
      </w:r>
    </w:p>
    <w:p w14:paraId="6D7177D9" w14:textId="2E2F60FB" w:rsidR="00767B75" w:rsidRPr="00DE108C" w:rsidRDefault="00767B75" w:rsidP="00EE3DD6">
      <w:r w:rsidRPr="00DE108C">
        <w:t>We have taken an open, transparent and principles-based approach to working through these matters where there are different opinions among our customers. Where we have not been able to meet the expectations of one or more corporation, we have described why (see Appendix A</w:t>
      </w:r>
      <w:r w:rsidR="00802BB5">
        <w:t>:</w:t>
      </w:r>
      <w:r w:rsidRPr="00DE108C">
        <w:t xml:space="preserve"> Water corporation summaries for more details).</w:t>
      </w:r>
    </w:p>
    <w:p w14:paraId="350FBAF1" w14:textId="77777777" w:rsidR="00767B75" w:rsidRPr="00DE108C" w:rsidRDefault="00767B75" w:rsidP="00EE3DD6">
      <w:r w:rsidRPr="00DE108C">
        <w:t>Our process involved the following key steps:</w:t>
      </w:r>
    </w:p>
    <w:p w14:paraId="378373D0" w14:textId="77777777" w:rsidR="00767B75" w:rsidRPr="00DE108C" w:rsidRDefault="15E3975F" w:rsidP="008038AA">
      <w:pPr>
        <w:pStyle w:val="ListBullet"/>
      </w:pPr>
      <w:r w:rsidRPr="7CFB4304">
        <w:rPr>
          <w:b/>
          <w:bCs/>
        </w:rPr>
        <w:t>Identifying stakeholder priorities</w:t>
      </w:r>
      <w:r w:rsidRPr="008038AA">
        <w:rPr>
          <w:b/>
        </w:rPr>
        <w:t>:</w:t>
      </w:r>
      <w:r>
        <w:t xml:space="preserve"> We engaged to understand the priorities and expectations of our individual water corporation customers and tested the impact of delivering each corporations’ plans (including on customer outcomes and costs).</w:t>
      </w:r>
    </w:p>
    <w:p w14:paraId="48FEB83F" w14:textId="77777777" w:rsidR="00767B75" w:rsidRPr="00DE108C" w:rsidRDefault="15E3975F" w:rsidP="008038AA">
      <w:pPr>
        <w:pStyle w:val="ListBullet"/>
      </w:pPr>
      <w:r w:rsidRPr="7CFB4304">
        <w:rPr>
          <w:rFonts w:eastAsia="Aptos" w:cs="Aptos"/>
          <w:b/>
          <w:bCs/>
        </w:rPr>
        <w:t>Balancing competing priorities</w:t>
      </w:r>
      <w:r w:rsidRPr="008038AA">
        <w:rPr>
          <w:rFonts w:eastAsia="Aptos"/>
          <w:b/>
        </w:rPr>
        <w:t>:</w:t>
      </w:r>
      <w:r w:rsidRPr="7CFB4304">
        <w:rPr>
          <w:rFonts w:eastAsia="Aptos" w:cs="Aptos"/>
        </w:rPr>
        <w:t xml:space="preserve"> We socialised the priorities and expectations of each water corporation across the group and discussed and tested how best to prioritise and balance competing projects and outcomes. </w:t>
      </w:r>
      <w:r>
        <w:t xml:space="preserve">We developed processes and principles to make decisions and sought consensus on these where possible. </w:t>
      </w:r>
    </w:p>
    <w:p w14:paraId="6EEF1FE0" w14:textId="77777777" w:rsidR="00767B75" w:rsidRPr="00DE108C" w:rsidRDefault="15E3975F" w:rsidP="008038AA">
      <w:pPr>
        <w:pStyle w:val="ListBullet"/>
      </w:pPr>
      <w:r w:rsidRPr="7CFB4304">
        <w:rPr>
          <w:b/>
          <w:bCs/>
        </w:rPr>
        <w:t>Transparency reporting on decisions</w:t>
      </w:r>
      <w:r w:rsidRPr="008038AA">
        <w:rPr>
          <w:b/>
        </w:rPr>
        <w:t>:</w:t>
      </w:r>
      <w:r>
        <w:t xml:space="preserve"> The water corporations requested that Melbourne Water clearly and transparently report on the decisions it made, and the logic used to reach these decisions. This reporting has been undertaken regularly throughout the finalisation of the proposal.</w:t>
      </w:r>
    </w:p>
    <w:p w14:paraId="66A6D028" w14:textId="77777777" w:rsidR="00767B75" w:rsidRPr="00DE108C" w:rsidRDefault="00767B75">
      <w:pPr>
        <w:pStyle w:val="Heading4"/>
      </w:pPr>
      <w:r w:rsidRPr="00DE108C">
        <w:t xml:space="preserve">1.2.1.6 Testing that our proposal provides value for money </w:t>
      </w:r>
    </w:p>
    <w:p w14:paraId="288C6B12" w14:textId="66CC6183" w:rsidR="00767B75" w:rsidRPr="00DE108C" w:rsidRDefault="00767B75" w:rsidP="00EE3DD6">
      <w:r w:rsidRPr="00DE108C">
        <w:t>We sought to confirm customer sentiment in our Public Playback. This included describing what we heard were customers’ priorities, providing our five proposed Outcomes, proposing expenditures to deliver the Outcomes and explaining the implications for customer bills. We heard from consumers that cost-of-living and cost-of-housing pressures are front of mind. Despite this, we lear</w:t>
      </w:r>
      <w:r w:rsidR="00E7119E">
        <w:t>nt</w:t>
      </w:r>
      <w:r w:rsidRPr="00DE108C">
        <w:t xml:space="preserve"> that while there was an understandable level of discomfort with any bill increases, the majority of responding customers support our proposed package.</w:t>
      </w:r>
    </w:p>
    <w:p w14:paraId="2DF45187" w14:textId="77777777" w:rsidR="00767B75" w:rsidRPr="00DE108C" w:rsidRDefault="00767B75">
      <w:pPr>
        <w:pStyle w:val="Heading4"/>
      </w:pPr>
      <w:r w:rsidRPr="00DE108C">
        <w:t>1.2.1.7 Desalination capitalisation</w:t>
      </w:r>
    </w:p>
    <w:p w14:paraId="10E88688" w14:textId="5FAEB4B1" w:rsidR="00767B75" w:rsidRPr="00DE108C" w:rsidRDefault="00767B75" w:rsidP="00EE3DD6">
      <w:r w:rsidRPr="00DE108C">
        <w:t>We will be continuing with the approach established in the 2021 final decision regarding desalination capitalisation</w:t>
      </w:r>
      <w:r w:rsidR="3B95587E">
        <w:t xml:space="preserve"> - </w:t>
      </w:r>
      <w:r w:rsidRPr="00DE108C">
        <w:t>principal payments under the finance lease will provide our benchmark for capitalisation. This ensures customers continue to pay only in proportion to their utilisation of the underlying asset.</w:t>
      </w:r>
    </w:p>
    <w:p w14:paraId="437DC4C1" w14:textId="77777777" w:rsidR="00767B75" w:rsidRPr="00DE108C" w:rsidRDefault="00767B75">
      <w:pPr>
        <w:pStyle w:val="Heading3"/>
        <w:ind w:left="851" w:hanging="851"/>
      </w:pPr>
      <w:r w:rsidRPr="00DE108C">
        <w:t xml:space="preserve">1.2.2 Prudent, efficient and deliverable operating expenditure </w:t>
      </w:r>
    </w:p>
    <w:p w14:paraId="4AF2068A" w14:textId="5DACE3D8" w:rsidR="00767B75" w:rsidRPr="00DE108C" w:rsidRDefault="00767B75" w:rsidP="00EE3DD6">
      <w:r w:rsidRPr="00DE108C">
        <w:t xml:space="preserve">We have developed prudent and efficient </w:t>
      </w:r>
      <w:r w:rsidR="582C21FA">
        <w:t>opex</w:t>
      </w:r>
      <w:r w:rsidRPr="00DE108C">
        <w:t xml:space="preserve"> forecasts that are aligned to our Outcomes and our capital program and reflect an ambitious efficiency target. We have thoroughly assessed base year expenditure to ensure it is reflective of efficient recurring operating costs.</w:t>
      </w:r>
    </w:p>
    <w:p w14:paraId="41F1C196" w14:textId="2EDE9F40" w:rsidR="00767B75" w:rsidRPr="00DE108C" w:rsidRDefault="00767B75" w:rsidP="00EE3DD6">
      <w:r w:rsidRPr="00DE108C">
        <w:t xml:space="preserve">Melbourne Water is proposing no net growth in opex aside from well supported opex steps above baseline. To calculate this, we have proposed an operating expenditure growth rate of 2 per cent, aligned to the </w:t>
      </w:r>
      <w:r w:rsidR="00953198">
        <w:t>Victorian Government</w:t>
      </w:r>
      <w:r w:rsidRPr="00DE108C">
        <w:t xml:space="preserve"> population growth forecast directly offset by an </w:t>
      </w:r>
      <w:r w:rsidR="5CBFC62A">
        <w:t>opex</w:t>
      </w:r>
      <w:r w:rsidRPr="00DE108C">
        <w:t xml:space="preserve"> efficiency rate of 2 per cent per annum.</w:t>
      </w:r>
    </w:p>
    <w:p w14:paraId="729C6F15" w14:textId="4E8871C6" w:rsidR="00767B75" w:rsidRPr="00DE108C" w:rsidRDefault="00767B75" w:rsidP="00EE3DD6">
      <w:r w:rsidRPr="00DE108C">
        <w:lastRenderedPageBreak/>
        <w:t xml:space="preserve">The proposed efficiency target is supported by a Cost Efficiency Plan that outlines: </w:t>
      </w:r>
    </w:p>
    <w:p w14:paraId="765E5F6D" w14:textId="77777777" w:rsidR="00767B75" w:rsidRPr="00DE108C" w:rsidRDefault="15E3975F" w:rsidP="008038AA">
      <w:pPr>
        <w:pStyle w:val="ListBullet"/>
      </w:pPr>
      <w:r>
        <w:t xml:space="preserve">our recent performance </w:t>
      </w:r>
    </w:p>
    <w:p w14:paraId="1D7FE0E5" w14:textId="77777777" w:rsidR="00767B75" w:rsidRPr="00DE108C" w:rsidRDefault="15E3975F" w:rsidP="008038AA">
      <w:pPr>
        <w:pStyle w:val="ListBullet"/>
      </w:pPr>
      <w:r>
        <w:t xml:space="preserve">the strategy that Melbourne Water will use to maintain downward pressure on prices </w:t>
      </w:r>
    </w:p>
    <w:p w14:paraId="4DE37440" w14:textId="77777777" w:rsidR="00767B75" w:rsidRPr="00DE108C" w:rsidRDefault="15E3975F" w:rsidP="008038AA">
      <w:pPr>
        <w:pStyle w:val="ListBullet"/>
      </w:pPr>
      <w:r>
        <w:t>our approaches to benchmarking, including our benchmarking through participation in the Water Services Association of Australia (WSAA) totex benchmarking study</w:t>
      </w:r>
    </w:p>
    <w:p w14:paraId="29EFAAE5" w14:textId="77777777" w:rsidR="00767B75" w:rsidRPr="00DE108C" w:rsidRDefault="15E3975F" w:rsidP="008038AA">
      <w:pPr>
        <w:pStyle w:val="ListBullet"/>
      </w:pPr>
      <w:r>
        <w:t>our cost efficiency framework, which will identify, deliver, evaluate and share our results</w:t>
      </w:r>
    </w:p>
    <w:p w14:paraId="6A7BDF64" w14:textId="43B9289E" w:rsidR="00767B75" w:rsidRPr="00DE108C" w:rsidRDefault="15E3975F" w:rsidP="008038AA">
      <w:pPr>
        <w:pStyle w:val="ListBullet"/>
      </w:pPr>
      <w:r>
        <w:t>the initial efficiency opportunities identified to offset the growth in opex expected as our customer base grows, including through</w:t>
      </w:r>
      <w:r w:rsidR="3D2FAB13">
        <w:t>:</w:t>
      </w:r>
      <w:r w:rsidR="008452E2">
        <w:t xml:space="preserve"> </w:t>
      </w:r>
      <w:r>
        <w:t>project delivery, planning and decision-making, digital solutions, actions identified through the WSAA totex benchmarking study, savings from capital investments, cost rationalisation, enterprise workforce planning, workplace facilities and maintenance.</w:t>
      </w:r>
    </w:p>
    <w:p w14:paraId="2D35F51E" w14:textId="77777777" w:rsidR="00767B75" w:rsidRPr="00DE108C" w:rsidRDefault="00767B75" w:rsidP="00EE3DD6">
      <w:r w:rsidRPr="00DE108C">
        <w:t xml:space="preserve">We have proposed well justified opex steps, each supported by a strong rationale and tied to our customer Outcomes. Where relevant, we have engaged with customers and partners on these steps. </w:t>
      </w:r>
    </w:p>
    <w:p w14:paraId="211E17DB" w14:textId="0149029F" w:rsidR="00767B75" w:rsidRPr="00DE108C" w:rsidRDefault="00767B75" w:rsidP="00EE3DD6">
      <w:r w:rsidRPr="00DE108C">
        <w:t>Full details of our prudent and efficient opex proposal are provided in Chapter 7 (Operating Expenditure).</w:t>
      </w:r>
    </w:p>
    <w:p w14:paraId="1A85ED13" w14:textId="77777777" w:rsidR="00767B75" w:rsidRPr="00DE108C" w:rsidRDefault="00767B75">
      <w:bookmarkStart w:id="104" w:name="_Toc196745176"/>
    </w:p>
    <w:p w14:paraId="1EE4B471" w14:textId="77777777" w:rsidR="00767B75" w:rsidRPr="00DE108C" w:rsidRDefault="00767B75">
      <w:pPr>
        <w:pStyle w:val="Heading2"/>
        <w:rPr>
          <w:rFonts w:asciiTheme="minorHAnsi" w:hAnsiTheme="minorHAnsi"/>
        </w:rPr>
      </w:pPr>
      <w:bookmarkStart w:id="105" w:name="_Toc207892879"/>
      <w:bookmarkStart w:id="106" w:name="_Toc207853372"/>
      <w:r w:rsidRPr="00DE108C">
        <w:rPr>
          <w:rFonts w:asciiTheme="minorHAnsi" w:hAnsiTheme="minorHAnsi"/>
        </w:rPr>
        <w:t>1.3. PREMO assessment – Management</w:t>
      </w:r>
      <w:bookmarkEnd w:id="104"/>
      <w:bookmarkEnd w:id="105"/>
      <w:bookmarkEnd w:id="106"/>
    </w:p>
    <w:p w14:paraId="46EB11EA" w14:textId="7404E625" w:rsidR="00767B75" w:rsidRPr="00DE108C" w:rsidRDefault="00767B75" w:rsidP="00C83369">
      <w:r w:rsidRPr="00DE108C">
        <w:t xml:space="preserve">For the management component of PREMO, we have assessed ourselves to be </w:t>
      </w:r>
      <w:r w:rsidR="00423F03">
        <w:t>‘</w:t>
      </w:r>
      <w:r w:rsidRPr="00423F03">
        <w:rPr>
          <w:i/>
          <w:iCs/>
        </w:rPr>
        <w:t>Standard</w:t>
      </w:r>
      <w:r w:rsidR="00423F03">
        <w:rPr>
          <w:i/>
          <w:iCs/>
        </w:rPr>
        <w:t>’</w:t>
      </w:r>
      <w:r w:rsidRPr="00DE108C">
        <w:t xml:space="preserve">, as summarised in </w:t>
      </w:r>
      <w:r w:rsidR="0625E450">
        <w:t>T</w:t>
      </w:r>
      <w:r>
        <w:t xml:space="preserve">able </w:t>
      </w:r>
      <w:r w:rsidR="3C52696E">
        <w:t>1.2.</w:t>
      </w:r>
      <w:r w:rsidRPr="00DE108C">
        <w:t xml:space="preserve"> </w:t>
      </w:r>
    </w:p>
    <w:p w14:paraId="431B270F" w14:textId="77777777" w:rsidR="00767B75" w:rsidRPr="00DE108C" w:rsidRDefault="00767B75" w:rsidP="00DE65C4">
      <w:pPr>
        <w:pStyle w:val="Caption"/>
      </w:pPr>
      <w:bookmarkStart w:id="107" w:name="_Toc207892971"/>
      <w:bookmarkStart w:id="108" w:name="_Toc208490500"/>
      <w:bookmarkStart w:id="109" w:name="_Toc208490838"/>
      <w:bookmarkStart w:id="110" w:name="_Toc208910996"/>
      <w:bookmarkStart w:id="111" w:name="_Toc210051303"/>
      <w:r w:rsidRPr="00DE108C">
        <w:t>Table 1.2: PREMO assessment – Management</w:t>
      </w:r>
      <w:bookmarkEnd w:id="107"/>
      <w:bookmarkEnd w:id="108"/>
      <w:bookmarkEnd w:id="109"/>
      <w:bookmarkEnd w:id="110"/>
      <w:bookmarkEnd w:id="111"/>
      <w:r w:rsidRPr="00DE108C">
        <w:t xml:space="preserve"> </w:t>
      </w:r>
    </w:p>
    <w:tbl>
      <w:tblPr>
        <w:tblStyle w:val="MWTableGrid"/>
        <w:tblW w:w="5000" w:type="pct"/>
        <w:tblLook w:val="0420" w:firstRow="1" w:lastRow="0" w:firstColumn="0" w:lastColumn="0" w:noHBand="0" w:noVBand="1"/>
      </w:tblPr>
      <w:tblGrid>
        <w:gridCol w:w="3495"/>
        <w:gridCol w:w="6133"/>
      </w:tblGrid>
      <w:tr w:rsidR="00A5757A" w:rsidRPr="00DE108C" w14:paraId="41B4D400" w14:textId="77777777" w:rsidTr="35762B23">
        <w:trPr>
          <w:cnfStyle w:val="100000000000" w:firstRow="1" w:lastRow="0" w:firstColumn="0" w:lastColumn="0" w:oddVBand="0" w:evenVBand="0" w:oddHBand="0" w:evenHBand="0" w:firstRowFirstColumn="0" w:firstRowLastColumn="0" w:lastRowFirstColumn="0" w:lastRowLastColumn="0"/>
        </w:trPr>
        <w:tc>
          <w:tcPr>
            <w:tcW w:w="1815" w:type="pct"/>
          </w:tcPr>
          <w:p w14:paraId="03B63741" w14:textId="77777777" w:rsidR="00767B75" w:rsidRPr="00DE108C" w:rsidRDefault="00767B75" w:rsidP="00C83369">
            <w:pPr>
              <w:pStyle w:val="TableHeading"/>
            </w:pPr>
            <w:r w:rsidRPr="00DE108C">
              <w:t>Guiding Question</w:t>
            </w:r>
          </w:p>
        </w:tc>
        <w:tc>
          <w:tcPr>
            <w:tcW w:w="3185" w:type="pct"/>
          </w:tcPr>
          <w:p w14:paraId="00727310" w14:textId="77777777" w:rsidR="00767B75" w:rsidRPr="00DE108C" w:rsidRDefault="00767B75" w:rsidP="00C83369">
            <w:pPr>
              <w:pStyle w:val="TableHeading"/>
            </w:pPr>
            <w:r w:rsidRPr="00DE108C">
              <w:t>Comment</w:t>
            </w:r>
          </w:p>
        </w:tc>
      </w:tr>
      <w:tr w:rsidR="00767B75" w:rsidRPr="00DE108C" w14:paraId="41A7E3C0" w14:textId="77777777" w:rsidTr="35762B23">
        <w:tc>
          <w:tcPr>
            <w:tcW w:w="1815" w:type="pct"/>
          </w:tcPr>
          <w:p w14:paraId="5135DDC4" w14:textId="77777777" w:rsidR="00767B75" w:rsidRPr="00DE108C" w:rsidRDefault="00767B75" w:rsidP="00C83369">
            <w:pPr>
              <w:pStyle w:val="TableText"/>
            </w:pPr>
            <w:r w:rsidRPr="00DE108C">
              <w:t>To what extent has Melbourne Water demonstrated how its proposed prices reflect only prudent and efficient expenditure?</w:t>
            </w:r>
          </w:p>
        </w:tc>
        <w:tc>
          <w:tcPr>
            <w:tcW w:w="3185" w:type="pct"/>
          </w:tcPr>
          <w:p w14:paraId="1A897E60" w14:textId="77777777" w:rsidR="00767B75" w:rsidRPr="00DE108C" w:rsidRDefault="00767B75" w:rsidP="00C83369">
            <w:pPr>
              <w:pStyle w:val="TableText"/>
            </w:pPr>
            <w:r w:rsidRPr="00DE108C">
              <w:t>Melbourne Water has followed the expenditure forecasting guidance of the ESC to develop prudent and efficient expenditure proposals. The expenditure proposals have also been tested and refined through a range of processes, including collaborative planning with the water corporations, broader customer and stakeholder engagement and expenditure prioritisation processes, which also formed an important part of our risk identification and allocation process.</w:t>
            </w:r>
          </w:p>
          <w:p w14:paraId="27C1D802" w14:textId="77777777" w:rsidR="00767B75" w:rsidRPr="00DE108C" w:rsidRDefault="00767B75" w:rsidP="00C83369">
            <w:pPr>
              <w:pStyle w:val="TableText"/>
            </w:pPr>
            <w:r w:rsidRPr="00DE108C">
              <w:t>Prudent and efficient capex forecasts have been produced by using the best available information and forecasts as inputs, basing forecasts on efficient cost assumptions, applying a capex prioritisation framework to refine down the forecasts, testing for deliverability, collaborating on and testing the forecasts with the water corporations, and testing that our proposal provides value for money through public consultation to close the loop.</w:t>
            </w:r>
          </w:p>
          <w:p w14:paraId="528881DE" w14:textId="63DA0381" w:rsidR="00767B75" w:rsidRPr="00DE108C" w:rsidRDefault="00767B75" w:rsidP="00C83369">
            <w:pPr>
              <w:pStyle w:val="TableText"/>
            </w:pPr>
            <w:r w:rsidRPr="00DE108C">
              <w:t>As set out in Chapter 6</w:t>
            </w:r>
            <w:r w:rsidR="0AFBD9E2">
              <w:t xml:space="preserve"> (Capital expenditure)</w:t>
            </w:r>
            <w:r>
              <w:t>,</w:t>
            </w:r>
            <w:r w:rsidRPr="00DE108C">
              <w:t xml:space="preserve"> business cases for all top 15 capital projects have been independently reviewed.</w:t>
            </w:r>
          </w:p>
          <w:p w14:paraId="59EB03E1" w14:textId="039782C3" w:rsidR="00767B75" w:rsidRPr="00DE108C" w:rsidRDefault="00767B75" w:rsidP="00C83369">
            <w:pPr>
              <w:pStyle w:val="TableText"/>
              <w:rPr>
                <w:rFonts w:eastAsia="Aptos Display"/>
              </w:rPr>
            </w:pPr>
            <w:r w:rsidRPr="00DE108C">
              <w:rPr>
                <w:rFonts w:eastAsia="Aptos Display"/>
              </w:rPr>
              <w:t>We are entering a growth phase in investment and while increasing investment significantly, have excluded uncertain projects from our revenue requirement.</w:t>
            </w:r>
          </w:p>
          <w:p w14:paraId="2800AD99" w14:textId="77777777" w:rsidR="00767B75" w:rsidRPr="00DE108C" w:rsidRDefault="00767B75" w:rsidP="00C83369">
            <w:pPr>
              <w:pStyle w:val="TableText"/>
            </w:pPr>
            <w:r w:rsidRPr="00DE108C">
              <w:t>We have developed prudent and efficient operating expenditure forecasts that are aligned to our Outcomes and capital program and reflect an ambitious efficiency target.</w:t>
            </w:r>
          </w:p>
          <w:p w14:paraId="3D109EC6" w14:textId="77777777" w:rsidR="00767B75" w:rsidRPr="00DE108C" w:rsidRDefault="00767B75" w:rsidP="00C83369">
            <w:pPr>
              <w:pStyle w:val="TableText"/>
              <w:rPr>
                <w:rFonts w:eastAsia="Aptos Display"/>
              </w:rPr>
            </w:pPr>
            <w:r w:rsidRPr="00DE108C">
              <w:lastRenderedPageBreak/>
              <w:t>We have proposed well justified opex steps, each with a strong rationale and tied to our customer Outcomes.</w:t>
            </w:r>
          </w:p>
        </w:tc>
      </w:tr>
      <w:tr w:rsidR="00A5757A" w:rsidRPr="00DE108C" w14:paraId="7D2038C0" w14:textId="77777777" w:rsidTr="35762B23">
        <w:trPr>
          <w:cnfStyle w:val="000000010000" w:firstRow="0" w:lastRow="0" w:firstColumn="0" w:lastColumn="0" w:oddVBand="0" w:evenVBand="0" w:oddHBand="0" w:evenHBand="1" w:firstRowFirstColumn="0" w:firstRowLastColumn="0" w:lastRowFirstColumn="0" w:lastRowLastColumn="0"/>
        </w:trPr>
        <w:tc>
          <w:tcPr>
            <w:tcW w:w="1815" w:type="pct"/>
          </w:tcPr>
          <w:p w14:paraId="60D92413" w14:textId="77777777" w:rsidR="00767B75" w:rsidRPr="00DE108C" w:rsidRDefault="00767B75" w:rsidP="00C83369">
            <w:pPr>
              <w:pStyle w:val="TableText"/>
            </w:pPr>
            <w:r w:rsidRPr="00DE108C">
              <w:lastRenderedPageBreak/>
              <w:t>To what extent has Melbourne Water justified its commitment to cost efficiency or productivity improvements?</w:t>
            </w:r>
          </w:p>
        </w:tc>
        <w:tc>
          <w:tcPr>
            <w:tcW w:w="3185" w:type="pct"/>
          </w:tcPr>
          <w:p w14:paraId="0549D941" w14:textId="24243ACB" w:rsidR="00767B75" w:rsidRPr="00DE108C" w:rsidRDefault="00767B75" w:rsidP="00C83369">
            <w:pPr>
              <w:pStyle w:val="TableText"/>
            </w:pPr>
            <w:r w:rsidRPr="00DE108C">
              <w:t>Our opex profile reflects our commitment to finding ongoing efficiencies. Our efficiency rate of 2</w:t>
            </w:r>
            <w:r w:rsidR="00E35A5B" w:rsidRPr="00DE108C">
              <w:t> </w:t>
            </w:r>
            <w:r w:rsidRPr="00DE108C">
              <w:t>per</w:t>
            </w:r>
            <w:r w:rsidR="00E35A5B" w:rsidRPr="00DE108C">
              <w:t> </w:t>
            </w:r>
            <w:r w:rsidRPr="00DE108C">
              <w:t xml:space="preserve">cent fully offsets growth and is higher than the benchmark for Standard-rated businesses in the 2023 and 2024 water price reviews </w:t>
            </w:r>
            <w:r w:rsidR="008F6249">
              <w:t xml:space="preserve">– </w:t>
            </w:r>
            <w:r w:rsidRPr="00DE108C">
              <w:t>refer to Chapter 7</w:t>
            </w:r>
            <w:r w:rsidR="58D9A7C3">
              <w:t xml:space="preserve"> (Operating expenditure)</w:t>
            </w:r>
            <w:r>
              <w:t>.</w:t>
            </w:r>
            <w:r w:rsidRPr="00DE108C">
              <w:t xml:space="preserve"> </w:t>
            </w:r>
          </w:p>
        </w:tc>
      </w:tr>
      <w:tr w:rsidR="00767B75" w:rsidRPr="00DE108C" w14:paraId="0B42F6B2" w14:textId="77777777" w:rsidTr="35762B23">
        <w:tc>
          <w:tcPr>
            <w:tcW w:w="1815" w:type="pct"/>
          </w:tcPr>
          <w:p w14:paraId="582E090C" w14:textId="77777777" w:rsidR="00767B75" w:rsidRPr="00DE108C" w:rsidRDefault="00767B75" w:rsidP="00C83369">
            <w:pPr>
              <w:pStyle w:val="TableText"/>
            </w:pPr>
            <w:r w:rsidRPr="00DE108C">
              <w:t>To what extent has Melbourne Water justified or provided assurance about the quality of the submission, including the quality of supporting information on forecast costs or projects?</w:t>
            </w:r>
          </w:p>
        </w:tc>
        <w:tc>
          <w:tcPr>
            <w:tcW w:w="3185" w:type="pct"/>
          </w:tcPr>
          <w:p w14:paraId="791DEF64" w14:textId="5AAD013B" w:rsidR="00767B75" w:rsidRPr="00DE108C" w:rsidRDefault="00767B75" w:rsidP="00C83369">
            <w:pPr>
              <w:pStyle w:val="TableText"/>
            </w:pPr>
            <w:r w:rsidRPr="00DE108C">
              <w:t xml:space="preserve">Our governance framework guided the development of PS26 and progressive approvals ensured the quality of all aspects of this submission. </w:t>
            </w:r>
          </w:p>
          <w:p w14:paraId="0C75CDF6" w14:textId="77777777" w:rsidR="00767B75" w:rsidRPr="00DE108C" w:rsidRDefault="00767B75" w:rsidP="00C83369">
            <w:pPr>
              <w:pStyle w:val="TableText"/>
            </w:pPr>
            <w:r w:rsidRPr="00DE108C">
              <w:t>In addition, we engaged independent experts to review and/or verify key inputs and assumptions taken in this submission, including Frontier Economics for assurance.</w:t>
            </w:r>
          </w:p>
          <w:p w14:paraId="1E6B08F2" w14:textId="77777777" w:rsidR="00767B75" w:rsidRPr="00DE108C" w:rsidRDefault="00767B75" w:rsidP="00C83369">
            <w:pPr>
              <w:pStyle w:val="TableText"/>
            </w:pPr>
            <w:r w:rsidRPr="00DE108C">
              <w:t>These processes culminated in the Board making its attestation in support of PS26 at its September 2025 meeting.</w:t>
            </w:r>
          </w:p>
        </w:tc>
      </w:tr>
      <w:tr w:rsidR="00A5757A" w:rsidRPr="00DE108C" w14:paraId="45B38F19" w14:textId="77777777" w:rsidTr="35762B23">
        <w:trPr>
          <w:cnfStyle w:val="000000010000" w:firstRow="0" w:lastRow="0" w:firstColumn="0" w:lastColumn="0" w:oddVBand="0" w:evenVBand="0" w:oddHBand="0" w:evenHBand="1" w:firstRowFirstColumn="0" w:firstRowLastColumn="0" w:lastRowFirstColumn="0" w:lastRowLastColumn="0"/>
        </w:trPr>
        <w:tc>
          <w:tcPr>
            <w:tcW w:w="1815" w:type="pct"/>
          </w:tcPr>
          <w:p w14:paraId="22FEC8C8" w14:textId="77777777" w:rsidR="00767B75" w:rsidRPr="00DE108C" w:rsidRDefault="00767B75" w:rsidP="00C83369">
            <w:pPr>
              <w:pStyle w:val="TableText"/>
            </w:pPr>
            <w:r w:rsidRPr="00DE108C">
              <w:t>To what extent has Melbourne Water provided evidence that there is senior level, including Board level, ownership and commitment to its submission and its outcomes?</w:t>
            </w:r>
          </w:p>
        </w:tc>
        <w:tc>
          <w:tcPr>
            <w:tcW w:w="3185" w:type="pct"/>
          </w:tcPr>
          <w:p w14:paraId="23696A63" w14:textId="03DD4174" w:rsidR="00767B75" w:rsidRPr="00DE108C" w:rsidRDefault="00767B75" w:rsidP="00C83369">
            <w:pPr>
              <w:pStyle w:val="TableText"/>
            </w:pPr>
            <w:r w:rsidRPr="00DE108C">
              <w:t xml:space="preserve">This document is the product of over two years of strategic thought leadership by our Board, Managing Director and </w:t>
            </w:r>
            <w:r w:rsidR="428503BD">
              <w:t>ELG</w:t>
            </w:r>
            <w:r w:rsidR="027B1003" w:rsidRPr="00DE108C">
              <w:t xml:space="preserve"> </w:t>
            </w:r>
            <w:r w:rsidRPr="00DE108C">
              <w:t xml:space="preserve">to build PS26. </w:t>
            </w:r>
          </w:p>
          <w:p w14:paraId="1E23279E" w14:textId="77777777" w:rsidR="00767B75" w:rsidRPr="00DE108C" w:rsidRDefault="00767B75" w:rsidP="00C83369">
            <w:pPr>
              <w:pStyle w:val="TableText"/>
            </w:pPr>
            <w:r w:rsidRPr="00DE108C">
              <w:t>Our Board has attested to PS26.</w:t>
            </w:r>
          </w:p>
        </w:tc>
      </w:tr>
      <w:tr w:rsidR="00767B75" w:rsidRPr="00DE108C" w14:paraId="6576D279" w14:textId="77777777" w:rsidTr="35762B23">
        <w:tc>
          <w:tcPr>
            <w:tcW w:w="1815" w:type="pct"/>
          </w:tcPr>
          <w:p w14:paraId="14857C7D" w14:textId="77777777" w:rsidR="00767B75" w:rsidRPr="00DE108C" w:rsidRDefault="00767B75" w:rsidP="00C83369">
            <w:pPr>
              <w:pStyle w:val="TableText"/>
            </w:pPr>
            <w:r w:rsidRPr="00DE108C">
              <w:t>To what extent has Melbourne Water demonstrated its price submission is an ‘open book’?</w:t>
            </w:r>
          </w:p>
        </w:tc>
        <w:tc>
          <w:tcPr>
            <w:tcW w:w="3185" w:type="pct"/>
          </w:tcPr>
          <w:p w14:paraId="6005890C" w14:textId="609A28D9" w:rsidR="00767B75" w:rsidRPr="00DE108C" w:rsidRDefault="00767B75" w:rsidP="00C83369">
            <w:pPr>
              <w:pStyle w:val="TableText"/>
            </w:pPr>
            <w:r w:rsidRPr="00DE108C">
              <w:t xml:space="preserve">We have engaged openly with customers, other key stakeholders and regulators throughout the development of PS26, including via regular briefings from members of our Board and </w:t>
            </w:r>
            <w:r w:rsidR="159DD5B9">
              <w:t>ELG</w:t>
            </w:r>
            <w:r w:rsidRPr="00DE108C">
              <w:t>.</w:t>
            </w:r>
          </w:p>
          <w:p w14:paraId="4F676FB2" w14:textId="77777777" w:rsidR="00767B75" w:rsidRPr="00DE108C" w:rsidRDefault="00767B75" w:rsidP="00C83369">
            <w:pPr>
              <w:pStyle w:val="TableText"/>
            </w:pPr>
            <w:r w:rsidRPr="00DE108C">
              <w:t>Our capex program has been scrutinised by our water corporation customers.</w:t>
            </w:r>
          </w:p>
          <w:p w14:paraId="4E34CD70" w14:textId="77777777" w:rsidR="00767B75" w:rsidRPr="00DE108C" w:rsidRDefault="00767B75" w:rsidP="00C83369">
            <w:pPr>
              <w:pStyle w:val="TableText"/>
            </w:pPr>
            <w:r w:rsidRPr="00DE108C">
              <w:t>We have listed an extensive array of reference materials in PS26 that we will make available on request. In addition, we are available to further discuss or provide any other information required for the ESC to undertake its assessment of PS26.</w:t>
            </w:r>
          </w:p>
          <w:p w14:paraId="5ABA305B" w14:textId="151E04CC" w:rsidR="00767B75" w:rsidRPr="00DE108C" w:rsidRDefault="00767B75" w:rsidP="00C83369">
            <w:pPr>
              <w:pStyle w:val="TableText"/>
            </w:pPr>
            <w:r w:rsidRPr="00DE108C">
              <w:t>We had regular meetings with ESC staff, including at Commissioner-Board levels, to discuss any issues of concern and mutual understanding.</w:t>
            </w:r>
          </w:p>
          <w:p w14:paraId="33DDF7C3" w14:textId="77777777" w:rsidR="00767B75" w:rsidRPr="00DE108C" w:rsidRDefault="00767B75" w:rsidP="00C83369">
            <w:pPr>
              <w:pStyle w:val="TableText"/>
            </w:pPr>
            <w:r w:rsidRPr="00DE108C">
              <w:t>We published a summary of our proposed draft submission in May 2025 and will also publish and promote a summary of PS26 on our website.</w:t>
            </w:r>
          </w:p>
        </w:tc>
      </w:tr>
      <w:tr w:rsidR="00A5757A" w:rsidRPr="00DE108C" w14:paraId="23AD3CFA" w14:textId="77777777" w:rsidTr="35762B23">
        <w:trPr>
          <w:cnfStyle w:val="000000010000" w:firstRow="0" w:lastRow="0" w:firstColumn="0" w:lastColumn="0" w:oddVBand="0" w:evenVBand="0" w:oddHBand="0" w:evenHBand="1" w:firstRowFirstColumn="0" w:firstRowLastColumn="0" w:lastRowFirstColumn="0" w:lastRowLastColumn="0"/>
        </w:trPr>
        <w:tc>
          <w:tcPr>
            <w:tcW w:w="1815" w:type="pct"/>
          </w:tcPr>
          <w:p w14:paraId="1A75559C" w14:textId="77777777" w:rsidR="00767B75" w:rsidRPr="00DE108C" w:rsidRDefault="00767B75" w:rsidP="00C83369">
            <w:pPr>
              <w:pStyle w:val="TableText"/>
              <w:rPr>
                <w:b/>
                <w:bCs/>
              </w:rPr>
            </w:pPr>
            <w:r w:rsidRPr="00DE108C">
              <w:rPr>
                <w:b/>
                <w:bCs/>
              </w:rPr>
              <w:t>Rating</w:t>
            </w:r>
          </w:p>
        </w:tc>
        <w:tc>
          <w:tcPr>
            <w:tcW w:w="3185" w:type="pct"/>
          </w:tcPr>
          <w:p w14:paraId="2261F97F" w14:textId="52FD2F59" w:rsidR="00767B75" w:rsidRPr="00DE108C" w:rsidRDefault="00767B75" w:rsidP="00C83369">
            <w:pPr>
              <w:pStyle w:val="TableText"/>
              <w:rPr>
                <w:b/>
                <w:bCs/>
              </w:rPr>
            </w:pPr>
            <w:r w:rsidRPr="00DE108C">
              <w:rPr>
                <w:b/>
                <w:bCs/>
              </w:rPr>
              <w:t xml:space="preserve">Confident </w:t>
            </w:r>
            <w:r w:rsidR="00BE1A59" w:rsidRPr="00DE108C">
              <w:rPr>
                <w:b/>
                <w:bCs/>
              </w:rPr>
              <w:t>m</w:t>
            </w:r>
            <w:r w:rsidRPr="00DE108C">
              <w:rPr>
                <w:b/>
                <w:bCs/>
              </w:rPr>
              <w:t xml:space="preserve">anagement is </w:t>
            </w:r>
            <w:r w:rsidRPr="00423F03">
              <w:rPr>
                <w:b/>
                <w:i/>
              </w:rPr>
              <w:t>‘Standard’</w:t>
            </w:r>
          </w:p>
        </w:tc>
      </w:tr>
    </w:tbl>
    <w:p w14:paraId="4809135E" w14:textId="77777777" w:rsidR="00767B75" w:rsidRPr="00DE108C" w:rsidRDefault="00767B75"/>
    <w:p w14:paraId="44528DA3" w14:textId="77777777" w:rsidR="00767B75" w:rsidRPr="00DE108C" w:rsidRDefault="00767B75">
      <w:r w:rsidRPr="00DE108C">
        <w:br w:type="page"/>
      </w:r>
    </w:p>
    <w:bookmarkStart w:id="112" w:name="_Toc207892880"/>
    <w:bookmarkStart w:id="113" w:name="_Toc207853373"/>
    <w:bookmarkStart w:id="114" w:name="_Toc210229034"/>
    <w:p w14:paraId="2E107291" w14:textId="5D63ED65" w:rsidR="00767B75" w:rsidRPr="00DE108C" w:rsidRDefault="00964531">
      <w:pPr>
        <w:pStyle w:val="Heading1"/>
        <w:rPr>
          <w:b w:val="0"/>
          <w:sz w:val="76"/>
          <w:szCs w:val="76"/>
        </w:rPr>
      </w:pPr>
      <w:r>
        <w:rPr>
          <w:noProof/>
        </w:rPr>
        <w:lastRenderedPageBreak/>
        <mc:AlternateContent>
          <mc:Choice Requires="wps">
            <w:drawing>
              <wp:anchor distT="45720" distB="45720" distL="114300" distR="114300" simplePos="0" relativeHeight="251658257" behindDoc="0" locked="0" layoutInCell="1" allowOverlap="1" wp14:anchorId="72B0D529" wp14:editId="29843B76">
                <wp:simplePos x="0" y="0"/>
                <wp:positionH relativeFrom="margin">
                  <wp:posOffset>0</wp:posOffset>
                </wp:positionH>
                <wp:positionV relativeFrom="margin">
                  <wp:posOffset>0</wp:posOffset>
                </wp:positionV>
                <wp:extent cx="4122000" cy="907200"/>
                <wp:effectExtent l="0" t="0" r="0" b="0"/>
                <wp:wrapSquare wrapText="bothSides"/>
                <wp:docPr id="851888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000" cy="907200"/>
                        </a:xfrm>
                        <a:prstGeom prst="rect">
                          <a:avLst/>
                        </a:prstGeom>
                        <a:noFill/>
                        <a:ln w="9525">
                          <a:noFill/>
                          <a:miter lim="800000"/>
                          <a:headEnd/>
                          <a:tailEnd/>
                        </a:ln>
                      </wps:spPr>
                      <wps:txbx>
                        <w:txbxContent>
                          <w:p w14:paraId="7765E023" w14:textId="23FC84ED" w:rsidR="00964531" w:rsidRPr="00FA4200" w:rsidRDefault="00964531" w:rsidP="00964531">
                            <w:pPr>
                              <w:rPr>
                                <w:color w:val="FFFFFF" w:themeColor="background1"/>
                                <w:sz w:val="80"/>
                                <w:szCs w:val="80"/>
                              </w:rPr>
                            </w:pPr>
                            <w:r>
                              <w:rPr>
                                <w:color w:val="FFFFFF" w:themeColor="background1"/>
                                <w:sz w:val="80"/>
                                <w:szCs w:val="80"/>
                              </w:rPr>
                              <w:t>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0D529" id="_x0000_s1036" type="#_x0000_t202" style="position:absolute;margin-left:0;margin-top:0;width:324.55pt;height:71.4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" filled="f" stroked="f">
                <v:textbox>
                  <w:txbxContent>
                    <w:p w14:paraId="7765E023" w14:textId="23FC84ED" w:rsidR="00964531" w:rsidRPr="00FA4200" w:rsidRDefault="00964531" w:rsidP="00964531">
                      <w:pPr>
                        <w:rPr>
                          <w:color w:val="FFFFFF" w:themeColor="background1"/>
                          <w:sz w:val="80"/>
                          <w:szCs w:val="80"/>
                        </w:rPr>
                      </w:pPr>
                      <w:r>
                        <w:rPr>
                          <w:color w:val="FFFFFF" w:themeColor="background1"/>
                          <w:sz w:val="80"/>
                          <w:szCs w:val="80"/>
                        </w:rPr>
                        <w:t>Performance</w:t>
                      </w:r>
                    </w:p>
                  </w:txbxContent>
                </v:textbox>
                <w10:wrap type="square" anchorx="margin" anchory="margin"/>
              </v:shape>
            </w:pict>
          </mc:Fallback>
        </mc:AlternateContent>
      </w:r>
      <w:r w:rsidR="00D2270B" w:rsidRPr="00DE108C">
        <w:rPr>
          <w:b w:val="0"/>
          <w:bCs w:val="0"/>
          <w:noProof/>
          <w:color w:val="FFFFFF" w:themeColor="background1"/>
          <w:sz w:val="76"/>
          <w:szCs w:val="76"/>
        </w:rPr>
        <w:drawing>
          <wp:anchor distT="0" distB="0" distL="114300" distR="114300" simplePos="0" relativeHeight="251658255" behindDoc="0" locked="1" layoutInCell="1" allowOverlap="1" wp14:anchorId="6C4BD10D" wp14:editId="3397D026">
            <wp:simplePos x="0" y="0"/>
            <wp:positionH relativeFrom="page">
              <wp:align>left</wp:align>
            </wp:positionH>
            <wp:positionV relativeFrom="page">
              <wp:posOffset>29210</wp:posOffset>
            </wp:positionV>
            <wp:extent cx="7559675" cy="10684510"/>
            <wp:effectExtent l="0" t="0" r="3175" b="2540"/>
            <wp:wrapNone/>
            <wp:docPr id="94023432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34321" name="Picture 8">
                      <a:extLst>
                        <a:ext uri="{C183D7F6-B498-43B3-948B-1728B52AA6E4}">
                          <adec:decorative xmlns:adec="http://schemas.microsoft.com/office/drawing/2017/decorative" val="1"/>
                        </a:ext>
                      </a:extLst>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r w:rsidR="00767B75" w:rsidRPr="00DE108C">
        <w:rPr>
          <w:b w:val="0"/>
          <w:color w:val="FFFFFF" w:themeColor="background1"/>
          <w:sz w:val="76"/>
          <w:szCs w:val="76"/>
        </w:rPr>
        <w:t>2. Performance</w:t>
      </w:r>
      <w:bookmarkEnd w:id="112"/>
      <w:bookmarkEnd w:id="113"/>
      <w:bookmarkEnd w:id="114"/>
    </w:p>
    <w:p w14:paraId="65B848DB" w14:textId="4B9E4045" w:rsidR="5F013AD7" w:rsidRPr="00DE108C" w:rsidRDefault="5F013AD7">
      <w:r w:rsidRPr="00DE108C">
        <w:br w:type="page"/>
      </w:r>
    </w:p>
    <w:p w14:paraId="48080209" w14:textId="77777777" w:rsidR="00767B75" w:rsidRPr="00DE108C" w:rsidRDefault="00767B75" w:rsidP="005A5C6F">
      <w:pPr>
        <w:pStyle w:val="HighlightBoxHeading"/>
        <w:rPr>
          <w:b w:val="0"/>
          <w:sz w:val="22"/>
          <w:szCs w:val="22"/>
        </w:rPr>
      </w:pPr>
      <w:r w:rsidRPr="005A367B">
        <w:rPr>
          <w:sz w:val="22"/>
          <w:szCs w:val="22"/>
        </w:rPr>
        <w:lastRenderedPageBreak/>
        <w:t xml:space="preserve">In </w:t>
      </w:r>
      <w:r w:rsidRPr="00DE108C">
        <w:rPr>
          <w:sz w:val="22"/>
          <w:szCs w:val="22"/>
        </w:rPr>
        <w:t>Summary</w:t>
      </w:r>
    </w:p>
    <w:p w14:paraId="7642F98B" w14:textId="77777777" w:rsidR="00767B75" w:rsidRPr="00DE108C" w:rsidRDefault="00767B75" w:rsidP="005A5C6F">
      <w:pPr>
        <w:pStyle w:val="HighlightBoxText"/>
      </w:pPr>
      <w:r w:rsidRPr="00DE108C">
        <w:t xml:space="preserve">A summary of our performance against Outcomes for 2021–26 is provided below: </w:t>
      </w:r>
    </w:p>
    <w:p w14:paraId="026C4761" w14:textId="77777777" w:rsidR="00767B75" w:rsidRPr="00DE108C" w:rsidRDefault="00767B75" w:rsidP="005A5C6F">
      <w:pPr>
        <w:pStyle w:val="HighlightBoxBullet"/>
        <w:rPr>
          <w:lang w:val="en-US"/>
        </w:rPr>
      </w:pPr>
      <w:r w:rsidRPr="00DE108C">
        <w:t xml:space="preserve">We have performed well against our PS21 customer Outcomes, achieving ‘on track’ status for five out of the six Outcomes in each of the first four years of the regulatory period. </w:t>
      </w:r>
      <w:r w:rsidRPr="00DE108C">
        <w:rPr>
          <w:lang w:val="en-US"/>
        </w:rPr>
        <w:t>We have largely achieved the targets associated with each Outcome, with 14 out of 19 measures rated green.</w:t>
      </w:r>
    </w:p>
    <w:p w14:paraId="0EFB0DB6" w14:textId="77777777" w:rsidR="00767B75" w:rsidRPr="00DE108C" w:rsidRDefault="00767B75" w:rsidP="005A5C6F">
      <w:pPr>
        <w:pStyle w:val="HighlightBoxBullet"/>
      </w:pPr>
      <w:r w:rsidRPr="00DE108C">
        <w:t>We have performed best on meeting the Outcomes (and associated performance targets) that are most highly valued by customers. These are Outcomes 1 to 4, which deliver on our core services and service level expectations.</w:t>
      </w:r>
    </w:p>
    <w:p w14:paraId="5049BECF" w14:textId="189877DA" w:rsidR="00767B75" w:rsidRPr="00DE108C" w:rsidRDefault="00767B75" w:rsidP="005A5C6F">
      <w:pPr>
        <w:pStyle w:val="HighlightBoxBullet"/>
      </w:pPr>
      <w:r w:rsidRPr="00DE108C">
        <w:t xml:space="preserve">We have transparently reported on our performance throughout the period. We </w:t>
      </w:r>
      <w:r w:rsidR="0048008B">
        <w:t>review</w:t>
      </w:r>
      <w:r w:rsidR="00AC53B5">
        <w:t>ed</w:t>
      </w:r>
      <w:r w:rsidR="0048008B">
        <w:t xml:space="preserve"> performance</w:t>
      </w:r>
      <w:r w:rsidR="00BD250C">
        <w:t xml:space="preserve"> </w:t>
      </w:r>
      <w:r w:rsidRPr="00DE108C">
        <w:t>with our bulk water and sewer customers prior to publishing our Outcomes performance in 2023-24 and 2024-25 and will do so for 2025-26. </w:t>
      </w:r>
    </w:p>
    <w:p w14:paraId="3A3BE2B1" w14:textId="7B0DE9B6" w:rsidR="00767B75" w:rsidRPr="00DE108C" w:rsidRDefault="00767B75" w:rsidP="005A5C6F">
      <w:pPr>
        <w:pStyle w:val="HighlightBoxBullet"/>
      </w:pPr>
      <w:r w:rsidRPr="00DE108C">
        <w:t>Although we had challenges developing a workable customer satisfaction measure for Outcome 5 (Easy, respectful, responsive and transparent customer service), other satisfaction scores (including water corporation, customer contact centre and developer scores) show that we maintained a strong level of satisfaction among our customers throughout the regulatory period.</w:t>
      </w:r>
    </w:p>
    <w:p w14:paraId="2674860E" w14:textId="3E57E149" w:rsidR="00767B75" w:rsidRPr="00DE108C" w:rsidRDefault="00767B75" w:rsidP="00CA2316">
      <w:pPr>
        <w:pStyle w:val="HighlightBoxText"/>
      </w:pPr>
      <w:r w:rsidRPr="00DE108C">
        <w:t>A summary of our performance against expenditure allowances for 2021–26 is provided below:</w:t>
      </w:r>
    </w:p>
    <w:p w14:paraId="7BD168B8" w14:textId="0EFE028D" w:rsidR="0072389D" w:rsidRPr="00DE108C" w:rsidRDefault="0072389D" w:rsidP="0072389D">
      <w:pPr>
        <w:pStyle w:val="HighlightBoxBullet"/>
        <w:rPr>
          <w:rFonts w:eastAsia="Segoe UI"/>
          <w:lang w:val="en-US"/>
        </w:rPr>
      </w:pPr>
      <w:r w:rsidRPr="00DE108C">
        <w:t xml:space="preserve">Over the regulatory period, capex </w:t>
      </w:r>
      <w:r w:rsidRPr="00DE108C">
        <w:rPr>
          <w:lang w:val="en-US"/>
        </w:rPr>
        <w:t xml:space="preserve">is forecast to be </w:t>
      </w:r>
      <w:r w:rsidRPr="00AC53B5">
        <w:rPr>
          <w:lang w:val="en-US"/>
        </w:rPr>
        <w:t>10.6</w:t>
      </w:r>
      <w:r w:rsidRPr="00DE108C">
        <w:rPr>
          <w:lang w:val="en-US"/>
        </w:rPr>
        <w:t xml:space="preserve"> per cent higher than the benchmark allowance as we invest to manage the challenges facing our region.</w:t>
      </w:r>
    </w:p>
    <w:p w14:paraId="5F479430" w14:textId="4585B464" w:rsidR="00767B75" w:rsidRPr="00DE108C" w:rsidRDefault="00767B75" w:rsidP="00CA2316">
      <w:pPr>
        <w:pStyle w:val="HighlightBoxBullet"/>
        <w:rPr>
          <w:rFonts w:eastAsia="Segoe UI"/>
          <w:lang w:val="en-US"/>
        </w:rPr>
      </w:pPr>
      <w:r w:rsidRPr="00DE108C">
        <w:t xml:space="preserve">Our capex delivery was slower to start than anticipated, including through deliberate decisions we made </w:t>
      </w:r>
      <w:r w:rsidR="01F008AF" w:rsidRPr="00DE108C">
        <w:t xml:space="preserve">to </w:t>
      </w:r>
      <w:r w:rsidRPr="00DE108C">
        <w:t>bundle major projects and adapt to new information arising from the October 2022 floods. However, after corrective action, we are on track to deliver our benchmark allowance.</w:t>
      </w:r>
    </w:p>
    <w:p w14:paraId="32B65822" w14:textId="2D090A46" w:rsidR="0072389D" w:rsidRPr="00DE108C" w:rsidRDefault="0072389D" w:rsidP="0072389D">
      <w:pPr>
        <w:pStyle w:val="HighlightBoxBullet"/>
        <w:rPr>
          <w:lang w:val="en-US"/>
        </w:rPr>
      </w:pPr>
      <w:r w:rsidRPr="00DE108C">
        <w:rPr>
          <w:lang w:val="en-US"/>
        </w:rPr>
        <w:t>Some of the initial delays were due to external factors in the post-COVID-19 period. There have been significant lessons learnt</w:t>
      </w:r>
      <w:r w:rsidRPr="104DCA96">
        <w:rPr>
          <w:lang w:val="en-US"/>
        </w:rPr>
        <w:t>,</w:t>
      </w:r>
      <w:r w:rsidRPr="00DE108C">
        <w:rPr>
          <w:lang w:val="en-US"/>
        </w:rPr>
        <w:t xml:space="preserve"> and new processes and resourcing are being applied to improve project delivery going forward.</w:t>
      </w:r>
    </w:p>
    <w:p w14:paraId="36F645C2" w14:textId="26AD4C32" w:rsidR="00767B75" w:rsidRPr="00DE108C" w:rsidRDefault="00767B75" w:rsidP="00CA2316">
      <w:pPr>
        <w:pStyle w:val="HighlightBoxBullet"/>
        <w:rPr>
          <w:lang w:val="en-US"/>
        </w:rPr>
      </w:pPr>
      <w:r w:rsidRPr="00DE108C">
        <w:rPr>
          <w:lang w:val="en-US"/>
        </w:rPr>
        <w:t xml:space="preserve">We expect that our total opex over the current regulatory period will be 4 per cent higher than our benchmark allowance. Much of this increase has been driven by external factors, and a significant </w:t>
      </w:r>
      <w:r w:rsidR="0071438C">
        <w:rPr>
          <w:lang w:val="en-US"/>
        </w:rPr>
        <w:t>portion</w:t>
      </w:r>
      <w:r w:rsidRPr="00DE108C">
        <w:rPr>
          <w:lang w:val="en-US"/>
        </w:rPr>
        <w:t xml:space="preserve"> of these costs will not be ongoing.</w:t>
      </w:r>
    </w:p>
    <w:p w14:paraId="20DF069C" w14:textId="77777777" w:rsidR="00767B75" w:rsidRPr="00DE108C" w:rsidRDefault="00767B75" w:rsidP="00CA2316">
      <w:pPr>
        <w:pStyle w:val="HighlightBoxBullet"/>
        <w:rPr>
          <w:lang w:val="en-US"/>
        </w:rPr>
      </w:pPr>
      <w:r w:rsidRPr="00DE108C">
        <w:rPr>
          <w:lang w:val="en-US"/>
        </w:rPr>
        <w:t>The higher opex has supported our ability to deliver on customer Outcomes (and customer value) and to meet our regulatory obligations.</w:t>
      </w:r>
    </w:p>
    <w:p w14:paraId="270D4E10" w14:textId="20E99CB2" w:rsidR="00767B75" w:rsidRPr="00DE108C" w:rsidRDefault="00AE311C" w:rsidP="00CA2316">
      <w:pPr>
        <w:pStyle w:val="HighlightBoxBullet"/>
        <w:rPr>
          <w:lang w:val="en-US"/>
        </w:rPr>
      </w:pPr>
      <w:r>
        <w:t>We have</w:t>
      </w:r>
      <w:r w:rsidR="00767B75" w:rsidRPr="00DE108C">
        <w:t xml:space="preserve"> learnt from the development of the first set of Outcomes for PS21 and the subsequent process of developing and embedding the associated performance targets. We have brought those lessons to our engagement with our customers and stakeholders </w:t>
      </w:r>
      <w:r w:rsidR="00CB1803">
        <w:t>and a</w:t>
      </w:r>
      <w:r w:rsidR="00767B75" w:rsidRPr="00DE108C">
        <w:t>s a result, Outcomes for the 2026</w:t>
      </w:r>
      <w:r w:rsidR="009F2FE4">
        <w:t>-31</w:t>
      </w:r>
      <w:r w:rsidR="00767B75" w:rsidRPr="00DE108C">
        <w:t xml:space="preserve"> period are better aligned to our service</w:t>
      </w:r>
      <w:r w:rsidR="008E02E1">
        <w:t>s</w:t>
      </w:r>
      <w:r w:rsidR="00767B75" w:rsidRPr="00DE108C">
        <w:t>, and associated targets are being improved where required. This is particularly applicable to the redevelopment of the customer satisfaction measures.</w:t>
      </w:r>
    </w:p>
    <w:p w14:paraId="447888EA" w14:textId="77777777" w:rsidR="00767B75" w:rsidRPr="00DE108C" w:rsidRDefault="00767B75" w:rsidP="00CA2316">
      <w:pPr>
        <w:pStyle w:val="HighlightBoxBullet"/>
        <w:rPr>
          <w:lang w:val="en-US"/>
        </w:rPr>
      </w:pPr>
      <w:r w:rsidRPr="00DE108C">
        <w:t xml:space="preserve">Our PREMO self-assessment rating for Performance is </w:t>
      </w:r>
      <w:r w:rsidRPr="007E3F7D">
        <w:rPr>
          <w:i/>
          <w:iCs/>
        </w:rPr>
        <w:t>‘Standard’</w:t>
      </w:r>
      <w:r w:rsidRPr="00DE108C">
        <w:t>.</w:t>
      </w:r>
    </w:p>
    <w:p w14:paraId="5F294F53" w14:textId="77777777" w:rsidR="00767B75" w:rsidRPr="00DE108C" w:rsidRDefault="00767B75" w:rsidP="00991AF8">
      <w:r w:rsidRPr="00DE108C">
        <w:lastRenderedPageBreak/>
        <w:t>Chapter 2 provides a report on our performance, including:</w:t>
      </w:r>
    </w:p>
    <w:p w14:paraId="4ED50695" w14:textId="4775E088" w:rsidR="00767B75" w:rsidRPr="00DE108C" w:rsidRDefault="008D45EB" w:rsidP="008038AA">
      <w:pPr>
        <w:pStyle w:val="ListBullet"/>
      </w:pPr>
      <w:r>
        <w:t>o</w:t>
      </w:r>
      <w:r w:rsidR="15E3975F">
        <w:t>ur performance against the Outcomes agreed with customers for the 2021–26 regulatory period</w:t>
      </w:r>
    </w:p>
    <w:p w14:paraId="5D6A5D64" w14:textId="27A1B6B9" w:rsidR="00767B75" w:rsidRPr="00DE108C" w:rsidRDefault="008D45EB" w:rsidP="008038AA">
      <w:pPr>
        <w:pStyle w:val="ListBullet"/>
      </w:pPr>
      <w:r>
        <w:t>e</w:t>
      </w:r>
      <w:r w:rsidR="15E3975F">
        <w:t>xpenditure outcomes relative to the 2021–26 benchmarks</w:t>
      </w:r>
    </w:p>
    <w:p w14:paraId="548DA84F" w14:textId="35E2AA32" w:rsidR="00767B75" w:rsidRPr="00DE108C" w:rsidRDefault="008D45EB" w:rsidP="008038AA">
      <w:pPr>
        <w:pStyle w:val="ListBullet"/>
      </w:pPr>
      <w:r>
        <w:t>b</w:t>
      </w:r>
      <w:r w:rsidR="15E3975F">
        <w:t>roader customer sentiment and how this demonstrates satisfaction in Melbourne Water’s performance</w:t>
      </w:r>
    </w:p>
    <w:p w14:paraId="6D2CBB4B" w14:textId="725F3104" w:rsidR="00767B75" w:rsidRPr="00DE108C" w:rsidRDefault="008D45EB" w:rsidP="008038AA">
      <w:pPr>
        <w:pStyle w:val="ListBullet"/>
      </w:pPr>
      <w:r>
        <w:t>o</w:t>
      </w:r>
      <w:r w:rsidR="15E3975F">
        <w:t>ur Performance self-assessment.</w:t>
      </w:r>
    </w:p>
    <w:p w14:paraId="681A282D" w14:textId="77777777" w:rsidR="00767B75" w:rsidRPr="00DE108C" w:rsidRDefault="00767B75">
      <w:pPr>
        <w:pStyle w:val="Heading2"/>
      </w:pPr>
      <w:bookmarkStart w:id="115" w:name="_Toc183623971"/>
      <w:bookmarkStart w:id="116" w:name="_Toc190876132"/>
      <w:bookmarkStart w:id="117" w:name="_Toc196745180"/>
      <w:bookmarkStart w:id="118" w:name="_Toc207892881"/>
      <w:bookmarkStart w:id="119" w:name="_Toc207853374"/>
      <w:r w:rsidRPr="00DE108C">
        <w:t>2.1 Our performance</w:t>
      </w:r>
      <w:bookmarkEnd w:id="115"/>
      <w:bookmarkEnd w:id="116"/>
      <w:r w:rsidRPr="00DE108C">
        <w:t xml:space="preserve"> delivering Outcomes in the 2021-26 period</w:t>
      </w:r>
      <w:bookmarkEnd w:id="117"/>
      <w:bookmarkEnd w:id="118"/>
      <w:bookmarkEnd w:id="119"/>
    </w:p>
    <w:p w14:paraId="5FED4755" w14:textId="26F58721" w:rsidR="00767B75" w:rsidRPr="00DE108C" w:rsidRDefault="61C1B6E0" w:rsidP="4E6B0D62">
      <w:pPr>
        <w:rPr>
          <w:rFonts w:eastAsia="Segoe UI"/>
        </w:rPr>
      </w:pPr>
      <w:r w:rsidRPr="00DE108C">
        <w:rPr>
          <w:rFonts w:eastAsia="Segoe UI"/>
        </w:rPr>
        <w:t xml:space="preserve">For PS21, we agreed </w:t>
      </w:r>
      <w:r w:rsidR="7A4EC9A0" w:rsidRPr="0CEE7E85">
        <w:rPr>
          <w:rFonts w:eastAsia="Segoe UI"/>
        </w:rPr>
        <w:t xml:space="preserve">on </w:t>
      </w:r>
      <w:r w:rsidRPr="00DE108C">
        <w:rPr>
          <w:rFonts w:eastAsia="Segoe UI"/>
        </w:rPr>
        <w:t>six Outcomes with our customers</w:t>
      </w:r>
      <w:r w:rsidR="251ADB39" w:rsidRPr="00DE108C">
        <w:rPr>
          <w:rFonts w:eastAsia="Segoe UI"/>
        </w:rPr>
        <w:t xml:space="preserve"> (outlined in </w:t>
      </w:r>
      <w:r w:rsidR="00115AFB" w:rsidRPr="00DE108C">
        <w:rPr>
          <w:rFonts w:eastAsia="Segoe UI"/>
        </w:rPr>
        <w:t>Figure</w:t>
      </w:r>
      <w:r w:rsidR="251ADB39" w:rsidRPr="00DE108C">
        <w:rPr>
          <w:rFonts w:eastAsia="Segoe UI"/>
        </w:rPr>
        <w:t xml:space="preserve"> 2.1)</w:t>
      </w:r>
      <w:r w:rsidRPr="00DE108C">
        <w:rPr>
          <w:rFonts w:eastAsia="Segoe UI"/>
        </w:rPr>
        <w:t xml:space="preserve">, which reflected the outcomes mostly highly valued by them. </w:t>
      </w:r>
    </w:p>
    <w:p w14:paraId="78C1EA11" w14:textId="3F34367E" w:rsidR="00767B75" w:rsidRPr="00DE108C" w:rsidRDefault="00767B75" w:rsidP="00991AF8">
      <w:pPr>
        <w:rPr>
          <w:rFonts w:eastAsia="Segoe UI"/>
        </w:rPr>
      </w:pPr>
      <w:r w:rsidRPr="00DE108C">
        <w:rPr>
          <w:rFonts w:eastAsia="Segoe UI"/>
        </w:rPr>
        <w:t>Melbourne Water has reported annually on its performance against these Outcomes and their associated performance measures and targets. We also transparently report on the uplifts in waterways and drainage programs that were approved in the 2021–26 regulatory period (available on the Melbourne Water website</w:t>
      </w:r>
      <w:r w:rsidR="001C7E23" w:rsidRPr="00DE108C">
        <w:rPr>
          <w:rFonts w:eastAsia="Segoe UI"/>
        </w:rPr>
        <w:t>:</w:t>
      </w:r>
      <w:r w:rsidRPr="00DE108C">
        <w:rPr>
          <w:rFonts w:eastAsia="Segoe UI"/>
        </w:rPr>
        <w:t xml:space="preserve"> </w:t>
      </w:r>
      <w:hyperlink r:id="rId44" w:history="1">
        <w:r w:rsidR="0AF5B9FC" w:rsidRPr="512DB354">
          <w:rPr>
            <w:rStyle w:val="Hyperlink"/>
            <w:rFonts w:eastAsia="Segoe UI"/>
          </w:rPr>
          <w:t>melbournewater.com.au/services/prices-and-charges/price-submission</w:t>
        </w:r>
      </w:hyperlink>
      <w:r w:rsidR="0AF5B9FC" w:rsidRPr="512DB354">
        <w:rPr>
          <w:rFonts w:eastAsia="Segoe UI"/>
        </w:rPr>
        <w:t>).</w:t>
      </w:r>
    </w:p>
    <w:p w14:paraId="423D89F5" w14:textId="12A20EBA" w:rsidR="00767B75" w:rsidRPr="00DE108C" w:rsidRDefault="00115AFB" w:rsidP="00991AF8">
      <w:r w:rsidRPr="00DE108C">
        <w:t>Figure</w:t>
      </w:r>
      <w:r w:rsidR="00767B75" w:rsidRPr="00DE108C">
        <w:t xml:space="preserve"> 2.1 summarises our performance against each of the six customer Outcomes. Actual performance is shown for the years 2021-22 to 2024-25. A forecast of performance is provided for 2025-26. </w:t>
      </w:r>
    </w:p>
    <w:p w14:paraId="4DE2588A" w14:textId="4465DD2C" w:rsidR="00767B75" w:rsidRPr="00DE108C" w:rsidRDefault="00767B75" w:rsidP="00991AF8">
      <w:r w:rsidRPr="00DE108C">
        <w:t>We have substantially met our targets</w:t>
      </w:r>
      <w:r w:rsidR="4A36AD14">
        <w:t>,</w:t>
      </w:r>
      <w:r w:rsidRPr="00DE108C">
        <w:t xml:space="preserve"> except for the ambitious customer satisfaction targets associated with Outcome 5. Importantly, we have consistently met our Outcomes and the associated targets for Outcomes 1 to 4</w:t>
      </w:r>
      <w:r w:rsidR="001F0699">
        <w:t>. T</w:t>
      </w:r>
      <w:r w:rsidRPr="00DE108C">
        <w:t>he</w:t>
      </w:r>
      <w:r w:rsidR="001F0699">
        <w:t>se</w:t>
      </w:r>
      <w:r w:rsidRPr="00DE108C">
        <w:t xml:space="preserve"> Outcomes represent core service delivery</w:t>
      </w:r>
      <w:r w:rsidR="3C6DFA7D">
        <w:t xml:space="preserve"> </w:t>
      </w:r>
      <w:r w:rsidR="00C45903">
        <w:t>and</w:t>
      </w:r>
      <w:r w:rsidRPr="00DE108C">
        <w:t xml:space="preserve"> are </w:t>
      </w:r>
      <w:r w:rsidR="001F0699">
        <w:t>most valued by</w:t>
      </w:r>
      <w:r w:rsidRPr="00DE108C">
        <w:t xml:space="preserve"> customers. </w:t>
      </w:r>
    </w:p>
    <w:p w14:paraId="7F6B8C7B" w14:textId="4D24663A" w:rsidR="00767B75" w:rsidRPr="00DE108C" w:rsidRDefault="00767B75" w:rsidP="00991AF8">
      <w:r w:rsidRPr="00DE108C">
        <w:t xml:space="preserve">We provide further explanation below on the challenges faced to develop a workable method to measure performance against Outcome 5, which has prevented us from achieving this Outcome. However, to replace this measure, we are able to provide a broader set of data and information to demonstrate customer satisfaction. </w:t>
      </w:r>
    </w:p>
    <w:p w14:paraId="38FA05E7" w14:textId="1B44C9C2" w:rsidR="00767B75" w:rsidRPr="00DE108C" w:rsidRDefault="00CD4BB3" w:rsidP="00DE65C4">
      <w:pPr>
        <w:pStyle w:val="Caption"/>
      </w:pPr>
      <w:bookmarkStart w:id="120" w:name="_Ref183620078"/>
      <w:bookmarkStart w:id="121" w:name="_Toc190878392"/>
      <w:bookmarkStart w:id="122" w:name="_Toc207892972"/>
      <w:bookmarkStart w:id="123" w:name="_Toc208490501"/>
      <w:bookmarkStart w:id="124" w:name="_Toc208490839"/>
      <w:bookmarkStart w:id="125" w:name="_Toc208910997"/>
      <w:bookmarkStart w:id="126" w:name="_Toc210051304"/>
      <w:r w:rsidRPr="00DE108C">
        <w:lastRenderedPageBreak/>
        <w:t>Figure</w:t>
      </w:r>
      <w:r w:rsidR="00767B75" w:rsidRPr="00DE108C">
        <w:t xml:space="preserve"> 2.1: </w:t>
      </w:r>
      <w:bookmarkEnd w:id="120"/>
      <w:r w:rsidR="00767B75" w:rsidRPr="00DE108C">
        <w:t xml:space="preserve">Performance against PS21 </w:t>
      </w:r>
      <w:bookmarkEnd w:id="121"/>
      <w:bookmarkEnd w:id="122"/>
      <w:bookmarkEnd w:id="123"/>
      <w:bookmarkEnd w:id="124"/>
      <w:bookmarkEnd w:id="125"/>
      <w:r w:rsidR="003B6542">
        <w:t>O</w:t>
      </w:r>
      <w:r w:rsidR="00767B75" w:rsidRPr="00DE108C">
        <w:t>utcomes</w:t>
      </w:r>
      <w:bookmarkEnd w:id="126"/>
    </w:p>
    <w:p w14:paraId="1D6541DE" w14:textId="7C35DE1E" w:rsidR="00806D1F" w:rsidRPr="00DE108C" w:rsidRDefault="00546C96" w:rsidP="00806D1F">
      <w:pPr>
        <w:pStyle w:val="BodyText"/>
        <w:rPr>
          <w:lang w:eastAsia="fr-CA"/>
        </w:rPr>
      </w:pPr>
      <w:r w:rsidRPr="00DE108C">
        <w:rPr>
          <w:noProof/>
          <w:lang w:eastAsia="fr-CA"/>
        </w:rPr>
        <w:drawing>
          <wp:inline distT="0" distB="0" distL="0" distR="0" wp14:anchorId="5A095B1A" wp14:editId="04F3C8ED">
            <wp:extent cx="6120130" cy="7315200"/>
            <wp:effectExtent l="0" t="0" r="0" b="0"/>
            <wp:docPr id="1768106190" name="Picture 1" descr="A performance table shows Melbourne Water's achievement of six Outcomes for the 2021-26 regulatory period. Our performance against PS21 outcomes is forecast to remain strong in 2025-26 including having met outcomes 1-4 which relate to our core services and substantially met outcomes 5 and 6 - customer service and keeping bills as low a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06190" name="Picture 1" descr="A performance table shows Melbourne Water's achievement of six Outcomes for the 2021-26 regulatory period. Our performance against PS21 outcomes is forecast to remain strong in 2025-26 including having met outcomes 1-4 which relate to our core services and substantially met outcomes 5 and 6 - customer service and keeping bills as low as possible."/>
                    <pic:cNvPicPr/>
                  </pic:nvPicPr>
                  <pic:blipFill rotWithShape="1">
                    <a:blip r:embed="rId45" cstate="screen">
                      <a:extLst>
                        <a:ext uri="{28A0092B-C50C-407E-A947-70E740481C1C}">
                          <a14:useLocalDpi xmlns:a14="http://schemas.microsoft.com/office/drawing/2010/main"/>
                        </a:ext>
                      </a:extLst>
                    </a:blip>
                    <a:srcRect/>
                    <a:stretch>
                      <a:fillRect/>
                    </a:stretch>
                  </pic:blipFill>
                  <pic:spPr bwMode="auto">
                    <a:xfrm>
                      <a:off x="0" y="0"/>
                      <a:ext cx="6120130" cy="7315200"/>
                    </a:xfrm>
                    <a:prstGeom prst="rect">
                      <a:avLst/>
                    </a:prstGeom>
                    <a:ln>
                      <a:noFill/>
                    </a:ln>
                    <a:extLst>
                      <a:ext uri="{53640926-AAD7-44D8-BBD7-CCE9431645EC}">
                        <a14:shadowObscured xmlns:a14="http://schemas.microsoft.com/office/drawing/2010/main"/>
                      </a:ext>
                    </a:extLst>
                  </pic:spPr>
                </pic:pic>
              </a:graphicData>
            </a:graphic>
          </wp:inline>
        </w:drawing>
      </w:r>
    </w:p>
    <w:p w14:paraId="33A79637" w14:textId="77777777" w:rsidR="00767B75" w:rsidRPr="00DE108C" w:rsidRDefault="00767B75" w:rsidP="004804DD">
      <w:pPr>
        <w:pStyle w:val="FootnoteText"/>
      </w:pPr>
      <w:bookmarkStart w:id="127" w:name="_Toc183623972"/>
      <w:r w:rsidRPr="00DE108C">
        <w:t>Note: Green = Met, Amber = Substantially met, Red = Not met.</w:t>
      </w:r>
    </w:p>
    <w:p w14:paraId="3F3A802A" w14:textId="77777777" w:rsidR="00767B75" w:rsidRPr="00DE108C" w:rsidRDefault="00767B75">
      <w:pPr>
        <w:pStyle w:val="BodyText"/>
      </w:pPr>
    </w:p>
    <w:p w14:paraId="4253B056" w14:textId="77777777" w:rsidR="00767B75" w:rsidRPr="00DE108C" w:rsidRDefault="00767B75">
      <w:pPr>
        <w:pStyle w:val="Heading3"/>
      </w:pPr>
      <w:bookmarkStart w:id="128" w:name="_Toc196745182"/>
      <w:r w:rsidRPr="00DE108C">
        <w:lastRenderedPageBreak/>
        <w:t>2.1.1 Outcome 1: Access to safe and reliable water and sewerage services</w:t>
      </w:r>
      <w:bookmarkEnd w:id="128"/>
    </w:p>
    <w:p w14:paraId="1FA0AE5B" w14:textId="77777777" w:rsidR="00767B75" w:rsidRPr="00DE108C" w:rsidRDefault="00767B75" w:rsidP="00664728">
      <w:r w:rsidRPr="00DE108C">
        <w:t>Outcome 1 establishes performance standards relating to our core bulk water and sewerage services. This includes water quality and water pressure standards and avoidance of sewerage system spills.</w:t>
      </w:r>
    </w:p>
    <w:p w14:paraId="724DAE19" w14:textId="77777777" w:rsidR="00767B75" w:rsidRPr="00DE108C" w:rsidRDefault="00767B75" w:rsidP="00664728">
      <w:r w:rsidRPr="00DE108C">
        <w:t xml:space="preserve">Customers consistently rank this as our most important Outcome, and we worked diligently to maintain performance. Over the four years from 2021-22 to 2024-25, we met the targets for all three measures: </w:t>
      </w:r>
    </w:p>
    <w:p w14:paraId="291CFB81" w14:textId="77777777" w:rsidR="00767B75" w:rsidRPr="008038AA" w:rsidRDefault="15E3975F" w:rsidP="008038AA">
      <w:pPr>
        <w:pStyle w:val="ListBullet"/>
      </w:pPr>
      <w:r>
        <w:t xml:space="preserve">zero non-compliances with the </w:t>
      </w:r>
      <w:r w:rsidRPr="7CFB4304">
        <w:rPr>
          <w:i/>
          <w:iCs/>
        </w:rPr>
        <w:t>Safe Drinking Water Act</w:t>
      </w:r>
      <w:r w:rsidRPr="008038AA">
        <w:t xml:space="preserve"> 2003</w:t>
      </w:r>
    </w:p>
    <w:p w14:paraId="57E9589B" w14:textId="69DAFCF7" w:rsidR="00767B75" w:rsidRPr="00DE108C" w:rsidRDefault="15E3975F" w:rsidP="008038AA">
      <w:pPr>
        <w:pStyle w:val="ListBullet"/>
      </w:pPr>
      <w:r>
        <w:t xml:space="preserve">99.9 per cent </w:t>
      </w:r>
      <w:r w:rsidR="00964C23">
        <w:t xml:space="preserve">with retail water company </w:t>
      </w:r>
      <w:r>
        <w:t>pressure requirements met</w:t>
      </w:r>
    </w:p>
    <w:p w14:paraId="2DF91CDC" w14:textId="0E9686DB" w:rsidR="00767B75" w:rsidRPr="00DE108C" w:rsidRDefault="15E3975F" w:rsidP="008038AA">
      <w:pPr>
        <w:pStyle w:val="ListBullet"/>
      </w:pPr>
      <w:r>
        <w:t>zero sewerage</w:t>
      </w:r>
      <w:r w:rsidR="00C35D5A">
        <w:t xml:space="preserve"> transfer</w:t>
      </w:r>
      <w:r>
        <w:t xml:space="preserve"> spills per annum due to system failure. </w:t>
      </w:r>
    </w:p>
    <w:p w14:paraId="48D4E2A3" w14:textId="77777777" w:rsidR="00767B75" w:rsidRPr="00DE108C" w:rsidRDefault="00767B75" w:rsidP="00342311">
      <w:r w:rsidRPr="00DE108C">
        <w:t>We expect to maintain this performance in 2025-26.</w:t>
      </w:r>
    </w:p>
    <w:p w14:paraId="2A076254" w14:textId="078DA43F" w:rsidR="00767B75" w:rsidRPr="00DE108C" w:rsidRDefault="00767B75" w:rsidP="00342311">
      <w:r w:rsidRPr="00DE108C">
        <w:t xml:space="preserve">We substantially met our Bulk Water Supply and Bulk Sewer Agreement service levels. We experienced 14 performance deviations that we assessed as eligible for rebates under our </w:t>
      </w:r>
      <w:r w:rsidR="7F576C28">
        <w:t>Guaranteed Service Level (</w:t>
      </w:r>
      <w:r>
        <w:t>GSL</w:t>
      </w:r>
      <w:r w:rsidR="64A37F9E">
        <w:t>)</w:t>
      </w:r>
      <w:r w:rsidRPr="00DE108C">
        <w:t xml:space="preserve"> scheme, where our performance temporarily fell short of retail requirements.</w:t>
      </w:r>
    </w:p>
    <w:p w14:paraId="7854058E" w14:textId="546A2D77" w:rsidR="00767B75" w:rsidRPr="00DE108C" w:rsidRDefault="00767B75" w:rsidP="00342311">
      <w:r w:rsidRPr="00DE108C">
        <w:t>Outcome 1 represents aspects of our services that customers value most highly. We will be taking these measures forward into the 2026</w:t>
      </w:r>
      <w:r w:rsidR="009F2FE4">
        <w:t>-31</w:t>
      </w:r>
      <w:r w:rsidRPr="00DE108C">
        <w:t xml:space="preserve"> period in Outcomes 1 and 2 and will expand our GSL scheme to include drinking water quality.</w:t>
      </w:r>
    </w:p>
    <w:p w14:paraId="4A661F02" w14:textId="77777777" w:rsidR="00767B75" w:rsidRPr="00DE108C" w:rsidRDefault="00767B75">
      <w:pPr>
        <w:rPr>
          <w:sz w:val="22"/>
          <w:szCs w:val="22"/>
        </w:rPr>
      </w:pPr>
    </w:p>
    <w:p w14:paraId="4AC06478" w14:textId="77777777" w:rsidR="00767B75" w:rsidRPr="00DE108C" w:rsidRDefault="00767B75">
      <w:pPr>
        <w:pStyle w:val="Heading3"/>
      </w:pPr>
      <w:bookmarkStart w:id="129" w:name="_Toc196745183"/>
      <w:r w:rsidRPr="00DE108C">
        <w:t>2.1.2 Outcome 2: Melbourne’s environment, rivers, creeks and bays are protected, and Melbourne Water’s greenhouse gas emissions are minimised</w:t>
      </w:r>
      <w:bookmarkEnd w:id="129"/>
      <w:r w:rsidRPr="00DE108C">
        <w:t> </w:t>
      </w:r>
    </w:p>
    <w:p w14:paraId="51DB3A24" w14:textId="780785F6" w:rsidR="00767B75" w:rsidRPr="00DE108C" w:rsidRDefault="00767B75" w:rsidP="00342311">
      <w:r w:rsidRPr="00DE108C">
        <w:t>Outcome 2 establishes targets to improve the health of rivers and creeks, for the quality of discharge from treatment plants and for the reuse of biosolids from the Western Treatment Plant</w:t>
      </w:r>
      <w:r w:rsidR="653852F1">
        <w:t xml:space="preserve"> (WTP)</w:t>
      </w:r>
      <w:r>
        <w:t>.</w:t>
      </w:r>
      <w:r w:rsidRPr="00DE108C">
        <w:t xml:space="preserve"> It also set performance targets relating to the reduction of carbon emissions. We committed to and met the following performance targets over the 2021-26 period:</w:t>
      </w:r>
    </w:p>
    <w:p w14:paraId="62525C28" w14:textId="77777777" w:rsidR="00767B75" w:rsidRPr="00DE108C" w:rsidRDefault="15E3975F" w:rsidP="008038AA">
      <w:pPr>
        <w:pStyle w:val="ListBullet"/>
      </w:pPr>
      <w:r>
        <w:t>100 per cent of 10 priority/target river sites maintained in high condition</w:t>
      </w:r>
    </w:p>
    <w:p w14:paraId="0CA645A6" w14:textId="77777777" w:rsidR="00767B75" w:rsidRPr="00DE108C" w:rsidRDefault="15E3975F" w:rsidP="008038AA">
      <w:pPr>
        <w:pStyle w:val="ListBullet"/>
      </w:pPr>
      <w:r>
        <w:t>100 per cent sewage treatment plant discharge compliance</w:t>
      </w:r>
    </w:p>
    <w:p w14:paraId="61CA9FFC" w14:textId="77777777" w:rsidR="00767B75" w:rsidRPr="00DE108C" w:rsidRDefault="15E3975F" w:rsidP="008038AA">
      <w:pPr>
        <w:pStyle w:val="ListBullet"/>
      </w:pPr>
      <w:r>
        <w:t>at least 40 per cent annual reuse of biosolids</w:t>
      </w:r>
    </w:p>
    <w:p w14:paraId="3568669B" w14:textId="77777777" w:rsidR="00767B75" w:rsidRPr="00DE108C" w:rsidRDefault="15E3975F" w:rsidP="008038AA">
      <w:pPr>
        <w:pStyle w:val="ListBullet"/>
      </w:pPr>
      <w:r>
        <w:t>less than or equal to 204.38 kilotonnes carbon dioxide equivalent of greenhouse gases emitted.</w:t>
      </w:r>
    </w:p>
    <w:p w14:paraId="01351CE8" w14:textId="77777777" w:rsidR="00767B75" w:rsidRPr="00DE108C" w:rsidRDefault="00767B75" w:rsidP="00342311">
      <w:r w:rsidRPr="00DE108C">
        <w:t>We expect to maintain this performance in 2025-26.</w:t>
      </w:r>
    </w:p>
    <w:p w14:paraId="6DA2A687" w14:textId="73FE3981" w:rsidR="00767B75" w:rsidRPr="00DE108C" w:rsidRDefault="00767B75" w:rsidP="00342311">
      <w:r w:rsidRPr="00DE108C">
        <w:t xml:space="preserve">Customers want us to protect the waterways and the environment and do our part to mitigate the effects of climate change. As a result, we will report on waterways management and sewage treatment discharge licence compliance and emissions in our updated Outcomes </w:t>
      </w:r>
      <w:r w:rsidR="2C4B9972">
        <w:t xml:space="preserve">2 and 3 </w:t>
      </w:r>
      <w:r>
        <w:t>for</w:t>
      </w:r>
      <w:r w:rsidRPr="00DE108C">
        <w:t xml:space="preserve"> PS26</w:t>
      </w:r>
      <w:r w:rsidR="53352C02">
        <w:t xml:space="preserve">. </w:t>
      </w:r>
    </w:p>
    <w:p w14:paraId="13DB765E" w14:textId="77777777" w:rsidR="00767B75" w:rsidRPr="00DE108C" w:rsidRDefault="00767B75">
      <w:pPr>
        <w:pStyle w:val="Heading3"/>
      </w:pPr>
      <w:bookmarkStart w:id="130" w:name="_Toc196745184"/>
      <w:r w:rsidRPr="00DE108C">
        <w:t>2.1.3 Outcome 3: Melbourne remains liveable as it deals with the impacts of climate change and population growth</w:t>
      </w:r>
      <w:bookmarkEnd w:id="130"/>
      <w:r w:rsidRPr="00DE108C">
        <w:t> </w:t>
      </w:r>
    </w:p>
    <w:p w14:paraId="6558B3C3" w14:textId="77777777" w:rsidR="00767B75" w:rsidRPr="00DE108C" w:rsidRDefault="00767B75" w:rsidP="00342311">
      <w:r w:rsidRPr="00DE108C">
        <w:t>Under Outcome 3, we committed to increasing access to the land we manage for social and recreational benefit and continuing to reduce damage caused by floods. Our performance metrics across this period were:</w:t>
      </w:r>
    </w:p>
    <w:p w14:paraId="16F521D9" w14:textId="28535EA8" w:rsidR="00767B75" w:rsidRPr="00DE108C" w:rsidRDefault="15E3975F" w:rsidP="008038AA">
      <w:pPr>
        <w:pStyle w:val="ListBullet"/>
      </w:pPr>
      <w:r>
        <w:lastRenderedPageBreak/>
        <w:t xml:space="preserve">average modelled/estimated damage from floods reduced for customers most at risk, where risk is quantified as a modelled value of </w:t>
      </w:r>
      <w:r w:rsidR="00C54F4C">
        <w:t>A</w:t>
      </w:r>
      <w:r>
        <w:t xml:space="preserve">verage </w:t>
      </w:r>
      <w:r w:rsidR="00C54F4C">
        <w:t>A</w:t>
      </w:r>
      <w:r>
        <w:t xml:space="preserve">nnual </w:t>
      </w:r>
      <w:r w:rsidR="00C54F4C">
        <w:t>D</w:t>
      </w:r>
      <w:r>
        <w:t xml:space="preserve">amage (AAD) in real dollars ($155 million </w:t>
      </w:r>
      <w:r w:rsidR="594DF27C">
        <w:t xml:space="preserve">in $real 2020-21, </w:t>
      </w:r>
      <w:r>
        <w:t>by 2025-26)</w:t>
      </w:r>
    </w:p>
    <w:p w14:paraId="55204BC9" w14:textId="77777777" w:rsidR="00767B75" w:rsidRPr="00DE108C" w:rsidRDefault="15E3975F" w:rsidP="008038AA">
      <w:pPr>
        <w:pStyle w:val="ListBullet"/>
      </w:pPr>
      <w:r>
        <w:t>100 per cent of projects activating land or assets demonstrate a community benefit.</w:t>
      </w:r>
    </w:p>
    <w:p w14:paraId="53084293" w14:textId="7AF0EC9E" w:rsidR="00767B75" w:rsidRPr="00DE108C" w:rsidRDefault="00767B75" w:rsidP="00342311">
      <w:r w:rsidRPr="00DE108C">
        <w:t xml:space="preserve">The targeted reduction in AAD has been comfortably exceeded in the four years from 2021-22 to 2024-25. A range of activities have been undertaken to achieve this </w:t>
      </w:r>
      <w:r w:rsidR="3B5DFDC8">
        <w:t>O</w:t>
      </w:r>
      <w:r>
        <w:t>utcome</w:t>
      </w:r>
      <w:r w:rsidRPr="00DE108C">
        <w:t xml:space="preserve">, including flood mitigation works, responses to building and planning permits, investments in flood modelling, and education and awareness programs. </w:t>
      </w:r>
    </w:p>
    <w:p w14:paraId="7EEED219" w14:textId="49EE260D" w:rsidR="00767B75" w:rsidRPr="00DE108C" w:rsidRDefault="00767B75" w:rsidP="00342311">
      <w:r w:rsidRPr="00DE108C">
        <w:t>In terms of activating land for community benefits, we delivered 47 hectares of land and assets activated to increase community enjoyment of nature and recreation against our W</w:t>
      </w:r>
      <w:r w:rsidR="656B4772" w:rsidRPr="00DE108C">
        <w:t xml:space="preserve">aterways and </w:t>
      </w:r>
      <w:r w:rsidRPr="00DE108C">
        <w:t>D</w:t>
      </w:r>
      <w:r w:rsidR="74C41E21" w:rsidRPr="00DE108C">
        <w:t xml:space="preserve">rainage </w:t>
      </w:r>
      <w:r w:rsidRPr="00DE108C">
        <w:t>I</w:t>
      </w:r>
      <w:r w:rsidR="0A0EDD21" w:rsidRPr="00DE108C">
        <w:t xml:space="preserve">nvestment </w:t>
      </w:r>
      <w:r w:rsidRPr="00DE108C">
        <w:t>P</w:t>
      </w:r>
      <w:r w:rsidR="6DA6E9DE" w:rsidRPr="00DE108C">
        <w:t>lan (WDIP)</w:t>
      </w:r>
      <w:r w:rsidRPr="00DE108C">
        <w:t xml:space="preserve"> target of 31 hectares. Key projects delivered for community benefit included the Werribee Multi-Use Platform for recreational paddling, Blind Creek and a portion of Moonee Ponds Creek as part of our Reimagining Your Creek program, and activation of two zones in Melbourne Outfall Sewer reserve.</w:t>
      </w:r>
    </w:p>
    <w:p w14:paraId="2AFEFAFA" w14:textId="07B269C1" w:rsidR="00767B75" w:rsidRPr="00DE108C" w:rsidRDefault="00D48EA8" w:rsidP="00342311">
      <w:r>
        <w:t xml:space="preserve">However, </w:t>
      </w:r>
      <w:r w:rsidR="5EFBA451">
        <w:t>w</w:t>
      </w:r>
      <w:r w:rsidR="334A860D">
        <w:t>e</w:t>
      </w:r>
      <w:r w:rsidR="00767B75" w:rsidRPr="00DE108C">
        <w:t xml:space="preserve"> have not been able to both deliver these projects and complete community benefit assessments via post-project surveys within the timeframe of the regulatory period. Most projects under this commitment have been delivered in collaboration with local communities and councils. We have scheduled community benefit assessment surveys to occur in 2025-26 and will include the results in our 2025-26 Outcome Performance Report.</w:t>
      </w:r>
    </w:p>
    <w:p w14:paraId="12EEFFE5" w14:textId="02AF1939" w:rsidR="00767B75" w:rsidRPr="00DE108C" w:rsidRDefault="5C170EBF" w:rsidP="00342311">
      <w:r>
        <w:t>W</w:t>
      </w:r>
      <w:r w:rsidR="334A860D">
        <w:t>e</w:t>
      </w:r>
      <w:r w:rsidR="00767B75" w:rsidRPr="00DE108C">
        <w:t xml:space="preserve"> have received strong support from the community on completed projects. Over 1,000 community members attended the openings of the Blind Creek and Moonee Ponds Creek projects, and interactions with the assets have been very positive since opening. Social media pages for these programs had over 50,000 impressions and more than 200 positive interactions, including supportive comments. The information received from the community about how they use these resources and the benefits they see will be considered in future management and investment decision-making. </w:t>
      </w:r>
    </w:p>
    <w:p w14:paraId="75DBBB12" w14:textId="3608C146" w:rsidR="00767B75" w:rsidRPr="00DE108C" w:rsidRDefault="00767B75" w:rsidP="00342311">
      <w:r w:rsidRPr="00DE108C">
        <w:t xml:space="preserve">Delivery of these projects, which is undertaken in partnership with councils and communities, has taken longer than anticipated in some cases. The completion of necessary planning and permit processes has contributed to these delivery times. This has improved our understanding of the delivery process, and the time needed will be incorporated into future project delivery planning. </w:t>
      </w:r>
    </w:p>
    <w:p w14:paraId="09A49B4D" w14:textId="4584BCC3" w:rsidR="00767B75" w:rsidRPr="00DE108C" w:rsidRDefault="00767B75" w:rsidP="00342311">
      <w:r w:rsidRPr="00DE108C">
        <w:t>Flood management and community sentiment about our waterways projects continue to be important and are reflected in new measures in Outcomes 3 and 4 for the 2026</w:t>
      </w:r>
      <w:r w:rsidR="00980D87">
        <w:t>-31 regulatory</w:t>
      </w:r>
      <w:r w:rsidRPr="00DE108C">
        <w:t xml:space="preserve"> period.</w:t>
      </w:r>
    </w:p>
    <w:p w14:paraId="0AE692E5" w14:textId="77777777" w:rsidR="00767B75" w:rsidRPr="00DE108C" w:rsidRDefault="00767B75">
      <w:pPr>
        <w:rPr>
          <w:sz w:val="22"/>
          <w:szCs w:val="22"/>
        </w:rPr>
      </w:pPr>
    </w:p>
    <w:p w14:paraId="4A9E1E54" w14:textId="77777777" w:rsidR="00767B75" w:rsidRPr="00DE108C" w:rsidRDefault="00767B75">
      <w:pPr>
        <w:pStyle w:val="Heading3"/>
      </w:pPr>
      <w:bookmarkStart w:id="131" w:name="_Toc196745185"/>
      <w:r w:rsidRPr="00DE108C">
        <w:t>2.1.4 Outcome 4: Melburnians are empowered to support the design and delivery of service outcomes</w:t>
      </w:r>
      <w:bookmarkEnd w:id="131"/>
      <w:r w:rsidRPr="00DE108C">
        <w:t> </w:t>
      </w:r>
    </w:p>
    <w:p w14:paraId="2EFE4CC4" w14:textId="77777777" w:rsidR="00767B75" w:rsidRPr="00DE108C" w:rsidRDefault="00767B75" w:rsidP="00342311">
      <w:r w:rsidRPr="00DE108C">
        <w:t>Under Outcome 4, we committed to working in partnership with the community to deliver more value for the water cycle than we could achieve on our own. This Outcome is focused on improving community literacy about efficient water use, and funding grant programs to community groups and customers for projects that promote waterway vegetation management, stormwater management and rural land management to support improved waterway health outcomes.</w:t>
      </w:r>
    </w:p>
    <w:p w14:paraId="6CD3C348" w14:textId="77777777" w:rsidR="00767B75" w:rsidRPr="00DE108C" w:rsidRDefault="00767B75" w:rsidP="00342311">
      <w:r w:rsidRPr="00DE108C">
        <w:t xml:space="preserve">Our grants and incentives programs are an efficient means of delivering improvements to the health of our waterways and delivering our vision to enhance life and liveability. More efficient </w:t>
      </w:r>
      <w:r w:rsidRPr="00DE108C">
        <w:lastRenderedPageBreak/>
        <w:t>outcomes are achieved by involving local communities in the design of the project solutions, as they best understand local needs. Efficiency is also improved by leveraging the resources and expertise of the grant recipients to best deliver the projects. Importantly, the grants and incentives also enable community connection and participation.</w:t>
      </w:r>
    </w:p>
    <w:p w14:paraId="12F79752" w14:textId="7515F139" w:rsidR="00767B75" w:rsidRPr="00DE108C" w:rsidRDefault="00767B75" w:rsidP="00342311">
      <w:r w:rsidRPr="00DE108C">
        <w:t>In 2021-22, we met our water literacy target. However, due to a change to the grant application process in that year, the number of grants awarded was below the target (7</w:t>
      </w:r>
      <w:r w:rsidR="001A6F4C">
        <w:t> </w:t>
      </w:r>
      <w:r w:rsidRPr="00DE108C">
        <w:t>per</w:t>
      </w:r>
      <w:r w:rsidR="001A6F4C">
        <w:t> </w:t>
      </w:r>
      <w:r w:rsidRPr="00DE108C">
        <w:t>cent below for the number of successful grants within the waterways and drainage incentives programs and 16 per cent below for the number of projects funded by the waterways and drainage incentives programs). Despite this, we distributed 99 per cent of the funding available for the year and were rated as having largely met the target.</w:t>
      </w:r>
    </w:p>
    <w:p w14:paraId="3F74E980" w14:textId="768B9604" w:rsidR="00767B75" w:rsidRPr="00DE108C" w:rsidRDefault="00767B75" w:rsidP="00342311">
      <w:r w:rsidRPr="00DE108C">
        <w:t>From 2022-23 onwards, we have consistently met the specified targets</w:t>
      </w:r>
      <w:r w:rsidR="443517F4">
        <w:t>,</w:t>
      </w:r>
      <w:r w:rsidRPr="00DE108C">
        <w:t xml:space="preserve"> which are:</w:t>
      </w:r>
    </w:p>
    <w:p w14:paraId="032E9CA2" w14:textId="77777777" w:rsidR="00767B75" w:rsidRPr="00DE108C" w:rsidRDefault="15E3975F" w:rsidP="00E7119E">
      <w:pPr>
        <w:pStyle w:val="ListBullet"/>
      </w:pPr>
      <w:r>
        <w:t xml:space="preserve">at least 75 per cent of the community with at least moderate water literacy </w:t>
      </w:r>
    </w:p>
    <w:p w14:paraId="2E3BB11E" w14:textId="77777777" w:rsidR="00767B75" w:rsidRPr="00DE108C" w:rsidRDefault="15E3975F" w:rsidP="008038AA">
      <w:pPr>
        <w:pStyle w:val="ListBullet"/>
      </w:pPr>
      <w:r>
        <w:t>830 successful grants within the waterways and drainage incentives programs</w:t>
      </w:r>
    </w:p>
    <w:p w14:paraId="4306A391" w14:textId="77777777" w:rsidR="00767B75" w:rsidRPr="00DE108C" w:rsidRDefault="15E3975F" w:rsidP="008038AA">
      <w:pPr>
        <w:pStyle w:val="ListBullet"/>
      </w:pPr>
      <w:r>
        <w:t>1,000 projects funded in our waterways and drainage incentives programs.</w:t>
      </w:r>
    </w:p>
    <w:p w14:paraId="70BDD015" w14:textId="77777777" w:rsidR="00767B75" w:rsidRPr="00DE108C" w:rsidRDefault="00767B75" w:rsidP="00342311">
      <w:r w:rsidRPr="00DE108C">
        <w:t xml:space="preserve">We also expect to meet these targets in 2025-26. </w:t>
      </w:r>
    </w:p>
    <w:p w14:paraId="3CE4B0BD" w14:textId="54B4EAE7" w:rsidR="00767B75" w:rsidRPr="00DE108C" w:rsidRDefault="00767B75" w:rsidP="00342311">
      <w:r w:rsidRPr="00DE108C">
        <w:t>For the 2026</w:t>
      </w:r>
      <w:r w:rsidR="001A6F4C">
        <w:t>-31</w:t>
      </w:r>
      <w:r w:rsidRPr="00DE108C">
        <w:t xml:space="preserve"> regulatory period, measures relating to water literacy and incentives project funding will continue under Outcomes 3 and 5. </w:t>
      </w:r>
    </w:p>
    <w:p w14:paraId="2C5D06EC" w14:textId="226A7E2D" w:rsidR="00767B75" w:rsidRPr="00DE108C" w:rsidRDefault="00767B75" w:rsidP="00342311">
      <w:r w:rsidRPr="00DE108C">
        <w:t xml:space="preserve">  </w:t>
      </w:r>
    </w:p>
    <w:p w14:paraId="07DF516C" w14:textId="77777777" w:rsidR="00767B75" w:rsidRPr="00DE108C" w:rsidRDefault="00767B75">
      <w:pPr>
        <w:pStyle w:val="Heading3"/>
      </w:pPr>
      <w:bookmarkStart w:id="132" w:name="_Toc196745186"/>
      <w:r w:rsidRPr="00DE108C">
        <w:t>2.1.5 Outcome 5: Easy, respectful, responsive and transparent customer service</w:t>
      </w:r>
      <w:bookmarkEnd w:id="132"/>
      <w:r w:rsidRPr="00DE108C">
        <w:t> </w:t>
      </w:r>
    </w:p>
    <w:p w14:paraId="1D434CDE" w14:textId="359E3B80" w:rsidR="00767B75" w:rsidRPr="00DE108C" w:rsidRDefault="00767B75" w:rsidP="00342311">
      <w:r w:rsidRPr="00DE108C">
        <w:t xml:space="preserve">For PS21, we proposed to measure our progress against Outcome 5 </w:t>
      </w:r>
      <w:r w:rsidR="734C927B">
        <w:t>through</w:t>
      </w:r>
      <w:r w:rsidRPr="00DE108C">
        <w:t xml:space="preserve"> survey-based customer satisfaction (CSAT) measures for each of our major services.</w:t>
      </w:r>
    </w:p>
    <w:p w14:paraId="39E88FB4" w14:textId="125D770B" w:rsidR="00767B75" w:rsidRPr="00DE108C" w:rsidRDefault="00767B75" w:rsidP="00342311">
      <w:r w:rsidRPr="00DE108C">
        <w:t xml:space="preserve">We proposed an Advanced set of target scores for the period, including stretch targets for all measures under Outcome 5. </w:t>
      </w:r>
      <w:r>
        <w:t>The</w:t>
      </w:r>
      <w:r w:rsidR="1725C140">
        <w:t xml:space="preserve"> following</w:t>
      </w:r>
      <w:r w:rsidRPr="00DE108C">
        <w:t xml:space="preserve"> scores and outcomes for each service </w:t>
      </w:r>
      <w:r w:rsidR="5DF321F1">
        <w:t>show</w:t>
      </w:r>
      <w:r w:rsidRPr="00DE108C">
        <w:t xml:space="preserve"> that these targets have not been met:</w:t>
      </w:r>
    </w:p>
    <w:p w14:paraId="29DDC8EE" w14:textId="4621D39F" w:rsidR="00767B75" w:rsidRPr="00DE108C" w:rsidRDefault="15E3975F" w:rsidP="00E7119E">
      <w:pPr>
        <w:pStyle w:val="ListBullet"/>
      </w:pPr>
      <w:r w:rsidRPr="00D462F7">
        <w:rPr>
          <w:b/>
          <w:bCs/>
        </w:rPr>
        <w:t>Bulk water services CSAT:</w:t>
      </w:r>
      <w:r>
        <w:t xml:space="preserve"> Target</w:t>
      </w:r>
      <w:r w:rsidR="29BCD689">
        <w:t xml:space="preserve"> - </w:t>
      </w:r>
      <w:r>
        <w:t>Starting at 7.9 and rising to 8.3 over the regulatory period. Result</w:t>
      </w:r>
      <w:r w:rsidR="2EAA8CEB">
        <w:t xml:space="preserve"> - </w:t>
      </w:r>
      <w:r>
        <w:t xml:space="preserve">The score achieved has been stable over the period at just above or below 7.0. </w:t>
      </w:r>
    </w:p>
    <w:p w14:paraId="3C721273" w14:textId="5D83603F" w:rsidR="00767B75" w:rsidRPr="00DE108C" w:rsidRDefault="15E3975F" w:rsidP="008038AA">
      <w:pPr>
        <w:pStyle w:val="ListBullet"/>
      </w:pPr>
      <w:r w:rsidRPr="00D462F7">
        <w:rPr>
          <w:b/>
          <w:bCs/>
        </w:rPr>
        <w:t>Bulk sewerage services CSAT:</w:t>
      </w:r>
      <w:r w:rsidRPr="008038AA">
        <w:t xml:space="preserve"> </w:t>
      </w:r>
      <w:r>
        <w:t>Target</w:t>
      </w:r>
      <w:r w:rsidR="112FF749">
        <w:t xml:space="preserve"> - </w:t>
      </w:r>
      <w:r>
        <w:t>Starting at 7.9 and rising to 8.3 over the regulatory period. Result</w:t>
      </w:r>
      <w:r w:rsidR="16E9C667">
        <w:t xml:space="preserve"> - </w:t>
      </w:r>
      <w:r>
        <w:t>The score achieved has been between 6.6 and 7.3 over the period.</w:t>
      </w:r>
    </w:p>
    <w:p w14:paraId="7F3AA442" w14:textId="4FCA5F20" w:rsidR="00767B75" w:rsidRPr="00DE108C" w:rsidRDefault="15E3975F" w:rsidP="008038AA">
      <w:pPr>
        <w:pStyle w:val="ListBullet"/>
      </w:pPr>
      <w:r w:rsidRPr="00D462F7">
        <w:rPr>
          <w:b/>
          <w:bCs/>
        </w:rPr>
        <w:t>Waterways services CSAT:</w:t>
      </w:r>
      <w:r>
        <w:t xml:space="preserve"> Target</w:t>
      </w:r>
      <w:r w:rsidR="10A46725">
        <w:t xml:space="preserve"> - </w:t>
      </w:r>
      <w:r>
        <w:t>Starting at 6.8 and rising to 7.5 over the regulatory period. Result</w:t>
      </w:r>
      <w:r w:rsidR="50EC4327">
        <w:t xml:space="preserve"> - </w:t>
      </w:r>
      <w:r>
        <w:t>The score achieved has been between 6.1 and 6.8 over the period</w:t>
      </w:r>
      <w:r w:rsidR="7701669E">
        <w:t>.</w:t>
      </w:r>
    </w:p>
    <w:p w14:paraId="07BC7A0E" w14:textId="7C4FA2F2" w:rsidR="00767B75" w:rsidRPr="00DE108C" w:rsidRDefault="15E3975F" w:rsidP="008038AA">
      <w:pPr>
        <w:pStyle w:val="ListBullet"/>
      </w:pPr>
      <w:r w:rsidRPr="00D462F7">
        <w:rPr>
          <w:b/>
          <w:bCs/>
        </w:rPr>
        <w:t>Drainage services CSAT:</w:t>
      </w:r>
      <w:r>
        <w:t xml:space="preserve"> Target</w:t>
      </w:r>
      <w:r w:rsidR="1B4CB4CB">
        <w:t xml:space="preserve"> - </w:t>
      </w:r>
      <w:r>
        <w:t>Starting at 6.5 and rising to 6.8 over the regulatory period. Result</w:t>
      </w:r>
      <w:r w:rsidR="5D428105">
        <w:t xml:space="preserve"> - </w:t>
      </w:r>
      <w:r>
        <w:t>The score achieved has been between 5.5 and 6.1 over the period.</w:t>
      </w:r>
    </w:p>
    <w:p w14:paraId="64A32B26" w14:textId="7E0AF433" w:rsidR="00767B75" w:rsidRPr="00DE108C" w:rsidRDefault="00767B75" w:rsidP="00342311">
      <w:r w:rsidRPr="00DE108C">
        <w:t>Our 2024-25 Outcomes Report provided comprehensive advice on the challenges we have experienced with the methodology underpinning the CSAT scores</w:t>
      </w:r>
      <w:r w:rsidR="2B382D5B">
        <w:t xml:space="preserve"> (as discussed in Box 2.1). </w:t>
      </w:r>
      <w:r w:rsidRPr="00DE108C">
        <w:t>As a result of these issues, we have undertaken a significant work program to develop improved methodologies for measuring customer satisfaction for our services and have reached an agreement with the water corporations that these new approaches will be applied going forward.</w:t>
      </w:r>
    </w:p>
    <w:p w14:paraId="62BB3641" w14:textId="70709265" w:rsidR="00767B75" w:rsidRPr="00DE108C" w:rsidRDefault="00767B75" w:rsidP="00342311">
      <w:r w:rsidRPr="00DE108C">
        <w:t xml:space="preserve">The alternative measures are discussed in detail in the final section of this chapter, which reports on satisfaction with Melbourne Water’s performance over the current regulatory period. </w:t>
      </w:r>
      <w:r w:rsidR="0CAB4911">
        <w:lastRenderedPageBreak/>
        <w:t>C</w:t>
      </w:r>
      <w:r>
        <w:t>ontrary</w:t>
      </w:r>
      <w:r w:rsidRPr="00DE108C">
        <w:t xml:space="preserve"> to the compromised measures above, these alternative measures consistently show strong satisfaction with our services among our customers (including the water corporations, developers and customers interacting with our customer contact centre). </w:t>
      </w:r>
    </w:p>
    <w:p w14:paraId="431D5991" w14:textId="2A5A9D9F" w:rsidR="00767B75" w:rsidRPr="00DE108C" w:rsidRDefault="00767B75" w:rsidP="00342311">
      <w:r w:rsidRPr="00DE108C">
        <w:t>For the 2026–31 regulatory period, customer satisfaction targets, including for the water corporations, will continue to apply under Outcome 5. We have proposed to continue working with the water corporations to co-design a new relationship health metric to apply under Outcome 5</w:t>
      </w:r>
      <w:r w:rsidR="004E207A" w:rsidRPr="00DE108C">
        <w:t xml:space="preserve"> (outlined in Box 2.1)</w:t>
      </w:r>
      <w:r w:rsidRPr="00DE108C">
        <w:t>.</w:t>
      </w:r>
    </w:p>
    <w:p w14:paraId="5801F67A" w14:textId="77777777" w:rsidR="00767B75" w:rsidRPr="00DE108C" w:rsidRDefault="00767B75" w:rsidP="00342311"/>
    <w:p w14:paraId="5E598840" w14:textId="57758EFB" w:rsidR="00767B75" w:rsidRPr="00DE108C" w:rsidRDefault="00C60987" w:rsidP="000A1973">
      <w:pPr>
        <w:pStyle w:val="Caption"/>
      </w:pPr>
      <w:bookmarkStart w:id="133" w:name="_Toc207892973"/>
      <w:bookmarkStart w:id="134" w:name="_Toc208490502"/>
      <w:bookmarkStart w:id="135" w:name="_Toc208490840"/>
      <w:bookmarkStart w:id="136" w:name="_Toc208910998"/>
      <w:bookmarkStart w:id="137" w:name="_Toc210051305"/>
      <w:r w:rsidRPr="00DE108C">
        <w:t>Box 2.1: Customer satisfaction</w:t>
      </w:r>
      <w:bookmarkEnd w:id="133"/>
      <w:bookmarkEnd w:id="134"/>
      <w:bookmarkEnd w:id="135"/>
      <w:bookmarkEnd w:id="136"/>
      <w:bookmarkEnd w:id="137"/>
    </w:p>
    <w:p w14:paraId="75D076AB" w14:textId="77777777" w:rsidR="00235EAE" w:rsidRPr="003376CB" w:rsidRDefault="00235EAE" w:rsidP="00235EAE">
      <w:pPr>
        <w:pStyle w:val="HighlightBoxHeading"/>
        <w:rPr>
          <w:rFonts w:eastAsia="Verdana"/>
        </w:rPr>
      </w:pPr>
      <w:r>
        <w:rPr>
          <w:rFonts w:eastAsia="Verdana"/>
        </w:rPr>
        <w:t>Customer satisfaction</w:t>
      </w:r>
    </w:p>
    <w:p w14:paraId="59657854" w14:textId="5F471380" w:rsidR="00235EAE" w:rsidRDefault="00235EAE" w:rsidP="00235EAE">
      <w:pPr>
        <w:pStyle w:val="HighlightBoxText"/>
        <w:rPr>
          <w:rFonts w:eastAsia="Verdana"/>
        </w:rPr>
      </w:pPr>
      <w:r>
        <w:rPr>
          <w:rFonts w:eastAsia="Verdana"/>
        </w:rPr>
        <w:t xml:space="preserve">Melbourne Water has been reviewing our customer satisfaction approach and methodology as part of a continuous improvement program for </w:t>
      </w:r>
      <w:r w:rsidR="00E815BB">
        <w:rPr>
          <w:rFonts w:eastAsia="Verdana"/>
        </w:rPr>
        <w:t>the</w:t>
      </w:r>
      <w:r>
        <w:rPr>
          <w:rFonts w:eastAsia="Verdana"/>
        </w:rPr>
        <w:t xml:space="preserve"> 2021</w:t>
      </w:r>
      <w:r w:rsidR="00E815BB">
        <w:rPr>
          <w:rFonts w:eastAsia="Verdana"/>
        </w:rPr>
        <w:t>-26 regulatory period</w:t>
      </w:r>
      <w:r>
        <w:rPr>
          <w:rFonts w:eastAsia="Verdana"/>
        </w:rPr>
        <w:t xml:space="preserve"> and to inform our approach for the PS26 </w:t>
      </w:r>
      <w:r>
        <w:rPr>
          <w:rFonts w:eastAsia="Verdana"/>
          <w:color w:val="000000"/>
        </w:rPr>
        <w:t>p</w:t>
      </w:r>
      <w:r>
        <w:rPr>
          <w:rFonts w:eastAsia="Verdana"/>
        </w:rPr>
        <w:t>eriod.</w:t>
      </w:r>
    </w:p>
    <w:p w14:paraId="24C6123F" w14:textId="6B0F9591" w:rsidR="00235EAE" w:rsidRDefault="00235EAE" w:rsidP="00235EAE">
      <w:pPr>
        <w:pStyle w:val="HighlightBoxText"/>
        <w:rPr>
          <w:rFonts w:eastAsia="Verdana"/>
        </w:rPr>
      </w:pPr>
      <w:r>
        <w:rPr>
          <w:rFonts w:eastAsia="Verdana"/>
        </w:rPr>
        <w:t xml:space="preserve">The concern with the CSAT measures for Outcome 5 was that the methodology </w:t>
      </w:r>
      <w:r>
        <w:rPr>
          <w:rFonts w:eastAsia="Verdana"/>
          <w:color w:val="000000"/>
        </w:rPr>
        <w:t xml:space="preserve">did </w:t>
      </w:r>
      <w:r>
        <w:rPr>
          <w:rFonts w:eastAsia="Verdana"/>
        </w:rPr>
        <w:t xml:space="preserve">not suit service </w:t>
      </w:r>
      <w:r>
        <w:rPr>
          <w:rFonts w:eastAsia="Verdana"/>
          <w:color w:val="000000"/>
        </w:rPr>
        <w:t xml:space="preserve">type </w:t>
      </w:r>
      <w:r>
        <w:rPr>
          <w:rFonts w:eastAsia="Verdana"/>
        </w:rPr>
        <w:t xml:space="preserve">and customers from whom satisfaction information was sought. The methodology was designed for a high </w:t>
      </w:r>
      <w:r w:rsidR="00C61A94">
        <w:rPr>
          <w:rFonts w:eastAsia="Verdana"/>
        </w:rPr>
        <w:t>transaction</w:t>
      </w:r>
      <w:r>
        <w:rPr>
          <w:rFonts w:eastAsia="Verdana"/>
        </w:rPr>
        <w:t xml:space="preserve"> service environment, where there would be thousands of observation points captured in surveys. For example, the CSAT method used is typically applied to measure satisfaction with customer service centre performance (as adopted by the water corporations)</w:t>
      </w:r>
      <w:r>
        <w:rPr>
          <w:rFonts w:eastAsia="Verdana"/>
          <w:color w:val="000000"/>
        </w:rPr>
        <w:t>,</w:t>
      </w:r>
      <w:r>
        <w:rPr>
          <w:rFonts w:eastAsia="Verdana"/>
        </w:rPr>
        <w:t xml:space="preserve"> capturing tens of thousands of scores through interactions over the course of a year and capturing a representative sample of customers.</w:t>
      </w:r>
    </w:p>
    <w:p w14:paraId="5DB6CBA8" w14:textId="77777777" w:rsidR="00235EAE" w:rsidRDefault="00235EAE" w:rsidP="00235EAE">
      <w:pPr>
        <w:pStyle w:val="HighlightBoxText"/>
        <w:rPr>
          <w:rFonts w:eastAsia="Verdana"/>
        </w:rPr>
      </w:pPr>
      <w:r>
        <w:rPr>
          <w:rFonts w:eastAsia="Verdana"/>
        </w:rPr>
        <w:t>However, we found that this methodology was not suited to a service environment with a small number of direct customer relationships. Applying the methodology in this context meant it was beset by a low and statistically unsound representative sample</w:t>
      </w:r>
      <w:r>
        <w:rPr>
          <w:rFonts w:eastAsia="Verdana"/>
          <w:color w:val="000000"/>
        </w:rPr>
        <w:t xml:space="preserve"> and </w:t>
      </w:r>
      <w:r>
        <w:rPr>
          <w:rFonts w:eastAsia="Verdana"/>
        </w:rPr>
        <w:t xml:space="preserve">the scores could not be found to reasonably represent a true satisfaction score. Other forms of bias were also present, including self-selection bias resulting in the risk of over-representation or under-representation of certain customer groups that interact with Melbourne Water. </w:t>
      </w:r>
    </w:p>
    <w:p w14:paraId="48AFE4E4" w14:textId="77777777" w:rsidR="00235EAE" w:rsidRDefault="00235EAE" w:rsidP="00235EAE">
      <w:pPr>
        <w:pStyle w:val="HighlightBoxText"/>
        <w:rPr>
          <w:rFonts w:eastAsia="Verdana"/>
        </w:rPr>
      </w:pPr>
      <w:r>
        <w:rPr>
          <w:rFonts w:eastAsia="Verdana"/>
        </w:rPr>
        <w:t xml:space="preserve">Measuring the satisfaction of water corporations and long-term delivery partners (local government, large-scale developers) requires a different approach, to ensure that we are measuring and reporting the experience of those customers in a way that reflects the nature of their partnerships with Melbourne Water (such as delivering shared strategic outcomes, meeting agreed service levels and the value/productivity of relationships). </w:t>
      </w:r>
    </w:p>
    <w:p w14:paraId="1EECD825" w14:textId="77777777" w:rsidR="00235EAE" w:rsidRDefault="00235EAE" w:rsidP="00235EAE">
      <w:pPr>
        <w:pStyle w:val="HighlightBoxText"/>
        <w:rPr>
          <w:rFonts w:eastAsia="Verdana"/>
        </w:rPr>
      </w:pPr>
      <w:r>
        <w:rPr>
          <w:rFonts w:eastAsia="Verdana"/>
        </w:rPr>
        <w:t>This work has progressed substantially and is reported in the final section of this chapter, which reports on customer satisfaction with Melbourne Water.</w:t>
      </w:r>
    </w:p>
    <w:p w14:paraId="2BCCE89A" w14:textId="24866353" w:rsidR="00767B75" w:rsidRPr="00DE108C" w:rsidRDefault="00767B75"/>
    <w:p w14:paraId="6F041E41" w14:textId="77777777" w:rsidR="00767B75" w:rsidRPr="00DE108C" w:rsidRDefault="00767B75">
      <w:pPr>
        <w:pStyle w:val="Heading3"/>
      </w:pPr>
      <w:bookmarkStart w:id="138" w:name="_Toc196745187"/>
      <w:r w:rsidRPr="00DE108C">
        <w:t>2.1.6 Outcome 6: Bills are kept as low as possible</w:t>
      </w:r>
      <w:bookmarkEnd w:id="138"/>
    </w:p>
    <w:p w14:paraId="0C099A4E" w14:textId="270CD1FD" w:rsidR="00767B75" w:rsidRPr="00DE108C" w:rsidRDefault="00767B75" w:rsidP="003376CB">
      <w:r w:rsidRPr="00DE108C">
        <w:t xml:space="preserve">Outcome 6 provides an ongoing focus on achieving operating cost efficiencies and being transparent about emerging cost challenges. This </w:t>
      </w:r>
      <w:r w:rsidR="00277A6B">
        <w:t>O</w:t>
      </w:r>
      <w:r w:rsidRPr="00DE108C">
        <w:t>utcome also provides targets for the alignment of our expenditure outcomes to the benchmark allowance set by the ESC for the 2021-26 regulatory period.</w:t>
      </w:r>
    </w:p>
    <w:p w14:paraId="67714B05" w14:textId="77777777" w:rsidR="00767B75" w:rsidRPr="00DE108C" w:rsidRDefault="00767B75" w:rsidP="003376CB">
      <w:r w:rsidRPr="00DE108C">
        <w:lastRenderedPageBreak/>
        <w:t>During the 2021-26 period, we committed to meeting the following performance targets:</w:t>
      </w:r>
    </w:p>
    <w:p w14:paraId="0057F0DD" w14:textId="5BE69F4C" w:rsidR="00767B75" w:rsidRPr="00DE108C" w:rsidRDefault="00767B75" w:rsidP="002218D7">
      <w:pPr>
        <w:pStyle w:val="ListBullet"/>
      </w:pPr>
      <w:r w:rsidRPr="00DE108C">
        <w:t xml:space="preserve">more than $500,000 of net savings in </w:t>
      </w:r>
      <w:r w:rsidR="0035387F">
        <w:t>operating expenditure</w:t>
      </w:r>
      <w:r w:rsidRPr="00DE108C">
        <w:t xml:space="preserve"> identified through new efficiency projects</w:t>
      </w:r>
    </w:p>
    <w:p w14:paraId="48BFECEE" w14:textId="1BD503A3" w:rsidR="00767B75" w:rsidRPr="00DE108C" w:rsidRDefault="00767B75" w:rsidP="002218D7">
      <w:pPr>
        <w:pStyle w:val="ListBullet"/>
      </w:pPr>
      <w:r w:rsidRPr="00DE108C">
        <w:t xml:space="preserve">actual </w:t>
      </w:r>
      <w:r w:rsidR="0035387F">
        <w:t>operating expenditure</w:t>
      </w:r>
      <w:r w:rsidRPr="00DE108C">
        <w:t xml:space="preserve"> within 5 per cent of the </w:t>
      </w:r>
      <w:r w:rsidR="0035387F">
        <w:t>operating expenditure</w:t>
      </w:r>
      <w:r w:rsidRPr="00DE108C">
        <w:t xml:space="preserve"> allowance in the 2021 Price Determination</w:t>
      </w:r>
    </w:p>
    <w:p w14:paraId="05F14B78" w14:textId="1D58AA7C" w:rsidR="00767B75" w:rsidRPr="00DE108C" w:rsidRDefault="00767B75" w:rsidP="002218D7">
      <w:pPr>
        <w:pStyle w:val="ListBullet"/>
      </w:pPr>
      <w:r w:rsidRPr="00DE108C">
        <w:t xml:space="preserve">actual cumulative </w:t>
      </w:r>
      <w:r w:rsidR="0035387F">
        <w:t>capital expenditure</w:t>
      </w:r>
      <w:r w:rsidRPr="00DE108C">
        <w:t xml:space="preserve"> within 2 per cent of the capex allowance in the 2021 Price Determination.</w:t>
      </w:r>
    </w:p>
    <w:p w14:paraId="14E8F6C4" w14:textId="77777777" w:rsidR="00767B75" w:rsidRPr="00DE108C" w:rsidRDefault="00767B75" w:rsidP="003376CB">
      <w:r w:rsidRPr="00DE108C">
        <w:t xml:space="preserve">We have achieved the first two opex-related metrics consistently over the regulatory period. </w:t>
      </w:r>
    </w:p>
    <w:p w14:paraId="484F6B35" w14:textId="43CB839D" w:rsidR="00767B75" w:rsidRPr="00DE108C" w:rsidRDefault="00767B75" w:rsidP="003376CB">
      <w:r w:rsidRPr="00DE108C">
        <w:t>Under the first opex metric, Melbourne Water has achieved accumulated new net opex savings of close to $5 million ($real 202</w:t>
      </w:r>
      <w:r w:rsidR="00B32474" w:rsidRPr="00DE108C">
        <w:t>0-2</w:t>
      </w:r>
      <w:r w:rsidRPr="00DE108C">
        <w:t>1) in the first four years of the regulatory period. In 2024-25, savings were made as part of the procurement of IT Managed Services and Cloud-based services.</w:t>
      </w:r>
    </w:p>
    <w:p w14:paraId="29D0BE53" w14:textId="29AD2075" w:rsidR="00767B75" w:rsidRPr="00DE108C" w:rsidRDefault="00767B75" w:rsidP="003376CB">
      <w:r w:rsidRPr="00DE108C">
        <w:t xml:space="preserve">It should be noted that the opex measures used in the second metric, which compares actual opex to the opex allowance, are not directly comparable to reported total opex or to the base year opex benchmark set for the 2026-31 period, as outlined in Chapter 7 (Operating Expenditure). </w:t>
      </w:r>
      <w:r w:rsidR="30BBE127">
        <w:t xml:space="preserve">To </w:t>
      </w:r>
      <w:r>
        <w:t>ensure</w:t>
      </w:r>
      <w:r w:rsidRPr="00DE108C">
        <w:t xml:space="preserve"> like-for-like comparisons are being made between the allowance and actual expenditure, some aspects of actual expenditure in the 2021-26 period need to be excluded from the comparison. The following expenditures are excluded from the comparison:</w:t>
      </w:r>
    </w:p>
    <w:p w14:paraId="48224979" w14:textId="3A26E39E" w:rsidR="00767B75" w:rsidRPr="00DE108C" w:rsidRDefault="00767B75" w:rsidP="002218D7">
      <w:pPr>
        <w:pStyle w:val="ListBullet"/>
      </w:pPr>
      <w:r w:rsidRPr="00D462F7">
        <w:rPr>
          <w:b/>
        </w:rPr>
        <w:t>Non-recurring opex:</w:t>
      </w:r>
      <w:r w:rsidRPr="00DE108C">
        <w:t xml:space="preserve"> This relates to one-off events that can vary over the period and were not known when setting the allowance. </w:t>
      </w:r>
      <w:r w:rsidR="1BBAC01C">
        <w:t xml:space="preserve">For example, </w:t>
      </w:r>
      <w:r w:rsidRPr="00DE108C">
        <w:t xml:space="preserve">the additional opex incurred in </w:t>
      </w:r>
      <w:r w:rsidR="00D462F7">
        <w:t>response</w:t>
      </w:r>
      <w:r w:rsidRPr="00DE108C">
        <w:t xml:space="preserve"> to the 2022 flood event.</w:t>
      </w:r>
    </w:p>
    <w:p w14:paraId="66698032" w14:textId="77777777" w:rsidR="00767B75" w:rsidRPr="00DE108C" w:rsidRDefault="00767B75" w:rsidP="002218D7">
      <w:pPr>
        <w:pStyle w:val="ListBullet"/>
      </w:pPr>
      <w:r w:rsidRPr="00D462F7">
        <w:rPr>
          <w:b/>
        </w:rPr>
        <w:t>Opex associated with new obligations:</w:t>
      </w:r>
      <w:r w:rsidRPr="00DE108C">
        <w:t xml:space="preserve"> This relates to expenditure to meet new obligations that may arise within the regulatory period. This expenditure would not have been foreseen when setting the allowance for the 2021-26 regulatory period.</w:t>
      </w:r>
    </w:p>
    <w:p w14:paraId="7867E4D0" w14:textId="14CB0240" w:rsidR="00767B75" w:rsidRPr="00DE108C" w:rsidRDefault="00767B75" w:rsidP="002218D7">
      <w:pPr>
        <w:pStyle w:val="ListBullet"/>
      </w:pPr>
      <w:r w:rsidRPr="00D462F7">
        <w:rPr>
          <w:b/>
        </w:rPr>
        <w:t>Any changes to uncontrollable expenditure:</w:t>
      </w:r>
      <w:r w:rsidRPr="00DE108C">
        <w:t xml:space="preserve"> This is expenditure that is charged to Melbourne Water by external parties, such as for the Victorian Desalination P</w:t>
      </w:r>
      <w:r w:rsidR="057EC250" w:rsidRPr="00DE108C">
        <w:t>rojec</w:t>
      </w:r>
      <w:r w:rsidRPr="00DE108C">
        <w:t xml:space="preserve">t, and other fees and taxes, and may change from what was assumed when setting the allowance. </w:t>
      </w:r>
    </w:p>
    <w:p w14:paraId="44C1F9EC" w14:textId="77777777" w:rsidR="00767B75" w:rsidRPr="00DE108C" w:rsidRDefault="00767B75" w:rsidP="00CC52C4">
      <w:r w:rsidRPr="00DE108C">
        <w:t xml:space="preserve">These adjustments ensure that the comparison between the benchmark expenditure allowance and actual opex is made on a consistent basis. With this adjustment made, this metric has been met in each of the first four years of the regulatory period. </w:t>
      </w:r>
    </w:p>
    <w:p w14:paraId="609D9E09" w14:textId="4E4E17D0" w:rsidR="00767B75" w:rsidRPr="00DE108C" w:rsidRDefault="00767B75" w:rsidP="00CC52C4">
      <w:r w:rsidRPr="00DE108C">
        <w:t>The third capex-related metric was not met in the first three years of the regulatory period due to delays in the commencement of the delivery of the capital program, including decisions we made to bundle works to gain cost efficiencies</w:t>
      </w:r>
      <w:r w:rsidR="0261D1C4">
        <w:t>,</w:t>
      </w:r>
      <w:r w:rsidRPr="00DE108C">
        <w:t xml:space="preserve"> which are explained in detail in the next section</w:t>
      </w:r>
      <w:r w:rsidR="00B371D7">
        <w:t xml:space="preserve"> (</w:t>
      </w:r>
      <w:r w:rsidR="00621094">
        <w:t>2.2 Delivery against expenditure benchmarks)</w:t>
      </w:r>
      <w:r w:rsidRPr="00DE108C">
        <w:t xml:space="preserve">. We will exceed the target range in 2025-26 as we scale up to deliver the increasing capital </w:t>
      </w:r>
      <w:r w:rsidR="5D7CFBA4">
        <w:t>expenditures,</w:t>
      </w:r>
      <w:r w:rsidRPr="00DE108C">
        <w:t xml:space="preserve"> that we have forecast are required to meet </w:t>
      </w:r>
      <w:r w:rsidR="00267BFF">
        <w:t>and</w:t>
      </w:r>
      <w:r w:rsidRPr="00DE108C">
        <w:t xml:space="preserve"> deliver the services customers expect. </w:t>
      </w:r>
    </w:p>
    <w:p w14:paraId="19C4AE2B" w14:textId="77777777" w:rsidR="00767B75" w:rsidRPr="00DE108C" w:rsidRDefault="00767B75" w:rsidP="00CC52C4">
      <w:r w:rsidRPr="00DE108C">
        <w:t>For the 2026-31 regulatory period, these expenditure outcomes will be reported on as part of the standard reporting requirements under the PREMO regulatory framework, which requires us to track and report on opex and capex outcomes against the allowance over the period and to establish targets for cost efficiency that are reflected in the level of allowed funding provided by the ESC.</w:t>
      </w:r>
    </w:p>
    <w:p w14:paraId="295A5481" w14:textId="4D9FCEA5" w:rsidR="00767B75" w:rsidRPr="00DE108C" w:rsidRDefault="00767B75" w:rsidP="00CC52C4">
      <w:r w:rsidRPr="00DE108C">
        <w:t xml:space="preserve">Further detail on how our operating and capital expenditure has tracked against our benchmark allowances is provided in the following section. </w:t>
      </w:r>
    </w:p>
    <w:p w14:paraId="0968AB23" w14:textId="77777777" w:rsidR="00767B75" w:rsidRPr="00DE108C" w:rsidRDefault="00767B75" w:rsidP="00CC52C4"/>
    <w:p w14:paraId="0F7A2221" w14:textId="77777777" w:rsidR="00767B75" w:rsidRPr="00DE108C" w:rsidRDefault="00767B75" w:rsidP="00B7017F">
      <w:pPr>
        <w:pStyle w:val="Heading2"/>
      </w:pPr>
      <w:bookmarkStart w:id="139" w:name="_Toc196745188"/>
      <w:bookmarkStart w:id="140" w:name="_Toc207892882"/>
      <w:bookmarkStart w:id="141" w:name="_Toc207853375"/>
      <w:r w:rsidRPr="00DE108C">
        <w:lastRenderedPageBreak/>
        <w:t>2.2 Delivery against expenditure benchmarks</w:t>
      </w:r>
      <w:bookmarkEnd w:id="139"/>
      <w:bookmarkEnd w:id="140"/>
      <w:bookmarkEnd w:id="141"/>
    </w:p>
    <w:p w14:paraId="5B7BF93E" w14:textId="05B70547" w:rsidR="00767B75" w:rsidRPr="00DE108C" w:rsidRDefault="00767B75" w:rsidP="00E7119E">
      <w:r w:rsidRPr="00DE108C">
        <w:t xml:space="preserve">In this section, we report on our opex and capex outcomes relative to the benchmark allowances established for the 2021-26 </w:t>
      </w:r>
      <w:r w:rsidR="00884F4C">
        <w:t xml:space="preserve">regulatory </w:t>
      </w:r>
      <w:r w:rsidRPr="00DE108C">
        <w:t>period.</w:t>
      </w:r>
    </w:p>
    <w:p w14:paraId="3E15B4A3" w14:textId="07AFB16B" w:rsidR="00767B75" w:rsidRPr="00DE108C" w:rsidRDefault="00767B75" w:rsidP="00E7119E">
      <w:r w:rsidRPr="00DE108C">
        <w:t>Necessary variations have occurred to the nature and timing of both opex and capex over the regulatory period. This has included variations due to expenditure reprioritisation and our response to external events impacting our operations. The early delays to the delivery of our capex program were overcome by the end of the period, ensuring that customers received the outcomes reflected in our prices.</w:t>
      </w:r>
    </w:p>
    <w:p w14:paraId="10853019" w14:textId="16695390" w:rsidR="00767B75" w:rsidRPr="00DE108C" w:rsidRDefault="00767B75" w:rsidP="00E1515D">
      <w:r w:rsidRPr="00DE108C">
        <w:t xml:space="preserve">Actual opex and capex are forecast to be higher than the benchmark allowance over the 2021-26 </w:t>
      </w:r>
      <w:r w:rsidR="00884F4C">
        <w:t xml:space="preserve">regulatory </w:t>
      </w:r>
      <w:r w:rsidRPr="00DE108C">
        <w:t xml:space="preserve">period. Melbourne Water has funded the higher opex associated with reprioritisation and responding to external events and it will not be recovered from customers. Melbourne Water proposes to recover any above determination prudent and efficient capex in the 2031 Price Submission. </w:t>
      </w:r>
    </w:p>
    <w:p w14:paraId="6092EC39" w14:textId="77777777" w:rsidR="00767B75" w:rsidRPr="00DE108C" w:rsidRDefault="00767B75">
      <w:pPr>
        <w:pStyle w:val="Heading3"/>
      </w:pPr>
      <w:bookmarkStart w:id="142" w:name="_Toc196745189"/>
      <w:r w:rsidRPr="00DE108C">
        <w:t>2.2.1 Operating expenditure</w:t>
      </w:r>
      <w:bookmarkEnd w:id="142"/>
    </w:p>
    <w:p w14:paraId="7F7D28EF" w14:textId="79981F1E" w:rsidR="00767B75" w:rsidRPr="00DE108C" w:rsidRDefault="00767B75" w:rsidP="00CC52C4">
      <w:r w:rsidRPr="00DE108C">
        <w:t xml:space="preserve">We expect our total opex over the 2021-26 regulatory period will be </w:t>
      </w:r>
      <w:r w:rsidRPr="002A0F01">
        <w:t>$5,</w:t>
      </w:r>
      <w:r w:rsidR="00F37A6F" w:rsidRPr="002A0F01">
        <w:t>799</w:t>
      </w:r>
      <w:r w:rsidRPr="00DE108C">
        <w:t xml:space="preserve"> million – 4 per cent higher than forecast in our 2021 Price Determination of $5,583 million. As we pass on changes in the contract cost for the Victorian Desalination Project (VDP) each year, excluding this from the analysis below provides a more accurate reflection of our performance. </w:t>
      </w:r>
    </w:p>
    <w:p w14:paraId="7F985E0B" w14:textId="2EAA42B5" w:rsidR="00767B75" w:rsidRPr="00DE108C" w:rsidRDefault="00767B75" w:rsidP="00CC52C4">
      <w:r w:rsidRPr="00DE108C">
        <w:t xml:space="preserve">The 2021 Price Determination set out total prescribed controllable opex (excluding the VDP) of $2,326 million. Our forecast expenditure is </w:t>
      </w:r>
      <w:r w:rsidRPr="002A0F01">
        <w:t>$2,</w:t>
      </w:r>
      <w:r w:rsidR="00E4224E" w:rsidRPr="002A0F01">
        <w:t>62</w:t>
      </w:r>
      <w:r w:rsidR="0065413E" w:rsidRPr="002A0F01">
        <w:t>6</w:t>
      </w:r>
      <w:r w:rsidRPr="00DE108C">
        <w:t> million</w:t>
      </w:r>
      <w:r w:rsidR="00FC576E" w:rsidRPr="00DE108C">
        <w:t xml:space="preserve"> – excluding adjustments for one-off or unusual expenditure</w:t>
      </w:r>
      <w:r w:rsidRPr="00DE108C">
        <w:t xml:space="preserve">. This is an additional </w:t>
      </w:r>
      <w:r w:rsidRPr="002A0F01">
        <w:t>$3</w:t>
      </w:r>
      <w:r w:rsidR="00E4224E" w:rsidRPr="002A0F01">
        <w:t>0</w:t>
      </w:r>
      <w:r w:rsidR="0065413E" w:rsidRPr="002A0F01">
        <w:t>0</w:t>
      </w:r>
      <w:r w:rsidRPr="00DE108C">
        <w:t> million, or 13 per cent over the regulatory period. A summary of the variations is shown in Figure 2.</w:t>
      </w:r>
      <w:r w:rsidR="00AD1592" w:rsidRPr="00DE108C">
        <w:t>2</w:t>
      </w:r>
      <w:r w:rsidRPr="00DE108C">
        <w:t xml:space="preserve">. </w:t>
      </w:r>
    </w:p>
    <w:p w14:paraId="4A86A1DD" w14:textId="77777777" w:rsidR="00C84680" w:rsidRPr="00DE108C" w:rsidRDefault="00C84680" w:rsidP="00C84680">
      <w:r w:rsidRPr="00DE108C">
        <w:t xml:space="preserve">The key drivers for additional opex incurred above the benchmark allowance have been external events beyond the control of Melbourne Water. It has been necessary to incur the additional opex to maintain core service delivery at a standard that is expected by our regulators, our customers and community. While we have sought to make changes to re-prioritise expenditure, this has not been sufficient to avoid the reported opex overspend. The key external drivers of this overspend, and how they have been crucial to maintaining customer value, are explained below. </w:t>
      </w:r>
    </w:p>
    <w:p w14:paraId="29FC8430" w14:textId="77777777" w:rsidR="00C84680" w:rsidRPr="00DE108C" w:rsidRDefault="00C84680" w:rsidP="00C84680">
      <w:r w:rsidRPr="00DE108C">
        <w:t xml:space="preserve">Additional detail is provided in Chapter 7 </w:t>
      </w:r>
      <w:r>
        <w:t>(</w:t>
      </w:r>
      <w:r w:rsidRPr="00DE108C">
        <w:t>Operating Expenditure</w:t>
      </w:r>
      <w:r>
        <w:t>),</w:t>
      </w:r>
      <w:r w:rsidRPr="00DE108C">
        <w:t xml:space="preserve"> which detail our proposed normally recurrent 2024-25 baseline opex </w:t>
      </w:r>
      <w:r>
        <w:t xml:space="preserve">for </w:t>
      </w:r>
      <w:r w:rsidRPr="00DE108C">
        <w:t xml:space="preserve">the next regulatory period. </w:t>
      </w:r>
    </w:p>
    <w:p w14:paraId="511F7ADE" w14:textId="77777777" w:rsidR="00E1515D" w:rsidRPr="00DE108C" w:rsidRDefault="00E1515D" w:rsidP="00CC52C4"/>
    <w:p w14:paraId="135CCAB4" w14:textId="655B5EB2" w:rsidR="00767B75" w:rsidRPr="00DE108C" w:rsidRDefault="00767B75" w:rsidP="004175E5">
      <w:pPr>
        <w:pStyle w:val="Caption"/>
      </w:pPr>
      <w:bookmarkStart w:id="143" w:name="_Ref206325036"/>
      <w:bookmarkStart w:id="144" w:name="_Toc207892974"/>
      <w:bookmarkStart w:id="145" w:name="_Toc208910999"/>
      <w:bookmarkStart w:id="146" w:name="_Toc208490503"/>
      <w:bookmarkStart w:id="147" w:name="_Toc208490841"/>
      <w:bookmarkStart w:id="148" w:name="_Toc210051306"/>
      <w:r w:rsidRPr="00DE108C">
        <w:lastRenderedPageBreak/>
        <w:t>Figure 2.</w:t>
      </w:r>
      <w:r w:rsidR="00C31070" w:rsidRPr="00DE108C">
        <w:t>2</w:t>
      </w:r>
      <w:r w:rsidRPr="00DE108C">
        <w:t>:</w:t>
      </w:r>
      <w:bookmarkEnd w:id="143"/>
      <w:r w:rsidRPr="00DE108C">
        <w:t xml:space="preserve"> </w:t>
      </w:r>
      <w:r w:rsidR="00FC576E" w:rsidRPr="00DE108C">
        <w:t>Unadjusted c</w:t>
      </w:r>
      <w:r w:rsidRPr="00DE108C">
        <w:t>ontrollable opex over the 2021-26 regulatory period ($</w:t>
      </w:r>
      <w:r w:rsidR="00233BFF" w:rsidRPr="00DE108C">
        <w:t xml:space="preserve">millions, </w:t>
      </w:r>
      <w:r w:rsidRPr="00DE108C">
        <w:t>real 20</w:t>
      </w:r>
      <w:r w:rsidR="00E03716" w:rsidRPr="00DE108C">
        <w:t>25-</w:t>
      </w:r>
      <w:r w:rsidRPr="00DE108C">
        <w:t>26)</w:t>
      </w:r>
      <w:bookmarkEnd w:id="144"/>
      <w:bookmarkEnd w:id="145"/>
      <w:bookmarkEnd w:id="146"/>
      <w:bookmarkEnd w:id="147"/>
      <w:bookmarkEnd w:id="148"/>
    </w:p>
    <w:tbl>
      <w:tblPr>
        <w:tblStyle w:val="TableGrid"/>
        <w:tblpPr w:leftFromText="180" w:rightFromText="180" w:vertAnchor="page" w:horzAnchor="margin" w:tblpY="2056"/>
        <w:tblW w:w="9730" w:type="dxa"/>
        <w:tblLayout w:type="fixed"/>
        <w:tblLook w:val="04A0" w:firstRow="1" w:lastRow="0" w:firstColumn="1" w:lastColumn="0" w:noHBand="0" w:noVBand="1"/>
      </w:tblPr>
      <w:tblGrid>
        <w:gridCol w:w="2428"/>
        <w:gridCol w:w="1096"/>
        <w:gridCol w:w="1240"/>
        <w:gridCol w:w="1239"/>
        <w:gridCol w:w="1240"/>
        <w:gridCol w:w="1335"/>
        <w:gridCol w:w="1152"/>
      </w:tblGrid>
      <w:tr w:rsidR="00055179" w:rsidRPr="00DE108C" w14:paraId="286A1A2D" w14:textId="77777777" w:rsidTr="001F27B9">
        <w:trPr>
          <w:cnfStyle w:val="100000000000" w:firstRow="1" w:lastRow="0" w:firstColumn="0" w:lastColumn="0" w:oddVBand="0" w:evenVBand="0" w:oddHBand="0" w:evenHBand="0" w:firstRowFirstColumn="0" w:firstRowLastColumn="0" w:lastRowFirstColumn="0" w:lastRowLastColumn="0"/>
          <w:trHeight w:val="403"/>
        </w:trPr>
        <w:tc>
          <w:tcPr>
            <w:tcW w:w="2428" w:type="dxa"/>
          </w:tcPr>
          <w:p w14:paraId="75E6481A" w14:textId="77777777" w:rsidR="00C31070" w:rsidRPr="00884F4C" w:rsidRDefault="00C31070" w:rsidP="00C31070">
            <w:pPr>
              <w:rPr>
                <w:b/>
                <w:bCs/>
                <w:color w:val="FFFFFF" w:themeColor="background1"/>
                <w:sz w:val="16"/>
                <w:szCs w:val="16"/>
              </w:rPr>
            </w:pPr>
            <w:r w:rsidRPr="00884F4C">
              <w:rPr>
                <w:b/>
                <w:bCs/>
                <w:color w:val="FFFFFF" w:themeColor="background1"/>
                <w:sz w:val="16"/>
                <w:szCs w:val="16"/>
              </w:rPr>
              <w:t>$millions, real 2025-26</w:t>
            </w:r>
          </w:p>
        </w:tc>
        <w:tc>
          <w:tcPr>
            <w:tcW w:w="1096" w:type="dxa"/>
          </w:tcPr>
          <w:p w14:paraId="1E69106C" w14:textId="77777777" w:rsidR="00C31070" w:rsidRPr="00884F4C" w:rsidRDefault="00C31070" w:rsidP="00634E6A">
            <w:pPr>
              <w:jc w:val="center"/>
              <w:rPr>
                <w:b/>
                <w:bCs/>
                <w:color w:val="FFFFFF" w:themeColor="background1"/>
                <w:sz w:val="16"/>
                <w:szCs w:val="16"/>
              </w:rPr>
            </w:pPr>
            <w:r w:rsidRPr="00884F4C">
              <w:rPr>
                <w:b/>
                <w:bCs/>
                <w:color w:val="FFFFFF" w:themeColor="background1"/>
                <w:sz w:val="16"/>
                <w:szCs w:val="16"/>
              </w:rPr>
              <w:t>2021-22</w:t>
            </w:r>
          </w:p>
        </w:tc>
        <w:tc>
          <w:tcPr>
            <w:tcW w:w="1240" w:type="dxa"/>
          </w:tcPr>
          <w:p w14:paraId="3FA7C631" w14:textId="1FE4F333" w:rsidR="00C31070" w:rsidRPr="00884F4C" w:rsidRDefault="00C31070" w:rsidP="00634E6A">
            <w:pPr>
              <w:jc w:val="center"/>
              <w:rPr>
                <w:b/>
                <w:bCs/>
                <w:color w:val="FFFFFF" w:themeColor="background1"/>
                <w:sz w:val="16"/>
                <w:szCs w:val="16"/>
              </w:rPr>
            </w:pPr>
            <w:r w:rsidRPr="00884F4C">
              <w:rPr>
                <w:b/>
                <w:bCs/>
                <w:color w:val="FFFFFF" w:themeColor="background1"/>
                <w:sz w:val="16"/>
                <w:szCs w:val="16"/>
              </w:rPr>
              <w:t>2022-23</w:t>
            </w:r>
          </w:p>
        </w:tc>
        <w:tc>
          <w:tcPr>
            <w:tcW w:w="1239" w:type="dxa"/>
          </w:tcPr>
          <w:p w14:paraId="226B202B" w14:textId="77777777" w:rsidR="00C31070" w:rsidRPr="00884F4C" w:rsidRDefault="00C31070" w:rsidP="00634E6A">
            <w:pPr>
              <w:jc w:val="center"/>
              <w:rPr>
                <w:b/>
                <w:bCs/>
                <w:color w:val="FFFFFF" w:themeColor="background1"/>
                <w:sz w:val="16"/>
                <w:szCs w:val="16"/>
              </w:rPr>
            </w:pPr>
            <w:r w:rsidRPr="00884F4C">
              <w:rPr>
                <w:b/>
                <w:bCs/>
                <w:color w:val="FFFFFF" w:themeColor="background1"/>
                <w:sz w:val="16"/>
                <w:szCs w:val="16"/>
              </w:rPr>
              <w:t>2023-24</w:t>
            </w:r>
          </w:p>
        </w:tc>
        <w:tc>
          <w:tcPr>
            <w:tcW w:w="1240" w:type="dxa"/>
          </w:tcPr>
          <w:p w14:paraId="02BDC759" w14:textId="77777777" w:rsidR="00C31070" w:rsidRPr="00884F4C" w:rsidRDefault="00C31070" w:rsidP="00634E6A">
            <w:pPr>
              <w:jc w:val="center"/>
              <w:rPr>
                <w:b/>
                <w:bCs/>
                <w:color w:val="FFFFFF" w:themeColor="background1"/>
                <w:sz w:val="16"/>
                <w:szCs w:val="16"/>
              </w:rPr>
            </w:pPr>
            <w:r w:rsidRPr="00884F4C">
              <w:rPr>
                <w:b/>
                <w:bCs/>
                <w:color w:val="FFFFFF" w:themeColor="background1"/>
                <w:sz w:val="16"/>
                <w:szCs w:val="16"/>
              </w:rPr>
              <w:t>2024-25</w:t>
            </w:r>
          </w:p>
        </w:tc>
        <w:tc>
          <w:tcPr>
            <w:tcW w:w="1335" w:type="dxa"/>
          </w:tcPr>
          <w:p w14:paraId="45955DE0" w14:textId="77777777" w:rsidR="00C31070" w:rsidRPr="00884F4C" w:rsidRDefault="00C31070" w:rsidP="00634E6A">
            <w:pPr>
              <w:jc w:val="center"/>
              <w:rPr>
                <w:b/>
                <w:bCs/>
                <w:color w:val="FFFFFF" w:themeColor="background1"/>
                <w:sz w:val="16"/>
                <w:szCs w:val="16"/>
              </w:rPr>
            </w:pPr>
            <w:r w:rsidRPr="00884F4C">
              <w:rPr>
                <w:b/>
                <w:bCs/>
                <w:color w:val="FFFFFF" w:themeColor="background1"/>
                <w:sz w:val="16"/>
                <w:szCs w:val="16"/>
              </w:rPr>
              <w:t>2025-26 (F)</w:t>
            </w:r>
          </w:p>
        </w:tc>
        <w:tc>
          <w:tcPr>
            <w:tcW w:w="1150" w:type="dxa"/>
            <w:tcBorders>
              <w:bottom w:val="single" w:sz="4" w:space="0" w:color="231F20" w:themeColor="text1"/>
              <w:right w:val="single" w:sz="4" w:space="0" w:color="auto"/>
            </w:tcBorders>
          </w:tcPr>
          <w:p w14:paraId="0E3F2B3A" w14:textId="7EB55E43" w:rsidR="00C31070" w:rsidRPr="00884F4C" w:rsidRDefault="00884F4C" w:rsidP="00634E6A">
            <w:pPr>
              <w:jc w:val="center"/>
              <w:rPr>
                <w:b/>
                <w:bCs/>
                <w:color w:val="FFFFFF" w:themeColor="background1"/>
                <w:sz w:val="16"/>
                <w:szCs w:val="16"/>
              </w:rPr>
            </w:pPr>
            <w:r>
              <w:rPr>
                <w:b/>
                <w:bCs/>
                <w:color w:val="FFFFFF" w:themeColor="background1"/>
                <w:sz w:val="16"/>
                <w:szCs w:val="16"/>
              </w:rPr>
              <w:t>Total</w:t>
            </w:r>
          </w:p>
        </w:tc>
      </w:tr>
      <w:tr w:rsidR="00C31070" w:rsidRPr="00DE108C" w14:paraId="38FB1649" w14:textId="77777777" w:rsidTr="001F27B9">
        <w:trPr>
          <w:trHeight w:val="19"/>
        </w:trPr>
        <w:tc>
          <w:tcPr>
            <w:tcW w:w="2428" w:type="dxa"/>
          </w:tcPr>
          <w:p w14:paraId="097AFC7A" w14:textId="77777777" w:rsidR="00C31070" w:rsidRPr="00884F4C" w:rsidRDefault="00C31070" w:rsidP="00C31070">
            <w:pPr>
              <w:rPr>
                <w:sz w:val="16"/>
                <w:szCs w:val="16"/>
              </w:rPr>
            </w:pPr>
            <w:r w:rsidRPr="00884F4C">
              <w:rPr>
                <w:sz w:val="16"/>
                <w:szCs w:val="16"/>
              </w:rPr>
              <w:t>2021 Price Determination</w:t>
            </w:r>
          </w:p>
        </w:tc>
        <w:tc>
          <w:tcPr>
            <w:tcW w:w="1096" w:type="dxa"/>
          </w:tcPr>
          <w:p w14:paraId="4E349CC7" w14:textId="77777777" w:rsidR="00C31070" w:rsidRPr="00884F4C" w:rsidRDefault="00C31070" w:rsidP="00C31070">
            <w:pPr>
              <w:jc w:val="right"/>
              <w:rPr>
                <w:sz w:val="16"/>
                <w:szCs w:val="16"/>
              </w:rPr>
            </w:pPr>
            <w:r w:rsidRPr="00884F4C">
              <w:rPr>
                <w:rFonts w:cs="Arial"/>
                <w:color w:val="000000"/>
                <w:sz w:val="16"/>
                <w:szCs w:val="16"/>
              </w:rPr>
              <w:t xml:space="preserve"> 464.4 </w:t>
            </w:r>
          </w:p>
        </w:tc>
        <w:tc>
          <w:tcPr>
            <w:tcW w:w="1240" w:type="dxa"/>
          </w:tcPr>
          <w:p w14:paraId="536F4A92" w14:textId="77777777" w:rsidR="00C31070" w:rsidRPr="00884F4C" w:rsidRDefault="00C31070" w:rsidP="00C31070">
            <w:pPr>
              <w:jc w:val="right"/>
              <w:rPr>
                <w:sz w:val="16"/>
                <w:szCs w:val="16"/>
              </w:rPr>
            </w:pPr>
            <w:r w:rsidRPr="00884F4C">
              <w:rPr>
                <w:rFonts w:cs="Arial"/>
                <w:color w:val="000000"/>
                <w:sz w:val="16"/>
                <w:szCs w:val="16"/>
              </w:rPr>
              <w:t xml:space="preserve"> 460.4 </w:t>
            </w:r>
          </w:p>
        </w:tc>
        <w:tc>
          <w:tcPr>
            <w:tcW w:w="1239" w:type="dxa"/>
          </w:tcPr>
          <w:p w14:paraId="6F8C996E" w14:textId="77777777" w:rsidR="00C31070" w:rsidRPr="00884F4C" w:rsidRDefault="00C31070" w:rsidP="00C31070">
            <w:pPr>
              <w:jc w:val="right"/>
              <w:rPr>
                <w:sz w:val="16"/>
                <w:szCs w:val="16"/>
              </w:rPr>
            </w:pPr>
            <w:r w:rsidRPr="00884F4C">
              <w:rPr>
                <w:rFonts w:cs="Arial"/>
                <w:color w:val="000000"/>
                <w:sz w:val="16"/>
                <w:szCs w:val="16"/>
              </w:rPr>
              <w:t xml:space="preserve"> 462.3 </w:t>
            </w:r>
          </w:p>
        </w:tc>
        <w:tc>
          <w:tcPr>
            <w:tcW w:w="1240" w:type="dxa"/>
          </w:tcPr>
          <w:p w14:paraId="7FE6FB5B" w14:textId="77777777" w:rsidR="00C31070" w:rsidRPr="00884F4C" w:rsidRDefault="00C31070" w:rsidP="00C31070">
            <w:pPr>
              <w:jc w:val="right"/>
              <w:rPr>
                <w:sz w:val="16"/>
                <w:szCs w:val="16"/>
              </w:rPr>
            </w:pPr>
            <w:r w:rsidRPr="00884F4C">
              <w:rPr>
                <w:rFonts w:cs="Arial"/>
                <w:color w:val="000000"/>
                <w:sz w:val="16"/>
                <w:szCs w:val="16"/>
              </w:rPr>
              <w:t xml:space="preserve"> 467.4 </w:t>
            </w:r>
          </w:p>
        </w:tc>
        <w:tc>
          <w:tcPr>
            <w:tcW w:w="1335" w:type="dxa"/>
          </w:tcPr>
          <w:p w14:paraId="5B45CF90" w14:textId="77777777" w:rsidR="00C31070" w:rsidRPr="00884F4C" w:rsidRDefault="00C31070" w:rsidP="00C31070">
            <w:pPr>
              <w:jc w:val="right"/>
              <w:rPr>
                <w:sz w:val="16"/>
                <w:szCs w:val="16"/>
              </w:rPr>
            </w:pPr>
            <w:r w:rsidRPr="00884F4C">
              <w:rPr>
                <w:rFonts w:cs="Arial"/>
                <w:color w:val="000000"/>
                <w:sz w:val="16"/>
                <w:szCs w:val="16"/>
              </w:rPr>
              <w:t xml:space="preserve"> 471.8 </w:t>
            </w:r>
          </w:p>
        </w:tc>
        <w:tc>
          <w:tcPr>
            <w:tcW w:w="1150" w:type="dxa"/>
            <w:tcBorders>
              <w:top w:val="single" w:sz="4" w:space="0" w:color="231F20" w:themeColor="text1"/>
              <w:right w:val="single" w:sz="4" w:space="0" w:color="231F20" w:themeColor="text1"/>
            </w:tcBorders>
          </w:tcPr>
          <w:p w14:paraId="2038AABF" w14:textId="77777777" w:rsidR="00C31070" w:rsidRPr="00884F4C" w:rsidRDefault="00C31070" w:rsidP="00C31070">
            <w:pPr>
              <w:jc w:val="right"/>
              <w:rPr>
                <w:b/>
                <w:bCs/>
                <w:sz w:val="16"/>
                <w:szCs w:val="16"/>
              </w:rPr>
            </w:pPr>
            <w:r w:rsidRPr="00884F4C">
              <w:rPr>
                <w:rFonts w:cs="Arial"/>
                <w:color w:val="000000"/>
                <w:sz w:val="16"/>
                <w:szCs w:val="16"/>
              </w:rPr>
              <w:t xml:space="preserve"> 2,326.2 </w:t>
            </w:r>
          </w:p>
        </w:tc>
      </w:tr>
      <w:tr w:rsidR="00055179" w:rsidRPr="00DE108C" w14:paraId="64CB97D2" w14:textId="77777777" w:rsidTr="001F27B9">
        <w:trPr>
          <w:cnfStyle w:val="000000010000" w:firstRow="0" w:lastRow="0" w:firstColumn="0" w:lastColumn="0" w:oddVBand="0" w:evenVBand="0" w:oddHBand="0" w:evenHBand="1" w:firstRowFirstColumn="0" w:firstRowLastColumn="0" w:lastRowFirstColumn="0" w:lastRowLastColumn="0"/>
          <w:trHeight w:val="350"/>
        </w:trPr>
        <w:tc>
          <w:tcPr>
            <w:tcW w:w="2428" w:type="dxa"/>
          </w:tcPr>
          <w:p w14:paraId="1392D181" w14:textId="43880060" w:rsidR="00C31070" w:rsidRPr="00884F4C" w:rsidRDefault="00C31070" w:rsidP="00C31070">
            <w:pPr>
              <w:rPr>
                <w:sz w:val="16"/>
                <w:szCs w:val="16"/>
              </w:rPr>
            </w:pPr>
            <w:r w:rsidRPr="00884F4C">
              <w:rPr>
                <w:sz w:val="16"/>
                <w:szCs w:val="16"/>
              </w:rPr>
              <w:t>Actual</w:t>
            </w:r>
            <w:r w:rsidR="00884F4C" w:rsidRPr="00884F4C">
              <w:rPr>
                <w:sz w:val="16"/>
                <w:szCs w:val="16"/>
              </w:rPr>
              <w:t>/</w:t>
            </w:r>
            <w:r w:rsidRPr="00884F4C">
              <w:rPr>
                <w:sz w:val="16"/>
                <w:szCs w:val="16"/>
              </w:rPr>
              <w:t>Forecast</w:t>
            </w:r>
          </w:p>
        </w:tc>
        <w:tc>
          <w:tcPr>
            <w:tcW w:w="1096" w:type="dxa"/>
          </w:tcPr>
          <w:p w14:paraId="027BF352" w14:textId="5087C1A8" w:rsidR="00C31070" w:rsidRPr="00D30A04" w:rsidRDefault="00C31070" w:rsidP="00C31070">
            <w:pPr>
              <w:jc w:val="right"/>
              <w:rPr>
                <w:sz w:val="16"/>
                <w:szCs w:val="16"/>
              </w:rPr>
            </w:pPr>
            <w:r w:rsidRPr="00D30A04">
              <w:rPr>
                <w:rFonts w:cs="Arial"/>
                <w:color w:val="000000"/>
                <w:sz w:val="16"/>
                <w:szCs w:val="16"/>
              </w:rPr>
              <w:t xml:space="preserve"> 501.</w:t>
            </w:r>
            <w:r w:rsidR="005C0B79" w:rsidRPr="00D30A04">
              <w:rPr>
                <w:rFonts w:cs="Arial"/>
                <w:color w:val="000000"/>
                <w:sz w:val="16"/>
                <w:szCs w:val="16"/>
              </w:rPr>
              <w:t>2</w:t>
            </w:r>
            <w:r w:rsidRPr="00D30A04">
              <w:rPr>
                <w:rFonts w:cs="Arial"/>
                <w:color w:val="000000"/>
                <w:sz w:val="16"/>
                <w:szCs w:val="16"/>
              </w:rPr>
              <w:t xml:space="preserve"> </w:t>
            </w:r>
          </w:p>
        </w:tc>
        <w:tc>
          <w:tcPr>
            <w:tcW w:w="1240" w:type="dxa"/>
          </w:tcPr>
          <w:p w14:paraId="68323FC4" w14:textId="10FE67CA" w:rsidR="00C31070" w:rsidRPr="00D30A04" w:rsidRDefault="00C31070" w:rsidP="00C31070">
            <w:pPr>
              <w:jc w:val="right"/>
              <w:rPr>
                <w:sz w:val="16"/>
                <w:szCs w:val="16"/>
              </w:rPr>
            </w:pPr>
            <w:r w:rsidRPr="00D30A04">
              <w:rPr>
                <w:rFonts w:cs="Arial"/>
                <w:color w:val="000000"/>
                <w:sz w:val="16"/>
                <w:szCs w:val="16"/>
              </w:rPr>
              <w:t xml:space="preserve"> 500.</w:t>
            </w:r>
            <w:r w:rsidR="005C0B79" w:rsidRPr="00D30A04">
              <w:rPr>
                <w:rFonts w:cs="Arial"/>
                <w:color w:val="000000"/>
                <w:sz w:val="16"/>
                <w:szCs w:val="16"/>
              </w:rPr>
              <w:t>3</w:t>
            </w:r>
            <w:r w:rsidRPr="00D30A04">
              <w:rPr>
                <w:rFonts w:cs="Arial"/>
                <w:color w:val="000000"/>
                <w:sz w:val="16"/>
                <w:szCs w:val="16"/>
              </w:rPr>
              <w:t xml:space="preserve"> </w:t>
            </w:r>
          </w:p>
        </w:tc>
        <w:tc>
          <w:tcPr>
            <w:tcW w:w="1239" w:type="dxa"/>
          </w:tcPr>
          <w:p w14:paraId="6AC53E22" w14:textId="5DFF109D" w:rsidR="00C31070" w:rsidRPr="00D30A04" w:rsidRDefault="00C31070" w:rsidP="00C31070">
            <w:pPr>
              <w:jc w:val="right"/>
              <w:rPr>
                <w:sz w:val="16"/>
                <w:szCs w:val="16"/>
              </w:rPr>
            </w:pPr>
            <w:r w:rsidRPr="00D30A04">
              <w:rPr>
                <w:rFonts w:cs="Arial"/>
                <w:color w:val="000000"/>
                <w:sz w:val="16"/>
                <w:szCs w:val="16"/>
              </w:rPr>
              <w:t xml:space="preserve"> 508.</w:t>
            </w:r>
            <w:r w:rsidR="005C0B79" w:rsidRPr="00D30A04">
              <w:rPr>
                <w:rFonts w:cs="Arial"/>
                <w:color w:val="000000"/>
                <w:sz w:val="16"/>
                <w:szCs w:val="16"/>
              </w:rPr>
              <w:t>5</w:t>
            </w:r>
            <w:r w:rsidRPr="00D30A04">
              <w:rPr>
                <w:rFonts w:cs="Arial"/>
                <w:color w:val="000000"/>
                <w:sz w:val="16"/>
                <w:szCs w:val="16"/>
              </w:rPr>
              <w:t xml:space="preserve"> </w:t>
            </w:r>
          </w:p>
        </w:tc>
        <w:tc>
          <w:tcPr>
            <w:tcW w:w="1240" w:type="dxa"/>
          </w:tcPr>
          <w:p w14:paraId="2BED9FD4" w14:textId="6970F647" w:rsidR="00C31070" w:rsidRPr="00D30A04" w:rsidRDefault="00C31070" w:rsidP="00C31070">
            <w:pPr>
              <w:jc w:val="right"/>
              <w:rPr>
                <w:sz w:val="16"/>
                <w:szCs w:val="16"/>
              </w:rPr>
            </w:pPr>
            <w:r w:rsidRPr="00D30A04">
              <w:rPr>
                <w:rFonts w:cs="Arial"/>
                <w:color w:val="000000"/>
                <w:sz w:val="16"/>
                <w:szCs w:val="16"/>
              </w:rPr>
              <w:t xml:space="preserve"> 568.</w:t>
            </w:r>
            <w:r w:rsidR="005C0B79" w:rsidRPr="00D30A04">
              <w:rPr>
                <w:rFonts w:cs="Arial"/>
                <w:color w:val="000000"/>
                <w:sz w:val="16"/>
                <w:szCs w:val="16"/>
              </w:rPr>
              <w:t>1</w:t>
            </w:r>
            <w:r w:rsidRPr="00D30A04">
              <w:rPr>
                <w:rFonts w:cs="Arial"/>
                <w:color w:val="000000"/>
                <w:sz w:val="16"/>
                <w:szCs w:val="16"/>
              </w:rPr>
              <w:t xml:space="preserve"> </w:t>
            </w:r>
          </w:p>
        </w:tc>
        <w:tc>
          <w:tcPr>
            <w:tcW w:w="1335" w:type="dxa"/>
          </w:tcPr>
          <w:p w14:paraId="56195D0F" w14:textId="77777777" w:rsidR="00C31070" w:rsidRPr="00D30A04" w:rsidRDefault="00C31070" w:rsidP="00C31070">
            <w:pPr>
              <w:jc w:val="right"/>
              <w:rPr>
                <w:sz w:val="16"/>
                <w:szCs w:val="16"/>
              </w:rPr>
            </w:pPr>
            <w:r w:rsidRPr="00D30A04">
              <w:rPr>
                <w:rFonts w:cs="Arial"/>
                <w:color w:val="000000"/>
                <w:sz w:val="16"/>
                <w:szCs w:val="16"/>
              </w:rPr>
              <w:t xml:space="preserve"> 547.8 </w:t>
            </w:r>
          </w:p>
        </w:tc>
        <w:tc>
          <w:tcPr>
            <w:tcW w:w="1150" w:type="dxa"/>
            <w:tcBorders>
              <w:right w:val="single" w:sz="4" w:space="0" w:color="231F20" w:themeColor="text1"/>
            </w:tcBorders>
          </w:tcPr>
          <w:p w14:paraId="2613E882" w14:textId="165A2BB9" w:rsidR="00C31070" w:rsidRPr="00D30A04" w:rsidRDefault="00C31070" w:rsidP="00C31070">
            <w:pPr>
              <w:jc w:val="right"/>
              <w:rPr>
                <w:b/>
                <w:sz w:val="16"/>
                <w:szCs w:val="16"/>
              </w:rPr>
            </w:pPr>
            <w:r w:rsidRPr="00D30A04">
              <w:rPr>
                <w:rFonts w:cs="Arial"/>
                <w:color w:val="000000"/>
                <w:sz w:val="16"/>
                <w:szCs w:val="16"/>
              </w:rPr>
              <w:t xml:space="preserve"> 2,62</w:t>
            </w:r>
            <w:r w:rsidR="005C0B79" w:rsidRPr="00D30A04">
              <w:rPr>
                <w:rFonts w:cs="Arial"/>
                <w:color w:val="000000"/>
                <w:sz w:val="16"/>
                <w:szCs w:val="16"/>
              </w:rPr>
              <w:t>5</w:t>
            </w:r>
            <w:r w:rsidRPr="00D30A04">
              <w:rPr>
                <w:rFonts w:cs="Arial"/>
                <w:color w:val="000000"/>
                <w:sz w:val="16"/>
                <w:szCs w:val="16"/>
              </w:rPr>
              <w:t>.</w:t>
            </w:r>
            <w:r w:rsidR="005C0B79" w:rsidRPr="00D30A04">
              <w:rPr>
                <w:rFonts w:cs="Arial"/>
                <w:color w:val="000000"/>
                <w:sz w:val="16"/>
                <w:szCs w:val="16"/>
              </w:rPr>
              <w:t>9</w:t>
            </w:r>
            <w:r w:rsidRPr="00D30A04">
              <w:rPr>
                <w:rFonts w:cs="Arial"/>
                <w:color w:val="000000"/>
                <w:sz w:val="16"/>
                <w:szCs w:val="16"/>
              </w:rPr>
              <w:t xml:space="preserve"> </w:t>
            </w:r>
          </w:p>
        </w:tc>
      </w:tr>
      <w:tr w:rsidR="00C31070" w:rsidRPr="00DE108C" w14:paraId="6787513F" w14:textId="77777777" w:rsidTr="001F27B9">
        <w:trPr>
          <w:trHeight w:val="158"/>
        </w:trPr>
        <w:tc>
          <w:tcPr>
            <w:tcW w:w="2428" w:type="dxa"/>
          </w:tcPr>
          <w:p w14:paraId="718C2FE6" w14:textId="77777777" w:rsidR="00C31070" w:rsidRPr="00884F4C" w:rsidRDefault="00C31070" w:rsidP="00C31070">
            <w:pPr>
              <w:rPr>
                <w:b/>
                <w:color w:val="auto"/>
                <w:sz w:val="16"/>
                <w:szCs w:val="16"/>
              </w:rPr>
            </w:pPr>
            <w:r w:rsidRPr="00884F4C">
              <w:rPr>
                <w:b/>
                <w:color w:val="auto"/>
                <w:sz w:val="16"/>
                <w:szCs w:val="16"/>
              </w:rPr>
              <w:t>Cumulative Variance</w:t>
            </w:r>
          </w:p>
        </w:tc>
        <w:tc>
          <w:tcPr>
            <w:tcW w:w="1096" w:type="dxa"/>
          </w:tcPr>
          <w:p w14:paraId="2A1677E0" w14:textId="1407E0A0" w:rsidR="00C31070" w:rsidRPr="00D30A04" w:rsidRDefault="005C0B79" w:rsidP="00C31070">
            <w:pPr>
              <w:jc w:val="right"/>
              <w:rPr>
                <w:b/>
                <w:color w:val="auto"/>
                <w:sz w:val="16"/>
                <w:szCs w:val="16"/>
              </w:rPr>
            </w:pPr>
            <w:r w:rsidRPr="00D30A04">
              <w:rPr>
                <w:b/>
                <w:color w:val="auto"/>
                <w:sz w:val="16"/>
                <w:szCs w:val="16"/>
              </w:rPr>
              <w:t>7.9</w:t>
            </w:r>
            <w:r w:rsidR="00C31070" w:rsidRPr="00D30A04">
              <w:rPr>
                <w:b/>
                <w:color w:val="auto"/>
                <w:sz w:val="16"/>
                <w:szCs w:val="16"/>
              </w:rPr>
              <w:t>%</w:t>
            </w:r>
          </w:p>
        </w:tc>
        <w:tc>
          <w:tcPr>
            <w:tcW w:w="1240" w:type="dxa"/>
          </w:tcPr>
          <w:p w14:paraId="3B01A6D0" w14:textId="69610686" w:rsidR="00C31070" w:rsidRPr="00D30A04" w:rsidRDefault="00C31070" w:rsidP="00C31070">
            <w:pPr>
              <w:jc w:val="right"/>
              <w:rPr>
                <w:b/>
                <w:color w:val="auto"/>
                <w:sz w:val="16"/>
                <w:szCs w:val="16"/>
              </w:rPr>
            </w:pPr>
            <w:r w:rsidRPr="00D30A04">
              <w:rPr>
                <w:b/>
                <w:color w:val="auto"/>
                <w:sz w:val="16"/>
                <w:szCs w:val="16"/>
              </w:rPr>
              <w:t>8.</w:t>
            </w:r>
            <w:r w:rsidR="005C0B79" w:rsidRPr="00D30A04">
              <w:rPr>
                <w:b/>
                <w:color w:val="auto"/>
                <w:sz w:val="16"/>
                <w:szCs w:val="16"/>
              </w:rPr>
              <w:t>3</w:t>
            </w:r>
            <w:r w:rsidRPr="00D30A04">
              <w:rPr>
                <w:b/>
                <w:color w:val="auto"/>
                <w:sz w:val="16"/>
                <w:szCs w:val="16"/>
              </w:rPr>
              <w:t>%</w:t>
            </w:r>
          </w:p>
        </w:tc>
        <w:tc>
          <w:tcPr>
            <w:tcW w:w="1239" w:type="dxa"/>
          </w:tcPr>
          <w:p w14:paraId="49695C9E" w14:textId="77777777" w:rsidR="00C31070" w:rsidRPr="00D30A04" w:rsidRDefault="00C31070" w:rsidP="00C31070">
            <w:pPr>
              <w:jc w:val="right"/>
              <w:rPr>
                <w:b/>
                <w:color w:val="auto"/>
                <w:sz w:val="16"/>
                <w:szCs w:val="16"/>
              </w:rPr>
            </w:pPr>
            <w:r w:rsidRPr="00D30A04">
              <w:rPr>
                <w:b/>
                <w:color w:val="auto"/>
                <w:sz w:val="16"/>
                <w:szCs w:val="16"/>
              </w:rPr>
              <w:t>8.9%</w:t>
            </w:r>
          </w:p>
        </w:tc>
        <w:tc>
          <w:tcPr>
            <w:tcW w:w="1240" w:type="dxa"/>
          </w:tcPr>
          <w:p w14:paraId="6A12F82E" w14:textId="704BE7EE" w:rsidR="00C31070" w:rsidRPr="00D30A04" w:rsidRDefault="00C31070" w:rsidP="00C31070">
            <w:pPr>
              <w:jc w:val="right"/>
              <w:rPr>
                <w:b/>
                <w:color w:val="auto"/>
                <w:sz w:val="16"/>
                <w:szCs w:val="16"/>
              </w:rPr>
            </w:pPr>
            <w:r w:rsidRPr="00D30A04">
              <w:rPr>
                <w:b/>
                <w:color w:val="auto"/>
                <w:sz w:val="16"/>
                <w:szCs w:val="16"/>
              </w:rPr>
              <w:t>12.1%</w:t>
            </w:r>
          </w:p>
        </w:tc>
        <w:tc>
          <w:tcPr>
            <w:tcW w:w="1335" w:type="dxa"/>
          </w:tcPr>
          <w:p w14:paraId="74C7F44B" w14:textId="765D2C32" w:rsidR="00C31070" w:rsidRPr="00D30A04" w:rsidRDefault="00C31070" w:rsidP="00C31070">
            <w:pPr>
              <w:jc w:val="right"/>
              <w:rPr>
                <w:b/>
                <w:color w:val="auto"/>
                <w:sz w:val="16"/>
                <w:szCs w:val="16"/>
              </w:rPr>
            </w:pPr>
            <w:r w:rsidRPr="00D30A04">
              <w:rPr>
                <w:b/>
                <w:color w:val="auto"/>
                <w:sz w:val="16"/>
                <w:szCs w:val="16"/>
              </w:rPr>
              <w:t>1</w:t>
            </w:r>
            <w:r w:rsidR="005C0B79" w:rsidRPr="00D30A04">
              <w:rPr>
                <w:b/>
                <w:color w:val="auto"/>
                <w:sz w:val="16"/>
                <w:szCs w:val="16"/>
              </w:rPr>
              <w:t>2</w:t>
            </w:r>
            <w:r w:rsidRPr="00D30A04">
              <w:rPr>
                <w:b/>
                <w:color w:val="auto"/>
                <w:sz w:val="16"/>
                <w:szCs w:val="16"/>
              </w:rPr>
              <w:t>.</w:t>
            </w:r>
            <w:r w:rsidR="005C0B79" w:rsidRPr="00D30A04">
              <w:rPr>
                <w:b/>
                <w:color w:val="auto"/>
                <w:sz w:val="16"/>
                <w:szCs w:val="16"/>
              </w:rPr>
              <w:t>9</w:t>
            </w:r>
            <w:r w:rsidRPr="00D30A04">
              <w:rPr>
                <w:b/>
                <w:color w:val="auto"/>
                <w:sz w:val="16"/>
                <w:szCs w:val="16"/>
              </w:rPr>
              <w:t>%</w:t>
            </w:r>
          </w:p>
        </w:tc>
        <w:tc>
          <w:tcPr>
            <w:tcW w:w="1150" w:type="dxa"/>
            <w:tcBorders>
              <w:right w:val="single" w:sz="4" w:space="0" w:color="231F20" w:themeColor="text1"/>
            </w:tcBorders>
          </w:tcPr>
          <w:p w14:paraId="35F3DD8E" w14:textId="0525D21B" w:rsidR="00C31070" w:rsidRPr="00D30A04" w:rsidRDefault="00BF2B4F" w:rsidP="00C31070">
            <w:pPr>
              <w:jc w:val="right"/>
              <w:rPr>
                <w:b/>
                <w:color w:val="auto"/>
                <w:sz w:val="16"/>
                <w:szCs w:val="16"/>
              </w:rPr>
            </w:pPr>
            <w:r w:rsidRPr="00DE108C">
              <w:rPr>
                <w:b/>
                <w:noProof/>
                <w:color w:val="auto"/>
                <w:sz w:val="16"/>
                <w:szCs w:val="16"/>
              </w:rPr>
              <mc:AlternateContent>
                <mc:Choice Requires="wpg">
                  <w:drawing>
                    <wp:anchor distT="0" distB="0" distL="114300" distR="114300" simplePos="0" relativeHeight="251658252" behindDoc="0" locked="0" layoutInCell="1" allowOverlap="1" wp14:anchorId="1747C181" wp14:editId="4CBCE040">
                      <wp:simplePos x="0" y="0"/>
                      <wp:positionH relativeFrom="column">
                        <wp:posOffset>-650096</wp:posOffset>
                      </wp:positionH>
                      <wp:positionV relativeFrom="paragraph">
                        <wp:posOffset>336693</wp:posOffset>
                      </wp:positionV>
                      <wp:extent cx="1624818" cy="2314444"/>
                      <wp:effectExtent l="0" t="0" r="0" b="0"/>
                      <wp:wrapNone/>
                      <wp:docPr id="645858322" name="Group 1" descr="We are expected to exceed forecast by $300m by June 2026"/>
                      <wp:cNvGraphicFramePr/>
                      <a:graphic xmlns:a="http://schemas.openxmlformats.org/drawingml/2006/main">
                        <a:graphicData uri="http://schemas.microsoft.com/office/word/2010/wordprocessingGroup">
                          <wpg:wgp>
                            <wpg:cNvGrpSpPr/>
                            <wpg:grpSpPr>
                              <a:xfrm>
                                <a:off x="0" y="0"/>
                                <a:ext cx="1624818" cy="2314444"/>
                                <a:chOff x="0" y="0"/>
                                <a:chExt cx="1762125" cy="2601595"/>
                              </a:xfrm>
                            </wpg:grpSpPr>
                            <pic:pic xmlns:pic="http://schemas.openxmlformats.org/drawingml/2006/picture">
                              <pic:nvPicPr>
                                <pic:cNvPr id="834888157" name="Picture 19"/>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0" y="0"/>
                                  <a:ext cx="1762125" cy="2601595"/>
                                </a:xfrm>
                                <a:prstGeom prst="rect">
                                  <a:avLst/>
                                </a:prstGeom>
                              </pic:spPr>
                            </pic:pic>
                            <wps:wsp>
                              <wps:cNvPr id="1237360121" name="Text Box 21"/>
                              <wps:cNvSpPr txBox="1"/>
                              <wps:spPr>
                                <a:xfrm>
                                  <a:off x="160029" y="515093"/>
                                  <a:ext cx="1390650" cy="1971675"/>
                                </a:xfrm>
                                <a:prstGeom prst="rect">
                                  <a:avLst/>
                                </a:prstGeom>
                                <a:noFill/>
                                <a:ln w="6350">
                                  <a:noFill/>
                                </a:ln>
                              </wps:spPr>
                              <wps:txbx>
                                <w:txbxContent>
                                  <w:p w14:paraId="3F4DCDA5" w14:textId="77777777" w:rsidR="00C31070" w:rsidRPr="001F27B9" w:rsidRDefault="00C31070" w:rsidP="00C31070">
                                    <w:pPr>
                                      <w:spacing w:line="420" w:lineRule="exact"/>
                                      <w:jc w:val="center"/>
                                      <w:rPr>
                                        <w:color w:val="FFFFFF" w:themeColor="background1"/>
                                        <w:sz w:val="22"/>
                                        <w:szCs w:val="22"/>
                                      </w:rPr>
                                    </w:pPr>
                                    <w:r w:rsidRPr="001F27B9">
                                      <w:rPr>
                                        <w:color w:val="FFFFFF" w:themeColor="background1"/>
                                        <w:sz w:val="22"/>
                                        <w:szCs w:val="22"/>
                                      </w:rPr>
                                      <w:t>We are expected to exceed forecast by $30</w:t>
                                    </w:r>
                                    <w:r w:rsidR="005C0B79" w:rsidRPr="001F27B9">
                                      <w:rPr>
                                        <w:color w:val="FFFFFF" w:themeColor="background1"/>
                                        <w:sz w:val="22"/>
                                        <w:szCs w:val="22"/>
                                      </w:rPr>
                                      <w:t>0</w:t>
                                    </w:r>
                                    <w:r w:rsidRPr="001F27B9">
                                      <w:rPr>
                                        <w:color w:val="FFFFFF" w:themeColor="background1"/>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47C181" id="_x0000_s1037" alt="We are expected to exceed forecast by $300m by June 2026" style="position:absolute;left:0;text-align:left;margin-left:-51.2pt;margin-top:26.5pt;width:127.95pt;height:182.25pt;z-index:251658252;mso-position-horizontal-relative:text;mso-position-vertical-relative:text;mso-width-relative:margin;mso-height-relative:margin" coordsize="17621,2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8" type="#_x0000_t75" style="position:absolute;width:17621;height:2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">
                        <v:imagedata r:id="rId47" o:title=""/>
                      </v:shape>
                      <v:shape id="_x0000_s1039" type="#_x0000_t202" style="position:absolute;left:1600;top:5150;width:13906;height:1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" filled="f" stroked="f" strokeweight=".5pt">
                        <v:textbox>
                          <w:txbxContent>
                            <w:p w14:paraId="3F4DCDA5" w14:textId="77777777" w:rsidR="00C31070" w:rsidRPr="001F27B9" w:rsidRDefault="00C31070" w:rsidP="00C31070">
                              <w:pPr>
                                <w:spacing w:line="420" w:lineRule="exact"/>
                                <w:jc w:val="center"/>
                                <w:rPr>
                                  <w:color w:val="FFFFFF" w:themeColor="background1"/>
                                  <w:sz w:val="22"/>
                                  <w:szCs w:val="22"/>
                                </w:rPr>
                              </w:pPr>
                              <w:r w:rsidRPr="001F27B9">
                                <w:rPr>
                                  <w:color w:val="FFFFFF" w:themeColor="background1"/>
                                  <w:sz w:val="22"/>
                                  <w:szCs w:val="22"/>
                                </w:rPr>
                                <w:t>We are expected to exceed forecast by $30</w:t>
                              </w:r>
                              <w:r w:rsidR="005C0B79" w:rsidRPr="001F27B9">
                                <w:rPr>
                                  <w:color w:val="FFFFFF" w:themeColor="background1"/>
                                  <w:sz w:val="22"/>
                                  <w:szCs w:val="22"/>
                                </w:rPr>
                                <w:t>0</w:t>
                              </w:r>
                              <w:r w:rsidRPr="001F27B9">
                                <w:rPr>
                                  <w:color w:val="FFFFFF" w:themeColor="background1"/>
                                  <w:sz w:val="22"/>
                                  <w:szCs w:val="22"/>
                                </w:rPr>
                                <w:t>m</w:t>
                              </w:r>
                            </w:p>
                          </w:txbxContent>
                        </v:textbox>
                      </v:shape>
                    </v:group>
                  </w:pict>
                </mc:Fallback>
              </mc:AlternateContent>
            </w:r>
            <w:r w:rsidR="005C0B79" w:rsidRPr="00D30A04">
              <w:rPr>
                <w:b/>
                <w:color w:val="auto"/>
                <w:sz w:val="16"/>
                <w:szCs w:val="16"/>
              </w:rPr>
              <w:t>299.7</w:t>
            </w:r>
          </w:p>
        </w:tc>
      </w:tr>
      <w:tr w:rsidR="00DA7A8D" w:rsidRPr="00DE108C" w14:paraId="0586967C" w14:textId="77777777" w:rsidTr="001F27B9">
        <w:trPr>
          <w:cnfStyle w:val="000000010000" w:firstRow="0" w:lastRow="0" w:firstColumn="0" w:lastColumn="0" w:oddVBand="0" w:evenVBand="0" w:oddHBand="0" w:evenHBand="1" w:firstRowFirstColumn="0" w:firstRowLastColumn="0" w:lastRowFirstColumn="0" w:lastRowLastColumn="0"/>
          <w:trHeight w:val="3847"/>
        </w:trPr>
        <w:tc>
          <w:tcPr>
            <w:tcW w:w="9730" w:type="dxa"/>
            <w:gridSpan w:val="7"/>
            <w:tcBorders>
              <w:left w:val="single" w:sz="4" w:space="0" w:color="EFF5FB" w:themeColor="background2"/>
              <w:bottom w:val="single" w:sz="4" w:space="0" w:color="EFF5FB" w:themeColor="background2"/>
              <w:right w:val="single" w:sz="4" w:space="0" w:color="EFF5FB" w:themeColor="background2"/>
            </w:tcBorders>
          </w:tcPr>
          <w:p w14:paraId="4D44D4B9" w14:textId="4A3F9AE3" w:rsidR="00C31070" w:rsidRPr="00DE108C" w:rsidRDefault="00C31070" w:rsidP="00C31070">
            <w:pPr>
              <w:pStyle w:val="BodyText"/>
              <w:rPr>
                <w:b/>
                <w:bCs/>
                <w:sz w:val="16"/>
                <w:szCs w:val="16"/>
              </w:rPr>
            </w:pPr>
            <w:r w:rsidRPr="00DE108C">
              <w:rPr>
                <w:b/>
                <w:bCs/>
                <w:sz w:val="16"/>
                <w:szCs w:val="16"/>
              </w:rPr>
              <w:t xml:space="preserve">The additional expenditure was driven by: </w:t>
            </w:r>
          </w:p>
          <w:p w14:paraId="64A19A31" w14:textId="4D1CB134" w:rsidR="00C31070" w:rsidRPr="00E45F22" w:rsidRDefault="00C31070">
            <w:pPr>
              <w:pStyle w:val="BodyText"/>
              <w:numPr>
                <w:ilvl w:val="0"/>
                <w:numId w:val="19"/>
              </w:numPr>
              <w:spacing w:after="100" w:afterAutospacing="1" w:line="240" w:lineRule="auto"/>
              <w:ind w:left="714" w:right="2552" w:hanging="357"/>
              <w:rPr>
                <w:sz w:val="16"/>
                <w:szCs w:val="16"/>
              </w:rPr>
            </w:pPr>
            <w:r w:rsidRPr="00E45F22">
              <w:rPr>
                <w:sz w:val="16"/>
                <w:szCs w:val="16"/>
              </w:rPr>
              <w:t>Higher population and demand growth than forecast</w:t>
            </w:r>
            <w:r w:rsidR="1C8B8F76" w:rsidRPr="00E45F22">
              <w:rPr>
                <w:sz w:val="16"/>
                <w:szCs w:val="16"/>
              </w:rPr>
              <w:t>.</w:t>
            </w:r>
          </w:p>
          <w:p w14:paraId="26A5339A" w14:textId="00C3E22B" w:rsidR="00C31070" w:rsidRPr="00E45F22" w:rsidRDefault="00C31070">
            <w:pPr>
              <w:pStyle w:val="BodyText"/>
              <w:numPr>
                <w:ilvl w:val="0"/>
                <w:numId w:val="19"/>
              </w:numPr>
              <w:spacing w:after="100" w:afterAutospacing="1" w:line="240" w:lineRule="auto"/>
              <w:ind w:left="714" w:right="2552" w:hanging="357"/>
              <w:rPr>
                <w:sz w:val="16"/>
                <w:szCs w:val="16"/>
              </w:rPr>
            </w:pPr>
            <w:r w:rsidRPr="00E45F22">
              <w:rPr>
                <w:sz w:val="16"/>
                <w:szCs w:val="16"/>
              </w:rPr>
              <w:t>Higher volume of development services applications resulting from upswing in growth and development activity</w:t>
            </w:r>
            <w:r w:rsidR="1C8B8F76" w:rsidRPr="00E45F22">
              <w:rPr>
                <w:sz w:val="16"/>
                <w:szCs w:val="16"/>
              </w:rPr>
              <w:t>.</w:t>
            </w:r>
            <w:r w:rsidRPr="00E45F22">
              <w:rPr>
                <w:sz w:val="16"/>
                <w:szCs w:val="16"/>
              </w:rPr>
              <w:t xml:space="preserve"> </w:t>
            </w:r>
          </w:p>
          <w:p w14:paraId="2AB960B5" w14:textId="7A360CF1" w:rsidR="00C31070" w:rsidRPr="00E45F22" w:rsidRDefault="00C31070">
            <w:pPr>
              <w:pStyle w:val="BodyText"/>
              <w:numPr>
                <w:ilvl w:val="0"/>
                <w:numId w:val="19"/>
              </w:numPr>
              <w:spacing w:after="100" w:afterAutospacing="1" w:line="240" w:lineRule="auto"/>
              <w:ind w:left="714" w:right="2552" w:hanging="357"/>
              <w:rPr>
                <w:sz w:val="16"/>
                <w:szCs w:val="16"/>
              </w:rPr>
            </w:pPr>
            <w:r w:rsidRPr="00E45F22">
              <w:rPr>
                <w:sz w:val="16"/>
                <w:szCs w:val="16"/>
              </w:rPr>
              <w:t>Emergency management response</w:t>
            </w:r>
            <w:r w:rsidR="5AF5B948" w:rsidRPr="00E45F22">
              <w:rPr>
                <w:sz w:val="16"/>
                <w:szCs w:val="16"/>
              </w:rPr>
              <w:t>,</w:t>
            </w:r>
            <w:r w:rsidRPr="00E45F22">
              <w:rPr>
                <w:sz w:val="16"/>
                <w:szCs w:val="16"/>
              </w:rPr>
              <w:t xml:space="preserve"> including the 2022 Maribyrnong flood and the flood review</w:t>
            </w:r>
            <w:r w:rsidR="3A08F189" w:rsidRPr="00E45F22">
              <w:rPr>
                <w:sz w:val="16"/>
                <w:szCs w:val="16"/>
              </w:rPr>
              <w:t>.</w:t>
            </w:r>
          </w:p>
          <w:p w14:paraId="24BFB75A" w14:textId="36C837A8" w:rsidR="00C31070" w:rsidRPr="00E45F22" w:rsidRDefault="00C31070">
            <w:pPr>
              <w:pStyle w:val="BodyText"/>
              <w:numPr>
                <w:ilvl w:val="0"/>
                <w:numId w:val="19"/>
              </w:numPr>
              <w:spacing w:after="100" w:afterAutospacing="1" w:line="240" w:lineRule="auto"/>
              <w:ind w:left="714" w:right="2552" w:hanging="357"/>
              <w:rPr>
                <w:sz w:val="16"/>
                <w:szCs w:val="16"/>
              </w:rPr>
            </w:pPr>
            <w:r w:rsidRPr="00E45F22">
              <w:rPr>
                <w:sz w:val="16"/>
                <w:szCs w:val="16"/>
              </w:rPr>
              <w:t>Meeting cyber security standards</w:t>
            </w:r>
            <w:r w:rsidR="0BAF30C9" w:rsidRPr="00E45F22">
              <w:rPr>
                <w:sz w:val="16"/>
                <w:szCs w:val="16"/>
              </w:rPr>
              <w:t>.</w:t>
            </w:r>
            <w:r w:rsidRPr="00E45F22">
              <w:rPr>
                <w:sz w:val="16"/>
                <w:szCs w:val="16"/>
              </w:rPr>
              <w:t xml:space="preserve"> </w:t>
            </w:r>
          </w:p>
          <w:p w14:paraId="69E9C8FE" w14:textId="6AEEE766" w:rsidR="00C31070" w:rsidRPr="00E45F22" w:rsidRDefault="00C31070">
            <w:pPr>
              <w:pStyle w:val="BodyText"/>
              <w:numPr>
                <w:ilvl w:val="0"/>
                <w:numId w:val="19"/>
              </w:numPr>
              <w:spacing w:after="100" w:afterAutospacing="1" w:line="240" w:lineRule="auto"/>
              <w:ind w:left="714" w:right="2552" w:hanging="357"/>
              <w:rPr>
                <w:sz w:val="16"/>
                <w:szCs w:val="16"/>
              </w:rPr>
            </w:pPr>
            <w:r w:rsidRPr="00E45F22">
              <w:rPr>
                <w:sz w:val="16"/>
                <w:szCs w:val="16"/>
              </w:rPr>
              <w:t>Increased water maintenance and security costs</w:t>
            </w:r>
            <w:r w:rsidR="43052B80" w:rsidRPr="00E45F22">
              <w:rPr>
                <w:sz w:val="16"/>
                <w:szCs w:val="16"/>
              </w:rPr>
              <w:t>.</w:t>
            </w:r>
          </w:p>
          <w:p w14:paraId="48D0952F" w14:textId="690168C3" w:rsidR="00C31070" w:rsidRPr="00E45F22" w:rsidRDefault="00C31070">
            <w:pPr>
              <w:pStyle w:val="BodyText"/>
              <w:numPr>
                <w:ilvl w:val="0"/>
                <w:numId w:val="19"/>
              </w:numPr>
              <w:spacing w:after="100" w:afterAutospacing="1" w:line="240" w:lineRule="auto"/>
              <w:ind w:left="714" w:right="2552" w:hanging="357"/>
              <w:rPr>
                <w:sz w:val="16"/>
                <w:szCs w:val="16"/>
              </w:rPr>
            </w:pPr>
            <w:r w:rsidRPr="00E45F22">
              <w:rPr>
                <w:sz w:val="16"/>
                <w:szCs w:val="16"/>
              </w:rPr>
              <w:t>Increased cost of material resulting from changes in market conditions</w:t>
            </w:r>
            <w:r w:rsidR="6A1ECD8F" w:rsidRPr="00E45F22">
              <w:rPr>
                <w:sz w:val="16"/>
                <w:szCs w:val="16"/>
              </w:rPr>
              <w:t>.</w:t>
            </w:r>
            <w:r w:rsidRPr="00E45F22">
              <w:rPr>
                <w:sz w:val="16"/>
                <w:szCs w:val="16"/>
              </w:rPr>
              <w:t xml:space="preserve"> </w:t>
            </w:r>
          </w:p>
          <w:p w14:paraId="04F80EE9" w14:textId="77777777" w:rsidR="00C31070" w:rsidRPr="00DE108C" w:rsidRDefault="00C31070">
            <w:pPr>
              <w:pStyle w:val="BodyText"/>
              <w:numPr>
                <w:ilvl w:val="0"/>
                <w:numId w:val="19"/>
              </w:numPr>
              <w:spacing w:after="100" w:afterAutospacing="1" w:line="240" w:lineRule="auto"/>
              <w:ind w:left="714" w:right="2552" w:hanging="357"/>
            </w:pPr>
            <w:r w:rsidRPr="00E45F22">
              <w:rPr>
                <w:sz w:val="16"/>
                <w:szCs w:val="16"/>
              </w:rPr>
              <w:t>Actual electricity costs increasing above determination rates</w:t>
            </w:r>
            <w:r w:rsidRPr="00DE108C">
              <w:t>.</w:t>
            </w:r>
          </w:p>
          <w:p w14:paraId="3B60A429" w14:textId="77777777" w:rsidR="00C31070" w:rsidRPr="00DE108C" w:rsidRDefault="00C31070" w:rsidP="00C31070">
            <w:pPr>
              <w:jc w:val="right"/>
              <w:rPr>
                <w:b/>
                <w:bCs/>
                <w:color w:val="FFFFFF" w:themeColor="background1"/>
                <w:sz w:val="16"/>
                <w:szCs w:val="16"/>
              </w:rPr>
            </w:pPr>
          </w:p>
        </w:tc>
      </w:tr>
    </w:tbl>
    <w:p w14:paraId="0E2D3465" w14:textId="77777777" w:rsidR="00767B75" w:rsidRPr="00DE108C" w:rsidRDefault="00767B75" w:rsidP="00E1515D">
      <w:pPr>
        <w:rPr>
          <w:rFonts w:eastAsia="Verdana"/>
        </w:rPr>
      </w:pPr>
    </w:p>
    <w:p w14:paraId="78595792" w14:textId="77777777" w:rsidR="00767B75" w:rsidRPr="00DE108C" w:rsidRDefault="00767B75">
      <w:pPr>
        <w:pStyle w:val="Heading4"/>
      </w:pPr>
      <w:r w:rsidRPr="00DE108C">
        <w:t>2.2.1.1 Higher population and demand growth than forecast</w:t>
      </w:r>
    </w:p>
    <w:p w14:paraId="16817A5F" w14:textId="77777777" w:rsidR="00767B75" w:rsidRPr="00DE108C" w:rsidRDefault="00767B75" w:rsidP="00E1515D">
      <w:r w:rsidRPr="00DE108C">
        <w:t>PS21 and the corresponding ESC review were finalised during COVID-19 restrictions. At this time, there was significant uncertainty about how the transition back to normal operating conditions would occur, such as the expected rebound in population and demand.</w:t>
      </w:r>
    </w:p>
    <w:p w14:paraId="00404B95" w14:textId="3A7F29C4" w:rsidR="00767B75" w:rsidRPr="00DE108C" w:rsidRDefault="00767B75" w:rsidP="00E1515D">
      <w:r w:rsidRPr="00DE108C">
        <w:t>Over the 2021-26 regulatory period, growth and demand has been higher than assumed in the expenditure allowance</w:t>
      </w:r>
      <w:r w:rsidR="32194B20">
        <w:t>, including</w:t>
      </w:r>
      <w:r w:rsidRPr="00DE108C">
        <w:t>:</w:t>
      </w:r>
    </w:p>
    <w:p w14:paraId="3DA04807" w14:textId="71DD50AE" w:rsidR="00767B75" w:rsidRPr="00DE108C" w:rsidRDefault="00767B75" w:rsidP="00C84680">
      <w:pPr>
        <w:pStyle w:val="ListBullet"/>
      </w:pPr>
      <w:r w:rsidRPr="00DE108C">
        <w:t>The region’s population has grown at an annual average of 2.2 per cent, which is more than double the 1.0 per cent annual average forecast underpinning our 2021</w:t>
      </w:r>
      <w:r w:rsidR="00AA37C0">
        <w:t xml:space="preserve"> Price D</w:t>
      </w:r>
      <w:r w:rsidRPr="00DE108C">
        <w:t>etermination.</w:t>
      </w:r>
    </w:p>
    <w:p w14:paraId="48F81786" w14:textId="0E01ADDE" w:rsidR="00767B75" w:rsidRPr="00DE108C" w:rsidRDefault="00767B75" w:rsidP="00C84680">
      <w:pPr>
        <w:pStyle w:val="ListBullet"/>
      </w:pPr>
      <w:r w:rsidRPr="00DE108C">
        <w:t xml:space="preserve">Bulk water transfer volumes are 13 per cent higher in 2024-25 than </w:t>
      </w:r>
      <w:r w:rsidR="00BC71E1" w:rsidRPr="00DE108C">
        <w:t>2019-20</w:t>
      </w:r>
      <w:r w:rsidRPr="00DE108C">
        <w:t>.</w:t>
      </w:r>
    </w:p>
    <w:p w14:paraId="70AB55E1" w14:textId="5AB9B044" w:rsidR="00767B75" w:rsidRPr="00C84680" w:rsidRDefault="00767B75" w:rsidP="00C84680">
      <w:pPr>
        <w:pStyle w:val="ListBullet"/>
        <w:rPr>
          <w:rFonts w:eastAsia="Verdana"/>
        </w:rPr>
      </w:pPr>
      <w:r w:rsidRPr="00C84680">
        <w:rPr>
          <w:rFonts w:eastAsia="Verdana"/>
        </w:rPr>
        <w:t>Over the 202</w:t>
      </w:r>
      <w:r w:rsidR="0002267D" w:rsidRPr="00C84680">
        <w:rPr>
          <w:rFonts w:eastAsia="Verdana"/>
        </w:rPr>
        <w:t>1</w:t>
      </w:r>
      <w:r w:rsidRPr="00C84680">
        <w:rPr>
          <w:rFonts w:eastAsia="Verdana"/>
        </w:rPr>
        <w:t>-2</w:t>
      </w:r>
      <w:r w:rsidR="0002267D" w:rsidRPr="00C84680">
        <w:rPr>
          <w:rFonts w:eastAsia="Verdana"/>
        </w:rPr>
        <w:t>2</w:t>
      </w:r>
      <w:r w:rsidRPr="00C84680">
        <w:rPr>
          <w:rFonts w:eastAsia="Verdana"/>
        </w:rPr>
        <w:t xml:space="preserve"> to 2024-25 period,</w:t>
      </w:r>
      <w:r w:rsidRPr="00DE108C">
        <w:t xml:space="preserve"> a</w:t>
      </w:r>
      <w:r w:rsidRPr="00C84680">
        <w:rPr>
          <w:rFonts w:eastAsia="Verdana"/>
        </w:rPr>
        <w:t xml:space="preserve">ctual sewage flows at both the Eastern Treatment Plant </w:t>
      </w:r>
      <w:r w:rsidR="2C4A1E7C" w:rsidRPr="00C84680">
        <w:rPr>
          <w:rFonts w:eastAsia="Verdana"/>
        </w:rPr>
        <w:t>(ETP)</w:t>
      </w:r>
      <w:r w:rsidRPr="00C84680">
        <w:rPr>
          <w:rFonts w:eastAsia="Verdana"/>
        </w:rPr>
        <w:t xml:space="preserve"> and W</w:t>
      </w:r>
      <w:r w:rsidR="29CB65BE" w:rsidRPr="00C84680">
        <w:rPr>
          <w:rFonts w:eastAsia="Verdana"/>
        </w:rPr>
        <w:t>TP</w:t>
      </w:r>
      <w:r w:rsidRPr="00C84680">
        <w:rPr>
          <w:rFonts w:eastAsia="Verdana"/>
        </w:rPr>
        <w:t xml:space="preserve"> have been greater than the </w:t>
      </w:r>
      <w:r w:rsidRPr="00DE108C">
        <w:t>2021-26 d</w:t>
      </w:r>
      <w:r w:rsidRPr="00C84680">
        <w:rPr>
          <w:rFonts w:eastAsia="Verdana"/>
        </w:rPr>
        <w:t xml:space="preserve">etermination forecasts by </w:t>
      </w:r>
      <w:r w:rsidR="0002267D" w:rsidRPr="00C84680">
        <w:rPr>
          <w:rFonts w:eastAsia="Verdana"/>
        </w:rPr>
        <w:t>20</w:t>
      </w:r>
      <w:r w:rsidRPr="00C84680">
        <w:rPr>
          <w:rFonts w:eastAsia="Verdana"/>
        </w:rPr>
        <w:t xml:space="preserve"> per cent and</w:t>
      </w:r>
      <w:r w:rsidRPr="00C84680">
        <w:rPr>
          <w:rFonts w:eastAsiaTheme="minorEastAsia"/>
        </w:rPr>
        <w:t xml:space="preserve"> </w:t>
      </w:r>
      <w:r w:rsidR="0002267D" w:rsidRPr="00C84680">
        <w:rPr>
          <w:rFonts w:eastAsiaTheme="minorEastAsia"/>
        </w:rPr>
        <w:t>10</w:t>
      </w:r>
      <w:r w:rsidRPr="00C84680">
        <w:rPr>
          <w:rFonts w:eastAsiaTheme="minorEastAsia"/>
        </w:rPr>
        <w:t xml:space="preserve"> per </w:t>
      </w:r>
      <w:r w:rsidRPr="00C84680">
        <w:rPr>
          <w:rFonts w:eastAsia="Verdana"/>
        </w:rPr>
        <w:t>cent respectively.</w:t>
      </w:r>
    </w:p>
    <w:p w14:paraId="780A8FA5" w14:textId="77777777" w:rsidR="00767B75" w:rsidRPr="00DE108C" w:rsidRDefault="00767B75" w:rsidP="00E1515D">
      <w:r w:rsidRPr="00DE108C">
        <w:t>The higher-than-expected growth and volumes have increased opex beyond what was forecast, including through higher pumping, treatment and materials costs. This has also increased the workload and costs associated with urban development application processing.</w:t>
      </w:r>
    </w:p>
    <w:p w14:paraId="4835B755" w14:textId="77777777" w:rsidR="00767B75" w:rsidRPr="00DE108C" w:rsidRDefault="00767B75" w:rsidP="00E1515D">
      <w:r w:rsidRPr="00DE108C">
        <w:t>Significant customer value has been provided by managing these increased volumes in compliance with our regulatory obligations. Responding to these variances in demand and load on our systems is fundamental to our core service delivery.</w:t>
      </w:r>
    </w:p>
    <w:p w14:paraId="4FC72499" w14:textId="77777777" w:rsidR="00767B75" w:rsidRPr="00DE108C" w:rsidRDefault="00767B75">
      <w:pPr>
        <w:pStyle w:val="Heading4"/>
      </w:pPr>
      <w:r w:rsidRPr="00DE108C">
        <w:lastRenderedPageBreak/>
        <w:t>2.2.1.2 Development application processing</w:t>
      </w:r>
    </w:p>
    <w:p w14:paraId="25D3F0ED" w14:textId="77777777" w:rsidR="00767B75" w:rsidRPr="00DE108C" w:rsidRDefault="00767B75" w:rsidP="00E1515D">
      <w:r w:rsidRPr="00DE108C">
        <w:t xml:space="preserve">The rebound in growth and development activity beyond what was forecast resulted in a higher volume of development services applications. This increase in applications added to the existing backlog of applications, which </w:t>
      </w:r>
      <w:r w:rsidRPr="00DE108C">
        <w:rPr>
          <w:rFonts w:eastAsia="Verdana"/>
        </w:rPr>
        <w:t>built up over the COVID-19 pandemic period</w:t>
      </w:r>
      <w:r w:rsidRPr="00DE108C">
        <w:t xml:space="preserve">. </w:t>
      </w:r>
    </w:p>
    <w:p w14:paraId="4ECE8ACA" w14:textId="71A05849" w:rsidR="00767B75" w:rsidRPr="00DE108C" w:rsidRDefault="00767B75" w:rsidP="00E1515D">
      <w:pPr>
        <w:rPr>
          <w:rFonts w:eastAsia="Verdana"/>
        </w:rPr>
      </w:pPr>
      <w:r w:rsidRPr="00DE108C">
        <w:rPr>
          <w:rFonts w:eastAsia="Verdana"/>
        </w:rPr>
        <w:t xml:space="preserve">During 2023-24 and 2024-25, additional operating expense of close to $4 million ($real </w:t>
      </w:r>
      <w:r w:rsidRPr="0C0B6A88">
        <w:rPr>
          <w:rFonts w:eastAsia="Verdana"/>
        </w:rPr>
        <w:t>202</w:t>
      </w:r>
      <w:r w:rsidR="105C04F3" w:rsidRPr="0C0B6A88">
        <w:rPr>
          <w:rFonts w:eastAsia="Verdana"/>
        </w:rPr>
        <w:t>5-26</w:t>
      </w:r>
      <w:r w:rsidRPr="00DE108C">
        <w:rPr>
          <w:rFonts w:eastAsia="Verdana"/>
        </w:rPr>
        <w:t>) was incurred to process the applications.</w:t>
      </w:r>
    </w:p>
    <w:p w14:paraId="64AF474A" w14:textId="0A4A21FE" w:rsidR="00767B75" w:rsidRPr="00DE108C" w:rsidRDefault="00767B75" w:rsidP="00E1515D">
      <w:pPr>
        <w:rPr>
          <w:rFonts w:eastAsia="Verdana"/>
        </w:rPr>
      </w:pPr>
      <w:r w:rsidRPr="00DE108C">
        <w:rPr>
          <w:rFonts w:eastAsia="Verdana"/>
        </w:rPr>
        <w:t>The increasing backlogs and delays had become a significant source of concern for our developer customers. With additional resourcing and focus on our interactions</w:t>
      </w:r>
      <w:r w:rsidR="32E0279D" w:rsidRPr="0C0B6A88">
        <w:rPr>
          <w:rFonts w:eastAsia="Verdana"/>
        </w:rPr>
        <w:t>,</w:t>
      </w:r>
      <w:r w:rsidRPr="00DE108C">
        <w:rPr>
          <w:rFonts w:eastAsia="Verdana"/>
        </w:rPr>
        <w:t xml:space="preserve"> we cleared the backlog and </w:t>
      </w:r>
      <w:r w:rsidR="60FF6ECB" w:rsidRPr="10B236B6">
        <w:rPr>
          <w:rFonts w:eastAsia="Verdana"/>
        </w:rPr>
        <w:t xml:space="preserve">are </w:t>
      </w:r>
      <w:r w:rsidRPr="10B236B6">
        <w:rPr>
          <w:rFonts w:eastAsia="Verdana"/>
        </w:rPr>
        <w:t>now</w:t>
      </w:r>
      <w:r w:rsidRPr="00DE108C">
        <w:rPr>
          <w:rFonts w:eastAsia="Verdana"/>
        </w:rPr>
        <w:t xml:space="preserve"> meeting our published targets o</w:t>
      </w:r>
      <w:r w:rsidR="00503B86">
        <w:rPr>
          <w:rFonts w:eastAsia="Verdana"/>
        </w:rPr>
        <w:t>ver</w:t>
      </w:r>
      <w:r w:rsidRPr="00DE108C">
        <w:rPr>
          <w:rFonts w:eastAsia="Verdana"/>
        </w:rPr>
        <w:t xml:space="preserve"> 90 per cent of completions on time. As shown in the final section of this chapter, we have received clear positive feedback from our developer customers about their satisfaction with the use of additional resources to address the application backlog and the improvements made to processing times. This expenditure to process the development services applications has also supported the implementation of the Victorian</w:t>
      </w:r>
      <w:r w:rsidRPr="00C84680">
        <w:rPr>
          <w:rFonts w:eastAsia="Verdana"/>
          <w:i/>
        </w:rPr>
        <w:t xml:space="preserve"> Housing Statement</w:t>
      </w:r>
      <w:r w:rsidRPr="00DE108C">
        <w:rPr>
          <w:rFonts w:eastAsia="Verdana"/>
        </w:rPr>
        <w:t>.</w:t>
      </w:r>
    </w:p>
    <w:p w14:paraId="334ECEE8" w14:textId="77777777" w:rsidR="00767B75" w:rsidRPr="00DE108C" w:rsidRDefault="00767B75">
      <w:pPr>
        <w:pStyle w:val="Heading4"/>
      </w:pPr>
      <w:r w:rsidRPr="00DE108C">
        <w:t>2.2.1.3 2022 Maribyrnong River Flood</w:t>
      </w:r>
    </w:p>
    <w:p w14:paraId="716458C5" w14:textId="77777777" w:rsidR="00767B75" w:rsidRPr="00DE108C" w:rsidRDefault="00767B75" w:rsidP="00E1515D">
      <w:pPr>
        <w:rPr>
          <w:rFonts w:eastAsiaTheme="minorEastAsia"/>
        </w:rPr>
      </w:pPr>
      <w:r w:rsidRPr="00DE108C">
        <w:rPr>
          <w:rFonts w:eastAsiaTheme="minorEastAsia"/>
        </w:rPr>
        <w:t xml:space="preserve">On 14 October 2022, significant flooding occurred within the urban catchment of the Maribyrnong River. Melbourne Water provided a significant operational response to the event, which included extensive communication, engagement and operational response activities. </w:t>
      </w:r>
    </w:p>
    <w:p w14:paraId="31AE6A24" w14:textId="77777777" w:rsidR="00767B75" w:rsidRPr="00DE108C" w:rsidRDefault="00767B75" w:rsidP="00E1515D">
      <w:pPr>
        <w:rPr>
          <w:rFonts w:eastAsia="Verdana"/>
        </w:rPr>
      </w:pPr>
      <w:r w:rsidRPr="00DE108C">
        <w:rPr>
          <w:rFonts w:eastAsiaTheme="minorEastAsia"/>
        </w:rPr>
        <w:t xml:space="preserve">Melbourne Water also supported subsequent flood inquiries, incurring administrative, legal and investigative costs. Melbourne Water established and funded an independent panel to undertake a review of the causes of the flooding, including the impact of the Flemington Racecourse flood wall. </w:t>
      </w:r>
      <w:r w:rsidRPr="00DE108C">
        <w:rPr>
          <w:rFonts w:eastAsia="Verdana"/>
        </w:rPr>
        <w:t>In parallel with the independent review, Melbourne Water pa</w:t>
      </w:r>
      <w:r w:rsidRPr="00DE108C">
        <w:rPr>
          <w:rFonts w:eastAsiaTheme="minorEastAsia"/>
        </w:rPr>
        <w:t>rticipated in the Legislative Council Environment and Planning Committee Inquiry into the 2022 flood event.</w:t>
      </w:r>
    </w:p>
    <w:p w14:paraId="0B2AA233" w14:textId="77777777" w:rsidR="00767B75" w:rsidRPr="00DE108C" w:rsidRDefault="00767B75" w:rsidP="00E1515D">
      <w:pPr>
        <w:rPr>
          <w:rFonts w:eastAsia="Verdana"/>
        </w:rPr>
      </w:pPr>
      <w:r w:rsidRPr="00DE108C">
        <w:rPr>
          <w:rFonts w:eastAsia="Verdana"/>
        </w:rPr>
        <w:t>Within the current regulatory period, Melbourne Water has undertaken additional flood mitigation studies to evaluate future mitigation options and has developed flood risk awareness and preparedness programs in partnership with the Victorian State Emergency Service (VICSES) and councils.</w:t>
      </w:r>
    </w:p>
    <w:p w14:paraId="7D9D3E10" w14:textId="77777777" w:rsidR="00767B75" w:rsidRPr="00DE108C" w:rsidRDefault="00767B75" w:rsidP="00E1515D">
      <w:pPr>
        <w:rPr>
          <w:rFonts w:eastAsia="Verdana"/>
        </w:rPr>
      </w:pPr>
      <w:r w:rsidRPr="00DE108C">
        <w:rPr>
          <w:rFonts w:eastAsia="Verdana"/>
        </w:rPr>
        <w:t>These responses to the flood event have been vital to assisting our customers and addressing broader community concerns. The work undertaken has also supported the development of prudent and efficient flood mitigation and preparedness expenditure proposed for the 2026-31 regulatory period.</w:t>
      </w:r>
    </w:p>
    <w:p w14:paraId="1462ED37" w14:textId="77777777" w:rsidR="00767B75" w:rsidRPr="00DE108C" w:rsidRDefault="00767B75">
      <w:pPr>
        <w:pStyle w:val="Heading4"/>
      </w:pPr>
      <w:r w:rsidRPr="00DE108C">
        <w:t>2.2.1.4 Meeting our cybersecurity standards</w:t>
      </w:r>
    </w:p>
    <w:p w14:paraId="32332522" w14:textId="2F67CBCD" w:rsidR="00767B75" w:rsidRPr="00DE108C" w:rsidRDefault="00767B75" w:rsidP="00E1515D">
      <w:r w:rsidRPr="00DE108C">
        <w:t xml:space="preserve">At the time the opex forecasts were prepared for PS21, Melbourne Water was in the very early stages of understanding its obligations and required actions under the new </w:t>
      </w:r>
      <w:r w:rsidRPr="000A175A">
        <w:rPr>
          <w:i/>
        </w:rPr>
        <w:t>Security of Critical Infrastructure Act 2018</w:t>
      </w:r>
      <w:r w:rsidRPr="00DE108C">
        <w:t xml:space="preserve"> (SOCI Act). </w:t>
      </w:r>
    </w:p>
    <w:p w14:paraId="6F244E22" w14:textId="77777777" w:rsidR="00767B75" w:rsidRPr="00DE108C" w:rsidRDefault="00767B75" w:rsidP="00E1515D">
      <w:r w:rsidRPr="00DE108C">
        <w:t>During the current regulatory period, further analysis and testing indicated that additional expenditure was required to comply with our cybersecurity obligations under the SOCI Act. Additional opex has been incurred to meet this obligation.</w:t>
      </w:r>
    </w:p>
    <w:p w14:paraId="5ED664D0" w14:textId="77777777" w:rsidR="00767B75" w:rsidRPr="00DE108C" w:rsidRDefault="00767B75">
      <w:pPr>
        <w:pStyle w:val="Heading4"/>
      </w:pPr>
      <w:r w:rsidRPr="00DE108C">
        <w:t>2.2.1.5 Water maintenance</w:t>
      </w:r>
    </w:p>
    <w:p w14:paraId="61E66025" w14:textId="7B1032C9" w:rsidR="00767B75" w:rsidRPr="00DE108C" w:rsidRDefault="00767B75" w:rsidP="00E1515D">
      <w:pPr>
        <w:rPr>
          <w:rFonts w:eastAsia="Verdana"/>
        </w:rPr>
      </w:pPr>
      <w:r w:rsidRPr="00DE108C">
        <w:rPr>
          <w:rFonts w:eastAsia="Verdana"/>
        </w:rPr>
        <w:t>To maintain our water assets in compliance with regulatory obligations, we have incurred costs relating to corrective maintenance required due to the climatic conditions and the ag</w:t>
      </w:r>
      <w:r w:rsidR="373A9BE3" w:rsidRPr="00DE108C">
        <w:rPr>
          <w:rFonts w:eastAsia="Verdana"/>
        </w:rPr>
        <w:t>e</w:t>
      </w:r>
      <w:r w:rsidRPr="00DE108C">
        <w:rPr>
          <w:rFonts w:eastAsia="Verdana"/>
        </w:rPr>
        <w:t>ing of assets. In addition to this, increased security costs have been incurred at our asset sites to ensure they are protected from unauthorised access.</w:t>
      </w:r>
    </w:p>
    <w:p w14:paraId="5E034A73" w14:textId="77777777" w:rsidR="00767B75" w:rsidRPr="00DE108C" w:rsidRDefault="00767B75" w:rsidP="00E1515D">
      <w:pPr>
        <w:rPr>
          <w:rFonts w:eastAsia="Verdana"/>
        </w:rPr>
      </w:pPr>
      <w:r w:rsidRPr="00DE108C">
        <w:rPr>
          <w:rFonts w:eastAsia="Verdana"/>
        </w:rPr>
        <w:lastRenderedPageBreak/>
        <w:t>These costs have been higher than anticipated, however, have been necessary to maintain safe and reliable water supply services.</w:t>
      </w:r>
    </w:p>
    <w:p w14:paraId="3F4C03E8" w14:textId="77777777" w:rsidR="00767B75" w:rsidRPr="00DE108C" w:rsidRDefault="00767B75">
      <w:pPr>
        <w:pStyle w:val="Heading4"/>
      </w:pPr>
      <w:r w:rsidRPr="00DE108C">
        <w:t>2.2.1.6 Material and energy cost increases beyond forecast</w:t>
      </w:r>
    </w:p>
    <w:p w14:paraId="623EA4DC" w14:textId="04DB107A" w:rsidR="00767B75" w:rsidRPr="00DE108C" w:rsidRDefault="00767B75" w:rsidP="00E1515D">
      <w:r w:rsidRPr="00DE108C">
        <w:t>Melbourne Water has incurred higher material and energy costs than forecast in PS21 due to changes in market conditions and other unforeseen events arising during the period</w:t>
      </w:r>
      <w:r w:rsidR="1E3E9629">
        <w:t>, including</w:t>
      </w:r>
      <w:r w:rsidRPr="00DE108C">
        <w:t>:</w:t>
      </w:r>
    </w:p>
    <w:p w14:paraId="18477400" w14:textId="52308C6F" w:rsidR="00767B75" w:rsidRPr="00532679" w:rsidRDefault="00767B75" w:rsidP="00C84680">
      <w:pPr>
        <w:pStyle w:val="ListBullet"/>
      </w:pPr>
      <w:r w:rsidRPr="00C84680">
        <w:rPr>
          <w:b/>
        </w:rPr>
        <w:t>Chemicals:</w:t>
      </w:r>
      <w:r w:rsidRPr="00532679">
        <w:t xml:space="preserve"> Supply chain issues resulted in </w:t>
      </w:r>
      <w:r w:rsidR="740A6EEC">
        <w:t>higher-than-expected</w:t>
      </w:r>
      <w:r w:rsidRPr="00532679">
        <w:t xml:space="preserve"> chemical prices. Melbourne Water has also used a greater quantity of chemicals than forecast, including to treat higher than forecast water volumes. The prices of fluoride were higher than anticipated, due to the unexpected closure of an Australian production facility. Additionally, a higher quantity of chlorine was used than forecast. As agreed with the water corporations, Melbourne Water has increased its chlorine set points across the system to ensure there is greater chlorine residuals as the water enters the distribution system.</w:t>
      </w:r>
    </w:p>
    <w:p w14:paraId="0839E2F2" w14:textId="77777777" w:rsidR="00767B75" w:rsidRPr="00532679" w:rsidRDefault="00767B75" w:rsidP="00C84680">
      <w:pPr>
        <w:pStyle w:val="ListBullet"/>
      </w:pPr>
      <w:r w:rsidRPr="00C84680">
        <w:rPr>
          <w:b/>
        </w:rPr>
        <w:t>Energy:</w:t>
      </w:r>
      <w:r w:rsidRPr="00532679">
        <w:t xml:space="preserve"> Although not unforeseen, the energy cost reflected in the opex allowance was based on a benchmark rate rather than our actual electricity rate, which is higher than the assumed benchmark.</w:t>
      </w:r>
    </w:p>
    <w:p w14:paraId="2FC40135" w14:textId="424B7363" w:rsidR="00767B75" w:rsidRPr="00DE108C" w:rsidRDefault="00767B75" w:rsidP="00E1515D">
      <w:r w:rsidRPr="00DE108C">
        <w:t xml:space="preserve">Further information on our opex is provided in Chapter 7 </w:t>
      </w:r>
      <w:r w:rsidR="47C33C0D">
        <w:t>(</w:t>
      </w:r>
      <w:r w:rsidRPr="00DE108C">
        <w:t>Operating expenditure</w:t>
      </w:r>
      <w:r w:rsidR="0900B16F">
        <w:t>)</w:t>
      </w:r>
      <w:r>
        <w:t>.</w:t>
      </w:r>
    </w:p>
    <w:p w14:paraId="0D6F16F0" w14:textId="05907971" w:rsidR="00767B75" w:rsidRPr="00DE108C" w:rsidRDefault="00767B75">
      <w:pPr>
        <w:pStyle w:val="Heading4"/>
      </w:pPr>
      <w:r w:rsidRPr="00DE108C">
        <w:t>2.2.1.</w:t>
      </w:r>
      <w:r w:rsidR="008101D2" w:rsidRPr="00DE108C">
        <w:t>7</w:t>
      </w:r>
      <w:r w:rsidRPr="00DE108C">
        <w:t xml:space="preserve"> Waterways and drainage operating expenditure uplift items</w:t>
      </w:r>
    </w:p>
    <w:p w14:paraId="79CFB001" w14:textId="6C859CF7" w:rsidR="00767B75" w:rsidRPr="00DE108C" w:rsidRDefault="00767B75" w:rsidP="00E1515D">
      <w:r w:rsidRPr="00DE108C">
        <w:t>In PS21, we proposed additional waterways and drainage opex related to customer-supported initiatives in the WDIP, with $25.</w:t>
      </w:r>
      <w:r w:rsidR="00C06592" w:rsidRPr="00DE108C">
        <w:t>5</w:t>
      </w:r>
      <w:r w:rsidRPr="00DE108C">
        <w:t> million ($21.2 million in $real 20</w:t>
      </w:r>
      <w:r w:rsidR="004F5B06">
        <w:t>20-</w:t>
      </w:r>
      <w:r w:rsidRPr="00DE108C">
        <w:t xml:space="preserve">21) included in the ESC’s final decision. </w:t>
      </w:r>
    </w:p>
    <w:p w14:paraId="3A67FB2E" w14:textId="7A96355E" w:rsidR="00767B75" w:rsidRPr="00DE108C" w:rsidRDefault="00767B75" w:rsidP="00E1515D">
      <w:r w:rsidRPr="00DE108C">
        <w:t xml:space="preserve">The uplift funds </w:t>
      </w:r>
      <w:r w:rsidR="615BFDD6">
        <w:t xml:space="preserve">the following </w:t>
      </w:r>
      <w:r w:rsidRPr="00DE108C">
        <w:t xml:space="preserve">six programs: </w:t>
      </w:r>
    </w:p>
    <w:p w14:paraId="0C7F6660" w14:textId="180517F5" w:rsidR="00767B75" w:rsidRPr="00E1515D" w:rsidRDefault="00767B75" w:rsidP="00625416">
      <w:pPr>
        <w:pStyle w:val="ListBullet"/>
      </w:pPr>
      <w:r w:rsidRPr="00DE108C">
        <w:t>community involvement in waterways</w:t>
      </w:r>
    </w:p>
    <w:p w14:paraId="0683B0DF" w14:textId="639683FD" w:rsidR="00767B75" w:rsidRPr="00E1515D" w:rsidRDefault="00767B75" w:rsidP="00625416">
      <w:pPr>
        <w:pStyle w:val="ListBullet"/>
      </w:pPr>
      <w:r w:rsidRPr="00DE108C">
        <w:t>flood mitigation</w:t>
      </w:r>
    </w:p>
    <w:p w14:paraId="107E75CF" w14:textId="205277C0" w:rsidR="00767B75" w:rsidRPr="00E1515D" w:rsidRDefault="00767B75" w:rsidP="00625416">
      <w:pPr>
        <w:pStyle w:val="ListBullet"/>
      </w:pPr>
      <w:r w:rsidRPr="00DE108C">
        <w:t>flood preparedness</w:t>
      </w:r>
    </w:p>
    <w:p w14:paraId="7B12C76B" w14:textId="2D2FA150" w:rsidR="00767B75" w:rsidRPr="00E1515D" w:rsidRDefault="00767B75" w:rsidP="00625416">
      <w:pPr>
        <w:pStyle w:val="ListBullet"/>
      </w:pPr>
      <w:r w:rsidRPr="00DE108C">
        <w:t>natural wetlands</w:t>
      </w:r>
    </w:p>
    <w:p w14:paraId="27509762" w14:textId="546E2792" w:rsidR="00767B75" w:rsidRPr="00E1515D" w:rsidRDefault="2E267490" w:rsidP="00625416">
      <w:pPr>
        <w:pStyle w:val="ListBullet"/>
      </w:pPr>
      <w:r w:rsidRPr="00DE108C">
        <w:t>n</w:t>
      </w:r>
      <w:r w:rsidR="00767B75" w:rsidRPr="00DE108C">
        <w:t>ew Stormwater Quality Treatment Systems</w:t>
      </w:r>
    </w:p>
    <w:p w14:paraId="686AA038" w14:textId="174C3FD3" w:rsidR="00767B75" w:rsidRPr="00E1515D" w:rsidRDefault="00767B75" w:rsidP="00625416">
      <w:pPr>
        <w:pStyle w:val="ListBullet"/>
      </w:pPr>
      <w:r w:rsidRPr="00DE108C">
        <w:t xml:space="preserve">large-scale stormwater harvesting. </w:t>
      </w:r>
    </w:p>
    <w:p w14:paraId="2FA006C2" w14:textId="11210A86" w:rsidR="00767B75" w:rsidRPr="00E1515D" w:rsidRDefault="00767B75" w:rsidP="732739AB">
      <w:pPr>
        <w:rPr>
          <w:color w:val="auto"/>
          <w:szCs w:val="20"/>
        </w:rPr>
      </w:pPr>
      <w:r w:rsidRPr="00DE108C">
        <w:t xml:space="preserve">We report annually on this uplift. </w:t>
      </w:r>
    </w:p>
    <w:p w14:paraId="0ABC6C0F" w14:textId="60A45778" w:rsidR="00926DD6" w:rsidRPr="00DE108C" w:rsidRDefault="00767B75" w:rsidP="00DA6F48">
      <w:pPr>
        <w:rPr>
          <w:lang w:eastAsia="fr-CA"/>
        </w:rPr>
      </w:pPr>
      <w:r w:rsidRPr="00DE108C">
        <w:t>During the regulatory period, we invested $2</w:t>
      </w:r>
      <w:r w:rsidR="00B26D02" w:rsidRPr="00DE108C">
        <w:t>1</w:t>
      </w:r>
      <w:r w:rsidRPr="00DE108C">
        <w:t xml:space="preserve"> million across the waterways and drainage uplift categories identified in the final determination. By June 2026, we are expected to deliver </w:t>
      </w:r>
      <w:r w:rsidR="00B26D02" w:rsidRPr="00DE108C">
        <w:t>82</w:t>
      </w:r>
      <w:r w:rsidRPr="00DE108C">
        <w:t> per cent of the committed spend. As</w:t>
      </w:r>
      <w:r w:rsidRPr="00DE108C" w:rsidDel="009E6D3D">
        <w:t xml:space="preserve"> </w:t>
      </w:r>
      <w:r w:rsidR="009E6D3D">
        <w:t>outlined in Figure 2.3</w:t>
      </w:r>
      <w:r w:rsidR="009E6D3D" w:rsidRPr="00DE108C">
        <w:t xml:space="preserve"> </w:t>
      </w:r>
      <w:r w:rsidRPr="00DE108C">
        <w:t xml:space="preserve">below, the challenges associated with activating large scale stormwater harvesting dominated this performance. </w:t>
      </w:r>
    </w:p>
    <w:p w14:paraId="5DAA0EAE" w14:textId="15C827D9" w:rsidR="00182243" w:rsidRPr="00DE108C" w:rsidRDefault="001D5D6B" w:rsidP="00634E6A">
      <w:pPr>
        <w:pStyle w:val="Caption"/>
      </w:pPr>
      <w:bookmarkStart w:id="149" w:name="_Toc208911000"/>
      <w:bookmarkStart w:id="150" w:name="_Toc208490504"/>
      <w:bookmarkStart w:id="151" w:name="_Toc208490842"/>
      <w:bookmarkStart w:id="152" w:name="_Toc210051307"/>
      <w:bookmarkStart w:id="153" w:name="_Toc207892975"/>
      <w:r w:rsidRPr="00DE108C">
        <w:lastRenderedPageBreak/>
        <w:t>Figure 2.</w:t>
      </w:r>
      <w:r w:rsidR="009627A3" w:rsidRPr="00DE108C">
        <w:t>3</w:t>
      </w:r>
      <w:r w:rsidRPr="00DE108C">
        <w:t>: Waterways and drainage uplift total expenditure during the 2021-26 regulatory period ($millions, real 2025-26)</w:t>
      </w:r>
      <w:r w:rsidRPr="00DE108C">
        <w:rPr>
          <w:rStyle w:val="FootnoteReference"/>
        </w:rPr>
        <w:footnoteReference w:id="2"/>
      </w:r>
      <w:bookmarkEnd w:id="149"/>
      <w:bookmarkEnd w:id="150"/>
      <w:bookmarkEnd w:id="151"/>
      <w:bookmarkEnd w:id="152"/>
    </w:p>
    <w:tbl>
      <w:tblPr>
        <w:tblStyle w:val="TableGrid"/>
        <w:tblW w:w="9634" w:type="dxa"/>
        <w:tblLayout w:type="fixed"/>
        <w:tblLook w:val="04A0" w:firstRow="1" w:lastRow="0" w:firstColumn="1" w:lastColumn="0" w:noHBand="0" w:noVBand="1"/>
      </w:tblPr>
      <w:tblGrid>
        <w:gridCol w:w="2547"/>
        <w:gridCol w:w="1134"/>
        <w:gridCol w:w="1134"/>
        <w:gridCol w:w="1134"/>
        <w:gridCol w:w="1134"/>
        <w:gridCol w:w="1417"/>
        <w:gridCol w:w="1134"/>
      </w:tblGrid>
      <w:tr w:rsidR="00625416" w:rsidRPr="00DE108C" w14:paraId="53E7D890" w14:textId="77777777" w:rsidTr="00BA043F">
        <w:trPr>
          <w:cnfStyle w:val="100000000000" w:firstRow="1" w:lastRow="0" w:firstColumn="0" w:lastColumn="0" w:oddVBand="0" w:evenVBand="0" w:oddHBand="0" w:evenHBand="0" w:firstRowFirstColumn="0" w:firstRowLastColumn="0" w:lastRowFirstColumn="0" w:lastRowLastColumn="0"/>
        </w:trPr>
        <w:tc>
          <w:tcPr>
            <w:tcW w:w="2547" w:type="dxa"/>
            <w:shd w:val="clear" w:color="auto" w:fill="00428B" w:themeFill="accent1"/>
          </w:tcPr>
          <w:bookmarkEnd w:id="153"/>
          <w:p w14:paraId="4AB79795" w14:textId="4F0990B8" w:rsidR="00625416" w:rsidRPr="00DE108C" w:rsidRDefault="00DD3236" w:rsidP="00634E6A">
            <w:pPr>
              <w:keepLines/>
              <w:rPr>
                <w:color w:val="FFFFFF" w:themeColor="background1"/>
                <w:szCs w:val="20"/>
              </w:rPr>
            </w:pPr>
            <w:r w:rsidRPr="00884F4C">
              <w:rPr>
                <w:b/>
                <w:bCs/>
                <w:color w:val="FFFFFF" w:themeColor="background1"/>
                <w:sz w:val="16"/>
                <w:szCs w:val="16"/>
              </w:rPr>
              <w:t>$millions, real 2025-26</w:t>
            </w:r>
          </w:p>
        </w:tc>
        <w:tc>
          <w:tcPr>
            <w:tcW w:w="1134" w:type="dxa"/>
            <w:shd w:val="clear" w:color="auto" w:fill="00428B" w:themeFill="accent1"/>
          </w:tcPr>
          <w:p w14:paraId="003F0680" w14:textId="77777777" w:rsidR="00625416" w:rsidRPr="00DE108C" w:rsidRDefault="00625416" w:rsidP="00634E6A">
            <w:pPr>
              <w:keepLines/>
              <w:jc w:val="center"/>
              <w:rPr>
                <w:b/>
                <w:bCs/>
                <w:color w:val="FFFFFF" w:themeColor="background1"/>
                <w:sz w:val="16"/>
                <w:szCs w:val="16"/>
              </w:rPr>
            </w:pPr>
            <w:r w:rsidRPr="00DE108C">
              <w:rPr>
                <w:b/>
                <w:bCs/>
                <w:color w:val="FFFFFF" w:themeColor="background1"/>
                <w:sz w:val="16"/>
                <w:szCs w:val="16"/>
              </w:rPr>
              <w:t>2021-22</w:t>
            </w:r>
          </w:p>
        </w:tc>
        <w:tc>
          <w:tcPr>
            <w:tcW w:w="1134" w:type="dxa"/>
            <w:shd w:val="clear" w:color="auto" w:fill="00428B" w:themeFill="accent1"/>
          </w:tcPr>
          <w:p w14:paraId="0CE90809" w14:textId="77777777" w:rsidR="00625416" w:rsidRPr="00DE108C" w:rsidRDefault="00625416" w:rsidP="00634E6A">
            <w:pPr>
              <w:keepLines/>
              <w:jc w:val="center"/>
              <w:rPr>
                <w:b/>
                <w:bCs/>
                <w:color w:val="FFFFFF" w:themeColor="background1"/>
                <w:sz w:val="16"/>
                <w:szCs w:val="16"/>
              </w:rPr>
            </w:pPr>
            <w:r w:rsidRPr="00DE108C">
              <w:rPr>
                <w:b/>
                <w:bCs/>
                <w:color w:val="FFFFFF" w:themeColor="background1"/>
                <w:sz w:val="16"/>
                <w:szCs w:val="16"/>
              </w:rPr>
              <w:t>2022-23</w:t>
            </w:r>
          </w:p>
        </w:tc>
        <w:tc>
          <w:tcPr>
            <w:tcW w:w="1134" w:type="dxa"/>
            <w:shd w:val="clear" w:color="auto" w:fill="00428B" w:themeFill="accent1"/>
          </w:tcPr>
          <w:p w14:paraId="62E60933" w14:textId="77777777" w:rsidR="00625416" w:rsidRPr="00DE108C" w:rsidRDefault="00625416" w:rsidP="00634E6A">
            <w:pPr>
              <w:keepLines/>
              <w:jc w:val="center"/>
              <w:rPr>
                <w:b/>
                <w:bCs/>
                <w:color w:val="FFFFFF" w:themeColor="background1"/>
                <w:sz w:val="16"/>
                <w:szCs w:val="16"/>
              </w:rPr>
            </w:pPr>
            <w:r w:rsidRPr="00DE108C">
              <w:rPr>
                <w:b/>
                <w:bCs/>
                <w:color w:val="FFFFFF" w:themeColor="background1"/>
                <w:sz w:val="16"/>
                <w:szCs w:val="16"/>
              </w:rPr>
              <w:t>2023-24</w:t>
            </w:r>
          </w:p>
        </w:tc>
        <w:tc>
          <w:tcPr>
            <w:tcW w:w="1134" w:type="dxa"/>
            <w:shd w:val="clear" w:color="auto" w:fill="00428B" w:themeFill="accent1"/>
          </w:tcPr>
          <w:p w14:paraId="2DFBE022" w14:textId="77777777" w:rsidR="00625416" w:rsidRPr="00DE108C" w:rsidRDefault="00625416" w:rsidP="00634E6A">
            <w:pPr>
              <w:keepLines/>
              <w:jc w:val="center"/>
              <w:rPr>
                <w:b/>
                <w:bCs/>
                <w:color w:val="FFFFFF" w:themeColor="background1"/>
                <w:sz w:val="16"/>
                <w:szCs w:val="16"/>
              </w:rPr>
            </w:pPr>
            <w:r w:rsidRPr="00DE108C">
              <w:rPr>
                <w:b/>
                <w:bCs/>
                <w:color w:val="FFFFFF" w:themeColor="background1"/>
                <w:sz w:val="16"/>
                <w:szCs w:val="16"/>
              </w:rPr>
              <w:t>2024-25</w:t>
            </w:r>
          </w:p>
        </w:tc>
        <w:tc>
          <w:tcPr>
            <w:tcW w:w="1417" w:type="dxa"/>
            <w:shd w:val="clear" w:color="auto" w:fill="00428B" w:themeFill="accent1"/>
          </w:tcPr>
          <w:p w14:paraId="32D23126" w14:textId="77777777" w:rsidR="00625416" w:rsidRPr="00DE108C" w:rsidRDefault="00625416" w:rsidP="00634E6A">
            <w:pPr>
              <w:keepLines/>
              <w:jc w:val="center"/>
              <w:rPr>
                <w:b/>
                <w:bCs/>
                <w:color w:val="FFFFFF" w:themeColor="background1"/>
                <w:sz w:val="16"/>
                <w:szCs w:val="16"/>
              </w:rPr>
            </w:pPr>
            <w:r w:rsidRPr="00DE108C">
              <w:rPr>
                <w:b/>
                <w:bCs/>
                <w:color w:val="FFFFFF" w:themeColor="background1"/>
                <w:sz w:val="16"/>
                <w:szCs w:val="16"/>
              </w:rPr>
              <w:t>2025-26 (F)</w:t>
            </w:r>
          </w:p>
        </w:tc>
        <w:tc>
          <w:tcPr>
            <w:tcW w:w="1134" w:type="dxa"/>
            <w:shd w:val="clear" w:color="auto" w:fill="00428B" w:themeFill="accent1"/>
          </w:tcPr>
          <w:p w14:paraId="44B44C81" w14:textId="77777777" w:rsidR="00625416" w:rsidRPr="00DE108C" w:rsidRDefault="00625416" w:rsidP="00634E6A">
            <w:pPr>
              <w:keepLines/>
              <w:jc w:val="center"/>
              <w:rPr>
                <w:b/>
                <w:bCs/>
                <w:color w:val="FFFFFF" w:themeColor="background1"/>
                <w:sz w:val="16"/>
                <w:szCs w:val="16"/>
              </w:rPr>
            </w:pPr>
            <w:r w:rsidRPr="00DE108C">
              <w:rPr>
                <w:b/>
                <w:bCs/>
                <w:color w:val="FFFFFF" w:themeColor="background1"/>
                <w:sz w:val="16"/>
                <w:szCs w:val="16"/>
              </w:rPr>
              <w:t>TOTAL</w:t>
            </w:r>
          </w:p>
        </w:tc>
      </w:tr>
      <w:tr w:rsidR="00625416" w:rsidRPr="00DE108C" w14:paraId="1EFC37E3" w14:textId="77777777" w:rsidTr="00BA043F">
        <w:trPr>
          <w:trHeight w:val="414"/>
        </w:trPr>
        <w:tc>
          <w:tcPr>
            <w:tcW w:w="2547" w:type="dxa"/>
            <w:tcBorders>
              <w:right w:val="single" w:sz="4" w:space="0" w:color="00428B" w:themeColor="accent1"/>
            </w:tcBorders>
          </w:tcPr>
          <w:p w14:paraId="006BF524" w14:textId="77777777" w:rsidR="00625416" w:rsidRPr="00DE108C" w:rsidRDefault="00625416" w:rsidP="00634E6A">
            <w:pPr>
              <w:keepNext/>
              <w:keepLines/>
              <w:rPr>
                <w:sz w:val="16"/>
                <w:szCs w:val="16"/>
              </w:rPr>
            </w:pPr>
            <w:r w:rsidRPr="00DE108C">
              <w:rPr>
                <w:sz w:val="16"/>
                <w:szCs w:val="16"/>
              </w:rPr>
              <w:t>2021 Price Determination</w:t>
            </w:r>
          </w:p>
        </w:tc>
        <w:tc>
          <w:tcPr>
            <w:tcW w:w="1134" w:type="dxa"/>
            <w:tcBorders>
              <w:left w:val="single" w:sz="4" w:space="0" w:color="00428B" w:themeColor="accent1"/>
            </w:tcBorders>
          </w:tcPr>
          <w:p w14:paraId="48A81DF9" w14:textId="77777777" w:rsidR="00625416" w:rsidRPr="00DE108C" w:rsidRDefault="00625416" w:rsidP="00634E6A">
            <w:pPr>
              <w:keepNext/>
              <w:keepLines/>
              <w:jc w:val="right"/>
              <w:rPr>
                <w:sz w:val="16"/>
                <w:szCs w:val="16"/>
              </w:rPr>
            </w:pPr>
            <w:r w:rsidRPr="00DE108C">
              <w:rPr>
                <w:sz w:val="16"/>
                <w:szCs w:val="16"/>
              </w:rPr>
              <w:t>3.1</w:t>
            </w:r>
          </w:p>
        </w:tc>
        <w:tc>
          <w:tcPr>
            <w:tcW w:w="1134" w:type="dxa"/>
          </w:tcPr>
          <w:p w14:paraId="7492C6A0" w14:textId="77777777" w:rsidR="00625416" w:rsidRPr="00DE108C" w:rsidRDefault="00625416" w:rsidP="00634E6A">
            <w:pPr>
              <w:keepNext/>
              <w:keepLines/>
              <w:jc w:val="right"/>
              <w:rPr>
                <w:sz w:val="16"/>
                <w:szCs w:val="16"/>
              </w:rPr>
            </w:pPr>
            <w:r w:rsidRPr="00DE108C">
              <w:rPr>
                <w:sz w:val="16"/>
                <w:szCs w:val="16"/>
              </w:rPr>
              <w:t>4.1</w:t>
            </w:r>
          </w:p>
        </w:tc>
        <w:tc>
          <w:tcPr>
            <w:tcW w:w="1134" w:type="dxa"/>
          </w:tcPr>
          <w:p w14:paraId="3DDAE661" w14:textId="77777777" w:rsidR="00625416" w:rsidRPr="00DE108C" w:rsidRDefault="00625416" w:rsidP="00634E6A">
            <w:pPr>
              <w:keepNext/>
              <w:keepLines/>
              <w:jc w:val="right"/>
              <w:rPr>
                <w:sz w:val="16"/>
                <w:szCs w:val="16"/>
              </w:rPr>
            </w:pPr>
            <w:r w:rsidRPr="00DE108C">
              <w:rPr>
                <w:sz w:val="16"/>
                <w:szCs w:val="16"/>
              </w:rPr>
              <w:t>5.1</w:t>
            </w:r>
          </w:p>
        </w:tc>
        <w:tc>
          <w:tcPr>
            <w:tcW w:w="1134" w:type="dxa"/>
          </w:tcPr>
          <w:p w14:paraId="11C4F3A1" w14:textId="77777777" w:rsidR="00625416" w:rsidRPr="00DE108C" w:rsidRDefault="00625416" w:rsidP="00634E6A">
            <w:pPr>
              <w:keepNext/>
              <w:keepLines/>
              <w:jc w:val="right"/>
              <w:rPr>
                <w:sz w:val="16"/>
                <w:szCs w:val="16"/>
              </w:rPr>
            </w:pPr>
            <w:r w:rsidRPr="00DE108C">
              <w:rPr>
                <w:sz w:val="16"/>
                <w:szCs w:val="16"/>
              </w:rPr>
              <w:t>6.2</w:t>
            </w:r>
          </w:p>
        </w:tc>
        <w:tc>
          <w:tcPr>
            <w:tcW w:w="1417" w:type="dxa"/>
          </w:tcPr>
          <w:p w14:paraId="4BC3198A" w14:textId="77777777" w:rsidR="00625416" w:rsidRPr="00DE108C" w:rsidRDefault="00625416" w:rsidP="00634E6A">
            <w:pPr>
              <w:keepNext/>
              <w:keepLines/>
              <w:jc w:val="right"/>
              <w:rPr>
                <w:sz w:val="16"/>
                <w:szCs w:val="16"/>
              </w:rPr>
            </w:pPr>
            <w:r w:rsidRPr="00DE108C">
              <w:rPr>
                <w:sz w:val="16"/>
                <w:szCs w:val="16"/>
              </w:rPr>
              <w:t>7.1</w:t>
            </w:r>
          </w:p>
        </w:tc>
        <w:tc>
          <w:tcPr>
            <w:tcW w:w="1134" w:type="dxa"/>
          </w:tcPr>
          <w:p w14:paraId="16B7A9DD" w14:textId="77777777" w:rsidR="00625416" w:rsidRPr="00DE108C" w:rsidRDefault="00625416" w:rsidP="00634E6A">
            <w:pPr>
              <w:keepNext/>
              <w:keepLines/>
              <w:jc w:val="right"/>
              <w:rPr>
                <w:b/>
                <w:bCs/>
                <w:sz w:val="16"/>
                <w:szCs w:val="16"/>
              </w:rPr>
            </w:pPr>
            <w:r w:rsidRPr="00DE108C">
              <w:rPr>
                <w:b/>
                <w:bCs/>
                <w:sz w:val="16"/>
                <w:szCs w:val="16"/>
              </w:rPr>
              <w:t>25.5</w:t>
            </w:r>
          </w:p>
        </w:tc>
      </w:tr>
      <w:tr w:rsidR="00625416" w:rsidRPr="00DE108C" w14:paraId="57075B99" w14:textId="77777777" w:rsidTr="00BA043F">
        <w:trPr>
          <w:cnfStyle w:val="000000010000" w:firstRow="0" w:lastRow="0" w:firstColumn="0" w:lastColumn="0" w:oddVBand="0" w:evenVBand="0" w:oddHBand="0" w:evenHBand="1" w:firstRowFirstColumn="0" w:firstRowLastColumn="0" w:lastRowFirstColumn="0" w:lastRowLastColumn="0"/>
          <w:trHeight w:val="748"/>
        </w:trPr>
        <w:tc>
          <w:tcPr>
            <w:tcW w:w="2547" w:type="dxa"/>
          </w:tcPr>
          <w:p w14:paraId="4CF8C692" w14:textId="77777777" w:rsidR="00625416" w:rsidRPr="00DE108C" w:rsidRDefault="00625416" w:rsidP="00634E6A">
            <w:pPr>
              <w:keepNext/>
              <w:keepLines/>
              <w:rPr>
                <w:sz w:val="16"/>
                <w:szCs w:val="16"/>
              </w:rPr>
            </w:pPr>
            <w:r w:rsidRPr="00DE108C">
              <w:rPr>
                <w:sz w:val="16"/>
                <w:szCs w:val="16"/>
              </w:rPr>
              <w:t>Actual Forecast/</w:t>
            </w:r>
            <w:r w:rsidRPr="00DE108C">
              <w:rPr>
                <w:sz w:val="16"/>
                <w:szCs w:val="16"/>
              </w:rPr>
              <w:br/>
              <w:t xml:space="preserve">Expenditure* </w:t>
            </w:r>
          </w:p>
        </w:tc>
        <w:tc>
          <w:tcPr>
            <w:tcW w:w="1134" w:type="dxa"/>
          </w:tcPr>
          <w:p w14:paraId="7EE6B756" w14:textId="77777777" w:rsidR="00625416" w:rsidRPr="00DE108C" w:rsidRDefault="00625416" w:rsidP="00634E6A">
            <w:pPr>
              <w:keepNext/>
              <w:keepLines/>
              <w:jc w:val="right"/>
              <w:rPr>
                <w:sz w:val="16"/>
                <w:szCs w:val="16"/>
              </w:rPr>
            </w:pPr>
            <w:r w:rsidRPr="00DE108C">
              <w:rPr>
                <w:sz w:val="16"/>
                <w:szCs w:val="16"/>
              </w:rPr>
              <w:t>4.7</w:t>
            </w:r>
          </w:p>
        </w:tc>
        <w:tc>
          <w:tcPr>
            <w:tcW w:w="1134" w:type="dxa"/>
          </w:tcPr>
          <w:p w14:paraId="74145873" w14:textId="77777777" w:rsidR="00625416" w:rsidRPr="00DE108C" w:rsidRDefault="00625416" w:rsidP="00634E6A">
            <w:pPr>
              <w:keepNext/>
              <w:keepLines/>
              <w:jc w:val="right"/>
              <w:rPr>
                <w:sz w:val="16"/>
                <w:szCs w:val="16"/>
              </w:rPr>
            </w:pPr>
            <w:r w:rsidRPr="00DE108C">
              <w:rPr>
                <w:sz w:val="16"/>
                <w:szCs w:val="16"/>
              </w:rPr>
              <w:t>2.1</w:t>
            </w:r>
          </w:p>
        </w:tc>
        <w:tc>
          <w:tcPr>
            <w:tcW w:w="1134" w:type="dxa"/>
          </w:tcPr>
          <w:p w14:paraId="4B921782" w14:textId="77777777" w:rsidR="00625416" w:rsidRPr="00DE108C" w:rsidRDefault="00625416" w:rsidP="00634E6A">
            <w:pPr>
              <w:keepNext/>
              <w:keepLines/>
              <w:jc w:val="right"/>
              <w:rPr>
                <w:sz w:val="16"/>
                <w:szCs w:val="16"/>
              </w:rPr>
            </w:pPr>
            <w:r w:rsidRPr="00DE108C">
              <w:rPr>
                <w:sz w:val="16"/>
                <w:szCs w:val="16"/>
              </w:rPr>
              <w:t>3.5</w:t>
            </w:r>
          </w:p>
        </w:tc>
        <w:tc>
          <w:tcPr>
            <w:tcW w:w="1134" w:type="dxa"/>
          </w:tcPr>
          <w:p w14:paraId="3E9CA713" w14:textId="77777777" w:rsidR="00625416" w:rsidRPr="00DE108C" w:rsidRDefault="00625416" w:rsidP="00634E6A">
            <w:pPr>
              <w:keepNext/>
              <w:keepLines/>
              <w:jc w:val="right"/>
              <w:rPr>
                <w:sz w:val="16"/>
                <w:szCs w:val="16"/>
              </w:rPr>
            </w:pPr>
            <w:r w:rsidRPr="00DE108C">
              <w:rPr>
                <w:sz w:val="16"/>
                <w:szCs w:val="16"/>
              </w:rPr>
              <w:t>4.9</w:t>
            </w:r>
          </w:p>
        </w:tc>
        <w:tc>
          <w:tcPr>
            <w:tcW w:w="1417" w:type="dxa"/>
          </w:tcPr>
          <w:p w14:paraId="1AC25D5F" w14:textId="77777777" w:rsidR="00625416" w:rsidRPr="00DE108C" w:rsidRDefault="00625416" w:rsidP="00634E6A">
            <w:pPr>
              <w:keepNext/>
              <w:keepLines/>
              <w:jc w:val="right"/>
              <w:rPr>
                <w:sz w:val="16"/>
                <w:szCs w:val="16"/>
              </w:rPr>
            </w:pPr>
            <w:r w:rsidRPr="00DE108C">
              <w:rPr>
                <w:sz w:val="16"/>
                <w:szCs w:val="16"/>
              </w:rPr>
              <w:t>5.5</w:t>
            </w:r>
          </w:p>
        </w:tc>
        <w:tc>
          <w:tcPr>
            <w:tcW w:w="1134" w:type="dxa"/>
          </w:tcPr>
          <w:p w14:paraId="2D84B458" w14:textId="77777777" w:rsidR="00625416" w:rsidRPr="00DE108C" w:rsidRDefault="00625416" w:rsidP="00634E6A">
            <w:pPr>
              <w:keepNext/>
              <w:keepLines/>
              <w:jc w:val="right"/>
              <w:rPr>
                <w:b/>
                <w:bCs/>
                <w:sz w:val="16"/>
                <w:szCs w:val="16"/>
              </w:rPr>
            </w:pPr>
            <w:r w:rsidRPr="00DE108C">
              <w:rPr>
                <w:b/>
                <w:bCs/>
                <w:sz w:val="16"/>
                <w:szCs w:val="16"/>
              </w:rPr>
              <w:t>20.9</w:t>
            </w:r>
          </w:p>
        </w:tc>
      </w:tr>
      <w:tr w:rsidR="00625416" w:rsidRPr="00DE108C" w14:paraId="1613824F" w14:textId="77777777" w:rsidTr="00BA043F">
        <w:trPr>
          <w:trHeight w:val="206"/>
        </w:trPr>
        <w:tc>
          <w:tcPr>
            <w:tcW w:w="2547" w:type="dxa"/>
            <w:shd w:val="clear" w:color="auto" w:fill="FFFFFF" w:themeFill="background1"/>
          </w:tcPr>
          <w:p w14:paraId="5051EF4C" w14:textId="77777777" w:rsidR="00625416" w:rsidRPr="00DE108C" w:rsidRDefault="00625416" w:rsidP="00634E6A">
            <w:pPr>
              <w:keepNext/>
              <w:keepLines/>
              <w:rPr>
                <w:b/>
                <w:bCs/>
                <w:color w:val="auto"/>
                <w:sz w:val="16"/>
                <w:szCs w:val="16"/>
              </w:rPr>
            </w:pPr>
            <w:r w:rsidRPr="00DE108C">
              <w:rPr>
                <w:b/>
                <w:bCs/>
                <w:color w:val="auto"/>
                <w:sz w:val="16"/>
                <w:szCs w:val="16"/>
              </w:rPr>
              <w:t>Cumulative Variance</w:t>
            </w:r>
          </w:p>
        </w:tc>
        <w:tc>
          <w:tcPr>
            <w:tcW w:w="1134" w:type="dxa"/>
            <w:shd w:val="clear" w:color="auto" w:fill="FFFFFF" w:themeFill="background1"/>
          </w:tcPr>
          <w:p w14:paraId="725613F8" w14:textId="77777777" w:rsidR="00625416" w:rsidRPr="00DE108C" w:rsidRDefault="00625416" w:rsidP="00634E6A">
            <w:pPr>
              <w:keepNext/>
              <w:keepLines/>
              <w:jc w:val="right"/>
              <w:rPr>
                <w:b/>
                <w:bCs/>
                <w:color w:val="auto"/>
                <w:sz w:val="16"/>
                <w:szCs w:val="16"/>
              </w:rPr>
            </w:pPr>
            <w:r w:rsidRPr="00DE108C">
              <w:rPr>
                <w:b/>
                <w:bCs/>
                <w:color w:val="auto"/>
                <w:sz w:val="16"/>
                <w:szCs w:val="16"/>
              </w:rPr>
              <w:t>54%</w:t>
            </w:r>
          </w:p>
        </w:tc>
        <w:tc>
          <w:tcPr>
            <w:tcW w:w="1134" w:type="dxa"/>
            <w:shd w:val="clear" w:color="auto" w:fill="FFFFFF" w:themeFill="background1"/>
          </w:tcPr>
          <w:p w14:paraId="6B48F75E" w14:textId="77777777" w:rsidR="00625416" w:rsidRPr="00DE108C" w:rsidRDefault="00625416" w:rsidP="00634E6A">
            <w:pPr>
              <w:keepNext/>
              <w:keepLines/>
              <w:jc w:val="right"/>
              <w:rPr>
                <w:b/>
                <w:bCs/>
                <w:color w:val="auto"/>
                <w:sz w:val="16"/>
                <w:szCs w:val="16"/>
              </w:rPr>
            </w:pPr>
            <w:r w:rsidRPr="00DE108C">
              <w:rPr>
                <w:b/>
                <w:bCs/>
                <w:color w:val="auto"/>
                <w:sz w:val="16"/>
                <w:szCs w:val="16"/>
              </w:rPr>
              <w:t>-4%</w:t>
            </w:r>
          </w:p>
        </w:tc>
        <w:tc>
          <w:tcPr>
            <w:tcW w:w="1134" w:type="dxa"/>
            <w:shd w:val="clear" w:color="auto" w:fill="FFFFFF" w:themeFill="background1"/>
          </w:tcPr>
          <w:p w14:paraId="6946CF1A" w14:textId="77777777" w:rsidR="00625416" w:rsidRPr="00DE108C" w:rsidRDefault="00625416" w:rsidP="00634E6A">
            <w:pPr>
              <w:keepNext/>
              <w:keepLines/>
              <w:jc w:val="right"/>
              <w:rPr>
                <w:b/>
                <w:bCs/>
                <w:color w:val="auto"/>
                <w:sz w:val="16"/>
                <w:szCs w:val="16"/>
              </w:rPr>
            </w:pPr>
            <w:r w:rsidRPr="00DE108C">
              <w:rPr>
                <w:b/>
                <w:bCs/>
                <w:color w:val="auto"/>
                <w:sz w:val="16"/>
                <w:szCs w:val="16"/>
              </w:rPr>
              <w:t>-15%</w:t>
            </w:r>
          </w:p>
        </w:tc>
        <w:tc>
          <w:tcPr>
            <w:tcW w:w="1134" w:type="dxa"/>
            <w:shd w:val="clear" w:color="auto" w:fill="FFFFFF" w:themeFill="background1"/>
          </w:tcPr>
          <w:p w14:paraId="5C83FF52" w14:textId="77777777" w:rsidR="00625416" w:rsidRPr="00DE108C" w:rsidRDefault="00625416" w:rsidP="00634E6A">
            <w:pPr>
              <w:keepNext/>
              <w:keepLines/>
              <w:jc w:val="right"/>
              <w:rPr>
                <w:b/>
                <w:bCs/>
                <w:color w:val="auto"/>
                <w:sz w:val="16"/>
                <w:szCs w:val="16"/>
              </w:rPr>
            </w:pPr>
            <w:r w:rsidRPr="00DE108C">
              <w:rPr>
                <w:b/>
                <w:bCs/>
                <w:color w:val="auto"/>
                <w:sz w:val="16"/>
                <w:szCs w:val="16"/>
              </w:rPr>
              <w:t>-17%</w:t>
            </w:r>
          </w:p>
        </w:tc>
        <w:tc>
          <w:tcPr>
            <w:tcW w:w="1417" w:type="dxa"/>
            <w:shd w:val="clear" w:color="auto" w:fill="FFFFFF" w:themeFill="background1"/>
          </w:tcPr>
          <w:p w14:paraId="4EE6D5B0" w14:textId="77777777" w:rsidR="00625416" w:rsidRPr="00DE108C" w:rsidRDefault="00625416" w:rsidP="00634E6A">
            <w:pPr>
              <w:keepNext/>
              <w:keepLines/>
              <w:jc w:val="right"/>
              <w:rPr>
                <w:b/>
                <w:bCs/>
                <w:color w:val="auto"/>
                <w:sz w:val="16"/>
                <w:szCs w:val="16"/>
              </w:rPr>
            </w:pPr>
            <w:r w:rsidRPr="00DE108C">
              <w:rPr>
                <w:b/>
                <w:bCs/>
                <w:color w:val="auto"/>
                <w:sz w:val="16"/>
                <w:szCs w:val="16"/>
              </w:rPr>
              <w:t>-18%</w:t>
            </w:r>
          </w:p>
        </w:tc>
        <w:tc>
          <w:tcPr>
            <w:tcW w:w="1134" w:type="dxa"/>
            <w:shd w:val="clear" w:color="auto" w:fill="FFFFFF" w:themeFill="background1"/>
          </w:tcPr>
          <w:p w14:paraId="08A0A62B" w14:textId="119D7BA1" w:rsidR="00625416" w:rsidRPr="00DE108C" w:rsidRDefault="00B85D2B" w:rsidP="00634E6A">
            <w:pPr>
              <w:keepNext/>
              <w:keepLines/>
              <w:jc w:val="right"/>
              <w:rPr>
                <w:b/>
                <w:bCs/>
                <w:color w:val="auto"/>
                <w:sz w:val="16"/>
                <w:szCs w:val="16"/>
              </w:rPr>
            </w:pPr>
            <w:r>
              <w:rPr>
                <w:b/>
                <w:bCs/>
                <w:color w:val="auto"/>
                <w:sz w:val="16"/>
                <w:szCs w:val="16"/>
              </w:rPr>
              <w:t>4.6</w:t>
            </w:r>
          </w:p>
        </w:tc>
      </w:tr>
      <w:tr w:rsidR="00625416" w:rsidRPr="00DE108C" w14:paraId="12F8ED29" w14:textId="77777777" w:rsidTr="003B354D">
        <w:trPr>
          <w:cnfStyle w:val="000000010000" w:firstRow="0" w:lastRow="0" w:firstColumn="0" w:lastColumn="0" w:oddVBand="0" w:evenVBand="0" w:oddHBand="0" w:evenHBand="1" w:firstRowFirstColumn="0" w:firstRowLastColumn="0" w:lastRowFirstColumn="0" w:lastRowLastColumn="0"/>
          <w:trHeight w:val="3586"/>
        </w:trPr>
        <w:tc>
          <w:tcPr>
            <w:tcW w:w="9634" w:type="dxa"/>
            <w:gridSpan w:val="7"/>
            <w:tcBorders>
              <w:left w:val="single" w:sz="4" w:space="0" w:color="DAF2F7" w:themeColor="accent3" w:themeTint="33"/>
              <w:bottom w:val="single" w:sz="4" w:space="0" w:color="DAF2F7" w:themeColor="accent3" w:themeTint="33"/>
              <w:right w:val="single" w:sz="4" w:space="0" w:color="DAF2F7" w:themeColor="accent3" w:themeTint="33"/>
            </w:tcBorders>
            <w:shd w:val="clear" w:color="auto" w:fill="DAF2F7" w:themeFill="accent3" w:themeFillTint="33"/>
          </w:tcPr>
          <w:p w14:paraId="057ADD81" w14:textId="77777777" w:rsidR="00625416" w:rsidRPr="00DE108C" w:rsidRDefault="003B354D" w:rsidP="00835302">
            <w:pPr>
              <w:pStyle w:val="BodyText"/>
              <w:rPr>
                <w:b/>
                <w:bCs/>
                <w:sz w:val="16"/>
                <w:szCs w:val="16"/>
              </w:rPr>
            </w:pPr>
            <w:r w:rsidRPr="00FE5E31">
              <w:rPr>
                <w:b/>
                <w:bCs/>
                <w:noProof/>
                <w:color w:val="FFFFFF" w:themeColor="background1"/>
                <w:sz w:val="16"/>
                <w:szCs w:val="16"/>
              </w:rPr>
              <mc:AlternateContent>
                <mc:Choice Requires="wpg">
                  <w:drawing>
                    <wp:anchor distT="0" distB="0" distL="114300" distR="114300" simplePos="0" relativeHeight="251658253" behindDoc="0" locked="0" layoutInCell="1" allowOverlap="1" wp14:anchorId="72AEF50B" wp14:editId="3047C77D">
                      <wp:simplePos x="0" y="0"/>
                      <wp:positionH relativeFrom="margin">
                        <wp:posOffset>4490720</wp:posOffset>
                      </wp:positionH>
                      <wp:positionV relativeFrom="paragraph">
                        <wp:posOffset>-8255</wp:posOffset>
                      </wp:positionV>
                      <wp:extent cx="1570355" cy="2278380"/>
                      <wp:effectExtent l="0" t="0" r="0" b="7620"/>
                      <wp:wrapNone/>
                      <wp:docPr id="717546028" name="Group 3" descr="We propose to maintain the waterways and drainage uplift, but at a level consistent with 2024-25 expenditure (i.e. $4.9 million is included in base"/>
                      <wp:cNvGraphicFramePr/>
                      <a:graphic xmlns:a="http://schemas.openxmlformats.org/drawingml/2006/main">
                        <a:graphicData uri="http://schemas.microsoft.com/office/word/2010/wordprocessingGroup">
                          <wpg:wgp>
                            <wpg:cNvGrpSpPr/>
                            <wpg:grpSpPr>
                              <a:xfrm>
                                <a:off x="0" y="0"/>
                                <a:ext cx="1570355" cy="2278380"/>
                                <a:chOff x="-7283" y="50690"/>
                                <a:chExt cx="1626533" cy="2345995"/>
                              </a:xfrm>
                            </wpg:grpSpPr>
                            <pic:pic xmlns:pic="http://schemas.openxmlformats.org/drawingml/2006/picture">
                              <pic:nvPicPr>
                                <pic:cNvPr id="53956215" name="Picture 19"/>
                                <pic:cNvPicPr>
                                  <a:picLocks noChangeAspect="1"/>
                                </pic:cNvPicPr>
                              </pic:nvPicPr>
                              <pic:blipFill>
                                <a:blip r:embed="rId48" cstate="screen">
                                  <a:extLst>
                                    <a:ext uri="{28A0092B-C50C-407E-A947-70E740481C1C}">
                                      <a14:useLocalDpi xmlns:a14="http://schemas.microsoft.com/office/drawing/2010/main"/>
                                    </a:ext>
                                  </a:extLst>
                                </a:blip>
                                <a:stretch>
                                  <a:fillRect/>
                                </a:stretch>
                              </pic:blipFill>
                              <pic:spPr>
                                <a:xfrm>
                                  <a:off x="-7283" y="50690"/>
                                  <a:ext cx="1588470" cy="2345995"/>
                                </a:xfrm>
                                <a:prstGeom prst="rect">
                                  <a:avLst/>
                                </a:prstGeom>
                              </pic:spPr>
                            </pic:pic>
                            <wps:wsp>
                              <wps:cNvPr id="1677811040" name="Text Box 21"/>
                              <wps:cNvSpPr txBox="1"/>
                              <wps:spPr>
                                <a:xfrm>
                                  <a:off x="0" y="996780"/>
                                  <a:ext cx="1619250" cy="1190117"/>
                                </a:xfrm>
                                <a:prstGeom prst="rect">
                                  <a:avLst/>
                                </a:prstGeom>
                                <a:noFill/>
                                <a:ln w="6350">
                                  <a:noFill/>
                                </a:ln>
                              </wps:spPr>
                              <wps:txbx>
                                <w:txbxContent>
                                  <w:p w14:paraId="41112B51" w14:textId="35A09FD3" w:rsidR="00625416" w:rsidRPr="00964043" w:rsidRDefault="00625416" w:rsidP="003B354D">
                                    <w:pPr>
                                      <w:spacing w:before="0" w:after="0" w:line="240" w:lineRule="auto"/>
                                      <w:contextualSpacing/>
                                      <w:jc w:val="center"/>
                                      <w:rPr>
                                        <w:color w:val="FFFFFF" w:themeColor="background1"/>
                                        <w:sz w:val="16"/>
                                        <w:szCs w:val="16"/>
                                      </w:rPr>
                                    </w:pPr>
                                    <w:r w:rsidRPr="00964043">
                                      <w:rPr>
                                        <w:color w:val="FFFFFF" w:themeColor="background1"/>
                                        <w:sz w:val="16"/>
                                        <w:szCs w:val="16"/>
                                      </w:rPr>
                                      <w:t>We propose to maintain the waterways and drainage uplift, but at a level consistent with 2024-25 expenditure (i.e. $4.9 million is included in base</w:t>
                                    </w:r>
                                    <w:r w:rsidR="003B354D">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EF50B" id="Group 3" o:spid="_x0000_s1040" alt="We propose to maintain the waterways and drainage uplift, but at a level consistent with 2024-25 expenditure (i.e. $4.9 million is included in base" style="position:absolute;margin-left:353.6pt;margin-top:-.65pt;width:123.65pt;height:179.4pt;z-index:251658253;mso-position-horizontal-relative:margin;mso-position-vertical-relative:text;mso-width-relative:margin;mso-height-relative:margin" coordorigin="-72,506" coordsize="16265,23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">
                      <v:shape id="Picture 19" o:spid="_x0000_s1041" type="#_x0000_t75" style="position:absolute;left:-72;top:506;width:15883;height:2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">
                        <v:imagedata r:id="rId49" o:title=""/>
                      </v:shape>
                      <v:shape id="_x0000_s1042" type="#_x0000_t202" style="position:absolute;top:9967;width:16192;height:1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" filled="f" stroked="f" strokeweight=".5pt">
                        <v:textbox>
                          <w:txbxContent>
                            <w:p w14:paraId="41112B51" w14:textId="35A09FD3" w:rsidR="00625416" w:rsidRPr="00964043" w:rsidRDefault="00625416" w:rsidP="003B354D">
                              <w:pPr>
                                <w:spacing w:before="0" w:after="0" w:line="240" w:lineRule="auto"/>
                                <w:contextualSpacing/>
                                <w:jc w:val="center"/>
                                <w:rPr>
                                  <w:color w:val="FFFFFF" w:themeColor="background1"/>
                                  <w:sz w:val="16"/>
                                  <w:szCs w:val="16"/>
                                </w:rPr>
                              </w:pPr>
                              <w:r w:rsidRPr="00964043">
                                <w:rPr>
                                  <w:color w:val="FFFFFF" w:themeColor="background1"/>
                                  <w:sz w:val="16"/>
                                  <w:szCs w:val="16"/>
                                </w:rPr>
                                <w:t>We propose to maintain the waterways and drainage uplift, but at a level consistent with 2024-25 expenditure (i.e. $4.9 million is included in base</w:t>
                              </w:r>
                              <w:r w:rsidR="003B354D">
                                <w:rPr>
                                  <w:color w:val="FFFFFF" w:themeColor="background1"/>
                                  <w:sz w:val="16"/>
                                  <w:szCs w:val="16"/>
                                </w:rPr>
                                <w:t>.</w:t>
                              </w:r>
                            </w:p>
                          </w:txbxContent>
                        </v:textbox>
                      </v:shape>
                      <w10:wrap anchorx="margin"/>
                    </v:group>
                  </w:pict>
                </mc:Fallback>
              </mc:AlternateContent>
            </w:r>
            <w:r w:rsidR="00625416" w:rsidRPr="00DE108C">
              <w:rPr>
                <w:b/>
                <w:bCs/>
                <w:sz w:val="16"/>
                <w:szCs w:val="16"/>
              </w:rPr>
              <w:t xml:space="preserve">During the regulatory period, we delivered: </w:t>
            </w:r>
          </w:p>
          <w:p w14:paraId="5590584E" w14:textId="77777777" w:rsidR="00625416" w:rsidRPr="00DE108C" w:rsidRDefault="00625416">
            <w:pPr>
              <w:pStyle w:val="BodyText"/>
              <w:numPr>
                <w:ilvl w:val="0"/>
                <w:numId w:val="19"/>
              </w:numPr>
              <w:spacing w:after="100" w:afterAutospacing="1" w:line="240" w:lineRule="auto"/>
              <w:ind w:left="714" w:right="2552" w:hanging="357"/>
              <w:rPr>
                <w:sz w:val="16"/>
                <w:szCs w:val="16"/>
              </w:rPr>
            </w:pPr>
            <w:r w:rsidRPr="00DE108C">
              <w:rPr>
                <w:sz w:val="16"/>
                <w:szCs w:val="16"/>
              </w:rPr>
              <w:t>Four programs have been delivered or have been largely delivered</w:t>
            </w:r>
            <w:r w:rsidRPr="486AFFA2">
              <w:rPr>
                <w:sz w:val="16"/>
                <w:szCs w:val="16"/>
              </w:rPr>
              <w:t xml:space="preserve"> - community</w:t>
            </w:r>
            <w:r w:rsidRPr="00DE108C">
              <w:rPr>
                <w:sz w:val="16"/>
                <w:szCs w:val="16"/>
              </w:rPr>
              <w:t xml:space="preserve"> involvement in waterways, </w:t>
            </w:r>
            <w:r w:rsidRPr="486AFFA2">
              <w:rPr>
                <w:sz w:val="16"/>
                <w:szCs w:val="16"/>
              </w:rPr>
              <w:t>flood</w:t>
            </w:r>
            <w:r w:rsidRPr="00DE108C">
              <w:rPr>
                <w:sz w:val="16"/>
                <w:szCs w:val="16"/>
              </w:rPr>
              <w:t xml:space="preserve"> mitigation, </w:t>
            </w:r>
            <w:r w:rsidRPr="486AFFA2">
              <w:rPr>
                <w:sz w:val="16"/>
                <w:szCs w:val="16"/>
              </w:rPr>
              <w:t>f</w:t>
            </w:r>
            <w:r w:rsidRPr="00DE108C">
              <w:rPr>
                <w:sz w:val="16"/>
                <w:szCs w:val="16"/>
              </w:rPr>
              <w:t xml:space="preserve">lood preparedness and </w:t>
            </w:r>
            <w:r w:rsidRPr="486AFFA2">
              <w:rPr>
                <w:sz w:val="16"/>
                <w:szCs w:val="16"/>
              </w:rPr>
              <w:t>n</w:t>
            </w:r>
            <w:r w:rsidRPr="00DE108C">
              <w:rPr>
                <w:sz w:val="16"/>
                <w:szCs w:val="16"/>
              </w:rPr>
              <w:t>ew Stormwater Quality Treatment Systems.</w:t>
            </w:r>
          </w:p>
          <w:p w14:paraId="1D989C41" w14:textId="77777777" w:rsidR="00625416" w:rsidRPr="00DE108C" w:rsidRDefault="00625416">
            <w:pPr>
              <w:pStyle w:val="BodyText"/>
              <w:numPr>
                <w:ilvl w:val="0"/>
                <w:numId w:val="19"/>
              </w:numPr>
              <w:spacing w:after="100" w:afterAutospacing="1" w:line="240" w:lineRule="auto"/>
              <w:ind w:left="714" w:right="2552" w:hanging="357"/>
              <w:rPr>
                <w:sz w:val="16"/>
                <w:szCs w:val="16"/>
              </w:rPr>
            </w:pPr>
            <w:r w:rsidRPr="00DE108C">
              <w:rPr>
                <w:sz w:val="16"/>
                <w:szCs w:val="16"/>
              </w:rPr>
              <w:t>We have been slower than anticipated to deliver the natural wetlands management program. This is a result of a shift to deliver a more planned and coordinated approach once the COVID-19 restrictions fully lifted. We are expected to spend slightly less than forecast over the five-year period.</w:t>
            </w:r>
          </w:p>
          <w:p w14:paraId="02AF1D05" w14:textId="77777777" w:rsidR="00625416" w:rsidRPr="00DE108C" w:rsidRDefault="00625416">
            <w:pPr>
              <w:pStyle w:val="BodyText"/>
              <w:numPr>
                <w:ilvl w:val="0"/>
                <w:numId w:val="19"/>
              </w:numPr>
              <w:spacing w:after="100" w:afterAutospacing="1" w:line="240" w:lineRule="auto"/>
              <w:ind w:left="714" w:right="2552" w:hanging="357"/>
              <w:rPr>
                <w:sz w:val="16"/>
                <w:szCs w:val="16"/>
              </w:rPr>
            </w:pPr>
            <w:r w:rsidRPr="00DE108C">
              <w:rPr>
                <w:sz w:val="16"/>
                <w:szCs w:val="16"/>
              </w:rPr>
              <w:t>The greatest challenges and hence delay in delivery has occurred in the large</w:t>
            </w:r>
            <w:r w:rsidRPr="486AFFA2">
              <w:rPr>
                <w:sz w:val="16"/>
                <w:szCs w:val="16"/>
              </w:rPr>
              <w:t>-</w:t>
            </w:r>
            <w:r w:rsidRPr="00DE108C">
              <w:rPr>
                <w:sz w:val="16"/>
                <w:szCs w:val="16"/>
              </w:rPr>
              <w:t>scale stormwater harvesting program</w:t>
            </w:r>
            <w:r w:rsidRPr="486AFFA2">
              <w:rPr>
                <w:sz w:val="16"/>
                <w:szCs w:val="16"/>
              </w:rPr>
              <w:t>,</w:t>
            </w:r>
            <w:r w:rsidRPr="00DE108C">
              <w:rPr>
                <w:sz w:val="16"/>
                <w:szCs w:val="16"/>
              </w:rPr>
              <w:t xml:space="preserve"> which has required complex customised solutions. Drawing on the lessons learnt, the program is being re-set to focus on smaller scale assets in the 2026-31 regulatory period.</w:t>
            </w:r>
          </w:p>
        </w:tc>
      </w:tr>
    </w:tbl>
    <w:p w14:paraId="5CAD3D76" w14:textId="0119742A" w:rsidR="00767B75" w:rsidRPr="00DE108C" w:rsidRDefault="00767B75" w:rsidP="005F3B7C">
      <w:r w:rsidRPr="00DE108C">
        <w:t xml:space="preserve">As shown in </w:t>
      </w:r>
      <w:r w:rsidR="00C952EF">
        <w:t>Figure</w:t>
      </w:r>
      <w:r w:rsidR="00C952EF" w:rsidRPr="00DE108C">
        <w:t xml:space="preserve"> </w:t>
      </w:r>
      <w:r w:rsidRPr="00DE108C">
        <w:t>2.</w:t>
      </w:r>
      <w:r w:rsidR="00DD1231">
        <w:t>4</w:t>
      </w:r>
      <w:r w:rsidRPr="00DE108C">
        <w:t>, four of the six programs are on track. By 2024-25, we achieved the targeted activities and/or levels of service for these programs, with cost savings for the following programs:</w:t>
      </w:r>
    </w:p>
    <w:p w14:paraId="7D1BCA21" w14:textId="77777777" w:rsidR="00767B75" w:rsidRPr="00DE108C" w:rsidRDefault="00767B75" w:rsidP="00E60FB5">
      <w:pPr>
        <w:pStyle w:val="ListBullet"/>
      </w:pPr>
      <w:r w:rsidRPr="00DE108C">
        <w:t>community involvement in waterways</w:t>
      </w:r>
    </w:p>
    <w:p w14:paraId="2E265444" w14:textId="77777777" w:rsidR="00767B75" w:rsidRPr="00DE108C" w:rsidRDefault="00767B75" w:rsidP="00E60FB5">
      <w:pPr>
        <w:pStyle w:val="ListBullet"/>
      </w:pPr>
      <w:r w:rsidRPr="00DE108C">
        <w:t xml:space="preserve">flood mitigation </w:t>
      </w:r>
    </w:p>
    <w:p w14:paraId="0F7B8D59" w14:textId="77777777" w:rsidR="00767B75" w:rsidRPr="00DE108C" w:rsidRDefault="00767B75" w:rsidP="00E60FB5">
      <w:pPr>
        <w:pStyle w:val="ListBullet"/>
      </w:pPr>
      <w:r w:rsidRPr="00DE108C">
        <w:t>flood preparedness</w:t>
      </w:r>
    </w:p>
    <w:p w14:paraId="11EA3E3E" w14:textId="102085CC" w:rsidR="00767B75" w:rsidRPr="00DE108C" w:rsidRDefault="134810CB" w:rsidP="00E60FB5">
      <w:pPr>
        <w:pStyle w:val="ListBullet"/>
      </w:pPr>
      <w:r w:rsidRPr="00DE108C">
        <w:t>n</w:t>
      </w:r>
      <w:r w:rsidR="00767B75" w:rsidRPr="00DE108C">
        <w:t>ew Stormwater Quality Treatment Systems.</w:t>
      </w:r>
    </w:p>
    <w:p w14:paraId="728171F5" w14:textId="11802DA6" w:rsidR="00894132" w:rsidRDefault="00632C33" w:rsidP="00894132">
      <w:r>
        <w:t>The</w:t>
      </w:r>
      <w:r w:rsidR="00767B75">
        <w:t xml:space="preserve"> </w:t>
      </w:r>
      <w:r w:rsidR="60C2EBB4">
        <w:t>following</w:t>
      </w:r>
      <w:r w:rsidR="00767B75" w:rsidRPr="00DE108C">
        <w:t xml:space="preserve"> </w:t>
      </w:r>
      <w:r>
        <w:t>two</w:t>
      </w:r>
      <w:r w:rsidR="00767B75" w:rsidRPr="00DE108C">
        <w:t xml:space="preserve"> uplift programs have not met expenditure targets, planned activities or levels of service</w:t>
      </w:r>
      <w:r w:rsidR="611B49EE">
        <w:t>:</w:t>
      </w:r>
      <w:r w:rsidR="00767B75" w:rsidRPr="00DE108C">
        <w:t xml:space="preserve"> </w:t>
      </w:r>
    </w:p>
    <w:p w14:paraId="76BF9911" w14:textId="6D690F6B" w:rsidR="00767B75" w:rsidRPr="00DE108C" w:rsidRDefault="00767B75" w:rsidP="00E60FB5">
      <w:pPr>
        <w:pStyle w:val="ListBullet"/>
      </w:pPr>
      <w:r w:rsidRPr="00DE108C">
        <w:t>natural wetlands</w:t>
      </w:r>
    </w:p>
    <w:p w14:paraId="2F602547" w14:textId="77777777" w:rsidR="00767B75" w:rsidRPr="00DE108C" w:rsidRDefault="00767B75" w:rsidP="00E60FB5">
      <w:pPr>
        <w:pStyle w:val="ListBullet"/>
      </w:pPr>
      <w:r w:rsidRPr="00DE108C">
        <w:t>large-scale stormwater harvesting.</w:t>
      </w:r>
    </w:p>
    <w:p w14:paraId="1682D143" w14:textId="77777777" w:rsidR="00767B75" w:rsidRPr="00DE108C" w:rsidRDefault="00767B75" w:rsidP="005F3B7C">
      <w:r w:rsidRPr="00DE108C">
        <w:t xml:space="preserve">For both programs, we experienced challenges in coordinating with partners on complex multi-stakeholder matters. </w:t>
      </w:r>
    </w:p>
    <w:p w14:paraId="6B6D90DA" w14:textId="02EC124B" w:rsidR="333E04D2" w:rsidRPr="00C12E62" w:rsidRDefault="751F12A6" w:rsidP="2663957B">
      <w:pPr>
        <w:pStyle w:val="Caption"/>
      </w:pPr>
      <w:bookmarkStart w:id="154" w:name="_Toc207892976"/>
      <w:bookmarkStart w:id="155" w:name="_Toc208490505"/>
      <w:bookmarkStart w:id="156" w:name="_Toc208490843"/>
      <w:bookmarkStart w:id="157" w:name="_Toc208911001"/>
      <w:bookmarkStart w:id="158" w:name="_Toc210051308"/>
      <w:r>
        <w:lastRenderedPageBreak/>
        <w:t>Figur</w:t>
      </w:r>
      <w:r w:rsidR="6B40E347">
        <w:t>e</w:t>
      </w:r>
      <w:r w:rsidR="00767B75" w:rsidRPr="437D01C5">
        <w:t xml:space="preserve"> 2.</w:t>
      </w:r>
      <w:r w:rsidR="00C952EF">
        <w:t>4</w:t>
      </w:r>
      <w:r w:rsidR="005041EF">
        <w:t>:</w:t>
      </w:r>
      <w:r w:rsidR="00767B75" w:rsidRPr="437D01C5">
        <w:t xml:space="preserve"> Waterways and drainage uplift performance during the 2021-26 regulatory period</w:t>
      </w:r>
      <w:bookmarkEnd w:id="154"/>
      <w:bookmarkEnd w:id="155"/>
      <w:bookmarkEnd w:id="156"/>
      <w:bookmarkEnd w:id="157"/>
      <w:bookmarkEnd w:id="158"/>
      <w:r w:rsidR="00767B75" w:rsidRPr="437D01C5">
        <w:t xml:space="preserve"> </w:t>
      </w:r>
    </w:p>
    <w:p w14:paraId="40E8E183" w14:textId="7DC13023" w:rsidR="002941AE" w:rsidRPr="002941AE" w:rsidRDefault="002941AE" w:rsidP="002941AE">
      <w:r w:rsidRPr="002941AE">
        <w:rPr>
          <w:noProof/>
        </w:rPr>
        <w:drawing>
          <wp:inline distT="0" distB="0" distL="0" distR="0" wp14:anchorId="66F78652" wp14:editId="5A4F539E">
            <wp:extent cx="5546785" cy="4597241"/>
            <wp:effectExtent l="0" t="0" r="0" b="0"/>
            <wp:docPr id="534393105" name="Picture 3" descr="A table shows Melbourne Water's performance against waterways and drainage uplift during the 2021-26 regulatory period. Performance remains strong for community involvement in waterways, flood mitigation, flood preparedness and new stormwater quality treatment systems. Performance is falling short for natural wetlands and large-scale stormwater har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93105" name="Picture 3" descr="A table shows Melbourne Water's performance against waterways and drainage uplift during the 2021-26 regulatory period. Performance remains strong for community involvement in waterways, flood mitigation, flood preparedness and new stormwater quality treatment systems. Performance is falling short for natural wetlands and large-scale stormwater harvesting."/>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a:fillRect/>
                    </a:stretch>
                  </pic:blipFill>
                  <pic:spPr bwMode="auto">
                    <a:xfrm>
                      <a:off x="0" y="0"/>
                      <a:ext cx="5547817" cy="4598096"/>
                    </a:xfrm>
                    <a:prstGeom prst="rect">
                      <a:avLst/>
                    </a:prstGeom>
                    <a:noFill/>
                    <a:ln>
                      <a:noFill/>
                    </a:ln>
                    <a:extLst>
                      <a:ext uri="{53640926-AAD7-44D8-BBD7-CCE9431645EC}">
                        <a14:shadowObscured xmlns:a14="http://schemas.microsoft.com/office/drawing/2010/main"/>
                      </a:ext>
                    </a:extLst>
                  </pic:spPr>
                </pic:pic>
              </a:graphicData>
            </a:graphic>
          </wp:inline>
        </w:drawing>
      </w:r>
    </w:p>
    <w:p w14:paraId="23FAF82D" w14:textId="2AFAE411" w:rsidR="1F3AEE41" w:rsidRDefault="1F3AEE41"/>
    <w:p w14:paraId="2EE4E947" w14:textId="77777777" w:rsidR="00767B75" w:rsidRPr="00DE108C" w:rsidRDefault="00767B75" w:rsidP="003818C3">
      <w:r w:rsidRPr="00DE108C">
        <w:t>The reasons for the delays to the natural wetlands and large-scale stormwater harvesting program and our plans for effective delivery going forward are as follows:</w:t>
      </w:r>
    </w:p>
    <w:p w14:paraId="1ED61A2B" w14:textId="13125811" w:rsidR="00767B75" w:rsidRPr="00DE108C" w:rsidRDefault="00767B75" w:rsidP="00E60FB5">
      <w:pPr>
        <w:pStyle w:val="ListBullet"/>
      </w:pPr>
      <w:r w:rsidRPr="00DE108C">
        <w:rPr>
          <w:b/>
          <w:bCs/>
        </w:rPr>
        <w:t>Natural Wetlands:</w:t>
      </w:r>
      <w:r w:rsidRPr="00DE108C">
        <w:t xml:space="preserve"> This program was hindered as eight of the 20 priority natural wetlands that were targeted to be maintained throughout PS21 were either lost or will imminently be lost to development or were inaccessible due to their location on private land. Our engagement program showed that preserving biodiversity is highly valued by our customers and we propose to continue the uplifts we have achieved in the 2024-25 year for PS26. </w:t>
      </w:r>
    </w:p>
    <w:p w14:paraId="16B6A124" w14:textId="77157CA8" w:rsidR="00767B75" w:rsidRPr="00DE108C" w:rsidRDefault="00767B75" w:rsidP="00E60FB5">
      <w:pPr>
        <w:pStyle w:val="ListBullet"/>
      </w:pPr>
      <w:r w:rsidRPr="00DE108C">
        <w:rPr>
          <w:b/>
          <w:bCs/>
        </w:rPr>
        <w:t>Large-scale stormwater harvesting:</w:t>
      </w:r>
      <w:r w:rsidRPr="00DE108C">
        <w:t xml:space="preserve"> This program required multiple stakeholder input and customised solutions for each sub-catchment, which has slowed the progress of delivering proposed projects. However, stormwater harvesting and infiltration is one of the most effective actions to manage waterway health. Our engagement showed that it is also supported by customers. </w:t>
      </w:r>
      <w:r w:rsidR="331D2658">
        <w:t>Therefore</w:t>
      </w:r>
      <w:r w:rsidRPr="00DE108C">
        <w:t>, we propose to continue with the 2024-25 level of expenditure, albeit targeting smaller scale assets that are more deliverable.</w:t>
      </w:r>
    </w:p>
    <w:p w14:paraId="77509A6C" w14:textId="2A75A0F6" w:rsidR="00767B75" w:rsidRPr="00DE108C" w:rsidRDefault="00767B75" w:rsidP="003818C3">
      <w:pPr>
        <w:rPr>
          <w:rFonts w:eastAsia="Verdana"/>
        </w:rPr>
      </w:pPr>
      <w:r w:rsidRPr="00DE108C">
        <w:t>Overall, with the positive outcomes delivered by the programs, we propose to</w:t>
      </w:r>
      <w:r w:rsidRPr="00DE108C">
        <w:rPr>
          <w:rFonts w:eastAsia="Verdana"/>
        </w:rPr>
        <w:t xml:space="preserve"> maintain the waterways and drainage uplift, but at a level consistent with 2024-25 expenditure ($4.</w:t>
      </w:r>
      <w:r w:rsidR="00025CFF" w:rsidRPr="00DE108C">
        <w:rPr>
          <w:rFonts w:eastAsia="Verdana"/>
        </w:rPr>
        <w:t>9</w:t>
      </w:r>
      <w:r w:rsidRPr="00DE108C">
        <w:rPr>
          <w:rFonts w:eastAsia="Verdana"/>
        </w:rPr>
        <w:t xml:space="preserve"> million is included in base opex).</w:t>
      </w:r>
      <w:r w:rsidR="009B6060">
        <w:rPr>
          <w:rFonts w:eastAsia="Verdana"/>
        </w:rPr>
        <w:t xml:space="preserve"> A reconciliation </w:t>
      </w:r>
      <w:r w:rsidR="00197E27">
        <w:rPr>
          <w:rFonts w:eastAsia="Verdana"/>
        </w:rPr>
        <w:t>of</w:t>
      </w:r>
      <w:r w:rsidR="00EE447F">
        <w:rPr>
          <w:rFonts w:eastAsia="Verdana"/>
        </w:rPr>
        <w:t xml:space="preserve"> controllable opex to the allowance is included in Section 7.2.4.</w:t>
      </w:r>
      <w:r w:rsidR="009B6060">
        <w:rPr>
          <w:rFonts w:eastAsia="Verdana"/>
        </w:rPr>
        <w:t xml:space="preserve"> </w:t>
      </w:r>
    </w:p>
    <w:p w14:paraId="6A4111D9" w14:textId="77777777" w:rsidR="00767B75" w:rsidRPr="00DE108C" w:rsidRDefault="00767B75" w:rsidP="003818C3"/>
    <w:p w14:paraId="5D56B255" w14:textId="77777777" w:rsidR="00767B75" w:rsidRPr="00DE108C" w:rsidRDefault="00767B75">
      <w:pPr>
        <w:pStyle w:val="Heading3"/>
      </w:pPr>
      <w:bookmarkStart w:id="159" w:name="_Toc196745190"/>
      <w:r w:rsidRPr="00DE108C">
        <w:lastRenderedPageBreak/>
        <w:t>2.2.2 Capital expenditures</w:t>
      </w:r>
      <w:bookmarkEnd w:id="159"/>
      <w:r w:rsidRPr="00DE108C">
        <w:t xml:space="preserve"> </w:t>
      </w:r>
    </w:p>
    <w:p w14:paraId="6204546C" w14:textId="02FE37CB" w:rsidR="00767B75" w:rsidRPr="00DE108C" w:rsidRDefault="00767B75" w:rsidP="003818C3">
      <w:r w:rsidRPr="00DE108C">
        <w:t xml:space="preserve">The rate of capital project and program delivery has accelerated consistently over the 2021-26 </w:t>
      </w:r>
      <w:r w:rsidR="00CA1069">
        <w:t xml:space="preserve">regulatory </w:t>
      </w:r>
      <w:r w:rsidRPr="00DE108C">
        <w:t xml:space="preserve">period and is proposed to continue in the 2026-31 </w:t>
      </w:r>
      <w:r w:rsidR="00F6068B">
        <w:t xml:space="preserve">regulatory </w:t>
      </w:r>
      <w:r w:rsidRPr="00DE108C">
        <w:t xml:space="preserve">period to meet the needs of our customers. As at June 2025, actual capex is </w:t>
      </w:r>
      <w:r w:rsidR="000E4D51" w:rsidRPr="001F2CB6">
        <w:t>0.</w:t>
      </w:r>
      <w:r w:rsidR="004E0F38" w:rsidRPr="001F2CB6">
        <w:t>8</w:t>
      </w:r>
      <w:r w:rsidRPr="00DE108C">
        <w:t xml:space="preserve"> per cent below our cumulative capex benchmark. By 2025-26, we forecast that actual capex will exceed the capex benchmark by $</w:t>
      </w:r>
      <w:r w:rsidRPr="001F2CB6">
        <w:t>4</w:t>
      </w:r>
      <w:r w:rsidR="00D243F3" w:rsidRPr="001F2CB6">
        <w:t>63</w:t>
      </w:r>
      <w:r w:rsidRPr="00DE108C">
        <w:t xml:space="preserve"> million, or </w:t>
      </w:r>
      <w:r w:rsidRPr="001F2CB6">
        <w:t>10.</w:t>
      </w:r>
      <w:r w:rsidR="00B94517" w:rsidRPr="001F2CB6">
        <w:t>6</w:t>
      </w:r>
      <w:r w:rsidRPr="00DE108C">
        <w:t xml:space="preserve"> per cent. </w:t>
      </w:r>
    </w:p>
    <w:p w14:paraId="5B27A280" w14:textId="5E8507A4" w:rsidR="00767B75" w:rsidRPr="00DE108C" w:rsidRDefault="00876541" w:rsidP="003818C3">
      <w:r w:rsidRPr="00DE108C">
        <w:t>F</w:t>
      </w:r>
      <w:r w:rsidR="00767B75" w:rsidRPr="00DE108C">
        <w:t xml:space="preserve">igure </w:t>
      </w:r>
      <w:r w:rsidRPr="00DE108C">
        <w:t>2.</w:t>
      </w:r>
      <w:r w:rsidR="0029777E">
        <w:t>5</w:t>
      </w:r>
      <w:r w:rsidR="00767B75" w:rsidRPr="00DE108C">
        <w:t xml:space="preserve"> provides a year-by-year comparison of our capex allowance (benchmark capex) versus actual capex. </w:t>
      </w:r>
    </w:p>
    <w:p w14:paraId="1A91FE97" w14:textId="00988A41" w:rsidR="00767B75" w:rsidRPr="00DE108C" w:rsidRDefault="00767B75" w:rsidP="00094CD4">
      <w:pPr>
        <w:pStyle w:val="Caption"/>
        <w:rPr>
          <w:vertAlign w:val="superscript"/>
        </w:rPr>
      </w:pPr>
      <w:bookmarkStart w:id="160" w:name="_Toc190867251"/>
      <w:bookmarkStart w:id="161" w:name="_Toc207892982"/>
      <w:bookmarkStart w:id="162" w:name="_Toc208490506"/>
      <w:bookmarkStart w:id="163" w:name="_Toc208490844"/>
      <w:bookmarkStart w:id="164" w:name="_Toc208911002"/>
      <w:bookmarkStart w:id="165" w:name="_Toc210051309"/>
      <w:r w:rsidRPr="001F2CB6">
        <w:t>Figure 2.</w:t>
      </w:r>
      <w:r w:rsidR="0029777E" w:rsidRPr="001F2CB6">
        <w:t>5</w:t>
      </w:r>
      <w:r w:rsidRPr="001F2CB6">
        <w:t xml:space="preserve">: Capex delivery over </w:t>
      </w:r>
      <w:bookmarkEnd w:id="160"/>
      <w:r w:rsidR="003B11A0">
        <w:t>2021-26 regulatory period</w:t>
      </w:r>
      <w:r w:rsidR="004764B1" w:rsidRPr="001F2CB6">
        <w:t>, cumulative</w:t>
      </w:r>
      <w:r w:rsidRPr="001F2CB6">
        <w:t xml:space="preserve"> ($</w:t>
      </w:r>
      <w:r w:rsidR="00CF089D" w:rsidRPr="001F2CB6">
        <w:t xml:space="preserve">millions, </w:t>
      </w:r>
      <w:r w:rsidRPr="001F2CB6">
        <w:t>real 20</w:t>
      </w:r>
      <w:r w:rsidR="00CF089D" w:rsidRPr="001F2CB6">
        <w:t>25-</w:t>
      </w:r>
      <w:r w:rsidRPr="001F2CB6">
        <w:t>26)</w:t>
      </w:r>
      <w:bookmarkEnd w:id="161"/>
      <w:r w:rsidR="00363731" w:rsidRPr="001F2CB6">
        <w:rPr>
          <w:vertAlign w:val="superscript"/>
        </w:rPr>
        <w:t>a</w:t>
      </w:r>
      <w:bookmarkEnd w:id="162"/>
      <w:bookmarkEnd w:id="163"/>
      <w:bookmarkEnd w:id="164"/>
      <w:bookmarkEnd w:id="165"/>
    </w:p>
    <w:p w14:paraId="752B81DA" w14:textId="03FE1863" w:rsidR="003A2076" w:rsidRPr="00DE108C" w:rsidRDefault="00CC1CEE">
      <w:pPr>
        <w:pStyle w:val="BodyText"/>
        <w:rPr>
          <w:sz w:val="16"/>
          <w:szCs w:val="16"/>
        </w:rPr>
      </w:pPr>
      <w:r>
        <w:rPr>
          <w:noProof/>
        </w:rPr>
        <w:drawing>
          <wp:inline distT="0" distB="0" distL="0" distR="0" wp14:anchorId="45FA34ED" wp14:editId="2CAA6415">
            <wp:extent cx="6042991" cy="3275330"/>
            <wp:effectExtent l="0" t="0" r="15240" b="1270"/>
            <wp:docPr id="1409000591" name="Chart 1" descr="A chart providing a year-by-year comparison of our capex allowance (benchmark capex) versus actual capex. Forecast total capex is $4,840 million against a benchmark of $4,377 million.">
              <a:extLst xmlns:a="http://schemas.openxmlformats.org/drawingml/2006/main">
                <a:ext uri="{FF2B5EF4-FFF2-40B4-BE49-F238E27FC236}">
                  <a16:creationId xmlns:a16="http://schemas.microsoft.com/office/drawing/2014/main" id="{45F50DED-4E48-576C-04CB-25BB0C5BA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DE0A485" w14:textId="0DA67AD6" w:rsidR="00767B75" w:rsidRPr="00DE108C" w:rsidRDefault="00363731" w:rsidP="00354EDB">
      <w:pPr>
        <w:pStyle w:val="FootnoteText"/>
        <w:rPr>
          <w:i/>
          <w:iCs/>
        </w:rPr>
      </w:pPr>
      <w:r w:rsidRPr="00DE108C">
        <w:rPr>
          <w:vertAlign w:val="superscript"/>
        </w:rPr>
        <w:t>a</w:t>
      </w:r>
      <w:r w:rsidRPr="00DE108C">
        <w:t xml:space="preserve"> </w:t>
      </w:r>
      <w:r w:rsidR="00767B75" w:rsidRPr="00DE108C">
        <w:t xml:space="preserve">Actual capex in 2025-26 is based on our most recent forecast. </w:t>
      </w:r>
    </w:p>
    <w:p w14:paraId="5E146EF6" w14:textId="3051C3A5" w:rsidR="00767B75" w:rsidRPr="00DE108C" w:rsidRDefault="00767B75" w:rsidP="00354EDB">
      <w:r w:rsidRPr="00DE108C">
        <w:t xml:space="preserve">The below-benchmark expenditure during the initial four years of the 2021-26 </w:t>
      </w:r>
      <w:r w:rsidR="004310C0">
        <w:t xml:space="preserve">regulatory </w:t>
      </w:r>
      <w:r w:rsidRPr="00DE108C">
        <w:t xml:space="preserve">period was primarily due to delays in several high-value, complex projects. Some of the </w:t>
      </w:r>
      <w:r>
        <w:t>delay</w:t>
      </w:r>
      <w:r w:rsidR="23C576C0">
        <w:t>s</w:t>
      </w:r>
      <w:r w:rsidRPr="00DE108C">
        <w:t xml:space="preserve"> arose due to processes and factors outside our control, including: </w:t>
      </w:r>
    </w:p>
    <w:p w14:paraId="50F1BBE4" w14:textId="40FFB69D" w:rsidR="00767B75" w:rsidRPr="00DE108C" w:rsidRDefault="00767B75" w:rsidP="00516D10">
      <w:pPr>
        <w:pStyle w:val="ListBullet"/>
      </w:pPr>
      <w:r w:rsidRPr="009D6AD3">
        <w:rPr>
          <w:b/>
        </w:rPr>
        <w:t>Planning and land acquisition approvals:</w:t>
      </w:r>
      <w:r w:rsidRPr="00516D10">
        <w:t xml:space="preserve"> </w:t>
      </w:r>
      <w:r w:rsidRPr="00DE108C">
        <w:t xml:space="preserve">There were unanticipated delays in securing approvals. These approvals were time-intensive and required careful coordination with multiple stakeholders. </w:t>
      </w:r>
      <w:r w:rsidR="7FF87DD3">
        <w:t>For example,</w:t>
      </w:r>
      <w:r w:rsidRPr="00DE108C">
        <w:t xml:space="preserve"> delayed planning and land acquisition approvals for the Yan Yean to Bald Hill Pipeline and the Maribyrnong Main Sewer Augmentation projects. We have assumed these longer approval timeframes when testing the deliverability of our proposed expenditures</w:t>
      </w:r>
      <w:r w:rsidR="00001400">
        <w:t xml:space="preserve"> for </w:t>
      </w:r>
      <w:r w:rsidR="004500E1">
        <w:t xml:space="preserve">the </w:t>
      </w:r>
      <w:r w:rsidR="00001400">
        <w:t>2026-31 regulatory period</w:t>
      </w:r>
      <w:r w:rsidRPr="00DE108C">
        <w:t>.</w:t>
      </w:r>
      <w:r w:rsidR="00001400">
        <w:t xml:space="preserve"> </w:t>
      </w:r>
    </w:p>
    <w:p w14:paraId="64C20293" w14:textId="7C8ADF02" w:rsidR="00767B75" w:rsidRPr="00DE108C" w:rsidRDefault="00767B75" w:rsidP="00516D10">
      <w:pPr>
        <w:pStyle w:val="ListBullet"/>
      </w:pPr>
      <w:r w:rsidRPr="009D6AD3">
        <w:rPr>
          <w:b/>
        </w:rPr>
        <w:t>Multi-party delays:</w:t>
      </w:r>
      <w:r w:rsidRPr="00DE108C">
        <w:t xml:space="preserve"> The delivery of waterways and drainage infrastructure experienced delays due </w:t>
      </w:r>
      <w:r w:rsidR="7DBC5339">
        <w:t xml:space="preserve">to </w:t>
      </w:r>
      <w:r w:rsidRPr="00DE108C">
        <w:t xml:space="preserve">the number and complexity of external parties and processes involved, including multiple delivery agencies, multiple funding partners, shared land tenure and distributed beneficiaries. This delay impacted the large-scale Sunbury Stormwater Harvesting Project. Deliverability testing of the waterways and drainage capital program </w:t>
      </w:r>
      <w:r w:rsidR="00853B58">
        <w:t xml:space="preserve"> for the 2026-31 regulatory period </w:t>
      </w:r>
      <w:r w:rsidRPr="00DE108C">
        <w:t>has incorporated these likely timeframes.</w:t>
      </w:r>
    </w:p>
    <w:p w14:paraId="01E9BF10" w14:textId="5C08D565" w:rsidR="00767B75" w:rsidRPr="00DE108C" w:rsidRDefault="00767B75" w:rsidP="00516D10">
      <w:pPr>
        <w:pStyle w:val="ListBullet"/>
      </w:pPr>
      <w:r w:rsidRPr="009D6AD3">
        <w:rPr>
          <w:b/>
        </w:rPr>
        <w:t xml:space="preserve">Lingering post-COVID-19 constraints: </w:t>
      </w:r>
      <w:r w:rsidRPr="00DE108C">
        <w:t>Constraints impacted Melbourne Water’s ability to schedule on-site activities necessary to activate our capital program early in the 2021-26 regulatory period. These constraints are now resolved. At this time</w:t>
      </w:r>
      <w:r w:rsidR="240ABF88">
        <w:t>,</w:t>
      </w:r>
      <w:r w:rsidRPr="00DE108C">
        <w:t xml:space="preserve"> there was also strong competition for contractors across Australia</w:t>
      </w:r>
      <w:r w:rsidR="6849909B">
        <w:t xml:space="preserve">, which </w:t>
      </w:r>
      <w:r w:rsidRPr="00DE108C">
        <w:t xml:space="preserve">slowed our ability to secure </w:t>
      </w:r>
      <w:r w:rsidRPr="00DE108C">
        <w:lastRenderedPageBreak/>
        <w:t xml:space="preserve">contractor resources. This competition and lingering supply chain issues meant that contractor and material costs also increased above inflation – averaging approximately CPI+1.3 per cent each year. As discussed below, this prompted Melbourne Water to re-examine its delivery scheduling and strategies to look for cost and efficiency savings. Going forward, these constraints are easing, and we are taking proactive steps to improve our contractor resourcing. </w:t>
      </w:r>
    </w:p>
    <w:p w14:paraId="7F536D60" w14:textId="4E8AE016" w:rsidR="00767B75" w:rsidRPr="00DE108C" w:rsidRDefault="00767B75" w:rsidP="00354EDB">
      <w:r w:rsidRPr="00DE108C">
        <w:t xml:space="preserve">In the post-COVID-19 environment in the early part of the current regulatory period, Melbourne Water chose to impose some delays to achieve delivery and cost efficiencies. After re-evaluating delivery strategies, we imposed delays to more efficiently bundle major projects at </w:t>
      </w:r>
      <w:r w:rsidR="0E7EFAE2">
        <w:t>WTP</w:t>
      </w:r>
      <w:r w:rsidRPr="00DE108C">
        <w:t>.</w:t>
      </w:r>
    </w:p>
    <w:p w14:paraId="3E97EE4B" w14:textId="77777777" w:rsidR="00767B75" w:rsidRPr="00DE108C" w:rsidRDefault="00767B75" w:rsidP="00354EDB">
      <w:r w:rsidRPr="00DE108C">
        <w:t xml:space="preserve">These factors combined contributed to the slower-than-expected progress in 2021-22. We stabilised in 2022-23 and caught up across 2023-24 and 2024-25. We expect to exceed the benchmark in 2025-26. </w:t>
      </w:r>
    </w:p>
    <w:p w14:paraId="659D8BBC" w14:textId="29C698F9" w:rsidR="00767B75" w:rsidRPr="00DE108C" w:rsidRDefault="00767B75" w:rsidP="00354EDB">
      <w:r w:rsidRPr="00DE108C">
        <w:t xml:space="preserve">Progress </w:t>
      </w:r>
      <w:r w:rsidR="3FB0BD9C">
        <w:t>to deliver</w:t>
      </w:r>
      <w:r>
        <w:t xml:space="preserve"> </w:t>
      </w:r>
      <w:r w:rsidRPr="00DE108C">
        <w:t>our major projects is provided below. Despite the initial delays, we are forecast to deliver the capital program reflected in the 2021-26 prices, providing the following benefits for customers and delivering Outcomes 1 to 4:</w:t>
      </w:r>
    </w:p>
    <w:p w14:paraId="680698FD" w14:textId="42E74E4A" w:rsidR="00767B75" w:rsidRPr="00DE108C" w:rsidRDefault="00767B75" w:rsidP="00516D10">
      <w:pPr>
        <w:pStyle w:val="ListBullet"/>
        <w:rPr>
          <w:rFonts w:eastAsiaTheme="minorEastAsia" w:cstheme="minorBidi"/>
        </w:rPr>
      </w:pPr>
      <w:r w:rsidRPr="009D6AD3">
        <w:rPr>
          <w:b/>
        </w:rPr>
        <w:t xml:space="preserve">Increased water security, safety and reliability of water and sewerage services (delivering on Outcomes 1 and 2): </w:t>
      </w:r>
      <w:r w:rsidRPr="00DE108C">
        <w:t>Projects delivered included the Yan Yean Water Treatment Upgrade project, Yan Yean to Bald Hill water transfer project, renewal of the over 100-year-old Mitcham to Syndal (M22 and M46) water mains</w:t>
      </w:r>
      <w:r w:rsidRPr="00DE108C">
        <w:rPr>
          <w:rFonts w:eastAsiaTheme="minorEastAsia" w:cstheme="minorBidi"/>
        </w:rPr>
        <w:t xml:space="preserve">, replacement of filter media at Winneke Water Treatment Plant, sewer rehabilitation, renewal of assets at </w:t>
      </w:r>
      <w:r w:rsidR="37B1FF79" w:rsidRPr="2B4F1B74">
        <w:rPr>
          <w:rFonts w:eastAsiaTheme="minorEastAsia" w:cstheme="minorBidi"/>
        </w:rPr>
        <w:t xml:space="preserve">ETP </w:t>
      </w:r>
      <w:r w:rsidRPr="00DE108C">
        <w:rPr>
          <w:rFonts w:eastAsiaTheme="minorEastAsia" w:cstheme="minorBidi"/>
        </w:rPr>
        <w:t>and the rehabilitation of drainage infrastructure.</w:t>
      </w:r>
    </w:p>
    <w:p w14:paraId="60281F1D" w14:textId="45EB1375" w:rsidR="00767B75" w:rsidRPr="00DE108C" w:rsidRDefault="00767B75" w:rsidP="00516D10">
      <w:pPr>
        <w:pStyle w:val="ListBullet"/>
      </w:pPr>
      <w:r w:rsidRPr="00A44E8A">
        <w:rPr>
          <w:b/>
        </w:rPr>
        <w:t>Protection of Melbourne’s environment and minimisation of greenhouse gas emissions (delivering on Outcome 2):</w:t>
      </w:r>
      <w:r w:rsidRPr="00DE108C">
        <w:t xml:space="preserve"> Projects that delivered this include </w:t>
      </w:r>
      <w:r w:rsidR="25426D28" w:rsidRPr="55DCC322">
        <w:rPr>
          <w:rFonts w:eastAsiaTheme="minorEastAsia" w:cstheme="minorBidi"/>
        </w:rPr>
        <w:t>ETP</w:t>
      </w:r>
      <w:r w:rsidRPr="00DE108C">
        <w:rPr>
          <w:rFonts w:eastAsiaTheme="minorEastAsia" w:cstheme="minorBidi"/>
        </w:rPr>
        <w:t xml:space="preserve"> </w:t>
      </w:r>
      <w:r w:rsidRPr="00DE108C">
        <w:t xml:space="preserve">biogas handling system upgrade, expansion of </w:t>
      </w:r>
      <w:r w:rsidR="0CFA990F" w:rsidRPr="55DCC322">
        <w:rPr>
          <w:rFonts w:eastAsiaTheme="minorEastAsia" w:cstheme="minorBidi"/>
        </w:rPr>
        <w:t>WTP</w:t>
      </w:r>
      <w:r w:rsidRPr="00DE108C">
        <w:rPr>
          <w:rFonts w:eastAsiaTheme="minorEastAsia" w:cstheme="minorBidi"/>
        </w:rPr>
        <w:t xml:space="preserve"> </w:t>
      </w:r>
      <w:r w:rsidRPr="00DE108C">
        <w:t>power station, renewal of Hoppers Crossing Pump Station and improvements to waterways condition via minor capital projects.</w:t>
      </w:r>
    </w:p>
    <w:p w14:paraId="7E3E8960" w14:textId="77777777" w:rsidR="00767B75" w:rsidRPr="00DE108C" w:rsidRDefault="00767B75" w:rsidP="00516D10">
      <w:pPr>
        <w:pStyle w:val="ListBullet"/>
      </w:pPr>
      <w:r w:rsidRPr="00323B1C">
        <w:rPr>
          <w:b/>
        </w:rPr>
        <w:t xml:space="preserve">Management of stormwater quality to waterways (delivering on Outcomes 2 and 4): </w:t>
      </w:r>
      <w:r w:rsidRPr="00DE108C">
        <w:t>This comprised the Gladstone Street Wetland Rectification works for waterway health outcomes.</w:t>
      </w:r>
    </w:p>
    <w:p w14:paraId="07970622" w14:textId="2AAAD568" w:rsidR="00767B75" w:rsidRPr="00DE108C" w:rsidRDefault="00767B75" w:rsidP="00516D10">
      <w:pPr>
        <w:pStyle w:val="ListBullet"/>
        <w:rPr>
          <w:rFonts w:eastAsia="Verdana"/>
        </w:rPr>
      </w:pPr>
      <w:r w:rsidRPr="00323B1C">
        <w:rPr>
          <w:b/>
        </w:rPr>
        <w:t>Waterway management (delivering on Outcome 3):</w:t>
      </w:r>
      <w:r w:rsidRPr="00DE108C">
        <w:t xml:space="preserve"> We found it challenging to activate our large-scale </w:t>
      </w:r>
      <w:r w:rsidRPr="00DE108C">
        <w:rPr>
          <w:rFonts w:eastAsia="Verdana"/>
        </w:rPr>
        <w:t xml:space="preserve">stormwater harvesting capital program for waterway health and did not spend to plan. </w:t>
      </w:r>
      <w:r w:rsidR="35584C4A" w:rsidRPr="7BFDC80D">
        <w:rPr>
          <w:rFonts w:eastAsia="Verdana"/>
        </w:rPr>
        <w:t>Therefore</w:t>
      </w:r>
      <w:r w:rsidRPr="00DE108C">
        <w:rPr>
          <w:rFonts w:eastAsia="Verdana"/>
        </w:rPr>
        <w:t xml:space="preserve">, to target waterway health outcomes we reprioritised vegetation for the environment. Additional works related to waterway management for community benefit were delivered against the Reimagining your Creek programs, contributing to Outcome </w:t>
      </w:r>
      <w:r w:rsidRPr="00DE108C">
        <w:t>3</w:t>
      </w:r>
      <w:r w:rsidRPr="00DE108C">
        <w:rPr>
          <w:rFonts w:eastAsia="Verdana"/>
        </w:rPr>
        <w:t xml:space="preserve">. </w:t>
      </w:r>
    </w:p>
    <w:p w14:paraId="47D30C7C" w14:textId="77777777" w:rsidR="00767B75" w:rsidRPr="00DE108C" w:rsidRDefault="00767B75">
      <w:pPr>
        <w:pStyle w:val="Heading4"/>
      </w:pPr>
      <w:r w:rsidRPr="00DE108C">
        <w:t>2.2.2.1 Major project delivery</w:t>
      </w:r>
    </w:p>
    <w:p w14:paraId="1F6FBF3B" w14:textId="17092925" w:rsidR="00767B75" w:rsidRPr="00DE108C" w:rsidRDefault="00767B75" w:rsidP="00354EDB">
      <w:pPr>
        <w:rPr>
          <w:rFonts w:eastAsia="Verdana"/>
        </w:rPr>
      </w:pPr>
      <w:r w:rsidRPr="00DE108C">
        <w:rPr>
          <w:rFonts w:eastAsia="Verdana"/>
        </w:rPr>
        <w:t xml:space="preserve">Melbourne Water listed 15 major </w:t>
      </w:r>
      <w:r w:rsidRPr="4E2F9105">
        <w:rPr>
          <w:rFonts w:eastAsia="Verdana"/>
        </w:rPr>
        <w:t>projects</w:t>
      </w:r>
      <w:r w:rsidRPr="00DE108C">
        <w:rPr>
          <w:rFonts w:eastAsia="Verdana"/>
        </w:rPr>
        <w:t xml:space="preserve"> in its 2021 </w:t>
      </w:r>
      <w:r w:rsidR="00A129F6">
        <w:rPr>
          <w:rFonts w:eastAsia="Verdana"/>
        </w:rPr>
        <w:t>Price S</w:t>
      </w:r>
      <w:r w:rsidRPr="00DE108C">
        <w:rPr>
          <w:rFonts w:eastAsia="Verdana"/>
        </w:rPr>
        <w:t xml:space="preserve">ubmission, and these were included in the 2021 </w:t>
      </w:r>
      <w:r w:rsidR="006D4178">
        <w:rPr>
          <w:rFonts w:eastAsia="Verdana"/>
        </w:rPr>
        <w:t>Price De</w:t>
      </w:r>
      <w:r w:rsidRPr="00DE108C">
        <w:rPr>
          <w:rFonts w:eastAsia="Verdana"/>
        </w:rPr>
        <w:t xml:space="preserve">termination. Of these, four projects are being delivered by developers and funded via </w:t>
      </w:r>
      <w:r w:rsidR="003D5932">
        <w:rPr>
          <w:rFonts w:eastAsia="Verdana"/>
        </w:rPr>
        <w:t>D</w:t>
      </w:r>
      <w:r w:rsidR="00FB4197">
        <w:rPr>
          <w:rFonts w:eastAsia="Verdana"/>
        </w:rPr>
        <w:t>evelop</w:t>
      </w:r>
      <w:r w:rsidR="00503B86">
        <w:rPr>
          <w:rFonts w:eastAsia="Verdana"/>
        </w:rPr>
        <w:t>ment</w:t>
      </w:r>
      <w:r w:rsidRPr="00DE108C">
        <w:rPr>
          <w:rFonts w:eastAsia="Verdana"/>
        </w:rPr>
        <w:t xml:space="preserve"> </w:t>
      </w:r>
      <w:r w:rsidR="003D5932">
        <w:rPr>
          <w:rFonts w:eastAsia="Verdana"/>
        </w:rPr>
        <w:t>S</w:t>
      </w:r>
      <w:r w:rsidRPr="00DE108C">
        <w:rPr>
          <w:rFonts w:eastAsia="Verdana"/>
        </w:rPr>
        <w:t xml:space="preserve">ervices </w:t>
      </w:r>
      <w:r w:rsidR="003D5932">
        <w:rPr>
          <w:rFonts w:eastAsia="Verdana"/>
        </w:rPr>
        <w:t>S</w:t>
      </w:r>
      <w:r w:rsidRPr="00DE108C">
        <w:rPr>
          <w:rFonts w:eastAsia="Verdana"/>
        </w:rPr>
        <w:t>chemes with Melbourne Water holding an oversight role in delivery. Accordingly, from 2021-22 Major Project reporting, we included four additional projects – to be delivered by Melbourne Water where we have direct oversight in delivery. We are therefore reporting on a total of 15 Melbourne Water delivered major projects, plus an additional four developer delivered major projects.</w:t>
      </w:r>
    </w:p>
    <w:p w14:paraId="1D080BA9" w14:textId="77777777" w:rsidR="00767B75" w:rsidRPr="00DE108C" w:rsidRDefault="00767B75" w:rsidP="00354EDB">
      <w:r w:rsidRPr="00DE108C">
        <w:t>Of the 15 Melbourne Water delivered major projects:</w:t>
      </w:r>
    </w:p>
    <w:p w14:paraId="58B401F9" w14:textId="77777777" w:rsidR="00767B75" w:rsidRPr="00DE108C" w:rsidRDefault="00767B75" w:rsidP="00516D10">
      <w:pPr>
        <w:pStyle w:val="ListBullet"/>
      </w:pPr>
      <w:r w:rsidRPr="00DE108C">
        <w:t>four have been completed</w:t>
      </w:r>
    </w:p>
    <w:p w14:paraId="0CBC9469" w14:textId="40A1651C" w:rsidR="00767B75" w:rsidRPr="00DE108C" w:rsidRDefault="00767B75" w:rsidP="00516D10">
      <w:pPr>
        <w:pStyle w:val="ListBullet"/>
      </w:pPr>
      <w:r w:rsidRPr="00DE108C">
        <w:t xml:space="preserve">two are in progress </w:t>
      </w:r>
      <w:r w:rsidR="672A2FEA" w:rsidRPr="00DE108C">
        <w:t xml:space="preserve">and </w:t>
      </w:r>
      <w:r w:rsidRPr="00DE108C">
        <w:t>on schedule</w:t>
      </w:r>
    </w:p>
    <w:p w14:paraId="399649A6" w14:textId="77777777" w:rsidR="00767B75" w:rsidRPr="00DE108C" w:rsidRDefault="00767B75" w:rsidP="00516D10">
      <w:pPr>
        <w:pStyle w:val="ListBullet"/>
      </w:pPr>
      <w:r w:rsidRPr="00DE108C">
        <w:t>seven are in progress and being delivered later than anticipated in our 2021 submission</w:t>
      </w:r>
    </w:p>
    <w:p w14:paraId="55944669" w14:textId="77777777" w:rsidR="00767B75" w:rsidRPr="00DE108C" w:rsidRDefault="00767B75" w:rsidP="00516D10">
      <w:pPr>
        <w:pStyle w:val="ListBullet"/>
      </w:pPr>
      <w:r w:rsidRPr="00DE108C">
        <w:lastRenderedPageBreak/>
        <w:t>one has been deferred</w:t>
      </w:r>
    </w:p>
    <w:p w14:paraId="345E1392" w14:textId="77777777" w:rsidR="00767B75" w:rsidRPr="00DE108C" w:rsidRDefault="00767B75" w:rsidP="00516D10">
      <w:pPr>
        <w:pStyle w:val="ListBullet"/>
      </w:pPr>
      <w:r w:rsidRPr="00DE108C">
        <w:t>one was cancelled at the request of a customer.</w:t>
      </w:r>
    </w:p>
    <w:p w14:paraId="18219152" w14:textId="77777777" w:rsidR="00767B75" w:rsidRPr="00DE108C" w:rsidRDefault="00767B75" w:rsidP="00354EDB">
      <w:r w:rsidRPr="00DE108C">
        <w:t>Of the four developer delivered major projects:</w:t>
      </w:r>
    </w:p>
    <w:p w14:paraId="5AD0C2FD" w14:textId="77777777" w:rsidR="00767B75" w:rsidRPr="00DE108C" w:rsidRDefault="00767B75" w:rsidP="00516D10">
      <w:pPr>
        <w:pStyle w:val="ListBullet"/>
      </w:pPr>
      <w:r w:rsidRPr="00DE108C">
        <w:t>one has been cancelled but an interim solution was delivered by Melbourne Water instead</w:t>
      </w:r>
    </w:p>
    <w:p w14:paraId="15D559B3" w14:textId="77777777" w:rsidR="00767B75" w:rsidRPr="00DE108C" w:rsidRDefault="00767B75" w:rsidP="00516D10">
      <w:pPr>
        <w:pStyle w:val="ListBullet"/>
      </w:pPr>
      <w:r w:rsidRPr="00DE108C">
        <w:t>one has been completed</w:t>
      </w:r>
    </w:p>
    <w:p w14:paraId="34DEF02F" w14:textId="0C4DBC90" w:rsidR="00767B75" w:rsidRPr="00DE108C" w:rsidRDefault="00767B75" w:rsidP="00516D10">
      <w:pPr>
        <w:pStyle w:val="ListBullet"/>
      </w:pPr>
      <w:r w:rsidRPr="00DE108C">
        <w:t>two have been delayed</w:t>
      </w:r>
      <w:r w:rsidR="00354EDB" w:rsidRPr="00DE108C">
        <w:t>.</w:t>
      </w:r>
    </w:p>
    <w:p w14:paraId="67B111D7" w14:textId="378BD2FA" w:rsidR="00767B75" w:rsidRPr="00DE108C" w:rsidRDefault="00767B75" w:rsidP="005759CA">
      <w:pPr>
        <w:rPr>
          <w:rFonts w:eastAsiaTheme="minorEastAsia"/>
        </w:rPr>
      </w:pPr>
      <w:r w:rsidRPr="00DE108C">
        <w:t xml:space="preserve">Of the seven </w:t>
      </w:r>
      <w:r w:rsidR="26981C0C">
        <w:t xml:space="preserve">delayed </w:t>
      </w:r>
      <w:r w:rsidRPr="00DE108C">
        <w:t>projects</w:t>
      </w:r>
      <w:r w:rsidR="73F7BB53">
        <w:t xml:space="preserve">, </w:t>
      </w:r>
      <w:r w:rsidRPr="00DE108C">
        <w:t xml:space="preserve">a key cause has been the longer-than expected time involved in obtaining </w:t>
      </w:r>
      <w:r w:rsidRPr="00DE108C">
        <w:rPr>
          <w:rFonts w:eastAsiaTheme="minorEastAsia"/>
        </w:rPr>
        <w:t xml:space="preserve">planning approvals in a more contested environment. Across the projects, there has been </w:t>
      </w:r>
      <w:r w:rsidR="70DF48F2" w:rsidRPr="6CC47F37">
        <w:rPr>
          <w:rFonts w:eastAsiaTheme="minorEastAsia"/>
        </w:rPr>
        <w:t xml:space="preserve">a </w:t>
      </w:r>
      <w:r w:rsidRPr="6CC47F37">
        <w:rPr>
          <w:rFonts w:eastAsiaTheme="minorEastAsia"/>
        </w:rPr>
        <w:t>three</w:t>
      </w:r>
      <w:r w:rsidRPr="00DE108C">
        <w:rPr>
          <w:rFonts w:eastAsiaTheme="minorEastAsia"/>
        </w:rPr>
        <w:t>-year delay on average. This delay has not had immediate impacts on the level of service provided to end</w:t>
      </w:r>
      <w:r w:rsidR="65EF2B7A" w:rsidRPr="6CC47F37">
        <w:rPr>
          <w:rFonts w:eastAsiaTheme="minorEastAsia"/>
        </w:rPr>
        <w:t>-use</w:t>
      </w:r>
      <w:r w:rsidRPr="00DE108C">
        <w:rPr>
          <w:rFonts w:eastAsiaTheme="minorEastAsia"/>
        </w:rPr>
        <w:t xml:space="preserve"> customers. </w:t>
      </w:r>
    </w:p>
    <w:p w14:paraId="0F064BFC" w14:textId="365B412F" w:rsidR="00767B75" w:rsidRPr="00DE108C" w:rsidRDefault="00767B75" w:rsidP="35762B23">
      <w:pPr>
        <w:rPr>
          <w:rFonts w:eastAsiaTheme="minorEastAsia"/>
        </w:rPr>
      </w:pPr>
      <w:r w:rsidRPr="00DE108C">
        <w:rPr>
          <w:rFonts w:eastAsiaTheme="minorEastAsia"/>
        </w:rPr>
        <w:t xml:space="preserve">Further detail on the delivery of the PS21 major projects is provided in Appendix C </w:t>
      </w:r>
      <w:r w:rsidR="5543D3DE" w:rsidRPr="6CC47F37">
        <w:rPr>
          <w:rFonts w:eastAsiaTheme="minorEastAsia"/>
        </w:rPr>
        <w:t>(</w:t>
      </w:r>
      <w:r w:rsidRPr="00DE108C">
        <w:rPr>
          <w:rFonts w:eastAsiaTheme="minorEastAsia"/>
        </w:rPr>
        <w:t>Major projects deliver</w:t>
      </w:r>
      <w:r w:rsidR="4F7265FD" w:rsidRPr="00DE108C">
        <w:rPr>
          <w:rFonts w:eastAsiaTheme="minorEastAsia"/>
        </w:rPr>
        <w:t>y</w:t>
      </w:r>
      <w:r w:rsidR="7179AAD6" w:rsidRPr="6CC47F37">
        <w:rPr>
          <w:rFonts w:eastAsiaTheme="minorEastAsia"/>
        </w:rPr>
        <w:t>)</w:t>
      </w:r>
      <w:r w:rsidRPr="6CC47F37">
        <w:rPr>
          <w:rFonts w:eastAsiaTheme="minorEastAsia"/>
        </w:rPr>
        <w:t>.</w:t>
      </w:r>
    </w:p>
    <w:p w14:paraId="629E9BDB" w14:textId="14072613" w:rsidR="00767B75" w:rsidRPr="00DE108C" w:rsidRDefault="00767B75">
      <w:pPr>
        <w:rPr>
          <w:rFonts w:eastAsiaTheme="minorEastAsia"/>
        </w:rPr>
      </w:pPr>
      <w:r w:rsidRPr="00DE108C">
        <w:rPr>
          <w:rFonts w:eastAsiaTheme="minorEastAsia"/>
        </w:rPr>
        <w:t xml:space="preserve">The lessons from the current period have been applied to the development of major project capex forecasts for the 2026-31 </w:t>
      </w:r>
      <w:r w:rsidR="004065D9">
        <w:rPr>
          <w:rFonts w:eastAsiaTheme="minorEastAsia"/>
        </w:rPr>
        <w:t xml:space="preserve">regulatory </w:t>
      </w:r>
      <w:r w:rsidRPr="00DE108C">
        <w:rPr>
          <w:rFonts w:eastAsiaTheme="minorEastAsia"/>
        </w:rPr>
        <w:t>period. In particular, we have based the development and planning timetable on recent experience. Further detail on the lessons learn</w:t>
      </w:r>
      <w:r w:rsidR="00E7119E">
        <w:rPr>
          <w:rFonts w:eastAsiaTheme="minorEastAsia"/>
        </w:rPr>
        <w:t>t</w:t>
      </w:r>
      <w:r w:rsidRPr="00DE108C">
        <w:rPr>
          <w:rFonts w:eastAsiaTheme="minorEastAsia"/>
        </w:rPr>
        <w:t xml:space="preserve"> from our PS21 project delivery performance and how we are improving our delivery for PS26 </w:t>
      </w:r>
      <w:r w:rsidR="348C313F" w:rsidRPr="37427735">
        <w:rPr>
          <w:rFonts w:eastAsiaTheme="minorEastAsia"/>
        </w:rPr>
        <w:t>p</w:t>
      </w:r>
      <w:r w:rsidRPr="00DE108C">
        <w:rPr>
          <w:rFonts w:eastAsiaTheme="minorEastAsia"/>
        </w:rPr>
        <w:t>rojects can be found in the Deliverability Plan.</w:t>
      </w:r>
    </w:p>
    <w:p w14:paraId="79CE09AE" w14:textId="77777777" w:rsidR="00767B75" w:rsidRPr="00DE108C" w:rsidRDefault="00767B75">
      <w:pPr>
        <w:pStyle w:val="Heading2"/>
      </w:pPr>
      <w:bookmarkStart w:id="166" w:name="_Toc190876133"/>
      <w:bookmarkStart w:id="167" w:name="_Toc196745191"/>
      <w:bookmarkStart w:id="168" w:name="_Toc207892883"/>
      <w:bookmarkStart w:id="169" w:name="_Toc207853376"/>
      <w:r w:rsidRPr="00DE108C">
        <w:t xml:space="preserve">2.3 Customer </w:t>
      </w:r>
      <w:bookmarkEnd w:id="127"/>
      <w:bookmarkEnd w:id="166"/>
      <w:bookmarkEnd w:id="167"/>
      <w:r w:rsidRPr="00DE108C">
        <w:t>satisfaction</w:t>
      </w:r>
      <w:bookmarkEnd w:id="168"/>
      <w:bookmarkEnd w:id="169"/>
    </w:p>
    <w:p w14:paraId="70565257" w14:textId="77777777" w:rsidR="00767B75" w:rsidRPr="00DE108C" w:rsidRDefault="00767B75" w:rsidP="005759CA">
      <w:r w:rsidRPr="00DE108C">
        <w:t xml:space="preserve">Further to the discussion of Outcomes above, we are able to provide further evidence of positive customer sentiment that demonstrates satisfaction with Melbourne Water’s performance over the 2021-26 regulatory period. </w:t>
      </w:r>
    </w:p>
    <w:p w14:paraId="3AA1D6CE" w14:textId="77777777" w:rsidR="00767B75" w:rsidRPr="00DE108C" w:rsidRDefault="00767B75" w:rsidP="005759CA">
      <w:r w:rsidRPr="00DE108C">
        <w:t>Melbourne Water undertakes broader customer satisfaction survey work than reported under Outcome 5. The results of these surveys show strong satisfaction with Melbourne Water and are provided below.</w:t>
      </w:r>
    </w:p>
    <w:p w14:paraId="6DBA78C5" w14:textId="77777777" w:rsidR="00767B75" w:rsidRPr="00DE108C" w:rsidRDefault="00767B75" w:rsidP="005759CA">
      <w:r w:rsidRPr="00DE108C">
        <w:t>Information on a range of actions that have been taken within the regulatory period to strengthen our relationship with key customer groups with the aim of improving customer satisfaction are also provided below.</w:t>
      </w:r>
    </w:p>
    <w:p w14:paraId="25B818E6" w14:textId="77777777" w:rsidR="00767B75" w:rsidRPr="00DE108C" w:rsidRDefault="00767B75" w:rsidP="005759CA">
      <w:pPr>
        <w:pStyle w:val="Heading3"/>
      </w:pPr>
      <w:r w:rsidRPr="00DE108C">
        <w:t>2.3.1 Surveys providing evidence of customer satisfaction</w:t>
      </w:r>
    </w:p>
    <w:p w14:paraId="22A008CC" w14:textId="77777777" w:rsidR="00767B75" w:rsidRPr="00DE108C" w:rsidRDefault="00767B75" w:rsidP="005759CA">
      <w:r w:rsidRPr="00DE108C">
        <w:t xml:space="preserve">Surveys are undertaken that capture satisfaction data by customer group and by service. </w:t>
      </w:r>
    </w:p>
    <w:p w14:paraId="707E3A65" w14:textId="77777777" w:rsidR="00767B75" w:rsidRPr="00DE108C" w:rsidRDefault="00767B75">
      <w:pPr>
        <w:pStyle w:val="Heading4"/>
      </w:pPr>
      <w:r w:rsidRPr="00DE108C">
        <w:t>2.3.1.1. Water Corporations: Reputation Survey</w:t>
      </w:r>
    </w:p>
    <w:p w14:paraId="35932F0D" w14:textId="4E49610E" w:rsidR="00767B75" w:rsidRPr="00DE108C" w:rsidRDefault="00767B75" w:rsidP="005759CA">
      <w:r w:rsidRPr="00DE108C">
        <w:t xml:space="preserve">This is a six-monthly survey issued to the water corporations each June and December. The online survey seeks </w:t>
      </w:r>
      <w:r>
        <w:t>information</w:t>
      </w:r>
      <w:r w:rsidRPr="00DE108C">
        <w:t xml:space="preserve"> on perceptions of the strength of our relationship and on perceptions of the performance of Melbourne Water in meeting the needs of the water corporation. </w:t>
      </w:r>
    </w:p>
    <w:p w14:paraId="57883876" w14:textId="77777777" w:rsidR="00F775BC" w:rsidRPr="00DE108C" w:rsidRDefault="00F775BC">
      <w:pPr>
        <w:spacing w:before="0" w:after="0" w:line="320" w:lineRule="atLeast"/>
      </w:pPr>
      <w:r w:rsidRPr="00DE108C">
        <w:br w:type="page"/>
      </w:r>
    </w:p>
    <w:p w14:paraId="6A80D106" w14:textId="78D45A6D" w:rsidR="005759CA" w:rsidRPr="00DE108C" w:rsidRDefault="00767B75" w:rsidP="005759CA">
      <w:r w:rsidRPr="00DE108C">
        <w:lastRenderedPageBreak/>
        <w:t>As shown in Figure 2.</w:t>
      </w:r>
      <w:r w:rsidR="00451A53">
        <w:t>6</w:t>
      </w:r>
      <w:r w:rsidRPr="00DE108C">
        <w:t xml:space="preserve">, the reputation score trend has been steady since 2016. In the current regulatory period, this </w:t>
      </w:r>
      <w:r w:rsidR="5E94FC7E">
        <w:t>s</w:t>
      </w:r>
      <w:r>
        <w:t>core</w:t>
      </w:r>
      <w:r w:rsidRPr="00DE108C">
        <w:t xml:space="preserve"> has rated as either ‘Strong’ or ‘Excellent’. </w:t>
      </w:r>
    </w:p>
    <w:p w14:paraId="6ADFC212" w14:textId="631C84F7" w:rsidR="00767B75" w:rsidRPr="00DE108C" w:rsidRDefault="00767B75" w:rsidP="00094CD4">
      <w:pPr>
        <w:pStyle w:val="Caption"/>
      </w:pPr>
      <w:bookmarkStart w:id="170" w:name="_Toc207892983"/>
      <w:bookmarkStart w:id="171" w:name="_Toc208490507"/>
      <w:bookmarkStart w:id="172" w:name="_Toc208490845"/>
      <w:bookmarkStart w:id="173" w:name="_Toc208911003"/>
      <w:bookmarkStart w:id="174" w:name="_Toc210051310"/>
      <w:r w:rsidRPr="00DE108C">
        <w:t>Figure 2.</w:t>
      </w:r>
      <w:r w:rsidR="00451A53">
        <w:t>6</w:t>
      </w:r>
      <w:r w:rsidRPr="00DE108C">
        <w:t>: Water Corporations’ Reputation Scores</w:t>
      </w:r>
      <w:bookmarkEnd w:id="170"/>
      <w:bookmarkEnd w:id="171"/>
      <w:bookmarkEnd w:id="172"/>
      <w:bookmarkEnd w:id="173"/>
      <w:bookmarkEnd w:id="174"/>
    </w:p>
    <w:p w14:paraId="25252626" w14:textId="4517C306" w:rsidR="00767B75" w:rsidRPr="00DE108C" w:rsidRDefault="00767B75">
      <w:r w:rsidRPr="00DE108C">
        <w:rPr>
          <w:noProof/>
        </w:rPr>
        <w:drawing>
          <wp:inline distT="0" distB="0" distL="0" distR="0" wp14:anchorId="08E6F805" wp14:editId="3DB816CC">
            <wp:extent cx="5724525" cy="1933575"/>
            <wp:effectExtent l="0" t="0" r="0" b="0"/>
            <wp:docPr id="1345612624" name="drawing" descr="Bar chart titled &quot;Reputation Water Corporations&quot; showing reputation scores of water corporations across various time periods from September 2015 to June 2025 with scores ranging from 76.5 to 85.0. The highest score is 85.0 in the period Jun’22–Dec’22. The chart shows a general fluctuation in scores over time, with a peak in early 2020 and a gradual decline afterward. In the current regulatory period scores have remained in the 76.7 to 85.0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12624" name="drawing" descr="Bar chart titled &quot;Reputation Water Corporations&quot; showing reputation scores of water corporations across various time periods from September 2015 to June 2025 with scores ranging from 76.5 to 85.0. The highest score is 85.0 in the period Jun’22–Dec’22. The chart shows a general fluctuation in scores over time, with a peak in early 2020 and a gradual decline afterward. In the current regulatory period scores have remained in the 76.7 to 85.0 range."/>
                    <pic:cNvPicPr/>
                  </pic:nvPicPr>
                  <pic:blipFill>
                    <a:blip r:embed="rId52" cstate="screen">
                      <a:extLst>
                        <a:ext uri="{28A0092B-C50C-407E-A947-70E740481C1C}">
                          <a14:useLocalDpi xmlns:a14="http://schemas.microsoft.com/office/drawing/2010/main"/>
                        </a:ext>
                      </a:extLst>
                    </a:blip>
                    <a:stretch>
                      <a:fillRect/>
                    </a:stretch>
                  </pic:blipFill>
                  <pic:spPr>
                    <a:xfrm>
                      <a:off x="0" y="0"/>
                      <a:ext cx="5724525" cy="1933575"/>
                    </a:xfrm>
                    <a:prstGeom prst="rect">
                      <a:avLst/>
                    </a:prstGeom>
                  </pic:spPr>
                </pic:pic>
              </a:graphicData>
            </a:graphic>
          </wp:inline>
        </w:drawing>
      </w:r>
    </w:p>
    <w:p w14:paraId="1D355227" w14:textId="77777777" w:rsidR="00767B75" w:rsidRPr="00DE108C" w:rsidRDefault="00767B75">
      <w:r w:rsidRPr="00DE108C">
        <w:rPr>
          <w:noProof/>
        </w:rPr>
        <w:drawing>
          <wp:inline distT="0" distB="0" distL="0" distR="0" wp14:anchorId="7A88CD5F" wp14:editId="0DDEF70B">
            <wp:extent cx="5095875" cy="438150"/>
            <wp:effectExtent l="0" t="0" r="0" b="0"/>
            <wp:docPr id="244382199"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82199" name="drawing">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a:ext>
                      </a:extLst>
                    </a:blip>
                    <a:stretch>
                      <a:fillRect/>
                    </a:stretch>
                  </pic:blipFill>
                  <pic:spPr>
                    <a:xfrm>
                      <a:off x="0" y="0"/>
                      <a:ext cx="5095875" cy="438150"/>
                    </a:xfrm>
                    <a:prstGeom prst="rect">
                      <a:avLst/>
                    </a:prstGeom>
                  </pic:spPr>
                </pic:pic>
              </a:graphicData>
            </a:graphic>
          </wp:inline>
        </w:drawing>
      </w:r>
    </w:p>
    <w:p w14:paraId="2F80635C" w14:textId="1AC7AB07" w:rsidR="00767B75" w:rsidRPr="00DE108C" w:rsidRDefault="00767B75">
      <w:pPr>
        <w:pStyle w:val="Heading4"/>
      </w:pPr>
      <w:r w:rsidRPr="00DE108C">
        <w:t>2.3.1.2 Customer Service Centre (CSC) Survey</w:t>
      </w:r>
    </w:p>
    <w:p w14:paraId="6B708F8B" w14:textId="6B195098" w:rsidR="00767B75" w:rsidRPr="00DE108C" w:rsidRDefault="00767B75" w:rsidP="005759CA">
      <w:r w:rsidRPr="00DE108C">
        <w:t xml:space="preserve">This online survey is offered to all waterways and drainage customers that contact the CSC. The survey is conducted to test customer experience and to gain feedback on areas for improvement. </w:t>
      </w:r>
      <w:r>
        <w:t>The</w:t>
      </w:r>
      <w:r w:rsidR="566AC400">
        <w:t xml:space="preserve"> </w:t>
      </w:r>
      <w:r>
        <w:t>survey</w:t>
      </w:r>
      <w:r w:rsidRPr="00DE108C">
        <w:t xml:space="preserve"> results, which are compiled monthly, are shown in Figure 2.</w:t>
      </w:r>
      <w:r w:rsidR="00451A53">
        <w:t>7</w:t>
      </w:r>
      <w:r w:rsidRPr="00DE108C">
        <w:t>.</w:t>
      </w:r>
    </w:p>
    <w:p w14:paraId="5F3DB171" w14:textId="341B023D" w:rsidR="005759CA" w:rsidRPr="00DE108C" w:rsidRDefault="00767B75" w:rsidP="005759CA">
      <w:r w:rsidRPr="00DE108C">
        <w:t>While there can be variation month to month, this survey shows consistently strong satisfaction since April 2019 and a relatively stable trend.</w:t>
      </w:r>
    </w:p>
    <w:p w14:paraId="20C8FC31" w14:textId="406A9DC5" w:rsidR="00767B75" w:rsidRPr="00DE108C" w:rsidRDefault="00767B75" w:rsidP="00094CD4">
      <w:pPr>
        <w:pStyle w:val="Caption"/>
      </w:pPr>
      <w:bookmarkStart w:id="175" w:name="_Toc207892984"/>
      <w:bookmarkStart w:id="176" w:name="_Toc208490508"/>
      <w:bookmarkStart w:id="177" w:name="_Toc208490846"/>
      <w:bookmarkStart w:id="178" w:name="_Toc208911004"/>
      <w:bookmarkStart w:id="179" w:name="_Toc210051311"/>
      <w:r w:rsidRPr="00DE108C">
        <w:t>Figure 2.</w:t>
      </w:r>
      <w:r w:rsidR="00451A53">
        <w:t>7</w:t>
      </w:r>
      <w:r w:rsidR="00CB22F9" w:rsidRPr="00DE108C">
        <w:t>:</w:t>
      </w:r>
      <w:r w:rsidRPr="00DE108C">
        <w:t xml:space="preserve"> CSC Customer Satisfaction Scores</w:t>
      </w:r>
      <w:bookmarkEnd w:id="175"/>
      <w:bookmarkEnd w:id="176"/>
      <w:bookmarkEnd w:id="177"/>
      <w:bookmarkEnd w:id="178"/>
      <w:bookmarkEnd w:id="179"/>
    </w:p>
    <w:p w14:paraId="597FA9C8" w14:textId="77777777" w:rsidR="00767B75" w:rsidRPr="00DE108C" w:rsidRDefault="00767B75">
      <w:r w:rsidRPr="00DE108C">
        <w:rPr>
          <w:noProof/>
        </w:rPr>
        <w:drawing>
          <wp:inline distT="0" distB="0" distL="0" distR="0" wp14:anchorId="25961C44" wp14:editId="340DBB80">
            <wp:extent cx="5724525" cy="2190750"/>
            <wp:effectExtent l="0" t="0" r="0" b="0"/>
            <wp:docPr id="724202497" name="drawing" descr="Line chart titled &quot;CSC Customer Satisfaction (CSAT)&quot; showing mean customer satisfaction scores from April 2019 to January 2025. Score fluctuate between approximately 7.1 and 9.6. The chart illustrates strong satisfaction and a relatively stable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02497" name="drawing" descr="Line chart titled &quot;CSC Customer Satisfaction (CSAT)&quot; showing mean customer satisfaction scores from April 2019 to January 2025. Score fluctuate between approximately 7.1 and 9.6. The chart illustrates strong satisfaction and a relatively stable trend."/>
                    <pic:cNvPicPr/>
                  </pic:nvPicPr>
                  <pic:blipFill>
                    <a:blip r:embed="rId54" cstate="screen">
                      <a:extLst>
                        <a:ext uri="{28A0092B-C50C-407E-A947-70E740481C1C}">
                          <a14:useLocalDpi xmlns:a14="http://schemas.microsoft.com/office/drawing/2010/main"/>
                        </a:ext>
                      </a:extLst>
                    </a:blip>
                    <a:stretch>
                      <a:fillRect/>
                    </a:stretch>
                  </pic:blipFill>
                  <pic:spPr>
                    <a:xfrm>
                      <a:off x="0" y="0"/>
                      <a:ext cx="5724525" cy="2190750"/>
                    </a:xfrm>
                    <a:prstGeom prst="rect">
                      <a:avLst/>
                    </a:prstGeom>
                  </pic:spPr>
                </pic:pic>
              </a:graphicData>
            </a:graphic>
          </wp:inline>
        </w:drawing>
      </w:r>
    </w:p>
    <w:p w14:paraId="11A15086" w14:textId="77777777" w:rsidR="00767B75" w:rsidRPr="00DE108C" w:rsidRDefault="00767B75" w:rsidP="005759CA">
      <w:r w:rsidRPr="00DE108C">
        <w:t>Based on these survey results, Melbourne Water has received customer experience awards under the independent Customer Service Benchmarking Australia (CSBA) call quality and customer experience benchmarking program. This has included:</w:t>
      </w:r>
    </w:p>
    <w:p w14:paraId="749AE99C" w14:textId="77777777" w:rsidR="00767B75" w:rsidRPr="00DE108C" w:rsidRDefault="00767B75" w:rsidP="00516D10">
      <w:pPr>
        <w:pStyle w:val="ListBullet"/>
      </w:pPr>
      <w:r w:rsidRPr="00DE108C">
        <w:t>ranking first out of 54 corporations in the water sector for call quality and customer experience</w:t>
      </w:r>
    </w:p>
    <w:p w14:paraId="76010A11" w14:textId="77777777" w:rsidR="00767B75" w:rsidRPr="00DE108C" w:rsidRDefault="00767B75" w:rsidP="00516D10">
      <w:pPr>
        <w:pStyle w:val="ListBullet"/>
      </w:pPr>
      <w:r w:rsidRPr="00DE108C">
        <w:t xml:space="preserve">ranking fifth nationally out of 209 participants across all sectors </w:t>
      </w:r>
    </w:p>
    <w:p w14:paraId="20EC2CE2" w14:textId="77777777" w:rsidR="00767B75" w:rsidRPr="00DE108C" w:rsidRDefault="00767B75" w:rsidP="00516D10">
      <w:pPr>
        <w:pStyle w:val="ListBullet"/>
      </w:pPr>
      <w:r w:rsidRPr="00DE108C">
        <w:t>receiving the award for ‘Best in Sector’ for the water industry for the fourth quarter of 2024-25.</w:t>
      </w:r>
    </w:p>
    <w:p w14:paraId="1F829393" w14:textId="77777777" w:rsidR="00767B75" w:rsidRPr="00DE108C" w:rsidRDefault="00767B75">
      <w:pPr>
        <w:pStyle w:val="Heading4"/>
      </w:pPr>
      <w:r w:rsidRPr="00DE108C">
        <w:lastRenderedPageBreak/>
        <w:t>2.3.1.3 Developer CSAT Survey</w:t>
      </w:r>
    </w:p>
    <w:p w14:paraId="6F642E17" w14:textId="052076A8" w:rsidR="00767B75" w:rsidRPr="00DE108C" w:rsidRDefault="00767B75" w:rsidP="001D1E0A">
      <w:r w:rsidRPr="00DE108C">
        <w:t>This is an online survey issued to developers that had an application resolved. The survey results, which are compiled monthly, are shown in Figure 2.</w:t>
      </w:r>
      <w:r w:rsidR="0050752B">
        <w:t>8</w:t>
      </w:r>
      <w:r w:rsidRPr="00DE108C">
        <w:t>. This survey, conducted since August 2022, shows monthly variation. However, the scores have generally improved from the second half of 2024, after some earlier periodic falls, and have risen to a strong satisfaction level.</w:t>
      </w:r>
    </w:p>
    <w:p w14:paraId="71491154" w14:textId="77777777" w:rsidR="00767B75" w:rsidRPr="00DE108C" w:rsidRDefault="00767B75" w:rsidP="001D1E0A"/>
    <w:p w14:paraId="388DE226" w14:textId="54F3099C" w:rsidR="00767B75" w:rsidRPr="00DE108C" w:rsidRDefault="00767B75" w:rsidP="00094CD4">
      <w:pPr>
        <w:pStyle w:val="Caption"/>
      </w:pPr>
      <w:bookmarkStart w:id="180" w:name="_Toc207892985"/>
      <w:bookmarkStart w:id="181" w:name="_Toc208490509"/>
      <w:bookmarkStart w:id="182" w:name="_Toc208490847"/>
      <w:bookmarkStart w:id="183" w:name="_Toc208911005"/>
      <w:bookmarkStart w:id="184" w:name="_Toc210051312"/>
      <w:r w:rsidRPr="00DE108C">
        <w:t>Figure 2.</w:t>
      </w:r>
      <w:r w:rsidR="0050752B">
        <w:t>8</w:t>
      </w:r>
      <w:r w:rsidRPr="00DE108C">
        <w:t>: Developer Customer Satisfaction Scores</w:t>
      </w:r>
      <w:bookmarkEnd w:id="180"/>
      <w:bookmarkEnd w:id="181"/>
      <w:bookmarkEnd w:id="182"/>
      <w:bookmarkEnd w:id="183"/>
      <w:bookmarkEnd w:id="184"/>
    </w:p>
    <w:p w14:paraId="3629A7F8" w14:textId="77777777" w:rsidR="00767B75" w:rsidRPr="00DE108C" w:rsidRDefault="00767B75">
      <w:r w:rsidRPr="00DE108C">
        <w:rPr>
          <w:noProof/>
        </w:rPr>
        <w:drawing>
          <wp:inline distT="0" distB="0" distL="0" distR="0" wp14:anchorId="121AC282" wp14:editId="770FCBE3">
            <wp:extent cx="5724525" cy="2238375"/>
            <wp:effectExtent l="0" t="0" r="0" b="0"/>
            <wp:docPr id="274324668" name="drawing" descr="Line chart titled &quot;Developer Customer Satisfaction (CSAT)&quot;. The time series spans from August 2022 to June 2025. Monthly data points show fluctuations in satisfaction scores. Notable peaks include October 2022 (8.3), February 2023 (8.6), and May 2025 (8.4), while troughs appear in December 2022 (6.7) and July 2024 (6.1). The trend indicates a recovery and stabilisation around 7.5 from mid-2024 to mid-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24668" name="drawing" descr="Line chart titled &quot;Developer Customer Satisfaction (CSAT)&quot;. The time series spans from August 2022 to June 2025. Monthly data points show fluctuations in satisfaction scores. Notable peaks include October 2022 (8.3), February 2023 (8.6), and May 2025 (8.4), while troughs appear in December 2022 (6.7) and July 2024 (6.1). The trend indicates a recovery and stabilisation around 7.5 from mid-2024 to mid-2025."/>
                    <pic:cNvPicPr/>
                  </pic:nvPicPr>
                  <pic:blipFill>
                    <a:blip r:embed="rId55" cstate="screen">
                      <a:extLst>
                        <a:ext uri="{28A0092B-C50C-407E-A947-70E740481C1C}">
                          <a14:useLocalDpi xmlns:a14="http://schemas.microsoft.com/office/drawing/2010/main"/>
                        </a:ext>
                      </a:extLst>
                    </a:blip>
                    <a:stretch>
                      <a:fillRect/>
                    </a:stretch>
                  </pic:blipFill>
                  <pic:spPr>
                    <a:xfrm>
                      <a:off x="0" y="0"/>
                      <a:ext cx="5724525" cy="2238375"/>
                    </a:xfrm>
                    <a:prstGeom prst="rect">
                      <a:avLst/>
                    </a:prstGeom>
                  </pic:spPr>
                </pic:pic>
              </a:graphicData>
            </a:graphic>
          </wp:inline>
        </w:drawing>
      </w:r>
    </w:p>
    <w:p w14:paraId="771D989A" w14:textId="5DB3CEA3" w:rsidR="00767B75" w:rsidRPr="00DE108C" w:rsidRDefault="00767B75" w:rsidP="001D1E0A">
      <w:r w:rsidRPr="00DE108C">
        <w:t>The improvement in developer satisfaction scores has been in response to the increased resourcing provided by Melbourne Water to improve processing periods and completion of applications after an earlier backlog. As at June 2025, we were completing 97.5 per cent of processed applications within statutory timeframes. This has received positive feedback and our Developer Application CSAT score was 7.6 as at June 2025.</w:t>
      </w:r>
    </w:p>
    <w:p w14:paraId="45743F09" w14:textId="77777777" w:rsidR="00767B75" w:rsidRPr="00DE108C" w:rsidRDefault="00767B75">
      <w:pPr>
        <w:pStyle w:val="Heading4"/>
      </w:pPr>
      <w:r w:rsidRPr="00DE108C">
        <w:t>2.3.1.4 Perceptions of Waterways Survey</w:t>
      </w:r>
    </w:p>
    <w:p w14:paraId="17A3161D" w14:textId="1A0F1EB5" w:rsidR="00767B75" w:rsidRPr="00DE108C" w:rsidRDefault="00767B75" w:rsidP="001D1E0A">
      <w:r w:rsidRPr="00DE108C">
        <w:t>This is an annual survey conducted since 1993. The survey is issued to community members that have visited a waterway managed by Melbourne Water in the prior 12 months. This survey seeks feedback on community satisfaction regarding the waterways, and community needs and priorities relating to the use of the waterways. The survey results are shown in Figure 2.</w:t>
      </w:r>
      <w:r w:rsidR="0050752B">
        <w:t>9</w:t>
      </w:r>
      <w:r w:rsidRPr="00DE108C">
        <w:t>.</w:t>
      </w:r>
    </w:p>
    <w:p w14:paraId="669401D7" w14:textId="223D5EF3" w:rsidR="00767B75" w:rsidRPr="00DE108C" w:rsidRDefault="00767B75" w:rsidP="00094CD4">
      <w:pPr>
        <w:pStyle w:val="Caption"/>
      </w:pPr>
      <w:bookmarkStart w:id="185" w:name="_Toc207892986"/>
      <w:bookmarkStart w:id="186" w:name="_Toc208490510"/>
      <w:bookmarkStart w:id="187" w:name="_Toc208490848"/>
      <w:bookmarkStart w:id="188" w:name="_Toc208911006"/>
      <w:bookmarkStart w:id="189" w:name="_Toc210051313"/>
      <w:r w:rsidRPr="00DE108C">
        <w:lastRenderedPageBreak/>
        <w:t>Figure 2.</w:t>
      </w:r>
      <w:r w:rsidR="0050752B">
        <w:t>9</w:t>
      </w:r>
      <w:r w:rsidRPr="00DE108C">
        <w:t>: Satisfaction with waterways scores</w:t>
      </w:r>
      <w:bookmarkEnd w:id="185"/>
      <w:bookmarkEnd w:id="186"/>
      <w:bookmarkEnd w:id="187"/>
      <w:bookmarkEnd w:id="188"/>
      <w:bookmarkEnd w:id="189"/>
    </w:p>
    <w:p w14:paraId="571794DB" w14:textId="77777777" w:rsidR="00767B75" w:rsidRPr="00DE108C" w:rsidRDefault="00767B75">
      <w:r w:rsidRPr="00DE108C">
        <w:rPr>
          <w:noProof/>
        </w:rPr>
        <w:drawing>
          <wp:inline distT="0" distB="0" distL="0" distR="0" wp14:anchorId="718FE294" wp14:editId="0E33DF72">
            <wp:extent cx="5724525" cy="2781300"/>
            <wp:effectExtent l="0" t="0" r="0" b="0"/>
            <wp:docPr id="1336834477" name="drawing" descr="Line chart titled &quot;Satisfaction with waterways score&quot; showing the percentage of respondents who rated satisfaction between 6 and 10 from 1993 to 2025. The graph highlights a rise around 1999 and peaks at 93% in 2020, with 92% in 2024 and a projected 91% in 2025. A table on the right breaks down ratings for 2023, 2024, and projected 2025 across rating bands (0–2 to 8–10). The KPI for ratings 6–10 is: 91% (2023), 92% (2024), and 91% (2025 projected). A footnote explains the base sample includes waterways visitors in greater Melbourne over the past 12 months, with sample sizes around 1,900. An arrow symbol denotes statistically significant differences sinc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34477" name="drawing" descr="Line chart titled &quot;Satisfaction with waterways score&quot; showing the percentage of respondents who rated satisfaction between 6 and 10 from 1993 to 2025. The graph highlights a rise around 1999 and peaks at 93% in 2020, with 92% in 2024 and a projected 91% in 2025. A table on the right breaks down ratings for 2023, 2024, and projected 2025 across rating bands (0–2 to 8–10). The KPI for ratings 6–10 is: 91% (2023), 92% (2024), and 91% (2025 projected). A footnote explains the base sample includes waterways visitors in greater Melbourne over the past 12 months, with sample sizes around 1,900. An arrow symbol denotes statistically significant differences since 2023."/>
                    <pic:cNvPicPr/>
                  </pic:nvPicPr>
                  <pic:blipFill>
                    <a:blip r:embed="rId56" cstate="screen">
                      <a:extLst>
                        <a:ext uri="{28A0092B-C50C-407E-A947-70E740481C1C}">
                          <a14:useLocalDpi xmlns:a14="http://schemas.microsoft.com/office/drawing/2010/main"/>
                        </a:ext>
                      </a:extLst>
                    </a:blip>
                    <a:stretch>
                      <a:fillRect/>
                    </a:stretch>
                  </pic:blipFill>
                  <pic:spPr>
                    <a:xfrm>
                      <a:off x="0" y="0"/>
                      <a:ext cx="5724525" cy="2781300"/>
                    </a:xfrm>
                    <a:prstGeom prst="rect">
                      <a:avLst/>
                    </a:prstGeom>
                  </pic:spPr>
                </pic:pic>
              </a:graphicData>
            </a:graphic>
          </wp:inline>
        </w:drawing>
      </w:r>
    </w:p>
    <w:p w14:paraId="3EB68A26" w14:textId="195C23B5" w:rsidR="00767B75" w:rsidRPr="00DE108C" w:rsidRDefault="00767B75" w:rsidP="001D1E0A">
      <w:r w:rsidRPr="00DE108C">
        <w:t>The line on the chart, which shows the percentage of respondents that rated their satisfaction between six and 10 (out of 10), has been increasing to over 90 per cent over the last three years to 2025. In this period, over half of all respondents rated their satisfaction between eight and 10 (out of 10).</w:t>
      </w:r>
    </w:p>
    <w:p w14:paraId="7BDE9F8E" w14:textId="77777777" w:rsidR="00767B75" w:rsidRPr="00DE108C" w:rsidRDefault="00767B75" w:rsidP="001D1E0A">
      <w:r w:rsidRPr="00DE108C">
        <w:t>This demonstrates strong levels of satisfaction among community members accessing our waterways and satisfaction in their ability to use the waterways in a manner that meets their needs.</w:t>
      </w:r>
    </w:p>
    <w:p w14:paraId="269BFCEE" w14:textId="77777777" w:rsidR="00767B75" w:rsidRPr="00DE108C" w:rsidRDefault="00767B75">
      <w:pPr>
        <w:rPr>
          <w:sz w:val="22"/>
          <w:szCs w:val="22"/>
        </w:rPr>
      </w:pPr>
    </w:p>
    <w:p w14:paraId="4942F121" w14:textId="77777777" w:rsidR="00767B75" w:rsidRPr="00DE108C" w:rsidRDefault="00767B75">
      <w:pPr>
        <w:pStyle w:val="Heading3"/>
      </w:pPr>
      <w:r w:rsidRPr="00DE108C">
        <w:t xml:space="preserve">2.3.2 Other actions to improve customer relationships and satisfaction </w:t>
      </w:r>
    </w:p>
    <w:p w14:paraId="28296172" w14:textId="77777777" w:rsidR="00767B75" w:rsidRPr="00DE108C" w:rsidRDefault="00767B75" w:rsidP="001D1E0A">
      <w:r w:rsidRPr="00DE108C">
        <w:t>We have continued to focus on ensuring that the investments we are making meet customer expectations and continue to deliver value for the water sector as a whole, and to our residential, non-residential, developer and fee-for-service customers.</w:t>
      </w:r>
    </w:p>
    <w:p w14:paraId="568C1FD0" w14:textId="77777777" w:rsidR="00767B75" w:rsidRPr="00DE108C" w:rsidRDefault="00767B75" w:rsidP="001D1E0A">
      <w:r w:rsidRPr="00DE108C">
        <w:t>We have responded to changes in the sector through:</w:t>
      </w:r>
    </w:p>
    <w:p w14:paraId="58AD60C1" w14:textId="01288BEB" w:rsidR="00767B75" w:rsidRPr="00DE108C" w:rsidRDefault="00981C3C" w:rsidP="005D102B">
      <w:pPr>
        <w:pStyle w:val="ListBullet"/>
      </w:pPr>
      <w:r>
        <w:t>E</w:t>
      </w:r>
      <w:r w:rsidR="00767B75" w:rsidRPr="00DE108C">
        <w:t xml:space="preserve">ngaging with our different customer segments and developing </w:t>
      </w:r>
      <w:r w:rsidR="00767B75" w:rsidRPr="00DE108C">
        <w:rPr>
          <w:b/>
          <w:bCs/>
        </w:rPr>
        <w:t xml:space="preserve">Customer Experience Improvement Plans </w:t>
      </w:r>
      <w:r w:rsidR="00767B75" w:rsidRPr="00DE108C">
        <w:t>to best identify and implement the changes we need to make to improve satisfaction</w:t>
      </w:r>
      <w:r>
        <w:t>.</w:t>
      </w:r>
    </w:p>
    <w:p w14:paraId="0E659F10" w14:textId="1E284BA1" w:rsidR="00767B75" w:rsidRPr="00DE108C" w:rsidRDefault="00FC24BA" w:rsidP="0017365B">
      <w:pPr>
        <w:pStyle w:val="ListBullet"/>
      </w:pPr>
      <w:r>
        <w:t>W</w:t>
      </w:r>
      <w:r w:rsidR="00767B75" w:rsidRPr="00DE108C">
        <w:t xml:space="preserve">orking with the development industry through </w:t>
      </w:r>
      <w:r w:rsidR="00767B75" w:rsidRPr="00DE108C">
        <w:rPr>
          <w:b/>
          <w:bCs/>
        </w:rPr>
        <w:t>the Urban Planning and Development Strategic Consultation Group</w:t>
      </w:r>
      <w:r w:rsidR="00767B75" w:rsidRPr="00DE108C">
        <w:t xml:space="preserve">, which sought to understand how we can best improve strategic and operational effectiveness, including commitments to </w:t>
      </w:r>
      <w:r w:rsidR="713E6C5A">
        <w:t>turnaround</w:t>
      </w:r>
      <w:r w:rsidR="00767B75" w:rsidRPr="00DE108C">
        <w:t xml:space="preserve"> times for development referrals and applications, achieving 97.5 per cent completion within time limits by June 2025</w:t>
      </w:r>
      <w:r>
        <w:t>.</w:t>
      </w:r>
    </w:p>
    <w:p w14:paraId="6B93DF35" w14:textId="67DA8DDE" w:rsidR="00767B75" w:rsidRPr="00DE108C" w:rsidRDefault="00FC24BA">
      <w:pPr>
        <w:pStyle w:val="ListBullet"/>
        <w:numPr>
          <w:ilvl w:val="0"/>
          <w:numId w:val="23"/>
        </w:numPr>
        <w:ind w:left="567" w:hanging="567"/>
      </w:pPr>
      <w:r>
        <w:t>E</w:t>
      </w:r>
      <w:r w:rsidR="00767B75" w:rsidRPr="00DE108C">
        <w:t xml:space="preserve">stablishing and increasing collaborative planning between businesses under </w:t>
      </w:r>
      <w:r w:rsidR="00790E73" w:rsidRPr="00790E73">
        <w:t>t</w:t>
      </w:r>
      <w:r w:rsidR="00767B75" w:rsidRPr="00790E73">
        <w:t>he</w:t>
      </w:r>
      <w:r w:rsidR="00767B75" w:rsidRPr="00DE108C">
        <w:rPr>
          <w:b/>
          <w:bCs/>
        </w:rPr>
        <w:t xml:space="preserve"> </w:t>
      </w:r>
      <w:r w:rsidR="0069177E">
        <w:rPr>
          <w:b/>
          <w:bCs/>
        </w:rPr>
        <w:t>Managing Directors</w:t>
      </w:r>
      <w:r w:rsidR="00767B75" w:rsidRPr="00DE108C">
        <w:rPr>
          <w:b/>
          <w:bCs/>
        </w:rPr>
        <w:t xml:space="preserve"> Accord</w:t>
      </w:r>
      <w:r w:rsidR="00767B75" w:rsidRPr="00DE108C">
        <w:t>, an industry-first agreement between the Managing Directors of Melbourne Water, South East Water, Yarra Valley Water, Greater Western Water and Barwon Water</w:t>
      </w:r>
      <w:r w:rsidR="74E58946">
        <w:t>,</w:t>
      </w:r>
      <w:r w:rsidR="00767B75" w:rsidRPr="00DE108C">
        <w:t xml:space="preserve"> which has a shared vision for the sector and agreed principles to work together on key focus areas, including water security, the economic sustainability of the sector, partnering with and delivering for Traditional Owners, building water literacy and efficiency and meeting the challenges of climate change and resilience</w:t>
      </w:r>
      <w:r>
        <w:t>.</w:t>
      </w:r>
    </w:p>
    <w:p w14:paraId="22E6EF83" w14:textId="61F3C04E" w:rsidR="00767B75" w:rsidRPr="00DE108C" w:rsidRDefault="00FC24BA" w:rsidP="0017365B">
      <w:pPr>
        <w:pStyle w:val="ListBullet"/>
      </w:pPr>
      <w:r>
        <w:t>W</w:t>
      </w:r>
      <w:r w:rsidR="00767B75" w:rsidRPr="00DE108C">
        <w:t xml:space="preserve">orking with other water corporations and the Victorian Government to deliver actions from the </w:t>
      </w:r>
      <w:r w:rsidR="5BB913C0" w:rsidRPr="005C41B0">
        <w:rPr>
          <w:i/>
        </w:rPr>
        <w:t>Central and Gippsland Region Sustainable Water Strategy</w:t>
      </w:r>
      <w:r w:rsidR="5BB913C0">
        <w:t xml:space="preserve"> (CGRSWS)</w:t>
      </w:r>
      <w:r w:rsidR="00767B75" w:rsidRPr="00DE108C">
        <w:t xml:space="preserve"> and </w:t>
      </w:r>
      <w:r w:rsidR="348D48D0">
        <w:t>the</w:t>
      </w:r>
      <w:r w:rsidR="00767B75">
        <w:t xml:space="preserve"> </w:t>
      </w:r>
      <w:r w:rsidR="76735C0A" w:rsidRPr="005C41B0">
        <w:rPr>
          <w:i/>
        </w:rPr>
        <w:lastRenderedPageBreak/>
        <w:t>Greater Melbourne Urban Water and System Strategy</w:t>
      </w:r>
      <w:r w:rsidR="08220366">
        <w:t xml:space="preserve"> </w:t>
      </w:r>
      <w:r w:rsidR="133480D9">
        <w:t>(</w:t>
      </w:r>
      <w:r w:rsidR="00767B75" w:rsidRPr="00981C3C">
        <w:t>GMUWSS</w:t>
      </w:r>
      <w:r w:rsidR="004E281D" w:rsidRPr="005D102B">
        <w:t>)</w:t>
      </w:r>
      <w:r w:rsidR="00767B75">
        <w:t>,</w:t>
      </w:r>
      <w:r w:rsidR="00767B75" w:rsidRPr="00DE108C">
        <w:t xml:space="preserve"> both released during this regulatory period </w:t>
      </w:r>
      <w:r w:rsidR="5FD23752">
        <w:t>to</w:t>
      </w:r>
      <w:r w:rsidR="00767B75" w:rsidRPr="00DE108C">
        <w:t xml:space="preserve"> establish the path towards greater use of manufactured water, including planning for and undertaking readiness activities now to add new water supplies within the next 10 years, the delivery of more water for the environment, increased uptake of integrated water management and the creation of water entitlements for Traditional Owners</w:t>
      </w:r>
      <w:r>
        <w:t>.</w:t>
      </w:r>
    </w:p>
    <w:p w14:paraId="107F46CA" w14:textId="036C8DAA" w:rsidR="00767B75" w:rsidRPr="00DE108C" w:rsidRDefault="00FC24BA" w:rsidP="0017365B">
      <w:pPr>
        <w:pStyle w:val="ListBullet"/>
      </w:pPr>
      <w:r>
        <w:t>D</w:t>
      </w:r>
      <w:r w:rsidR="00767B75" w:rsidRPr="00DE108C">
        <w:t xml:space="preserve">eveloping and commencing implementation of a roadmap to support the Victorian Government’s </w:t>
      </w:r>
      <w:r w:rsidR="00767B75" w:rsidRPr="005D102B">
        <w:rPr>
          <w:i/>
        </w:rPr>
        <w:t>Housing Statement</w:t>
      </w:r>
      <w:r w:rsidR="00767B75" w:rsidRPr="00DE108C">
        <w:t xml:space="preserve"> to unlock tomorrow’s housing, including good decisions made faster, better information to support growth, taking action to address process issues and streamlining approval processes, clearer identification of high hazard areas, working with government to explore infrastructure funding mechanisms in established areas, and innovative and well considered risk management</w:t>
      </w:r>
      <w:r>
        <w:t>.</w:t>
      </w:r>
    </w:p>
    <w:p w14:paraId="7DCB70D2" w14:textId="3080B536" w:rsidR="00767B75" w:rsidRPr="00DE108C" w:rsidRDefault="00FC24BA">
      <w:pPr>
        <w:pStyle w:val="ListBullet"/>
        <w:numPr>
          <w:ilvl w:val="0"/>
          <w:numId w:val="23"/>
        </w:numPr>
        <w:ind w:left="567" w:hanging="567"/>
      </w:pPr>
      <w:r>
        <w:t>W</w:t>
      </w:r>
      <w:r w:rsidR="00767B75" w:rsidRPr="00DE108C">
        <w:t xml:space="preserve">elcoming the </w:t>
      </w:r>
      <w:r w:rsidR="00767B75" w:rsidRPr="00DE108C">
        <w:rPr>
          <w:b/>
          <w:bCs/>
        </w:rPr>
        <w:t xml:space="preserve">Independent Review Panel </w:t>
      </w:r>
      <w:r w:rsidR="00767B75" w:rsidRPr="00DE108C">
        <w:t xml:space="preserve">findings on the 2022 Maribyrnong flood event, accepting all 15 of the Panel’s recommendations, delivering a community awareness and preparedness program with VICSES and councils and </w:t>
      </w:r>
      <w:r w:rsidR="00767B75">
        <w:t>continu</w:t>
      </w:r>
      <w:r w:rsidR="1B1CC9D6">
        <w:t>ing</w:t>
      </w:r>
      <w:r w:rsidR="00767B75" w:rsidRPr="00DE108C">
        <w:t xml:space="preserve"> to communicate with impacted communities about our progress to implement the recommendations</w:t>
      </w:r>
      <w:r>
        <w:t>.</w:t>
      </w:r>
    </w:p>
    <w:p w14:paraId="1A31BF25" w14:textId="309CC1CB" w:rsidR="00767B75" w:rsidRPr="00DE108C" w:rsidRDefault="00FC24BA">
      <w:pPr>
        <w:pStyle w:val="ListBullet"/>
        <w:numPr>
          <w:ilvl w:val="0"/>
          <w:numId w:val="23"/>
        </w:numPr>
        <w:ind w:left="567" w:hanging="567"/>
      </w:pPr>
      <w:r>
        <w:t>D</w:t>
      </w:r>
      <w:r w:rsidR="00767B75" w:rsidRPr="00DE108C">
        <w:t xml:space="preserve">elivering </w:t>
      </w:r>
      <w:r w:rsidR="00767B75" w:rsidRPr="00DE108C">
        <w:rPr>
          <w:b/>
          <w:bCs/>
          <w:i/>
          <w:iCs/>
        </w:rPr>
        <w:t>Burdnap Birrarung burndap umarkoo</w:t>
      </w:r>
      <w:r w:rsidR="00767B75" w:rsidRPr="00DE108C">
        <w:t xml:space="preserve"> </w:t>
      </w:r>
      <w:r w:rsidR="00767B75" w:rsidRPr="00DE108C">
        <w:rPr>
          <w:b/>
          <w:bCs/>
        </w:rPr>
        <w:t>(the Yarra Strategic Plan)</w:t>
      </w:r>
      <w:r w:rsidR="00767B75" w:rsidRPr="00DE108C">
        <w:t xml:space="preserve"> and extending the scope of our partnerships with Traditional Owner Corporations.</w:t>
      </w:r>
    </w:p>
    <w:p w14:paraId="017EA8BE" w14:textId="77777777" w:rsidR="00767B75" w:rsidRPr="00DE108C" w:rsidRDefault="00767B75">
      <w:pPr>
        <w:pStyle w:val="Heading2"/>
      </w:pPr>
      <w:bookmarkStart w:id="190" w:name="_Toc196745192"/>
      <w:bookmarkStart w:id="191" w:name="_Toc207892884"/>
      <w:bookmarkStart w:id="192" w:name="_Toc207853377"/>
      <w:r w:rsidRPr="00DE108C">
        <w:t>2.4 PREMO assessment – Performance</w:t>
      </w:r>
      <w:bookmarkEnd w:id="190"/>
      <w:bookmarkEnd w:id="191"/>
      <w:bookmarkEnd w:id="192"/>
    </w:p>
    <w:p w14:paraId="731C25C6" w14:textId="0996466B" w:rsidR="00767B75" w:rsidRPr="00DE108C" w:rsidRDefault="00767B75" w:rsidP="001D1E0A">
      <w:r w:rsidRPr="00DE108C">
        <w:t xml:space="preserve">For the performance component of PREMO, we have assessed ourselves to be </w:t>
      </w:r>
      <w:r w:rsidRPr="00423F03">
        <w:rPr>
          <w:i/>
        </w:rPr>
        <w:t>‘Standard’</w:t>
      </w:r>
      <w:r w:rsidRPr="00DE108C">
        <w:t>, as summarised in Table 2.</w:t>
      </w:r>
      <w:r w:rsidR="008820F8">
        <w:t>1</w:t>
      </w:r>
      <w:r w:rsidRPr="00DE108C">
        <w:t>.</w:t>
      </w:r>
    </w:p>
    <w:p w14:paraId="19E20D97" w14:textId="66C416B7" w:rsidR="00767B75" w:rsidRPr="00DE108C" w:rsidRDefault="00767B75" w:rsidP="00094CD4">
      <w:pPr>
        <w:pStyle w:val="Caption"/>
      </w:pPr>
      <w:bookmarkStart w:id="193" w:name="_Ref192512328"/>
      <w:bookmarkStart w:id="194" w:name="_Toc207892987"/>
      <w:bookmarkStart w:id="195" w:name="_Toc208490511"/>
      <w:bookmarkStart w:id="196" w:name="_Toc208490849"/>
      <w:bookmarkStart w:id="197" w:name="_Toc208911007"/>
      <w:bookmarkStart w:id="198" w:name="_Toc210051314"/>
      <w:r w:rsidRPr="00DE108C">
        <w:t>Table 2.</w:t>
      </w:r>
      <w:bookmarkEnd w:id="193"/>
      <w:r w:rsidR="008820F8">
        <w:t>1</w:t>
      </w:r>
      <w:r w:rsidRPr="00DE108C">
        <w:t>: PREMO Assessment – Performance</w:t>
      </w:r>
      <w:bookmarkEnd w:id="194"/>
      <w:bookmarkEnd w:id="195"/>
      <w:bookmarkEnd w:id="196"/>
      <w:bookmarkEnd w:id="197"/>
      <w:bookmarkEnd w:id="198"/>
    </w:p>
    <w:tbl>
      <w:tblPr>
        <w:tblStyle w:val="MWTableGrid"/>
        <w:tblW w:w="4950" w:type="pct"/>
        <w:tblLook w:val="0420" w:firstRow="1" w:lastRow="0" w:firstColumn="0" w:lastColumn="0" w:noHBand="0" w:noVBand="1"/>
      </w:tblPr>
      <w:tblGrid>
        <w:gridCol w:w="3199"/>
        <w:gridCol w:w="6333"/>
      </w:tblGrid>
      <w:tr w:rsidR="00A5757A" w:rsidRPr="00DE108C" w14:paraId="3A84434C" w14:textId="77777777">
        <w:trPr>
          <w:cnfStyle w:val="100000000000" w:firstRow="1" w:lastRow="0" w:firstColumn="0" w:lastColumn="0" w:oddVBand="0" w:evenVBand="0" w:oddHBand="0" w:evenHBand="0" w:firstRowFirstColumn="0" w:firstRowLastColumn="0" w:lastRowFirstColumn="0" w:lastRowLastColumn="0"/>
        </w:trPr>
        <w:tc>
          <w:tcPr>
            <w:tcW w:w="1678" w:type="pct"/>
          </w:tcPr>
          <w:p w14:paraId="10300970" w14:textId="77777777" w:rsidR="00767B75" w:rsidRPr="00DE108C" w:rsidRDefault="00767B75" w:rsidP="001D1E0A">
            <w:pPr>
              <w:pStyle w:val="TableHeading"/>
            </w:pPr>
            <w:r w:rsidRPr="00DE108C">
              <w:t>Guiding Question</w:t>
            </w:r>
          </w:p>
        </w:tc>
        <w:tc>
          <w:tcPr>
            <w:tcW w:w="3322" w:type="pct"/>
          </w:tcPr>
          <w:p w14:paraId="1DE6CE47" w14:textId="77777777" w:rsidR="00767B75" w:rsidRPr="00DE108C" w:rsidRDefault="00767B75" w:rsidP="001D1E0A">
            <w:pPr>
              <w:pStyle w:val="TableHeading"/>
            </w:pPr>
            <w:r w:rsidRPr="00DE108C">
              <w:t>Comment</w:t>
            </w:r>
          </w:p>
        </w:tc>
      </w:tr>
      <w:tr w:rsidR="00767B75" w:rsidRPr="00DE108C" w14:paraId="257D81AD" w14:textId="77777777">
        <w:tc>
          <w:tcPr>
            <w:tcW w:w="1678" w:type="pct"/>
          </w:tcPr>
          <w:p w14:paraId="7F169BB7" w14:textId="77777777" w:rsidR="00767B75" w:rsidRPr="00DE108C" w:rsidRDefault="00767B75" w:rsidP="001D1E0A">
            <w:pPr>
              <w:pStyle w:val="TableText"/>
            </w:pPr>
            <w:r w:rsidRPr="00DE108C">
              <w:t>To what extent has the business demonstrated delivery of its customer outcomes commitment over the current regulatory period? Did its customers get what they paid for?</w:t>
            </w:r>
          </w:p>
        </w:tc>
        <w:tc>
          <w:tcPr>
            <w:tcW w:w="3322" w:type="pct"/>
          </w:tcPr>
          <w:p w14:paraId="2160A4E8" w14:textId="77777777" w:rsidR="00767B75" w:rsidRPr="00DE108C" w:rsidRDefault="00767B75" w:rsidP="001D1E0A">
            <w:pPr>
              <w:pStyle w:val="TableText"/>
            </w:pPr>
            <w:r w:rsidRPr="00DE108C">
              <w:t>We largely met our targets against our six customer Outcomes for 2024-25 (14 out of 19 measures rated green) and we are on track to maintain this Outcome for 2025-26.</w:t>
            </w:r>
          </w:p>
          <w:p w14:paraId="13A321A4" w14:textId="77777777" w:rsidR="00767B75" w:rsidRPr="00DE108C" w:rsidRDefault="00767B75" w:rsidP="001D1E0A">
            <w:pPr>
              <w:pStyle w:val="TableText"/>
            </w:pPr>
            <w:r w:rsidRPr="00DE108C">
              <w:t>We have continued to deliver the high-quality reliable bulk water, sewerage waterways and drainage services that our customers expect of us.</w:t>
            </w:r>
          </w:p>
          <w:p w14:paraId="744E3D62" w14:textId="77777777" w:rsidR="00767B75" w:rsidRPr="00DE108C" w:rsidRDefault="00767B75" w:rsidP="001D1E0A">
            <w:pPr>
              <w:pStyle w:val="TableText"/>
            </w:pPr>
            <w:r w:rsidRPr="00DE108C">
              <w:t xml:space="preserve">We adapted to a range of factors that affected the timing of major project delivery, including extended planning and technical requirements and having to adapt to utilise more strategic approaches to delivery. </w:t>
            </w:r>
          </w:p>
          <w:p w14:paraId="7895CA44" w14:textId="60F8825D" w:rsidR="00767B75" w:rsidRPr="00DE108C" w:rsidRDefault="00767B75" w:rsidP="001D1E0A">
            <w:pPr>
              <w:pStyle w:val="TableText"/>
            </w:pPr>
            <w:r w:rsidRPr="00DE108C">
              <w:t>We worked with our partners to limit the impact on the levels of service experienced by end</w:t>
            </w:r>
            <w:r w:rsidR="41F4B6E7">
              <w:t>-use</w:t>
            </w:r>
            <w:r w:rsidRPr="00DE108C">
              <w:t xml:space="preserve"> customers as a result of any delays.</w:t>
            </w:r>
          </w:p>
        </w:tc>
      </w:tr>
      <w:tr w:rsidR="00A5757A" w:rsidRPr="00DE108C" w14:paraId="06F010AD" w14:textId="77777777">
        <w:trPr>
          <w:cnfStyle w:val="000000010000" w:firstRow="0" w:lastRow="0" w:firstColumn="0" w:lastColumn="0" w:oddVBand="0" w:evenVBand="0" w:oddHBand="0" w:evenHBand="1" w:firstRowFirstColumn="0" w:firstRowLastColumn="0" w:lastRowFirstColumn="0" w:lastRowLastColumn="0"/>
          <w:trHeight w:val="49"/>
        </w:trPr>
        <w:tc>
          <w:tcPr>
            <w:tcW w:w="1678" w:type="pct"/>
          </w:tcPr>
          <w:p w14:paraId="5AE47DC6" w14:textId="77777777" w:rsidR="00767B75" w:rsidRPr="00DE108C" w:rsidRDefault="00767B75" w:rsidP="001D1E0A">
            <w:pPr>
              <w:pStyle w:val="TableText"/>
            </w:pPr>
            <w:r w:rsidRPr="00DE108C">
              <w:t>How does actual operating expenditure across the current period compare with the established benchmark allowance, and to what extent has the business rationalised any discrepancies?</w:t>
            </w:r>
          </w:p>
        </w:tc>
        <w:tc>
          <w:tcPr>
            <w:tcW w:w="3322" w:type="pct"/>
          </w:tcPr>
          <w:p w14:paraId="0AB9EA0D" w14:textId="6A564ABB" w:rsidR="00767B75" w:rsidRPr="00DE108C" w:rsidRDefault="00767B75" w:rsidP="001D1E0A">
            <w:pPr>
              <w:pStyle w:val="TableText"/>
            </w:pPr>
            <w:r w:rsidRPr="00DE108C">
              <w:t xml:space="preserve">Our total opex over the 2021-26 regulatory period is expected to be </w:t>
            </w:r>
            <w:r w:rsidR="00C52A86" w:rsidRPr="00DE108C">
              <w:t>4</w:t>
            </w:r>
            <w:r w:rsidRPr="00DE108C">
              <w:t xml:space="preserve"> per cent higher than forecast in the 2021 Price Determination. Over the regulatory period, we have seen changes in our operating environment, new obligations and highly variable climatic conditions, and increased expectations of service performance. Our strategic responses to these challenges have focused on ensuring customer value and continuing to provide safe, reliable and effective services to our customers. </w:t>
            </w:r>
          </w:p>
          <w:p w14:paraId="1954B563" w14:textId="77777777" w:rsidR="00767B75" w:rsidRPr="00DE108C" w:rsidRDefault="00767B75" w:rsidP="001D1E0A">
            <w:pPr>
              <w:pStyle w:val="TableText"/>
            </w:pPr>
            <w:r w:rsidRPr="00DE108C">
              <w:t xml:space="preserve">Regarding the waterways and drainage operating expenditure uplift, we prioritised spending on our flood response and the urban planning and development function during the period. Even so, we delivered the majority of the benefits of the pre-identified waterways and drainage expenditure uplifts. </w:t>
            </w:r>
          </w:p>
          <w:p w14:paraId="61BF6770" w14:textId="4ACD7511" w:rsidR="00767B75" w:rsidRPr="00DE108C" w:rsidRDefault="00767B75" w:rsidP="001D1E0A">
            <w:pPr>
              <w:pStyle w:val="TableText"/>
            </w:pPr>
            <w:r w:rsidRPr="00DE108C">
              <w:lastRenderedPageBreak/>
              <w:t xml:space="preserve">We have provided annual reporting on opex throughout the regulatory period and are pleased to provide a detailed breakdown of increases over the period in this submission. Further information is found in section </w:t>
            </w:r>
            <w:r w:rsidR="003254B0" w:rsidRPr="00DE108C">
              <w:t>7</w:t>
            </w:r>
            <w:r w:rsidRPr="00DE108C">
              <w:t>.2</w:t>
            </w:r>
            <w:r w:rsidR="536C7924">
              <w:t xml:space="preserve"> (Baseline controllable opex)</w:t>
            </w:r>
            <w:r>
              <w:t>.</w:t>
            </w:r>
          </w:p>
        </w:tc>
      </w:tr>
      <w:tr w:rsidR="00767B75" w:rsidRPr="00DE108C" w14:paraId="08391FC2" w14:textId="77777777">
        <w:tc>
          <w:tcPr>
            <w:tcW w:w="1678" w:type="pct"/>
          </w:tcPr>
          <w:p w14:paraId="42BC8049" w14:textId="77777777" w:rsidR="00767B75" w:rsidRPr="00DE108C" w:rsidRDefault="00767B75" w:rsidP="001D1E0A">
            <w:pPr>
              <w:pStyle w:val="TableText"/>
            </w:pPr>
            <w:r w:rsidRPr="00DE108C">
              <w:lastRenderedPageBreak/>
              <w:t>How does actual capital expenditure across the current period compare with the established benchmark allowance, and to what extent has the business rationalised any discrepancies?</w:t>
            </w:r>
          </w:p>
        </w:tc>
        <w:tc>
          <w:tcPr>
            <w:tcW w:w="3322" w:type="pct"/>
          </w:tcPr>
          <w:p w14:paraId="54923647" w14:textId="659AF28B" w:rsidR="00767B75" w:rsidRPr="00DE108C" w:rsidRDefault="00767B75" w:rsidP="001D1E0A">
            <w:pPr>
              <w:pStyle w:val="TableText"/>
              <w:rPr>
                <w:rFonts w:eastAsia="Segoe UI"/>
              </w:rPr>
            </w:pPr>
            <w:r w:rsidRPr="00DE108C">
              <w:rPr>
                <w:rFonts w:eastAsia="Segoe UI"/>
              </w:rPr>
              <w:t xml:space="preserve">We delayed some of our major capital projects (for example at </w:t>
            </w:r>
            <w:r w:rsidR="58F444FB" w:rsidRPr="2C981720">
              <w:rPr>
                <w:rFonts w:eastAsia="Segoe UI"/>
              </w:rPr>
              <w:t>WTP</w:t>
            </w:r>
            <w:r w:rsidRPr="00DE108C">
              <w:rPr>
                <w:rFonts w:eastAsia="Segoe UI"/>
              </w:rPr>
              <w:t xml:space="preserve">) to deliver a more strategic approach to delivery and we experienced some delays in our major projects. However, we expect that our total capex over the 2021-26 regulatory period will be </w:t>
            </w:r>
            <w:r w:rsidRPr="00242DC3">
              <w:t>10.</w:t>
            </w:r>
            <w:r w:rsidR="001330BE" w:rsidRPr="00242DC3">
              <w:t>6</w:t>
            </w:r>
            <w:r w:rsidRPr="00DE108C">
              <w:t xml:space="preserve"> per cent </w:t>
            </w:r>
            <w:r w:rsidRPr="00DE108C">
              <w:rPr>
                <w:rFonts w:eastAsia="Segoe UI"/>
              </w:rPr>
              <w:t>higher than the benchmark forecast in our 20</w:t>
            </w:r>
            <w:r w:rsidRPr="00DE108C">
              <w:t>21</w:t>
            </w:r>
            <w:r w:rsidRPr="00DE108C">
              <w:rPr>
                <w:rFonts w:eastAsia="Segoe UI"/>
              </w:rPr>
              <w:t xml:space="preserve"> Price Determination to continue to meet our regulatory obligations and the needs of our growing city. </w:t>
            </w:r>
          </w:p>
        </w:tc>
      </w:tr>
      <w:tr w:rsidR="00A5757A" w:rsidRPr="00DE108C" w14:paraId="629CC1B4" w14:textId="77777777">
        <w:trPr>
          <w:cnfStyle w:val="000000010000" w:firstRow="0" w:lastRow="0" w:firstColumn="0" w:lastColumn="0" w:oddVBand="0" w:evenVBand="0" w:oddHBand="0" w:evenHBand="1" w:firstRowFirstColumn="0" w:firstRowLastColumn="0" w:lastRowFirstColumn="0" w:lastRowLastColumn="0"/>
        </w:trPr>
        <w:tc>
          <w:tcPr>
            <w:tcW w:w="1678" w:type="pct"/>
          </w:tcPr>
          <w:p w14:paraId="1284006A" w14:textId="77777777" w:rsidR="00767B75" w:rsidRPr="00DE108C" w:rsidRDefault="00767B75" w:rsidP="001D1E0A">
            <w:pPr>
              <w:pStyle w:val="TableText"/>
            </w:pPr>
            <w:r w:rsidRPr="00DE108C">
              <w:t>To what extent does customer sentiment demonstrate satisfaction in the business’s performance over the current regulatory period? Are customers happy with the value they receive from their water business?</w:t>
            </w:r>
          </w:p>
        </w:tc>
        <w:tc>
          <w:tcPr>
            <w:tcW w:w="3322" w:type="pct"/>
          </w:tcPr>
          <w:p w14:paraId="6D10990E" w14:textId="72B2EFE7" w:rsidR="00767B75" w:rsidRPr="00DE108C" w:rsidRDefault="00767B75" w:rsidP="001D1E0A">
            <w:pPr>
              <w:pStyle w:val="TableText"/>
              <w:rPr>
                <w:lang w:val="en-US"/>
              </w:rPr>
            </w:pPr>
            <w:r w:rsidRPr="00DE108C">
              <w:rPr>
                <w:lang w:val="en-US"/>
              </w:rPr>
              <w:t xml:space="preserve">As a bulk supplier of water and sewerage services, it is challenging to accurately measure customer satisfaction. Despite this, our surveys for bulk water and bulk sewerage consistently demonstrated ‘good’ satisfaction with our service. However, we did not meet our stretch target of ‘excellent’ satisfaction by this survey method. </w:t>
            </w:r>
          </w:p>
          <w:p w14:paraId="30CC90EB" w14:textId="77777777" w:rsidR="00767B75" w:rsidRPr="00DE108C" w:rsidRDefault="00767B75" w:rsidP="001D1E0A">
            <w:pPr>
              <w:pStyle w:val="TableText"/>
            </w:pPr>
            <w:r w:rsidRPr="00DE108C">
              <w:t>Our independent surveying of water corporations show that we have achieve ‘strong’ (70-79) or above reputation scores throughout the regulatory period.</w:t>
            </w:r>
          </w:p>
          <w:p w14:paraId="32E05154" w14:textId="77777777" w:rsidR="00767B75" w:rsidRPr="00DE108C" w:rsidRDefault="00767B75" w:rsidP="001D1E0A">
            <w:pPr>
              <w:pStyle w:val="TableText"/>
            </w:pPr>
            <w:r w:rsidRPr="00DE108C">
              <w:t>Our independent CSBA benchmarking shows that our contact centre is consistently ranked high for call quality and resolution. Further, our contact centre has a CSAT score of 8.7 and our Developer Application CSAT score was 7.6 as at June 2025.</w:t>
            </w:r>
          </w:p>
        </w:tc>
      </w:tr>
      <w:tr w:rsidR="00767B75" w:rsidRPr="00DE108C" w14:paraId="452E0B8F" w14:textId="77777777">
        <w:tc>
          <w:tcPr>
            <w:tcW w:w="1678" w:type="pct"/>
          </w:tcPr>
          <w:p w14:paraId="32C00D74" w14:textId="77777777" w:rsidR="00767B75" w:rsidRPr="00DE108C" w:rsidRDefault="00767B75" w:rsidP="001D1E0A">
            <w:pPr>
              <w:pStyle w:val="TableText"/>
              <w:rPr>
                <w:b/>
                <w:bCs/>
              </w:rPr>
            </w:pPr>
            <w:r w:rsidRPr="00DE108C">
              <w:rPr>
                <w:b/>
                <w:bCs/>
              </w:rPr>
              <w:t>Self-assessment</w:t>
            </w:r>
          </w:p>
        </w:tc>
        <w:tc>
          <w:tcPr>
            <w:tcW w:w="3322" w:type="pct"/>
          </w:tcPr>
          <w:p w14:paraId="0CD0E6AC" w14:textId="7AFDFC45" w:rsidR="00767B75" w:rsidRPr="00DE108C" w:rsidRDefault="00767B75" w:rsidP="001D1E0A">
            <w:pPr>
              <w:pStyle w:val="TableText"/>
              <w:rPr>
                <w:b/>
                <w:bCs/>
              </w:rPr>
            </w:pPr>
            <w:r w:rsidRPr="00DE108C">
              <w:rPr>
                <w:b/>
                <w:bCs/>
              </w:rPr>
              <w:t xml:space="preserve">Confident our performance over the 2021 regulatory period was </w:t>
            </w:r>
            <w:r w:rsidRPr="00423F03">
              <w:rPr>
                <w:b/>
                <w:i/>
              </w:rPr>
              <w:t>‘Standard’</w:t>
            </w:r>
            <w:r w:rsidR="00423F03">
              <w:rPr>
                <w:b/>
                <w:bCs/>
              </w:rPr>
              <w:t>.</w:t>
            </w:r>
          </w:p>
        </w:tc>
      </w:tr>
    </w:tbl>
    <w:p w14:paraId="127E33D6" w14:textId="77777777" w:rsidR="00767B75" w:rsidRPr="00DE108C" w:rsidRDefault="00767B75"/>
    <w:p w14:paraId="16A4CB63" w14:textId="66DC5B83" w:rsidR="00767B75" w:rsidRPr="00DE108C" w:rsidRDefault="00767B75">
      <w:r w:rsidRPr="00DE108C">
        <w:br w:type="page"/>
      </w:r>
    </w:p>
    <w:bookmarkStart w:id="199" w:name="_Toc207892885"/>
    <w:bookmarkStart w:id="200" w:name="_Toc207853378"/>
    <w:bookmarkStart w:id="201" w:name="_Toc210229035"/>
    <w:bookmarkStart w:id="202" w:name="_Toc196745193"/>
    <w:bookmarkStart w:id="203" w:name="_Toc199757799"/>
    <w:p w14:paraId="4B1B5A33" w14:textId="5D9727A9" w:rsidR="00767B75" w:rsidRPr="00DE108C" w:rsidRDefault="00964531">
      <w:pPr>
        <w:pStyle w:val="Heading1"/>
        <w:rPr>
          <w:b w:val="0"/>
          <w:sz w:val="76"/>
          <w:szCs w:val="76"/>
        </w:rPr>
      </w:pPr>
      <w:r>
        <w:rPr>
          <w:noProof/>
        </w:rPr>
        <w:lastRenderedPageBreak/>
        <mc:AlternateContent>
          <mc:Choice Requires="wps">
            <w:drawing>
              <wp:anchor distT="45720" distB="45720" distL="114300" distR="114300" simplePos="0" relativeHeight="251658258" behindDoc="0" locked="0" layoutInCell="1" allowOverlap="1" wp14:anchorId="51B3BA37" wp14:editId="389B8B9E">
                <wp:simplePos x="0" y="0"/>
                <wp:positionH relativeFrom="margin">
                  <wp:posOffset>0</wp:posOffset>
                </wp:positionH>
                <wp:positionV relativeFrom="margin">
                  <wp:posOffset>0</wp:posOffset>
                </wp:positionV>
                <wp:extent cx="4122000" cy="907200"/>
                <wp:effectExtent l="0" t="0" r="0" b="0"/>
                <wp:wrapSquare wrapText="bothSides"/>
                <wp:docPr id="908219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000" cy="907200"/>
                        </a:xfrm>
                        <a:prstGeom prst="rect">
                          <a:avLst/>
                        </a:prstGeom>
                        <a:noFill/>
                        <a:ln w="9525">
                          <a:noFill/>
                          <a:miter lim="800000"/>
                          <a:headEnd/>
                          <a:tailEnd/>
                        </a:ln>
                      </wps:spPr>
                      <wps:txbx>
                        <w:txbxContent>
                          <w:p w14:paraId="71285874" w14:textId="7373B2B4" w:rsidR="00964531" w:rsidRPr="00FA4200" w:rsidRDefault="00964531" w:rsidP="00964531">
                            <w:pPr>
                              <w:rPr>
                                <w:color w:val="FFFFFF" w:themeColor="background1"/>
                                <w:sz w:val="80"/>
                                <w:szCs w:val="80"/>
                              </w:rPr>
                            </w:pPr>
                            <w:r>
                              <w:rPr>
                                <w:color w:val="FFFFFF" w:themeColor="background1"/>
                                <w:sz w:val="80"/>
                                <w:szCs w:val="80"/>
                              </w:rPr>
                              <w:t>Engagement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3BA37" id="_x0000_s1043" type="#_x0000_t202" style="position:absolute;margin-left:0;margin-top:0;width:324.55pt;height:71.4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" filled="f" stroked="f">
                <v:textbox>
                  <w:txbxContent>
                    <w:p w14:paraId="71285874" w14:textId="7373B2B4" w:rsidR="00964531" w:rsidRPr="00FA4200" w:rsidRDefault="00964531" w:rsidP="00964531">
                      <w:pPr>
                        <w:rPr>
                          <w:color w:val="FFFFFF" w:themeColor="background1"/>
                          <w:sz w:val="80"/>
                          <w:szCs w:val="80"/>
                        </w:rPr>
                      </w:pPr>
                      <w:r>
                        <w:rPr>
                          <w:color w:val="FFFFFF" w:themeColor="background1"/>
                          <w:sz w:val="80"/>
                          <w:szCs w:val="80"/>
                        </w:rPr>
                        <w:t>Engagement</w:t>
                      </w:r>
                    </w:p>
                  </w:txbxContent>
                </v:textbox>
                <w10:wrap type="square" anchorx="margin" anchory="margin"/>
              </v:shape>
            </w:pict>
          </mc:Fallback>
        </mc:AlternateContent>
      </w:r>
      <w:r w:rsidR="008A35F6" w:rsidRPr="00DE108C">
        <w:rPr>
          <w:noProof/>
        </w:rPr>
        <w:drawing>
          <wp:anchor distT="0" distB="0" distL="114300" distR="114300" simplePos="0" relativeHeight="251658256" behindDoc="0" locked="1" layoutInCell="1" allowOverlap="1" wp14:anchorId="36A5F519" wp14:editId="36C2FB1D">
            <wp:simplePos x="0" y="0"/>
            <wp:positionH relativeFrom="page">
              <wp:align>left</wp:align>
            </wp:positionH>
            <wp:positionV relativeFrom="page">
              <wp:posOffset>-18415</wp:posOffset>
            </wp:positionV>
            <wp:extent cx="7559675" cy="10684510"/>
            <wp:effectExtent l="0" t="0" r="3175" b="2540"/>
            <wp:wrapNone/>
            <wp:docPr id="39815843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58430" name="Picture 8">
                      <a:extLst>
                        <a:ext uri="{C183D7F6-B498-43B3-948B-1728B52AA6E4}">
                          <adec:decorative xmlns:adec="http://schemas.microsoft.com/office/drawing/2017/decorative" val="1"/>
                        </a:ext>
                      </a:extLst>
                    </pic:cNvPr>
                    <pic:cNvPicPr/>
                  </pic:nvPicPr>
                  <pic:blipFill>
                    <a:blip r:embed="rId57" cstate="email">
                      <a:extLst>
                        <a:ext uri="{28A0092B-C50C-407E-A947-70E740481C1C}">
                          <a14:useLocalDpi xmlns:a14="http://schemas.microsoft.com/office/drawing/2010/main"/>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r w:rsidR="2D17A48C" w:rsidRPr="00DE108C">
        <w:rPr>
          <w:b w:val="0"/>
          <w:color w:val="FFFFFF" w:themeColor="background1"/>
          <w:sz w:val="76"/>
          <w:szCs w:val="76"/>
        </w:rPr>
        <w:t>3</w:t>
      </w:r>
      <w:r w:rsidR="00767B75" w:rsidRPr="00DE108C">
        <w:rPr>
          <w:b w:val="0"/>
          <w:color w:val="FFFFFF" w:themeColor="background1"/>
          <w:sz w:val="76"/>
          <w:szCs w:val="76"/>
        </w:rPr>
        <w:t>. Engagement</w:t>
      </w:r>
      <w:bookmarkEnd w:id="199"/>
      <w:bookmarkEnd w:id="200"/>
      <w:bookmarkEnd w:id="201"/>
      <w:r w:rsidR="00767B75" w:rsidRPr="00DE108C">
        <w:rPr>
          <w:b w:val="0"/>
          <w:color w:val="FFFFFF" w:themeColor="background1"/>
          <w:sz w:val="76"/>
          <w:szCs w:val="76"/>
        </w:rPr>
        <w:t xml:space="preserve"> </w:t>
      </w:r>
      <w:bookmarkEnd w:id="202"/>
      <w:bookmarkEnd w:id="203"/>
    </w:p>
    <w:p w14:paraId="23ABEC8E" w14:textId="3B0C68DD" w:rsidR="5F013AD7" w:rsidRPr="00DE108C" w:rsidRDefault="5F013AD7">
      <w:r w:rsidRPr="00DE108C">
        <w:br w:type="page"/>
      </w:r>
    </w:p>
    <w:p w14:paraId="73602A12" w14:textId="77777777" w:rsidR="00767B75" w:rsidRPr="00DE108C" w:rsidRDefault="00767B75" w:rsidP="00CC2561">
      <w:pPr>
        <w:pStyle w:val="HighlightBoxHeading"/>
        <w:rPr>
          <w:rFonts w:eastAsia="Verdana"/>
        </w:rPr>
      </w:pPr>
      <w:r w:rsidRPr="00DE108C">
        <w:rPr>
          <w:rFonts w:eastAsia="Verdana"/>
        </w:rPr>
        <w:lastRenderedPageBreak/>
        <w:t>In Summary</w:t>
      </w:r>
    </w:p>
    <w:p w14:paraId="4B3AE2AF" w14:textId="10B1F160" w:rsidR="00767B75" w:rsidRPr="00DE108C" w:rsidRDefault="00767B75" w:rsidP="00CC2561">
      <w:pPr>
        <w:pStyle w:val="HighlightBoxBullet"/>
        <w:rPr>
          <w:rFonts w:eastAsia="Verdana"/>
        </w:rPr>
      </w:pPr>
      <w:r w:rsidRPr="00DE108C">
        <w:rPr>
          <w:rFonts w:eastAsia="Verdana"/>
        </w:rPr>
        <w:t xml:space="preserve">Since June 2023, we have run a dedicated PS26 engagement program alongside our ongoing </w:t>
      </w:r>
      <w:r w:rsidR="75B5D36F" w:rsidRPr="00DE108C">
        <w:rPr>
          <w:rFonts w:eastAsia="Verdana"/>
        </w:rPr>
        <w:t>‘business as usual’</w:t>
      </w:r>
      <w:r w:rsidR="24934C09" w:rsidRPr="00DE108C">
        <w:rPr>
          <w:rFonts w:eastAsia="Verdana"/>
        </w:rPr>
        <w:t xml:space="preserve"> </w:t>
      </w:r>
      <w:r w:rsidRPr="00DE108C">
        <w:rPr>
          <w:rFonts w:eastAsia="Verdana"/>
        </w:rPr>
        <w:t>engagement and insights programs. The findings of these programs have shaped our submission. We will continue this ongoing engagement to set ourselves up for the future.</w:t>
      </w:r>
    </w:p>
    <w:p w14:paraId="2D172E04" w14:textId="5F1A082C" w:rsidR="00767B75" w:rsidRPr="00DE108C" w:rsidRDefault="00767B75" w:rsidP="00CC2561">
      <w:pPr>
        <w:pStyle w:val="HighlightBoxBullet"/>
        <w:rPr>
          <w:rFonts w:eastAsia="Verdana"/>
        </w:rPr>
      </w:pPr>
      <w:r w:rsidRPr="00DE108C">
        <w:rPr>
          <w:rFonts w:eastAsia="Verdana"/>
        </w:rPr>
        <w:t xml:space="preserve">Our PS26 has been shaped by and reflects the voices of our customers, community, partners and stakeholders, gathered through extensive engagement via multiple channels. Under the IAP2 framework, our comprehensive engagement program ranged from consult and involve (community/end-use customers) to collaborate (water corporations and partners). </w:t>
      </w:r>
    </w:p>
    <w:p w14:paraId="6D4D0C25" w14:textId="09320F8D" w:rsidR="00767B75" w:rsidRPr="00DE108C" w:rsidRDefault="00767B75" w:rsidP="00CC2561">
      <w:pPr>
        <w:pStyle w:val="HighlightBoxBullet"/>
        <w:rPr>
          <w:rFonts w:eastAsia="Verdana"/>
        </w:rPr>
      </w:pPr>
      <w:r w:rsidRPr="00DE108C">
        <w:rPr>
          <w:rFonts w:eastAsia="Verdana"/>
        </w:rPr>
        <w:t xml:space="preserve">We heard from diverse customer groups, with more than 8,200 customers, communities, partners and stakeholders engaged through our broad and multifaceted program. </w:t>
      </w:r>
    </w:p>
    <w:p w14:paraId="3FD7C63A" w14:textId="214A1C48" w:rsidR="00767B75" w:rsidRPr="00DE108C" w:rsidRDefault="00767B75" w:rsidP="00CC2561">
      <w:pPr>
        <w:pStyle w:val="HighlightBoxBullet"/>
        <w:rPr>
          <w:rFonts w:eastAsia="Verdana"/>
        </w:rPr>
      </w:pPr>
      <w:r w:rsidRPr="00DE108C">
        <w:rPr>
          <w:rFonts w:eastAsia="Verdana"/>
        </w:rPr>
        <w:t>We made engagements accessible. Activities included focus groups, forums and panels, surveys, interviews, one-to-one meetings and</w:t>
      </w:r>
      <w:r w:rsidR="004E3A49" w:rsidRPr="00DE108C">
        <w:rPr>
          <w:rFonts w:eastAsia="Verdana"/>
        </w:rPr>
        <w:t xml:space="preserve"> in-person</w:t>
      </w:r>
      <w:r w:rsidRPr="00DE108C">
        <w:rPr>
          <w:rFonts w:eastAsia="Verdana"/>
        </w:rPr>
        <w:t xml:space="preserve"> pop-ups.</w:t>
      </w:r>
    </w:p>
    <w:p w14:paraId="53DC705E" w14:textId="0AB1D8AB" w:rsidR="00767B75" w:rsidRPr="00DE108C" w:rsidRDefault="31823769" w:rsidP="00CC2561">
      <w:pPr>
        <w:pStyle w:val="HighlightBoxBullet"/>
        <w:rPr>
          <w:rFonts w:eastAsia="Verdana"/>
        </w:rPr>
      </w:pPr>
      <w:r w:rsidRPr="00DE108C">
        <w:rPr>
          <w:rFonts w:eastAsia="Verdana"/>
        </w:rPr>
        <w:t>Engaging</w:t>
      </w:r>
      <w:r w:rsidR="00767B75" w:rsidRPr="00DE108C">
        <w:rPr>
          <w:rFonts w:eastAsia="Verdana"/>
        </w:rPr>
        <w:t xml:space="preserve"> with customer vulnerability in mind was crucial to the success of our engagement program. We did this by ensuring that a representative voice of customers experiencing vulnerability was included in our forums, panels and focus groups</w:t>
      </w:r>
      <w:r w:rsidR="3EA2E95F" w:rsidRPr="00DE108C">
        <w:rPr>
          <w:rFonts w:eastAsia="Verdana"/>
        </w:rPr>
        <w:t>, and listening to community sector organisations</w:t>
      </w:r>
      <w:r w:rsidR="00767B75" w:rsidRPr="00DE108C">
        <w:rPr>
          <w:rFonts w:eastAsia="Verdana"/>
        </w:rPr>
        <w:t xml:space="preserve">. </w:t>
      </w:r>
    </w:p>
    <w:p w14:paraId="4ACFA30F" w14:textId="600D9238" w:rsidR="00767B75" w:rsidRPr="00DE108C" w:rsidRDefault="00767B75" w:rsidP="00CC2561">
      <w:pPr>
        <w:pStyle w:val="HighlightBoxBullet"/>
        <w:rPr>
          <w:rFonts w:eastAsia="Verdana"/>
        </w:rPr>
      </w:pPr>
      <w:r w:rsidRPr="00DE108C">
        <w:rPr>
          <w:rFonts w:eastAsia="Verdana"/>
        </w:rPr>
        <w:t>We worked closely with our bulk supply customers through the Water Corporation and Regulat</w:t>
      </w:r>
      <w:r w:rsidR="000C2C47">
        <w:rPr>
          <w:rFonts w:eastAsia="Verdana"/>
        </w:rPr>
        <w:t>ory</w:t>
      </w:r>
      <w:r w:rsidRPr="00DE108C">
        <w:rPr>
          <w:rFonts w:eastAsia="Verdana"/>
        </w:rPr>
        <w:t xml:space="preserve"> and Tariff forums. Many of these customers hold ‘Advanced’ and ‘Leading’ PREMO ratings from</w:t>
      </w:r>
      <w:r w:rsidR="001C5D49" w:rsidRPr="00DE108C">
        <w:rPr>
          <w:rFonts w:eastAsia="Verdana"/>
        </w:rPr>
        <w:t xml:space="preserve"> their</w:t>
      </w:r>
      <w:r w:rsidRPr="00DE108C">
        <w:rPr>
          <w:rFonts w:eastAsia="Verdana"/>
        </w:rPr>
        <w:t xml:space="preserve"> recent ESC reviews. Their input – through insights, advice, and feedback – greatly improved our submission. They also helped shape key decisions, including aligning our </w:t>
      </w:r>
      <w:r w:rsidR="00F42EA5" w:rsidRPr="00DE108C">
        <w:rPr>
          <w:rFonts w:eastAsia="Verdana"/>
        </w:rPr>
        <w:t>c</w:t>
      </w:r>
      <w:r w:rsidRPr="00DE108C">
        <w:rPr>
          <w:rFonts w:eastAsia="Verdana"/>
        </w:rPr>
        <w:t>ustomer Outcomes with those from the 2023 and 2024 submissions. This alignment supports the delivery of water and sewerage outcomes across the sector.</w:t>
      </w:r>
    </w:p>
    <w:p w14:paraId="1AAF5948" w14:textId="77777777" w:rsidR="00767B75" w:rsidRPr="00DE108C" w:rsidRDefault="00767B75" w:rsidP="00CC2561">
      <w:pPr>
        <w:pStyle w:val="HighlightBoxBullet"/>
        <w:rPr>
          <w:rFonts w:eastAsia="Verdana"/>
        </w:rPr>
      </w:pPr>
      <w:r w:rsidRPr="00DE108C">
        <w:rPr>
          <w:rFonts w:eastAsia="Verdana"/>
        </w:rPr>
        <w:t>Led by our Traditional Owner partners, we customised our engagement for each Traditional Owner Corporation to support the development of PS26.</w:t>
      </w:r>
    </w:p>
    <w:p w14:paraId="5400E909" w14:textId="77777777" w:rsidR="00767B75" w:rsidRPr="00DE108C" w:rsidRDefault="00767B75" w:rsidP="00CC2561">
      <w:pPr>
        <w:pStyle w:val="HighlightBoxBullet"/>
        <w:rPr>
          <w:rFonts w:eastAsia="Verdana"/>
        </w:rPr>
      </w:pPr>
      <w:r w:rsidRPr="00DE108C">
        <w:rPr>
          <w:rFonts w:eastAsia="Verdana"/>
        </w:rPr>
        <w:t xml:space="preserve">For the first time, we provided a ‘Public Playback’ of our proposal and potential bill impacts prior to finalising our submission. This allowed us to communicate and gather further feedback on what we heard through our engagement program, test community and customer reaction to the proposal draft, and gather feedback on outstanding topics. </w:t>
      </w:r>
    </w:p>
    <w:p w14:paraId="41F8DBDB" w14:textId="77777777" w:rsidR="00767B75" w:rsidRPr="00DE108C" w:rsidRDefault="00767B75" w:rsidP="00CC2561">
      <w:pPr>
        <w:pStyle w:val="HighlightBoxBullet"/>
        <w:rPr>
          <w:rFonts w:eastAsia="Verdana"/>
        </w:rPr>
      </w:pPr>
      <w:r w:rsidRPr="00DE108C">
        <w:rPr>
          <w:rFonts w:eastAsia="Verdana"/>
        </w:rPr>
        <w:t>Our PREMO self-assessment rating for Engagement is ‘Standard’.</w:t>
      </w:r>
    </w:p>
    <w:p w14:paraId="03173562" w14:textId="77777777" w:rsidR="00767B75" w:rsidRPr="00DE108C" w:rsidRDefault="00767B75" w:rsidP="001D1E0A">
      <w:pPr>
        <w:rPr>
          <w:rFonts w:eastAsia="Verdana"/>
        </w:rPr>
      </w:pPr>
      <w:r w:rsidRPr="00DE108C">
        <w:rPr>
          <w:rFonts w:eastAsia="Verdana"/>
        </w:rPr>
        <w:t>This chapter provides information on Engagement. It is structured as follows:</w:t>
      </w:r>
    </w:p>
    <w:p w14:paraId="2C679565" w14:textId="143D77DB" w:rsidR="00767B75" w:rsidRPr="00DE108C" w:rsidRDefault="2A143935" w:rsidP="0017365B">
      <w:pPr>
        <w:pStyle w:val="ListBullet"/>
        <w:rPr>
          <w:rFonts w:eastAsia="Verdana"/>
        </w:rPr>
      </w:pPr>
      <w:r w:rsidRPr="7CFB4304">
        <w:rPr>
          <w:rFonts w:eastAsia="Verdana"/>
        </w:rPr>
        <w:t xml:space="preserve">The first section describes our engagement approach – </w:t>
      </w:r>
      <w:r w:rsidR="39DE6299" w:rsidRPr="7CFB4304">
        <w:rPr>
          <w:rFonts w:eastAsia="Verdana"/>
        </w:rPr>
        <w:t xml:space="preserve">the form of engagement we used </w:t>
      </w:r>
      <w:r w:rsidR="5C6EA919" w:rsidRPr="7CFB4304">
        <w:rPr>
          <w:rFonts w:eastAsia="Verdana"/>
        </w:rPr>
        <w:t>(</w:t>
      </w:r>
      <w:r w:rsidR="39DE6299" w:rsidRPr="7CFB4304">
        <w:rPr>
          <w:rFonts w:eastAsia="Verdana"/>
        </w:rPr>
        <w:t>how we tailored information to suit each customer cohort, including how we ensured we were inclusive of Traditional Owner groups and customers experiencing vulnerability</w:t>
      </w:r>
      <w:r w:rsidR="5A4AC714" w:rsidRPr="7CFB4304">
        <w:rPr>
          <w:rFonts w:eastAsia="Verdana"/>
        </w:rPr>
        <w:t>)</w:t>
      </w:r>
      <w:r w:rsidRPr="7CFB4304">
        <w:rPr>
          <w:rFonts w:eastAsia="Verdana"/>
        </w:rPr>
        <w:t>,</w:t>
      </w:r>
      <w:r w:rsidR="318E3191" w:rsidRPr="7CFB4304">
        <w:rPr>
          <w:rFonts w:eastAsia="Verdana"/>
        </w:rPr>
        <w:t xml:space="preserve"> </w:t>
      </w:r>
      <w:r w:rsidRPr="7CFB4304">
        <w:rPr>
          <w:rFonts w:eastAsia="Verdana"/>
        </w:rPr>
        <w:t xml:space="preserve">and </w:t>
      </w:r>
      <w:r w:rsidR="75723DBC" w:rsidRPr="7CFB4304">
        <w:rPr>
          <w:rFonts w:eastAsia="Verdana"/>
        </w:rPr>
        <w:t>engagement topics</w:t>
      </w:r>
      <w:r w:rsidRPr="7CFB4304">
        <w:rPr>
          <w:rFonts w:eastAsia="Verdana"/>
        </w:rPr>
        <w:t>.</w:t>
      </w:r>
    </w:p>
    <w:p w14:paraId="185A2903" w14:textId="79F78FAF" w:rsidR="00767B75" w:rsidRPr="00DE108C" w:rsidRDefault="15E3975F" w:rsidP="0017365B">
      <w:pPr>
        <w:pStyle w:val="ListBullet"/>
        <w:rPr>
          <w:rFonts w:eastAsia="Verdana"/>
        </w:rPr>
      </w:pPr>
      <w:r w:rsidRPr="7CFB4304">
        <w:rPr>
          <w:rFonts w:eastAsia="Verdana"/>
        </w:rPr>
        <w:t>We then describe how the findings of the engagement program have influenced the submission.</w:t>
      </w:r>
    </w:p>
    <w:p w14:paraId="7CBFE760" w14:textId="3C69A7A1" w:rsidR="001D1E0A" w:rsidRPr="0017365B" w:rsidRDefault="15E3975F" w:rsidP="0017365B">
      <w:pPr>
        <w:pStyle w:val="ListBullet"/>
        <w:rPr>
          <w:rFonts w:eastAsia="Verdana"/>
        </w:rPr>
      </w:pPr>
      <w:r w:rsidRPr="7CFB4304">
        <w:rPr>
          <w:rFonts w:eastAsia="Verdana"/>
        </w:rPr>
        <w:t>Finally, we include our Engagement self-assessment.</w:t>
      </w:r>
    </w:p>
    <w:p w14:paraId="359E801C" w14:textId="77777777" w:rsidR="00767B75" w:rsidRPr="00DE108C" w:rsidRDefault="00767B75">
      <w:pPr>
        <w:pStyle w:val="Heading2"/>
        <w:rPr>
          <w:rFonts w:ascii="Verdana" w:eastAsia="Verdana" w:hAnsi="Verdana" w:cs="Verdana"/>
        </w:rPr>
      </w:pPr>
      <w:bookmarkStart w:id="204" w:name="_Toc207892886"/>
      <w:bookmarkStart w:id="205" w:name="_Toc207853379"/>
      <w:r w:rsidRPr="00DE108C">
        <w:rPr>
          <w:rFonts w:ascii="Verdana" w:eastAsia="Verdana" w:hAnsi="Verdana" w:cs="Verdana"/>
        </w:rPr>
        <w:lastRenderedPageBreak/>
        <w:t>3.1 Engagement approach</w:t>
      </w:r>
      <w:bookmarkEnd w:id="204"/>
      <w:bookmarkEnd w:id="205"/>
    </w:p>
    <w:p w14:paraId="1CA57636" w14:textId="77777777" w:rsidR="00767B75" w:rsidRPr="00DE108C" w:rsidRDefault="00767B75" w:rsidP="001D1E0A">
      <w:pPr>
        <w:rPr>
          <w:rFonts w:eastAsia="Verdana"/>
        </w:rPr>
      </w:pPr>
      <w:r w:rsidRPr="00DE108C">
        <w:rPr>
          <w:rFonts w:eastAsia="Verdana"/>
        </w:rPr>
        <w:t xml:space="preserve">Given our role across Greater Melbourne, our customer base is large. We count our customers as anyone who pays us a fee directly or indirectly, including: </w:t>
      </w:r>
    </w:p>
    <w:p w14:paraId="12B4A666" w14:textId="77777777" w:rsidR="00767B75" w:rsidRPr="00DE108C" w:rsidRDefault="15E3975F" w:rsidP="0017365B">
      <w:pPr>
        <w:pStyle w:val="ListBullet"/>
        <w:rPr>
          <w:rFonts w:eastAsia="Verdana"/>
          <w:noProof/>
        </w:rPr>
      </w:pPr>
      <w:r w:rsidRPr="7CFB4304">
        <w:rPr>
          <w:rFonts w:eastAsia="Verdana"/>
          <w:noProof/>
        </w:rPr>
        <w:t>the water corporations who take our bulk water and sewerage services</w:t>
      </w:r>
    </w:p>
    <w:p w14:paraId="3760540C" w14:textId="77777777" w:rsidR="00767B75" w:rsidRPr="00DE108C" w:rsidRDefault="15E3975F" w:rsidP="0017365B">
      <w:pPr>
        <w:pStyle w:val="ListBullet"/>
        <w:rPr>
          <w:rFonts w:eastAsia="Verdana"/>
          <w:noProof/>
        </w:rPr>
      </w:pPr>
      <w:r w:rsidRPr="7CFB4304">
        <w:rPr>
          <w:rFonts w:eastAsia="Verdana"/>
          <w:noProof/>
        </w:rPr>
        <w:t>land developers</w:t>
      </w:r>
    </w:p>
    <w:p w14:paraId="058524A8" w14:textId="77777777" w:rsidR="00767B75" w:rsidRPr="00DE108C" w:rsidRDefault="15E3975F" w:rsidP="0017365B">
      <w:pPr>
        <w:pStyle w:val="ListBullet"/>
        <w:rPr>
          <w:rFonts w:eastAsia="Verdana"/>
          <w:noProof/>
        </w:rPr>
      </w:pPr>
      <w:r w:rsidRPr="7CFB4304">
        <w:rPr>
          <w:rFonts w:eastAsia="Verdana"/>
          <w:noProof/>
        </w:rPr>
        <w:t>diversion customers</w:t>
      </w:r>
    </w:p>
    <w:p w14:paraId="5FDC01C5" w14:textId="0E1A9F7B" w:rsidR="00767B75" w:rsidRPr="00DE108C" w:rsidRDefault="15E3975F" w:rsidP="0017365B">
      <w:pPr>
        <w:pStyle w:val="ListBullet"/>
        <w:rPr>
          <w:rFonts w:eastAsia="Verdana"/>
          <w:noProof/>
        </w:rPr>
      </w:pPr>
      <w:r w:rsidRPr="7CFB4304">
        <w:rPr>
          <w:rFonts w:eastAsia="Verdana"/>
          <w:noProof/>
        </w:rPr>
        <w:t>direct service</w:t>
      </w:r>
      <w:r w:rsidR="00414D86">
        <w:rPr>
          <w:rFonts w:eastAsia="Verdana"/>
          <w:noProof/>
        </w:rPr>
        <w:t xml:space="preserve"> and </w:t>
      </w:r>
      <w:r w:rsidRPr="7CFB4304">
        <w:rPr>
          <w:rFonts w:eastAsia="Verdana"/>
          <w:noProof/>
        </w:rPr>
        <w:t>precept customers</w:t>
      </w:r>
      <w:r w:rsidR="005A76C0">
        <w:rPr>
          <w:rStyle w:val="FootnoteReference"/>
          <w:rFonts w:eastAsia="Verdana"/>
          <w:noProof/>
        </w:rPr>
        <w:footnoteReference w:id="3"/>
      </w:r>
    </w:p>
    <w:p w14:paraId="163CBA03" w14:textId="77777777" w:rsidR="00767B75" w:rsidRPr="00DE108C" w:rsidRDefault="15E3975F" w:rsidP="0017365B">
      <w:pPr>
        <w:pStyle w:val="ListBullet"/>
        <w:rPr>
          <w:rFonts w:eastAsia="Verdana"/>
          <w:noProof/>
        </w:rPr>
      </w:pPr>
      <w:r w:rsidRPr="7CFB4304">
        <w:rPr>
          <w:rFonts w:eastAsia="Verdana"/>
          <w:noProof/>
        </w:rPr>
        <w:t xml:space="preserve">end-use customers who receive water, sewer, waterways and drainage services. </w:t>
      </w:r>
    </w:p>
    <w:p w14:paraId="32B8B798" w14:textId="77777777" w:rsidR="00767B75" w:rsidRPr="00DE108C" w:rsidRDefault="00767B75" w:rsidP="001D1E0A">
      <w:pPr>
        <w:rPr>
          <w:rFonts w:eastAsia="Verdana"/>
        </w:rPr>
      </w:pPr>
      <w:r w:rsidRPr="00DE108C">
        <w:rPr>
          <w:rFonts w:eastAsia="Verdana"/>
        </w:rPr>
        <w:t xml:space="preserve">To ensure our customers and community could see their priorities in our decisions, we ran a six-stage engagement program to understand customer views and values, test and quantify these, co-create Outcomes, play back what we heard, and ‘close the loop’ on this proposal. </w:t>
      </w:r>
    </w:p>
    <w:p w14:paraId="73680607" w14:textId="77777777" w:rsidR="00767B75" w:rsidRPr="00DE108C" w:rsidRDefault="00767B75" w:rsidP="001D1E0A">
      <w:pPr>
        <w:rPr>
          <w:rFonts w:eastAsia="Verdana"/>
        </w:rPr>
      </w:pPr>
      <w:r w:rsidRPr="00DE108C">
        <w:rPr>
          <w:rFonts w:eastAsia="Verdana"/>
        </w:rPr>
        <w:t xml:space="preserve">We are also committed to continuous ongoing engagement throughout the regulatory period, setting up forums prior to submission to ensure engagement throughout the regulatory period. </w:t>
      </w:r>
    </w:p>
    <w:p w14:paraId="78BC2324" w14:textId="3533F68A" w:rsidR="00767B75" w:rsidRPr="00DE108C" w:rsidRDefault="00767B75" w:rsidP="001D1E0A">
      <w:pPr>
        <w:rPr>
          <w:rFonts w:eastAsia="Verdana"/>
        </w:rPr>
      </w:pPr>
      <w:r w:rsidRPr="386A7995">
        <w:rPr>
          <w:rFonts w:eastAsia="Verdana"/>
        </w:rPr>
        <w:t xml:space="preserve">We heard throughout our engagement program that safe and reliable water supply and sewerage systems continue to be </w:t>
      </w:r>
      <w:r w:rsidR="47EFBBE5" w:rsidRPr="386A7995">
        <w:rPr>
          <w:rFonts w:eastAsia="Verdana"/>
        </w:rPr>
        <w:t xml:space="preserve">the </w:t>
      </w:r>
      <w:r w:rsidRPr="386A7995">
        <w:rPr>
          <w:rFonts w:eastAsia="Verdana"/>
        </w:rPr>
        <w:t xml:space="preserve">highest priority for all customers. This is followed by ensuring healthy waterways, the ongoing resilience of our systems (including flood resilience) and affordability. </w:t>
      </w:r>
    </w:p>
    <w:p w14:paraId="649D0BCB" w14:textId="77777777" w:rsidR="00767B75" w:rsidRPr="00DE108C" w:rsidRDefault="00767B75" w:rsidP="001D1E0A">
      <w:pPr>
        <w:rPr>
          <w:rFonts w:eastAsia="Verdana"/>
        </w:rPr>
      </w:pPr>
    </w:p>
    <w:p w14:paraId="77DA645A" w14:textId="77777777" w:rsidR="00767B75" w:rsidRPr="00DE108C" w:rsidRDefault="00767B75">
      <w:pPr>
        <w:rPr>
          <w:rFonts w:eastAsia="Verdana"/>
          <w:noProof/>
        </w:rPr>
        <w:sectPr w:rsidR="00767B75" w:rsidRPr="00DE108C" w:rsidSect="004E6B8E">
          <w:pgSz w:w="11906" w:h="16838" w:code="9"/>
          <w:pgMar w:top="1134" w:right="1134" w:bottom="1134" w:left="1134" w:header="567" w:footer="680" w:gutter="0"/>
          <w:pgNumType w:start="1"/>
          <w:cols w:space="708"/>
          <w:docGrid w:linePitch="360"/>
        </w:sectPr>
      </w:pPr>
    </w:p>
    <w:p w14:paraId="1048C955" w14:textId="764ECE03" w:rsidR="00767B75" w:rsidRPr="00DE108C" w:rsidRDefault="005C57E6" w:rsidP="00094CD4">
      <w:pPr>
        <w:pStyle w:val="Caption"/>
      </w:pPr>
      <w:bookmarkStart w:id="206" w:name="_Toc207892988"/>
      <w:bookmarkStart w:id="207" w:name="_Toc208490512"/>
      <w:bookmarkStart w:id="208" w:name="_Toc208490850"/>
      <w:bookmarkStart w:id="209" w:name="_Toc208911008"/>
      <w:bookmarkStart w:id="210" w:name="_Toc210051315"/>
      <w:r w:rsidRPr="00DE108C">
        <w:rPr>
          <w:noProof/>
        </w:rPr>
        <w:lastRenderedPageBreak/>
        <w:drawing>
          <wp:anchor distT="0" distB="0" distL="114300" distR="114300" simplePos="0" relativeHeight="251658249" behindDoc="1" locked="0" layoutInCell="1" allowOverlap="1" wp14:anchorId="3FAE18BE" wp14:editId="3763E423">
            <wp:simplePos x="0" y="0"/>
            <wp:positionH relativeFrom="page">
              <wp:posOffset>97</wp:posOffset>
            </wp:positionH>
            <wp:positionV relativeFrom="paragraph">
              <wp:posOffset>-623570</wp:posOffset>
            </wp:positionV>
            <wp:extent cx="10705905" cy="7570312"/>
            <wp:effectExtent l="0" t="0" r="635" b="0"/>
            <wp:wrapNone/>
            <wp:docPr id="2109308934" name="drawing" descr="The &quot;Engagement Journey&quot; diagram details a six-stage program, guided by principles such as PS21 commitments and the 2022 Waterways and Drainage Investment Plan. &#10;&#10;The stages are: &#10;&#10;Stage 1: Initial assessment (Jan - Mar 2023): Environmental scan and development of an early engagement program. &#10;&#10;Stage 2: Values and priorities (Mar - Jun 2023): Tested customer and community priorities, engaging 3,095 customers and community members. &#10;&#10;Stage 3: Valuation (Jun - Dec 2023): Tested willingness to pay and Water Corporation expectations, engaging 2,246 customers and community members. &#10;&#10;Stage 4: Outcomes testing (Dec 2023 - Mar 2024): Developed and tested PS26 Customer Outcomes, engaging 1,684 customers and community members. &#10;&#10;Stage 5: Playback (Mar - May 2025): Tested proposals, commitments, investments, and prices, engaging 1,933 customers and community members. &#10;&#10;Stage 6: Closing the loop to business as usual (Jun 2025 - Feb 2026): Final refinement and post-engagement setup, engaging 2,277 customers and community members. &#10;&#10;Key achievements include 55+ meetings with water corporations, 20+ meetings with Traditional Owner corporations on PS26, 39 meetings with end-use customers, over 7,000 community survey responses, new customer outcomes, investments reflecting input, the first Melbourne Water program for vulnerable customers and an ongoing Customer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08934" name="drawing" descr="The &quot;Engagement Journey&quot; diagram details a six-stage program, guided by principles such as PS21 commitments and the 2022 Waterways and Drainage Investment Plan. &#10;&#10;The stages are: &#10;&#10;Stage 1: Initial assessment (Jan - Mar 2023): Environmental scan and development of an early engagement program. &#10;&#10;Stage 2: Values and priorities (Mar - Jun 2023): Tested customer and community priorities, engaging 3,095 customers and community members. &#10;&#10;Stage 3: Valuation (Jun - Dec 2023): Tested willingness to pay and Water Corporation expectations, engaging 2,246 customers and community members. &#10;&#10;Stage 4: Outcomes testing (Dec 2023 - Mar 2024): Developed and tested PS26 Customer Outcomes, engaging 1,684 customers and community members. &#10;&#10;Stage 5: Playback (Mar - May 2025): Tested proposals, commitments, investments, and prices, engaging 1,933 customers and community members. &#10;&#10;Stage 6: Closing the loop to business as usual (Jun 2025 - Feb 2026): Final refinement and post-engagement setup, engaging 2,277 customers and community members. &#10;&#10;Key achievements include 55+ meetings with water corporations, 20+ meetings with Traditional Owner corporations on PS26, 39 meetings with end-use customers, over 7,000 community survey responses, new customer outcomes, investments reflecting input, the first Melbourne Water program for vulnerable customers and an ongoing Customer Forum."/>
                    <pic:cNvPicPr/>
                  </pic:nvPicPr>
                  <pic:blipFill>
                    <a:blip r:embed="rId58" cstate="screen">
                      <a:extLst>
                        <a:ext uri="{28A0092B-C50C-407E-A947-70E740481C1C}">
                          <a14:useLocalDpi xmlns:a14="http://schemas.microsoft.com/office/drawing/2010/main"/>
                        </a:ext>
                      </a:extLst>
                    </a:blip>
                    <a:stretch>
                      <a:fillRect/>
                    </a:stretch>
                  </pic:blipFill>
                  <pic:spPr>
                    <a:xfrm>
                      <a:off x="0" y="0"/>
                      <a:ext cx="10705905" cy="7570312"/>
                    </a:xfrm>
                    <a:prstGeom prst="rect">
                      <a:avLst/>
                    </a:prstGeom>
                  </pic:spPr>
                </pic:pic>
              </a:graphicData>
            </a:graphic>
            <wp14:sizeRelH relativeFrom="margin">
              <wp14:pctWidth>0</wp14:pctWidth>
            </wp14:sizeRelH>
            <wp14:sizeRelV relativeFrom="margin">
              <wp14:pctHeight>0</wp14:pctHeight>
            </wp14:sizeRelV>
          </wp:anchor>
        </w:drawing>
      </w:r>
      <w:r w:rsidR="00767B75" w:rsidRPr="00DE108C">
        <w:t>Figure 3.1: Melbourne Water’s PS26 engagement journey</w:t>
      </w:r>
      <w:bookmarkEnd w:id="206"/>
      <w:bookmarkEnd w:id="207"/>
      <w:bookmarkEnd w:id="208"/>
      <w:bookmarkEnd w:id="209"/>
      <w:bookmarkEnd w:id="210"/>
      <w:r w:rsidR="00767B75" w:rsidRPr="00DE108C">
        <w:t xml:space="preserve"> </w:t>
      </w:r>
    </w:p>
    <w:p w14:paraId="53608670" w14:textId="693E3ED6" w:rsidR="00767B75" w:rsidRPr="00DE108C" w:rsidRDefault="00767B75"/>
    <w:p w14:paraId="3912583F" w14:textId="77777777" w:rsidR="00767B75" w:rsidRPr="00DE108C" w:rsidRDefault="00767B75">
      <w:pPr>
        <w:pStyle w:val="BodyText"/>
        <w:rPr>
          <w:rFonts w:eastAsia="Verdana"/>
        </w:rPr>
        <w:sectPr w:rsidR="00767B75" w:rsidRPr="00DE108C" w:rsidSect="00767B75">
          <w:pgSz w:w="16838" w:h="11906" w:orient="landscape"/>
          <w:pgMar w:top="1134" w:right="1134" w:bottom="1134" w:left="1134" w:header="567" w:footer="567" w:gutter="0"/>
          <w:pgNumType w:chapStyle="1"/>
          <w:cols w:space="567"/>
          <w:docGrid w:linePitch="272"/>
        </w:sectPr>
      </w:pPr>
      <w:bookmarkStart w:id="211" w:name="_Toc190876135"/>
    </w:p>
    <w:p w14:paraId="0FD02F66" w14:textId="34C8AFE0" w:rsidR="00767B75" w:rsidRPr="00DE108C" w:rsidRDefault="00767B75" w:rsidP="0016695E">
      <w:pPr>
        <w:pStyle w:val="Heading3"/>
      </w:pPr>
      <w:bookmarkStart w:id="212" w:name="_Toc196745196"/>
      <w:bookmarkEnd w:id="211"/>
      <w:r w:rsidRPr="00DE108C">
        <w:lastRenderedPageBreak/>
        <w:t>3.</w:t>
      </w:r>
      <w:r w:rsidR="0016695E" w:rsidRPr="00DE108C">
        <w:t>1.1</w:t>
      </w:r>
      <w:r w:rsidRPr="00DE108C">
        <w:t xml:space="preserve"> Ensuring purposeful engagement </w:t>
      </w:r>
      <w:bookmarkEnd w:id="212"/>
    </w:p>
    <w:p w14:paraId="40B70C9C" w14:textId="77777777" w:rsidR="00767B75" w:rsidRPr="00DE108C" w:rsidRDefault="00767B75" w:rsidP="001D1E0A">
      <w:pPr>
        <w:rPr>
          <w:rFonts w:eastAsia="Verdana"/>
        </w:rPr>
      </w:pPr>
      <w:r w:rsidRPr="00DE108C">
        <w:rPr>
          <w:rFonts w:eastAsia="Verdana"/>
        </w:rPr>
        <w:t xml:space="preserve">Our engagement with customers, partners and communities is ongoing and continuous. In the development of PS26, we utilised established channels and added bespoke engagement activities. </w:t>
      </w:r>
    </w:p>
    <w:p w14:paraId="496B8B1F" w14:textId="6F2FC0D5" w:rsidR="00767B75" w:rsidRPr="00DE108C" w:rsidRDefault="00767B75" w:rsidP="001D1E0A">
      <w:pPr>
        <w:rPr>
          <w:rFonts w:eastAsia="Verdana"/>
        </w:rPr>
      </w:pPr>
      <w:r w:rsidRPr="00DE108C">
        <w:rPr>
          <w:rFonts w:eastAsia="Verdana"/>
        </w:rPr>
        <w:t>Reflecting the priorities and values of our customers has been a central anchor in the development of our submission. We ran a multifaceted engagement program to ensure all voices were appropriately heard, understood, played back</w:t>
      </w:r>
      <w:r w:rsidR="5045D335" w:rsidRPr="00DE108C">
        <w:rPr>
          <w:rFonts w:eastAsia="Verdana"/>
        </w:rPr>
        <w:t>,</w:t>
      </w:r>
      <w:r w:rsidRPr="00DE108C">
        <w:rPr>
          <w:rFonts w:eastAsia="Verdana"/>
        </w:rPr>
        <w:t xml:space="preserve"> and incorporated into our decision-making. </w:t>
      </w:r>
    </w:p>
    <w:p w14:paraId="3DC504EB" w14:textId="4CC3104D" w:rsidR="00767B75" w:rsidRPr="00DE108C" w:rsidRDefault="00767B75" w:rsidP="001D1E0A">
      <w:pPr>
        <w:rPr>
          <w:rFonts w:eastAsia="Verdana"/>
        </w:rPr>
      </w:pPr>
      <w:r w:rsidRPr="4BE1F960">
        <w:rPr>
          <w:rFonts w:eastAsia="Verdana"/>
        </w:rPr>
        <w:t xml:space="preserve">With reference to the ESC’s engagement diagram (Figure 3.2), we endeavoured to provide a deeper and broader engagement approach. Limitations of our engagement program relate to timing. Engagement focused on our </w:t>
      </w:r>
      <w:r w:rsidR="60BA95EE" w:rsidRPr="4BE1F960">
        <w:rPr>
          <w:rFonts w:eastAsia="Verdana"/>
        </w:rPr>
        <w:t>P</w:t>
      </w:r>
      <w:r w:rsidRPr="4BE1F960">
        <w:rPr>
          <w:rFonts w:eastAsia="Verdana"/>
        </w:rPr>
        <w:t xml:space="preserve">rice </w:t>
      </w:r>
      <w:r w:rsidR="6076AAD4" w:rsidRPr="4BE1F960">
        <w:rPr>
          <w:rFonts w:eastAsia="Verdana"/>
        </w:rPr>
        <w:t>S</w:t>
      </w:r>
      <w:r w:rsidRPr="4BE1F960">
        <w:rPr>
          <w:rFonts w:eastAsia="Verdana"/>
        </w:rPr>
        <w:t xml:space="preserve">ubmission was not ongoing throughout the 2021 regulatory period. We are committed to improving how we engage for this regulatory period. Melbourne Water is now standing up ongoing customer forums with water corporations and end-use customers. This commits us to engaging continuously on customer expectations and experiences and provides opportunities to test our performance. </w:t>
      </w:r>
    </w:p>
    <w:p w14:paraId="4A5A9159" w14:textId="24B39298" w:rsidR="00767B75" w:rsidRPr="00DE108C" w:rsidRDefault="00767B75" w:rsidP="00094CD4">
      <w:pPr>
        <w:pStyle w:val="Caption"/>
      </w:pPr>
      <w:bookmarkStart w:id="213" w:name="_Toc207892989"/>
      <w:bookmarkStart w:id="214" w:name="_Toc208490513"/>
      <w:bookmarkStart w:id="215" w:name="_Toc208490851"/>
      <w:bookmarkStart w:id="216" w:name="_Toc208911009"/>
      <w:bookmarkStart w:id="217" w:name="_Toc210051316"/>
      <w:r w:rsidRPr="00DE108C">
        <w:t>Figure 3.2: ESC's engagement diagram with influence aim for water corporation engagement identified</w:t>
      </w:r>
      <w:bookmarkEnd w:id="213"/>
      <w:bookmarkEnd w:id="214"/>
      <w:bookmarkEnd w:id="215"/>
      <w:bookmarkEnd w:id="216"/>
      <w:bookmarkEnd w:id="217"/>
    </w:p>
    <w:p w14:paraId="1EB97C40" w14:textId="328794CC" w:rsidR="001D1E0A" w:rsidRPr="00DE108C" w:rsidRDefault="51F4AF89" w:rsidP="00945252">
      <w:bookmarkStart w:id="218" w:name="_Toc207892990"/>
      <w:r w:rsidRPr="00DE108C">
        <w:rPr>
          <w:noProof/>
        </w:rPr>
        <w:drawing>
          <wp:inline distT="0" distB="0" distL="0" distR="0" wp14:anchorId="47AFEED6" wp14:editId="30CB7AAC">
            <wp:extent cx="6424345" cy="4232087"/>
            <wp:effectExtent l="0" t="0" r="0" b="0"/>
            <wp:docPr id="223170102" name="Picture 1" descr="The diagram shows ESC's engagement triangle which is divided into three labelled sides: FORM (top), TIMING (left), and CONTENT (right). Level of influence from water corporation engagement has been highlighted as well as a continuous improvement aim for 2026-31 engagement.&#10;&#10;FORM (top side, vertical progression): Levels of engagement from centre to outside — Inform, Consult, Involve, Collaborate (highlighted), Empower.&#10;TIMING (left side, vertical progression): Stages from centre to outside — Price submission formed, Price submission developing (highlighted), Planning underway, Pre-planning, Ongoing (highlighted as continuous improvement aim).&#10;CONTENT (right side, horizontal progression): Stages from centre to outside — Discrete projects, Service standards tariffs, Price and service trade-offs, Whole submission (highlighted), Performance stewardship.&#10;&#10;Arrows indicate that engagement should become deeper over time, broader in content and earlier/ongoing, and water corporations' level of influence is increasing and approaching the edges of the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70102" name="Picture 1" descr="The diagram shows ESC's engagement triangle which is divided into three labelled sides: FORM (top), TIMING (left), and CONTENT (right). Level of influence from water corporation engagement has been highlighted as well as a continuous improvement aim for 2026-31 engagement.&#10;&#10;FORM (top side, vertical progression): Levels of engagement from centre to outside — Inform, Consult, Involve, Collaborate (highlighted), Empower.&#10;TIMING (left side, vertical progression): Stages from centre to outside — Price submission formed, Price submission developing (highlighted), Planning underway, Pre-planning, Ongoing (highlighted as continuous improvement aim).&#10;CONTENT (right side, horizontal progression): Stages from centre to outside — Discrete projects, Service standards tariffs, Price and service trade-offs, Whole submission (highlighted), Performance stewardship.&#10;&#10;Arrows indicate that engagement should become deeper over time, broader in content and earlier/ongoing, and water corporations' level of influence is increasing and approaching the edges of the triangle. "/>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424345" cy="4232087"/>
                    </a:xfrm>
                    <a:prstGeom prst="rect">
                      <a:avLst/>
                    </a:prstGeom>
                    <a:ln>
                      <a:noFill/>
                    </a:ln>
                    <a:extLst>
                      <a:ext uri="{53640926-AAD7-44D8-BBD7-CCE9431645EC}">
                        <a14:shadowObscured xmlns:a14="http://schemas.microsoft.com/office/drawing/2010/main"/>
                      </a:ext>
                    </a:extLst>
                  </pic:spPr>
                </pic:pic>
              </a:graphicData>
            </a:graphic>
          </wp:inline>
        </w:drawing>
      </w:r>
      <w:bookmarkEnd w:id="218"/>
    </w:p>
    <w:p w14:paraId="0F86E557" w14:textId="7E5CCA10" w:rsidR="00767B75" w:rsidRPr="00DE108C" w:rsidRDefault="00767B75" w:rsidP="001D1E0A">
      <w:pPr>
        <w:rPr>
          <w:rFonts w:eastAsia="Verdana"/>
        </w:rPr>
      </w:pPr>
      <w:r w:rsidRPr="00DE108C">
        <w:rPr>
          <w:rFonts w:eastAsia="Verdana"/>
        </w:rPr>
        <w:t>Overall, our engagement with our informed customer group – the water corporations and Traditional Owner partners – aimed for an IAP2 level of ‘Collaborate’, while our broader engagement with end-use customers, stakeholders and broader community aimed for the level ‘Involve’. Figure 3.3 provides a high-level summary of how we identified levels of influence</w:t>
      </w:r>
      <w:r w:rsidR="00673BE1" w:rsidRPr="00DE108C">
        <w:rPr>
          <w:rFonts w:eastAsia="Verdana"/>
        </w:rPr>
        <w:t xml:space="preserve"> for </w:t>
      </w:r>
      <w:r w:rsidR="00CF1BE7" w:rsidRPr="00DE108C">
        <w:rPr>
          <w:rFonts w:eastAsia="Verdana"/>
        </w:rPr>
        <w:t>water corporations and end-use customers</w:t>
      </w:r>
      <w:r w:rsidR="00673BE1" w:rsidRPr="00DE108C">
        <w:rPr>
          <w:rFonts w:eastAsia="Verdana"/>
        </w:rPr>
        <w:t xml:space="preserve"> for key topics</w:t>
      </w:r>
      <w:r w:rsidRPr="00DE108C">
        <w:rPr>
          <w:rFonts w:eastAsia="Verdana"/>
        </w:rPr>
        <w:t>.</w:t>
      </w:r>
    </w:p>
    <w:p w14:paraId="7C5BF4A8" w14:textId="77777777" w:rsidR="00EF1E17" w:rsidRPr="00DE108C" w:rsidRDefault="00EF1E17" w:rsidP="001D1E0A">
      <w:pPr>
        <w:rPr>
          <w:rFonts w:eastAsia="Verdana"/>
        </w:rPr>
      </w:pPr>
    </w:p>
    <w:p w14:paraId="370CB021" w14:textId="77777777" w:rsidR="00EF1E17" w:rsidRPr="00DE108C" w:rsidRDefault="00EF1E17" w:rsidP="001D1E0A">
      <w:pPr>
        <w:rPr>
          <w:rFonts w:eastAsia="Verdana"/>
        </w:rPr>
      </w:pPr>
    </w:p>
    <w:p w14:paraId="10B6219F" w14:textId="7CE93307" w:rsidR="00767B75" w:rsidRPr="00DE108C" w:rsidRDefault="00EF1E17">
      <w:pPr>
        <w:rPr>
          <w:rFonts w:ascii="Verdana" w:eastAsia="Verdana" w:hAnsi="Verdana" w:cs="Verdana"/>
          <w:noProof/>
        </w:rPr>
      </w:pPr>
      <w:bookmarkStart w:id="219" w:name="_Toc207892991"/>
      <w:r w:rsidRPr="00DE108C">
        <w:rPr>
          <w:noProof/>
        </w:rPr>
        <w:lastRenderedPageBreak/>
        <w:drawing>
          <wp:anchor distT="0" distB="0" distL="114300" distR="114300" simplePos="0" relativeHeight="251658243" behindDoc="1" locked="0" layoutInCell="1" allowOverlap="1" wp14:anchorId="4309936E" wp14:editId="5095F80D">
            <wp:simplePos x="0" y="0"/>
            <wp:positionH relativeFrom="margin">
              <wp:align>center</wp:align>
            </wp:positionH>
            <wp:positionV relativeFrom="paragraph">
              <wp:posOffset>306705</wp:posOffset>
            </wp:positionV>
            <wp:extent cx="4670425" cy="6600825"/>
            <wp:effectExtent l="0" t="0" r="0" b="9525"/>
            <wp:wrapTopAndBottom/>
            <wp:docPr id="1459123965" name="drawing" descr="A diagram with two pie charts illustrates the levels of influence that water corporations and end-use customers had on key submission topics. It shows that water corporations had a high degree of consultation (40%) and involvement (35%), with 25% collaboration on various topics. In contrast, end-use customers were primarily informed (70%), with 20% consulted and 10% involved in specific areas, such as vulnerability packages and price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23965" name="drawing" descr="A diagram with two pie charts illustrates the levels of influence that water corporations and end-use customers had on key submission topics. It shows that water corporations had a high degree of consultation (40%) and involvement (35%), with 25% collaboration on various topics. In contrast, end-use customers were primarily informed (70%), with 20% consulted and 10% involved in specific areas, such as vulnerability packages and price paths."/>
                    <pic:cNvPicPr/>
                  </pic:nvPicPr>
                  <pic:blipFill>
                    <a:blip r:embed="rId60" cstate="screen">
                      <a:extLst>
                        <a:ext uri="{28A0092B-C50C-407E-A947-70E740481C1C}">
                          <a14:useLocalDpi xmlns:a14="http://schemas.microsoft.com/office/drawing/2010/main"/>
                        </a:ext>
                      </a:extLst>
                    </a:blip>
                    <a:stretch>
                      <a:fillRect/>
                    </a:stretch>
                  </pic:blipFill>
                  <pic:spPr>
                    <a:xfrm>
                      <a:off x="0" y="0"/>
                      <a:ext cx="4670425" cy="6600825"/>
                    </a:xfrm>
                    <a:prstGeom prst="rect">
                      <a:avLst/>
                    </a:prstGeom>
                  </pic:spPr>
                </pic:pic>
              </a:graphicData>
            </a:graphic>
          </wp:anchor>
        </w:drawing>
      </w:r>
      <w:bookmarkStart w:id="220" w:name="_Toc208490514"/>
      <w:bookmarkStart w:id="221" w:name="_Toc208490852"/>
      <w:bookmarkStart w:id="222" w:name="_Toc208911010"/>
      <w:bookmarkStart w:id="223" w:name="_Toc210051317"/>
      <w:bookmarkEnd w:id="219"/>
      <w:r w:rsidR="00767B75" w:rsidRPr="00DE108C">
        <w:rPr>
          <w:rStyle w:val="CaptionChar"/>
        </w:rPr>
        <w:t xml:space="preserve">Figure 3.3: </w:t>
      </w:r>
      <w:bookmarkEnd w:id="220"/>
      <w:bookmarkEnd w:id="221"/>
      <w:bookmarkEnd w:id="222"/>
      <w:r w:rsidR="00344C7E" w:rsidRPr="00344C7E">
        <w:rPr>
          <w:rStyle w:val="CaptionChar"/>
        </w:rPr>
        <w:t>Water corporation and end-use customer level of influence by key submission topics</w:t>
      </w:r>
      <w:bookmarkEnd w:id="223"/>
    </w:p>
    <w:p w14:paraId="73B9EC64" w14:textId="65839919" w:rsidR="00767B75" w:rsidRPr="00DE108C" w:rsidRDefault="2ED6DCE9" w:rsidP="723B97A5">
      <w:pPr>
        <w:pStyle w:val="Heading3"/>
        <w:rPr>
          <w:noProof/>
        </w:rPr>
      </w:pPr>
      <w:r w:rsidRPr="00DE108C">
        <w:rPr>
          <w:noProof/>
        </w:rPr>
        <w:t xml:space="preserve">3.1.2 Commitment to ongoing engagement </w:t>
      </w:r>
    </w:p>
    <w:p w14:paraId="7DCA3CC4" w14:textId="217F5E69" w:rsidR="00767B75" w:rsidRPr="00DE108C" w:rsidRDefault="2ED6DCE9" w:rsidP="723B97A5">
      <w:pPr>
        <w:pStyle w:val="BodyText"/>
        <w:rPr>
          <w:noProof/>
        </w:rPr>
      </w:pPr>
      <w:r w:rsidRPr="00DE108C">
        <w:rPr>
          <w:noProof/>
        </w:rPr>
        <w:t xml:space="preserve">We are committing to ongoing engagement throughout the 2026-31 period. </w:t>
      </w:r>
    </w:p>
    <w:p w14:paraId="6EDBBCEB" w14:textId="2B822CCC" w:rsidR="00767B75" w:rsidRPr="00DE108C" w:rsidRDefault="2ED6DCE9" w:rsidP="723B97A5">
      <w:pPr>
        <w:pStyle w:val="BodyText"/>
        <w:rPr>
          <w:noProof/>
        </w:rPr>
      </w:pPr>
      <w:r w:rsidRPr="4BE1F960">
        <w:rPr>
          <w:noProof/>
        </w:rPr>
        <w:t>Through the PS26 process, we identified some key topics</w:t>
      </w:r>
      <w:r w:rsidR="1ACD26F4" w:rsidRPr="4BE1F960">
        <w:rPr>
          <w:noProof/>
        </w:rPr>
        <w:t xml:space="preserve"> for water corporations</w:t>
      </w:r>
      <w:r w:rsidRPr="4BE1F960">
        <w:rPr>
          <w:noProof/>
        </w:rPr>
        <w:t xml:space="preserve"> that could not be </w:t>
      </w:r>
      <w:r w:rsidR="09BADEE7" w:rsidRPr="4BE1F960">
        <w:rPr>
          <w:noProof/>
        </w:rPr>
        <w:t>ful</w:t>
      </w:r>
      <w:r w:rsidRPr="4BE1F960">
        <w:rPr>
          <w:noProof/>
        </w:rPr>
        <w:t>ly addressed through Price Submission engagement alone</w:t>
      </w:r>
      <w:r w:rsidR="767D9624" w:rsidRPr="4BE1F960">
        <w:rPr>
          <w:noProof/>
        </w:rPr>
        <w:t xml:space="preserve"> (such as </w:t>
      </w:r>
      <w:r w:rsidRPr="4BE1F960">
        <w:rPr>
          <w:noProof/>
        </w:rPr>
        <w:t>collaborative planning, Bulk Supply Agreement</w:t>
      </w:r>
      <w:r w:rsidR="002323C3">
        <w:rPr>
          <w:noProof/>
        </w:rPr>
        <w:t xml:space="preserve"> (BSA)</w:t>
      </w:r>
      <w:r w:rsidRPr="4BE1F960">
        <w:rPr>
          <w:noProof/>
        </w:rPr>
        <w:t xml:space="preserve"> modernisation</w:t>
      </w:r>
      <w:r w:rsidR="53DBFDEE" w:rsidRPr="4BE1F960">
        <w:rPr>
          <w:noProof/>
        </w:rPr>
        <w:t>)</w:t>
      </w:r>
      <w:r w:rsidR="66900C61" w:rsidRPr="4BE1F960">
        <w:rPr>
          <w:noProof/>
        </w:rPr>
        <w:t xml:space="preserve">. These areas not finalised ahead of submission will be addressed through the regulatory period. In Appendix </w:t>
      </w:r>
      <w:r w:rsidR="00002650">
        <w:rPr>
          <w:noProof/>
        </w:rPr>
        <w:t>A</w:t>
      </w:r>
      <w:r w:rsidR="090ACE7C" w:rsidRPr="4BE1F960">
        <w:rPr>
          <w:noProof/>
        </w:rPr>
        <w:t xml:space="preserve"> </w:t>
      </w:r>
      <w:r w:rsidR="090ACE7C" w:rsidRPr="09B76FCA">
        <w:rPr>
          <w:noProof/>
        </w:rPr>
        <w:t>(</w:t>
      </w:r>
      <w:r w:rsidR="66900C61" w:rsidRPr="4BE1F960">
        <w:rPr>
          <w:noProof/>
        </w:rPr>
        <w:t>Water corporation summaries</w:t>
      </w:r>
      <w:r w:rsidR="0BD6D2D0" w:rsidRPr="09B76FCA">
        <w:rPr>
          <w:noProof/>
        </w:rPr>
        <w:t>)</w:t>
      </w:r>
      <w:r w:rsidR="66900C61" w:rsidRPr="09B76FCA">
        <w:rPr>
          <w:noProof/>
        </w:rPr>
        <w:t>,</w:t>
      </w:r>
      <w:r w:rsidR="66900C61" w:rsidRPr="4BE1F960">
        <w:rPr>
          <w:noProof/>
        </w:rPr>
        <w:t xml:space="preserve"> we have outlined these key areas to be addressed during the period. </w:t>
      </w:r>
    </w:p>
    <w:p w14:paraId="1ACD6628" w14:textId="17C77AF5" w:rsidR="00767B75" w:rsidRPr="00DE108C" w:rsidRDefault="6E30EF3D" w:rsidP="723B97A5">
      <w:pPr>
        <w:pStyle w:val="BodyText"/>
        <w:rPr>
          <w:noProof/>
        </w:rPr>
      </w:pPr>
      <w:r w:rsidRPr="00DE108C">
        <w:rPr>
          <w:noProof/>
        </w:rPr>
        <w:t xml:space="preserve">We are </w:t>
      </w:r>
      <w:r w:rsidR="74656D01" w:rsidRPr="09B76FCA">
        <w:rPr>
          <w:noProof/>
        </w:rPr>
        <w:t>also</w:t>
      </w:r>
      <w:r w:rsidRPr="00DE108C">
        <w:rPr>
          <w:noProof/>
        </w:rPr>
        <w:t xml:space="preserve"> committed to engaging in an ongoing manner on our performance to understand how we meet customer expecatations during the period. We will do this through engagement </w:t>
      </w:r>
      <w:r w:rsidRPr="00DE108C">
        <w:rPr>
          <w:noProof/>
        </w:rPr>
        <w:lastRenderedPageBreak/>
        <w:t>activities</w:t>
      </w:r>
      <w:r w:rsidR="0AEBB472" w:rsidRPr="00DE108C">
        <w:rPr>
          <w:noProof/>
        </w:rPr>
        <w:t xml:space="preserve"> for water corporations</w:t>
      </w:r>
      <w:r w:rsidR="002323C3">
        <w:rPr>
          <w:noProof/>
        </w:rPr>
        <w:t xml:space="preserve"> (such as forums)</w:t>
      </w:r>
      <w:r w:rsidR="0AEBB472" w:rsidRPr="00DE108C">
        <w:rPr>
          <w:noProof/>
        </w:rPr>
        <w:t>, and through a new</w:t>
      </w:r>
      <w:r w:rsidR="56EA5CD7" w:rsidRPr="00DE108C">
        <w:rPr>
          <w:noProof/>
        </w:rPr>
        <w:t>ly established</w:t>
      </w:r>
      <w:r w:rsidR="0AEBB472" w:rsidRPr="00DE108C">
        <w:rPr>
          <w:noProof/>
        </w:rPr>
        <w:t xml:space="preserve"> ongoing customer forum made up of end-use customers. </w:t>
      </w:r>
    </w:p>
    <w:p w14:paraId="435C1390" w14:textId="1E2034C6" w:rsidR="00767B75" w:rsidRPr="00DE108C" w:rsidRDefault="00767B75">
      <w:pPr>
        <w:pStyle w:val="Heading2"/>
        <w:rPr>
          <w:rFonts w:ascii="Verdana" w:eastAsia="Verdana" w:hAnsi="Verdana" w:cs="Verdana"/>
        </w:rPr>
      </w:pPr>
      <w:bookmarkStart w:id="224" w:name="_Toc207892887"/>
      <w:bookmarkStart w:id="225" w:name="_Toc207853380"/>
      <w:r w:rsidRPr="00DE108C">
        <w:t>3.</w:t>
      </w:r>
      <w:r w:rsidR="0016695E" w:rsidRPr="00DE108C">
        <w:t>2</w:t>
      </w:r>
      <w:r w:rsidRPr="00DE108C">
        <w:t xml:space="preserve"> How we engaged</w:t>
      </w:r>
      <w:bookmarkEnd w:id="224"/>
      <w:bookmarkEnd w:id="225"/>
    </w:p>
    <w:p w14:paraId="3E6746EA" w14:textId="13528077" w:rsidR="00767B75" w:rsidRPr="00DE108C" w:rsidRDefault="00767B75" w:rsidP="00E85C3C">
      <w:pPr>
        <w:rPr>
          <w:rFonts w:eastAsia="Verdana"/>
        </w:rPr>
      </w:pPr>
      <w:r w:rsidRPr="00DE108C">
        <w:rPr>
          <w:rFonts w:eastAsia="Verdana"/>
        </w:rPr>
        <w:t xml:space="preserve">We tailored our engagement approaches to the different customer groups to ensure our engagement was accessible, targeted, relevant in content, and that the engagement form was tailored to facilitate effective discussion. </w:t>
      </w:r>
    </w:p>
    <w:p w14:paraId="1B18636A" w14:textId="77777777" w:rsidR="00767B75" w:rsidRPr="00DE108C" w:rsidRDefault="00767B75" w:rsidP="00E85C3C">
      <w:pPr>
        <w:rPr>
          <w:rFonts w:eastAsia="Verdana"/>
        </w:rPr>
      </w:pPr>
      <w:r w:rsidRPr="00DE108C">
        <w:rPr>
          <w:rFonts w:eastAsia="Verdana"/>
        </w:rPr>
        <w:t>We also adapted our engagement program based on feedback and analysis of gaps. We wanted to ensure we provided adequate time and forums to inform decision-making and incorporate meaningful feedback. We did this by:</w:t>
      </w:r>
    </w:p>
    <w:p w14:paraId="11AA9C46" w14:textId="6BBA6DFB" w:rsidR="00767B75" w:rsidRPr="00DE108C" w:rsidRDefault="00767B75" w:rsidP="0017365B">
      <w:pPr>
        <w:pStyle w:val="ListBullet"/>
        <w:rPr>
          <w:rFonts w:eastAsia="Verdana"/>
        </w:rPr>
      </w:pPr>
      <w:r w:rsidRPr="00DE108C">
        <w:rPr>
          <w:rFonts w:eastAsia="Verdana"/>
        </w:rPr>
        <w:t>extending the program of work to continue into 2025 (</w:t>
      </w:r>
      <w:r w:rsidR="00540A1D" w:rsidRPr="00DE108C">
        <w:rPr>
          <w:rFonts w:eastAsia="Verdana"/>
        </w:rPr>
        <w:t>originally planned to</w:t>
      </w:r>
      <w:r w:rsidRPr="00DE108C">
        <w:rPr>
          <w:rFonts w:eastAsia="Verdana"/>
        </w:rPr>
        <w:t xml:space="preserve"> end in December 2024)</w:t>
      </w:r>
    </w:p>
    <w:p w14:paraId="5939D6D6" w14:textId="797F7BB5" w:rsidR="00767B75" w:rsidRPr="00DE108C" w:rsidRDefault="00767B75" w:rsidP="0017365B">
      <w:pPr>
        <w:pStyle w:val="ListBullet"/>
        <w:rPr>
          <w:rFonts w:eastAsia="Verdana"/>
        </w:rPr>
      </w:pPr>
      <w:r w:rsidRPr="00DE108C">
        <w:rPr>
          <w:rFonts w:eastAsia="Verdana"/>
        </w:rPr>
        <w:t xml:space="preserve">increasing the number of Water Corporation Forum meetings to ensure regular touchpoints with corporations throughout the </w:t>
      </w:r>
      <w:r w:rsidR="58669A43" w:rsidRPr="14031F0E">
        <w:rPr>
          <w:rFonts w:eastAsia="Verdana"/>
        </w:rPr>
        <w:t>P</w:t>
      </w:r>
      <w:r w:rsidRPr="14031F0E">
        <w:rPr>
          <w:rFonts w:eastAsia="Verdana"/>
        </w:rPr>
        <w:t xml:space="preserve">rice </w:t>
      </w:r>
      <w:r w:rsidR="4A6F5A25" w:rsidRPr="14031F0E">
        <w:rPr>
          <w:rFonts w:eastAsia="Verdana"/>
        </w:rPr>
        <w:t>S</w:t>
      </w:r>
      <w:r w:rsidRPr="00DE108C">
        <w:rPr>
          <w:rFonts w:eastAsia="Verdana"/>
        </w:rPr>
        <w:t>ubmission development</w:t>
      </w:r>
    </w:p>
    <w:p w14:paraId="1AF3AC6E" w14:textId="77777777" w:rsidR="00767B75" w:rsidRPr="00DE108C" w:rsidRDefault="00767B75" w:rsidP="0017365B">
      <w:pPr>
        <w:pStyle w:val="ListBullet"/>
        <w:rPr>
          <w:rFonts w:eastAsia="Verdana"/>
        </w:rPr>
      </w:pPr>
      <w:r w:rsidRPr="00DE108C">
        <w:rPr>
          <w:rFonts w:eastAsia="Verdana"/>
        </w:rPr>
        <w:t>re-focusing our bulk tariff working group with the water corporations (meeting regularly since 2022) as the Regulatory and Tariff Forum to discuss key regulatory issues associated with the development of PS26</w:t>
      </w:r>
    </w:p>
    <w:p w14:paraId="112AC5E4" w14:textId="77777777" w:rsidR="00767B75" w:rsidRDefault="00767B75" w:rsidP="0017365B">
      <w:pPr>
        <w:pStyle w:val="ListBullet"/>
        <w:rPr>
          <w:rFonts w:eastAsia="Verdana"/>
        </w:rPr>
      </w:pPr>
      <w:r w:rsidRPr="00DE108C">
        <w:rPr>
          <w:rFonts w:eastAsia="Verdana"/>
        </w:rPr>
        <w:t>adding additional waterways and drainage-specific engagement activities, including a Waterways and Drainage Customer Forum to enable appropriate ‘deep dives’ into topics customers could have material impact on</w:t>
      </w:r>
    </w:p>
    <w:p w14:paraId="58734D47" w14:textId="190B1D7B" w:rsidR="00DF4A38" w:rsidRPr="00821A05" w:rsidRDefault="00DF4A38" w:rsidP="0017365B">
      <w:pPr>
        <w:pStyle w:val="ListBullet"/>
        <w:rPr>
          <w:rFonts w:eastAsia="Verdana"/>
        </w:rPr>
      </w:pPr>
      <w:r w:rsidRPr="00821A05">
        <w:rPr>
          <w:rFonts w:eastAsia="Verdana"/>
        </w:rPr>
        <w:t>running a ‘Playback’ engagement period</w:t>
      </w:r>
      <w:r w:rsidR="00E44F59" w:rsidRPr="00821A05">
        <w:rPr>
          <w:rFonts w:eastAsia="Verdana"/>
        </w:rPr>
        <w:t xml:space="preserve"> in May 2025</w:t>
      </w:r>
      <w:r w:rsidRPr="00821A05">
        <w:rPr>
          <w:rFonts w:eastAsia="Verdana"/>
        </w:rPr>
        <w:t xml:space="preserve">, where we released a customer-friendly summary of our draft Price Submission </w:t>
      </w:r>
      <w:r w:rsidR="00E44F59" w:rsidRPr="00821A05">
        <w:rPr>
          <w:rFonts w:eastAsia="Verdana"/>
        </w:rPr>
        <w:t>to test our decisions and proposals</w:t>
      </w:r>
    </w:p>
    <w:p w14:paraId="30F66BB5" w14:textId="2AB9BB2D" w:rsidR="00767B75" w:rsidRPr="00DE108C" w:rsidRDefault="00767B75" w:rsidP="0017365B">
      <w:pPr>
        <w:pStyle w:val="ListBullet"/>
        <w:rPr>
          <w:rFonts w:eastAsia="Verdana"/>
        </w:rPr>
      </w:pPr>
      <w:r w:rsidRPr="00DE108C">
        <w:rPr>
          <w:rFonts w:eastAsia="Verdana"/>
        </w:rPr>
        <w:t>working to ensure our submission reflects the voices of our customers, partners and interested stakeholders and running concurrent engagement programs for our partners and direct service customers that targeted key areas outside the broader engagement program.</w:t>
      </w:r>
    </w:p>
    <w:p w14:paraId="788EDB36" w14:textId="7D339F5B" w:rsidR="00767B75" w:rsidRPr="00DE108C" w:rsidRDefault="00767B75">
      <w:pPr>
        <w:pStyle w:val="Heading3"/>
      </w:pPr>
      <w:r w:rsidRPr="00DE108C">
        <w:t>3.</w:t>
      </w:r>
      <w:r w:rsidR="0016695E" w:rsidRPr="00DE108C">
        <w:t>2</w:t>
      </w:r>
      <w:r w:rsidRPr="00DE108C">
        <w:t xml:space="preserve">.1 Engaging with water corporations </w:t>
      </w:r>
    </w:p>
    <w:p w14:paraId="1B7CAC5E" w14:textId="656E1CC7" w:rsidR="00767B75" w:rsidRPr="00DE108C" w:rsidRDefault="00767B75" w:rsidP="00E85C3C">
      <w:pPr>
        <w:rPr>
          <w:rFonts w:eastAsia="Verdana"/>
        </w:rPr>
      </w:pPr>
      <w:r w:rsidRPr="00DE108C">
        <w:rPr>
          <w:rFonts w:eastAsia="Verdana"/>
        </w:rPr>
        <w:t xml:space="preserve">We provide </w:t>
      </w:r>
      <w:r w:rsidR="131EB4CC" w:rsidRPr="00DE108C">
        <w:rPr>
          <w:rFonts w:eastAsia="Verdana"/>
        </w:rPr>
        <w:t>bulk</w:t>
      </w:r>
      <w:r w:rsidRPr="00DE108C">
        <w:rPr>
          <w:rFonts w:eastAsia="Verdana"/>
        </w:rPr>
        <w:t xml:space="preserve"> water and sewerage services to seven water corporations across our region: Greater Western Water, South East Water, Yarra Valley Water, Barwon Water, Gippsland Water, South Gippsland Water and Westernport Water. We also provide bulk recycled water to Greater Western Water, Southern Rural Water and South East Water. </w:t>
      </w:r>
    </w:p>
    <w:p w14:paraId="18ED4E78" w14:textId="2A0796DE" w:rsidR="00767B75" w:rsidRPr="00DE108C" w:rsidRDefault="00767B75" w:rsidP="00E85C3C">
      <w:pPr>
        <w:rPr>
          <w:rFonts w:eastAsia="Verdana"/>
        </w:rPr>
      </w:pPr>
      <w:r w:rsidRPr="00DE108C">
        <w:rPr>
          <w:rFonts w:eastAsia="Verdana"/>
        </w:rPr>
        <w:t xml:space="preserve">As a core customer group, highly informed by their own </w:t>
      </w:r>
      <w:r w:rsidR="00463201">
        <w:rPr>
          <w:rFonts w:eastAsia="Verdana"/>
        </w:rPr>
        <w:t>p</w:t>
      </w:r>
      <w:r w:rsidRPr="14031F0E">
        <w:rPr>
          <w:rFonts w:eastAsia="Verdana"/>
        </w:rPr>
        <w:t xml:space="preserve">rice </w:t>
      </w:r>
      <w:r w:rsidR="00463201">
        <w:rPr>
          <w:rFonts w:eastAsia="Verdana"/>
        </w:rPr>
        <w:t>s</w:t>
      </w:r>
      <w:r w:rsidRPr="00DE108C">
        <w:rPr>
          <w:rFonts w:eastAsia="Verdana"/>
        </w:rPr>
        <w:t xml:space="preserve">ubmission processes, the water corporations were the first stakeholders we engaged. Corporations were asked how they wanted to be engaged through the development of PS26 and for their thoughts on issues and topics to test with end-use customers. Corporations were engaged regularly throughout the development process, ensuring feedback could be consistently implemented into our decision-making. </w:t>
      </w:r>
    </w:p>
    <w:p w14:paraId="62E80D89" w14:textId="77777777" w:rsidR="00767B75" w:rsidRPr="00DE108C" w:rsidRDefault="00767B75" w:rsidP="00E85C3C">
      <w:pPr>
        <w:rPr>
          <w:rFonts w:eastAsia="Verdana"/>
        </w:rPr>
      </w:pPr>
      <w:r w:rsidRPr="00DE108C">
        <w:rPr>
          <w:rFonts w:eastAsia="Verdana"/>
        </w:rPr>
        <w:t>Engagement with our water corporation customers was done through:</w:t>
      </w:r>
    </w:p>
    <w:p w14:paraId="7B5C2698" w14:textId="42F676D1" w:rsidR="00767B75" w:rsidRPr="00DE108C" w:rsidRDefault="00767B75" w:rsidP="00C43281">
      <w:pPr>
        <w:pStyle w:val="ListBullet"/>
        <w:rPr>
          <w:rFonts w:eastAsia="Verdana"/>
        </w:rPr>
      </w:pPr>
      <w:r w:rsidRPr="00DE108C">
        <w:rPr>
          <w:rFonts w:eastAsia="Verdana"/>
          <w:b/>
          <w:bCs/>
        </w:rPr>
        <w:t>Water Corporation Forum</w:t>
      </w:r>
      <w:r w:rsidRPr="00C43281">
        <w:rPr>
          <w:rFonts w:eastAsia="Verdana"/>
          <w:b/>
        </w:rPr>
        <w:t>:</w:t>
      </w:r>
      <w:r w:rsidRPr="00DE108C">
        <w:rPr>
          <w:rFonts w:eastAsia="Verdana"/>
        </w:rPr>
        <w:t xml:space="preserve"> Held </w:t>
      </w:r>
      <w:r w:rsidR="00D13960">
        <w:rPr>
          <w:rFonts w:eastAsia="Verdana"/>
        </w:rPr>
        <w:t>regularly</w:t>
      </w:r>
      <w:r w:rsidRPr="00DE108C">
        <w:rPr>
          <w:rFonts w:eastAsia="Verdana"/>
        </w:rPr>
        <w:t xml:space="preserve"> throughout 2024 and 2025 (first meeting in April 2024), the forums brought together all corporations</w:t>
      </w:r>
      <w:r w:rsidR="0E3946E1" w:rsidRPr="14031F0E">
        <w:rPr>
          <w:rFonts w:eastAsia="Verdana"/>
        </w:rPr>
        <w:t xml:space="preserve"> (</w:t>
      </w:r>
      <w:r w:rsidRPr="00DE108C">
        <w:rPr>
          <w:rFonts w:eastAsia="Verdana"/>
        </w:rPr>
        <w:t xml:space="preserve">aside from Southern Rural </w:t>
      </w:r>
      <w:r w:rsidRPr="00DE108C">
        <w:rPr>
          <w:rFonts w:eastAsia="Verdana"/>
        </w:rPr>
        <w:lastRenderedPageBreak/>
        <w:t>Water, who opted not to participate</w:t>
      </w:r>
      <w:r w:rsidR="1980EDE7" w:rsidRPr="14031F0E">
        <w:rPr>
          <w:rFonts w:eastAsia="Verdana"/>
        </w:rPr>
        <w:t>)</w:t>
      </w:r>
      <w:r w:rsidR="00447ED1">
        <w:rPr>
          <w:rStyle w:val="FootnoteReference"/>
          <w:rFonts w:eastAsia="Verdana"/>
        </w:rPr>
        <w:footnoteReference w:id="4"/>
      </w:r>
      <w:r w:rsidRPr="00DE108C">
        <w:rPr>
          <w:rFonts w:eastAsia="Verdana"/>
        </w:rPr>
        <w:t xml:space="preserve"> to discuss key elements of Melbourne Water's submission.</w:t>
      </w:r>
    </w:p>
    <w:p w14:paraId="19418FA7" w14:textId="77777777" w:rsidR="00767B75" w:rsidRPr="00DE108C" w:rsidRDefault="00767B75" w:rsidP="00C43281">
      <w:pPr>
        <w:pStyle w:val="ListBullet"/>
        <w:rPr>
          <w:rFonts w:eastAsia="Verdana"/>
        </w:rPr>
      </w:pPr>
      <w:r w:rsidRPr="00DE108C">
        <w:rPr>
          <w:rFonts w:eastAsia="Verdana"/>
          <w:b/>
          <w:bCs/>
        </w:rPr>
        <w:t>Regulatory and Tariff Forum</w:t>
      </w:r>
      <w:r w:rsidRPr="00C43281">
        <w:rPr>
          <w:rFonts w:eastAsia="Verdana"/>
          <w:b/>
        </w:rPr>
        <w:t>:</w:t>
      </w:r>
      <w:r w:rsidRPr="00DE108C">
        <w:rPr>
          <w:rFonts w:eastAsia="Verdana"/>
        </w:rPr>
        <w:t xml:space="preserve"> In 2025, we reinstated the forum to allow in-depth discussion on key regulatory topics. This forum met fortnightly throughout the first half of 2025. </w:t>
      </w:r>
    </w:p>
    <w:p w14:paraId="0330CC05" w14:textId="6C68684C" w:rsidR="00767B75" w:rsidRPr="00DE108C" w:rsidRDefault="00767B75" w:rsidP="00C43281">
      <w:pPr>
        <w:pStyle w:val="ListBullet"/>
        <w:rPr>
          <w:rFonts w:eastAsia="Verdana"/>
        </w:rPr>
      </w:pPr>
      <w:r w:rsidRPr="00DE108C">
        <w:rPr>
          <w:rFonts w:eastAsia="Verdana"/>
          <w:b/>
          <w:bCs/>
        </w:rPr>
        <w:t>One-to-one engagement</w:t>
      </w:r>
      <w:r w:rsidRPr="00C43281">
        <w:rPr>
          <w:rFonts w:eastAsia="Verdana"/>
          <w:b/>
        </w:rPr>
        <w:t>:</w:t>
      </w:r>
      <w:r w:rsidRPr="00DE108C">
        <w:rPr>
          <w:rFonts w:eastAsia="Verdana"/>
        </w:rPr>
        <w:t xml:space="preserve"> To ensure we heard directly from each water corporation individually, we met with regulation, planning and strategy teams several times through the </w:t>
      </w:r>
      <w:r w:rsidR="0E7B4A48" w:rsidRPr="14031F0E">
        <w:rPr>
          <w:rFonts w:eastAsia="Verdana"/>
        </w:rPr>
        <w:t>P</w:t>
      </w:r>
      <w:r w:rsidRPr="14031F0E">
        <w:rPr>
          <w:rFonts w:eastAsia="Verdana"/>
        </w:rPr>
        <w:t xml:space="preserve">rice </w:t>
      </w:r>
      <w:r w:rsidR="0AE22A38" w:rsidRPr="14031F0E">
        <w:rPr>
          <w:rFonts w:eastAsia="Verdana"/>
        </w:rPr>
        <w:t>S</w:t>
      </w:r>
      <w:r w:rsidRPr="00DE108C">
        <w:rPr>
          <w:rFonts w:eastAsia="Verdana"/>
        </w:rPr>
        <w:t xml:space="preserve">ubmission process. </w:t>
      </w:r>
    </w:p>
    <w:p w14:paraId="020F80D6" w14:textId="2074AAA7" w:rsidR="00767B75" w:rsidRPr="00290DBE" w:rsidRDefault="00994DD8" w:rsidP="00C43281">
      <w:pPr>
        <w:pStyle w:val="ListBullet"/>
        <w:rPr>
          <w:rFonts w:eastAsia="Verdana"/>
        </w:rPr>
      </w:pPr>
      <w:r w:rsidRPr="00290DBE">
        <w:rPr>
          <w:rFonts w:eastAsia="Verdana"/>
          <w:b/>
        </w:rPr>
        <w:t>The Accord</w:t>
      </w:r>
      <w:r w:rsidR="00767B75" w:rsidRPr="00290DBE">
        <w:rPr>
          <w:rFonts w:eastAsia="Verdana"/>
          <w:b/>
        </w:rPr>
        <w:t>:</w:t>
      </w:r>
      <w:r w:rsidR="00767B75" w:rsidRPr="00290DBE">
        <w:rPr>
          <w:rFonts w:eastAsia="Verdana"/>
        </w:rPr>
        <w:t xml:space="preserve"> </w:t>
      </w:r>
      <w:r w:rsidR="00CC3D0F" w:rsidRPr="00290DBE">
        <w:rPr>
          <w:rFonts w:eastAsia="Verdana"/>
        </w:rPr>
        <w:t xml:space="preserve">The Managing Directors of Melbourne Water, South East Water, Greater Western Water, Yarra Valley Water and Barwon Water have signed an </w:t>
      </w:r>
      <w:r w:rsidR="00CC3D0F" w:rsidRPr="00775D99">
        <w:rPr>
          <w:rFonts w:eastAsia="Verdana"/>
          <w:iCs/>
        </w:rPr>
        <w:t>Accord</w:t>
      </w:r>
      <w:r w:rsidR="00CC3D0F" w:rsidRPr="00290DBE">
        <w:rPr>
          <w:rFonts w:eastAsia="Verdana"/>
        </w:rPr>
        <w:t xml:space="preserve"> to collectively tackle key challenges facing the sector</w:t>
      </w:r>
      <w:r w:rsidR="007021BB" w:rsidRPr="00290DBE">
        <w:rPr>
          <w:rFonts w:eastAsia="Verdana"/>
        </w:rPr>
        <w:t xml:space="preserve">. Under this </w:t>
      </w:r>
      <w:r w:rsidR="00D05AA2" w:rsidRPr="00290DBE">
        <w:rPr>
          <w:rFonts w:eastAsia="Verdana"/>
        </w:rPr>
        <w:t>Accord</w:t>
      </w:r>
      <w:r w:rsidR="0007280C" w:rsidRPr="00290DBE">
        <w:rPr>
          <w:rFonts w:eastAsia="Verdana"/>
        </w:rPr>
        <w:t xml:space="preserve">, collaboration occurs through a </w:t>
      </w:r>
      <w:r w:rsidR="0010456C" w:rsidRPr="00290DBE">
        <w:rPr>
          <w:rFonts w:eastAsia="Verdana"/>
        </w:rPr>
        <w:t>Managing Directors</w:t>
      </w:r>
      <w:r w:rsidR="00D05AA2" w:rsidRPr="00290DBE">
        <w:rPr>
          <w:rFonts w:eastAsia="Verdana"/>
        </w:rPr>
        <w:t xml:space="preserve"> Forum, </w:t>
      </w:r>
      <w:r w:rsidR="0010456C" w:rsidRPr="00290DBE">
        <w:rPr>
          <w:rFonts w:eastAsia="Verdana"/>
        </w:rPr>
        <w:t xml:space="preserve">General Managers Strategic Forum, </w:t>
      </w:r>
      <w:r w:rsidR="00D05AA2" w:rsidRPr="00290DBE">
        <w:rPr>
          <w:rFonts w:eastAsia="Verdana"/>
        </w:rPr>
        <w:t>and a series of working groups</w:t>
      </w:r>
      <w:r w:rsidR="003F7055" w:rsidRPr="00290DBE">
        <w:rPr>
          <w:rFonts w:eastAsia="Verdana"/>
        </w:rPr>
        <w:t xml:space="preserve"> progressing water security, augmentation and reform, strategy, policy, regulation, communications and Traditional Owner</w:t>
      </w:r>
      <w:r w:rsidR="00290DBE" w:rsidRPr="00290DBE">
        <w:rPr>
          <w:rFonts w:eastAsia="Verdana"/>
        </w:rPr>
        <w:t xml:space="preserve"> engagement</w:t>
      </w:r>
      <w:r w:rsidR="00CC3D0F" w:rsidRPr="00290DBE">
        <w:rPr>
          <w:rFonts w:eastAsia="Verdana"/>
        </w:rPr>
        <w:t xml:space="preserve">. </w:t>
      </w:r>
      <w:r w:rsidR="00767B75" w:rsidRPr="00290DBE">
        <w:rPr>
          <w:rFonts w:eastAsia="Verdana"/>
        </w:rPr>
        <w:t>Utilising key meetings with Managing Directors and strategy leaders, we engaged directly on key issues and decisions that had previously been discussed in other forums.</w:t>
      </w:r>
    </w:p>
    <w:p w14:paraId="27CE3AE2" w14:textId="71629B5C" w:rsidR="00767B75" w:rsidRPr="00DE108C" w:rsidRDefault="00767B75">
      <w:pPr>
        <w:pStyle w:val="Heading3"/>
      </w:pPr>
      <w:r w:rsidRPr="00DE108C">
        <w:t>3.</w:t>
      </w:r>
      <w:r w:rsidR="0016695E" w:rsidRPr="00DE108C">
        <w:t>2</w:t>
      </w:r>
      <w:r w:rsidRPr="00DE108C">
        <w:t xml:space="preserve">.2 Engaging with end-use customers </w:t>
      </w:r>
    </w:p>
    <w:p w14:paraId="2DB5AFDD" w14:textId="3F99AFE1" w:rsidR="00767B75" w:rsidRPr="00DE108C" w:rsidRDefault="00767B75" w:rsidP="00E85C3C">
      <w:pPr>
        <w:rPr>
          <w:rFonts w:eastAsia="Verdana"/>
        </w:rPr>
      </w:pPr>
      <w:r w:rsidRPr="00DE108C">
        <w:rPr>
          <w:rFonts w:eastAsia="Verdana"/>
        </w:rPr>
        <w:t xml:space="preserve">The services we provide impact everyone who lives, works and visits Melbourne. Our costs make up approximately 50 per cent of a </w:t>
      </w:r>
      <w:r w:rsidR="00837A2C" w:rsidRPr="00DE108C">
        <w:rPr>
          <w:rFonts w:eastAsia="Verdana"/>
        </w:rPr>
        <w:t xml:space="preserve">metropolitan </w:t>
      </w:r>
      <w:r w:rsidRPr="00DE108C">
        <w:rPr>
          <w:rFonts w:eastAsia="Verdana"/>
        </w:rPr>
        <w:t xml:space="preserve">Melbourne household’s water bill. With this in mind, we worked to ensure that end-use customers could have influence on our decision-making. </w:t>
      </w:r>
    </w:p>
    <w:p w14:paraId="2E287339" w14:textId="7C762EF5" w:rsidR="00767B75" w:rsidRPr="00DE108C" w:rsidRDefault="00767B75" w:rsidP="00E85C3C">
      <w:pPr>
        <w:rPr>
          <w:rFonts w:eastAsia="Verdana"/>
        </w:rPr>
      </w:pPr>
      <w:r w:rsidRPr="00DE108C">
        <w:rPr>
          <w:rFonts w:eastAsia="Verdana"/>
        </w:rPr>
        <w:t>While our engagement on water and sewer</w:t>
      </w:r>
      <w:r w:rsidR="2C45A634" w:rsidRPr="00DE108C">
        <w:rPr>
          <w:rFonts w:eastAsia="Verdana"/>
        </w:rPr>
        <w:t>age</w:t>
      </w:r>
      <w:r w:rsidRPr="00DE108C">
        <w:rPr>
          <w:rFonts w:eastAsia="Verdana"/>
        </w:rPr>
        <w:t xml:space="preserve"> services primarily focused on the water corporations, we recognise that our proposals affect end-use customers. </w:t>
      </w:r>
      <w:r w:rsidR="3336385E" w:rsidRPr="14031F0E">
        <w:rPr>
          <w:rFonts w:eastAsia="Verdana"/>
        </w:rPr>
        <w:t>Therefore</w:t>
      </w:r>
      <w:r w:rsidRPr="00DE108C">
        <w:rPr>
          <w:rFonts w:eastAsia="Verdana"/>
        </w:rPr>
        <w:t xml:space="preserve">, we engaged broadly with the community on water and sewerage services, waterways and drainage management, and support for those experiencing vulnerability. Guided by initial broad engagement, we ‘drilled down’ into specific programs/areas of work where end-use customers had higher levels of influence. </w:t>
      </w:r>
    </w:p>
    <w:p w14:paraId="60D9258D" w14:textId="24B5C28B" w:rsidR="00767B75" w:rsidRPr="00DE108C" w:rsidRDefault="00767B75" w:rsidP="00E85C3C">
      <w:pPr>
        <w:rPr>
          <w:rFonts w:eastAsia="Verdana"/>
        </w:rPr>
      </w:pPr>
      <w:r w:rsidRPr="00DE108C">
        <w:rPr>
          <w:rFonts w:eastAsia="Verdana"/>
        </w:rPr>
        <w:t>For PS26, we consider that end-use customers had a ‘consult’ level of influence over our water and sewerage programs, and an ‘involve’ level of influence in our waterways and drainage and vulnerability programs (IAP2 engagement spectrum). These different levels of influence reflected the different ways end-use customers interact with and are charged for our services.</w:t>
      </w:r>
    </w:p>
    <w:p w14:paraId="058275E2" w14:textId="2E9544B9" w:rsidR="00767B75" w:rsidRPr="00DE108C" w:rsidRDefault="00767B75">
      <w:pPr>
        <w:pStyle w:val="Heading4"/>
      </w:pPr>
      <w:r w:rsidRPr="00DE108C">
        <w:t>3.</w:t>
      </w:r>
      <w:r w:rsidR="0016695E" w:rsidRPr="00DE108C">
        <w:t>2</w:t>
      </w:r>
      <w:r w:rsidRPr="00DE108C">
        <w:t>.2.1 How we engaged with end</w:t>
      </w:r>
      <w:r w:rsidR="00F3309A">
        <w:t>-</w:t>
      </w:r>
      <w:r w:rsidRPr="00DE108C">
        <w:t>use customers</w:t>
      </w:r>
    </w:p>
    <w:p w14:paraId="78F1028A" w14:textId="1F588064" w:rsidR="00767B75" w:rsidRPr="00DE108C" w:rsidRDefault="00767B75" w:rsidP="006C1EE6">
      <w:pPr>
        <w:rPr>
          <w:rFonts w:eastAsia="Verdana"/>
        </w:rPr>
      </w:pPr>
      <w:r w:rsidRPr="00DE108C">
        <w:rPr>
          <w:rFonts w:eastAsia="Verdana"/>
        </w:rPr>
        <w:t xml:space="preserve">We ran continuous community engagement throughout the development of the submission. To accurately reflect the voices of the Greater Melbourne community, we worked to provide different styles of engagement to ensure accessibility. We gave special consideration to customers experiencing hardship, culturally and linguistically diverse </w:t>
      </w:r>
      <w:r w:rsidR="3DFAEFEC" w:rsidRPr="14031F0E">
        <w:rPr>
          <w:rFonts w:eastAsia="Verdana"/>
        </w:rPr>
        <w:t xml:space="preserve">(CALD) </w:t>
      </w:r>
      <w:r w:rsidRPr="00DE108C">
        <w:rPr>
          <w:rFonts w:eastAsia="Verdana"/>
        </w:rPr>
        <w:t xml:space="preserve">customers, and older/younger customers, as these voices are often not heard in broad engagement programs. </w:t>
      </w:r>
    </w:p>
    <w:p w14:paraId="50FB651D" w14:textId="13090A2B" w:rsidR="00767B75" w:rsidRPr="00DE108C" w:rsidRDefault="00767B75" w:rsidP="006C1EE6">
      <w:pPr>
        <w:rPr>
          <w:rFonts w:eastAsia="Verdana"/>
        </w:rPr>
      </w:pPr>
      <w:r w:rsidRPr="00DE108C">
        <w:rPr>
          <w:rFonts w:eastAsia="Verdana"/>
        </w:rPr>
        <w:t xml:space="preserve">As we progressed through the submission development and engagement processes, we continued to refine our engagement delivery to appropriately meet program needs and address gaps in our knowledge, for example by extending and developing new forums. </w:t>
      </w:r>
    </w:p>
    <w:p w14:paraId="5762E279" w14:textId="77777777" w:rsidR="00767B75" w:rsidRPr="00DE108C" w:rsidRDefault="00767B75" w:rsidP="006C1EE6">
      <w:pPr>
        <w:rPr>
          <w:rFonts w:eastAsia="Verdana"/>
        </w:rPr>
      </w:pPr>
      <w:r w:rsidRPr="00DE108C">
        <w:rPr>
          <w:rFonts w:eastAsia="Verdana"/>
        </w:rPr>
        <w:lastRenderedPageBreak/>
        <w:t xml:space="preserve">A critical part of our engagement program was the ‘Public Playback’. While our whole engagement program was intended to be accessible and inclusive, particular care was given to this period to ensure that all members of the community could be involved. </w:t>
      </w:r>
    </w:p>
    <w:p w14:paraId="07972D1A" w14:textId="5EC9C70F" w:rsidR="00767B75" w:rsidRPr="00DE108C" w:rsidRDefault="00767B75" w:rsidP="006C1EE6">
      <w:pPr>
        <w:rPr>
          <w:rFonts w:eastAsia="Verdana"/>
        </w:rPr>
      </w:pPr>
      <w:r w:rsidRPr="00DE108C">
        <w:rPr>
          <w:rFonts w:eastAsia="Verdana"/>
        </w:rPr>
        <w:t xml:space="preserve">Engagement activities with community included: </w:t>
      </w:r>
    </w:p>
    <w:p w14:paraId="4DA9FC8F" w14:textId="4345097E" w:rsidR="00767B75" w:rsidRPr="00DE108C" w:rsidRDefault="00767B75" w:rsidP="00253364">
      <w:pPr>
        <w:pStyle w:val="ListBullet"/>
        <w:rPr>
          <w:rFonts w:eastAsia="Verdana"/>
        </w:rPr>
      </w:pPr>
      <w:r w:rsidRPr="00DE108C">
        <w:rPr>
          <w:rFonts w:eastAsia="Verdana"/>
        </w:rPr>
        <w:t>a deliberative community panel (55 participants) that met 13 times from May 2024 to June 2025, with some participants taking a tour of the Western Treatment Plant</w:t>
      </w:r>
      <w:r w:rsidR="7D8DFE91" w:rsidRPr="14031F0E">
        <w:rPr>
          <w:rFonts w:eastAsia="Verdana"/>
        </w:rPr>
        <w:t xml:space="preserve"> (WTP)</w:t>
      </w:r>
    </w:p>
    <w:p w14:paraId="0D4AEA0C" w14:textId="0AC7D199" w:rsidR="00767B75" w:rsidRPr="00DE108C" w:rsidRDefault="00767B75" w:rsidP="00253364">
      <w:pPr>
        <w:pStyle w:val="ListBullet"/>
        <w:rPr>
          <w:rFonts w:eastAsia="Verdana"/>
        </w:rPr>
      </w:pPr>
      <w:r w:rsidRPr="00DE108C">
        <w:rPr>
          <w:rFonts w:eastAsia="Verdana"/>
        </w:rPr>
        <w:t xml:space="preserve">two community values and priorities surveys </w:t>
      </w:r>
      <w:r w:rsidR="00D84D3B">
        <w:rPr>
          <w:rFonts w:eastAsia="Verdana"/>
        </w:rPr>
        <w:t>(</w:t>
      </w:r>
      <w:r w:rsidRPr="00DE108C">
        <w:rPr>
          <w:rFonts w:eastAsia="Verdana"/>
        </w:rPr>
        <w:t>one surveying our whole service proposal and one focused on waterways and drainage</w:t>
      </w:r>
      <w:r w:rsidR="00D84D3B">
        <w:rPr>
          <w:rFonts w:eastAsia="Verdana"/>
        </w:rPr>
        <w:t>)</w:t>
      </w:r>
      <w:r w:rsidR="00343D74">
        <w:rPr>
          <w:rFonts w:eastAsia="Verdana"/>
        </w:rPr>
        <w:t xml:space="preserve"> </w:t>
      </w:r>
      <w:r w:rsidR="00AD432B">
        <w:rPr>
          <w:rFonts w:eastAsia="Verdana"/>
        </w:rPr>
        <w:t>that</w:t>
      </w:r>
      <w:r w:rsidR="00343D74">
        <w:rPr>
          <w:rFonts w:eastAsia="Verdana"/>
        </w:rPr>
        <w:t xml:space="preserve"> had</w:t>
      </w:r>
      <w:r w:rsidR="00DD19B6">
        <w:rPr>
          <w:rFonts w:eastAsia="Verdana"/>
        </w:rPr>
        <w:t xml:space="preserve"> over 2,000 respondents </w:t>
      </w:r>
    </w:p>
    <w:p w14:paraId="0E0177A6" w14:textId="37311E90" w:rsidR="00767B75" w:rsidRPr="00DE108C" w:rsidRDefault="00767B75" w:rsidP="00253364">
      <w:pPr>
        <w:pStyle w:val="ListBullet"/>
        <w:rPr>
          <w:rFonts w:eastAsia="Verdana"/>
        </w:rPr>
      </w:pPr>
      <w:r w:rsidRPr="00DE108C">
        <w:rPr>
          <w:rFonts w:eastAsia="Verdana"/>
        </w:rPr>
        <w:t>a willingness to pay survey, which ha</w:t>
      </w:r>
      <w:r w:rsidR="55B11056" w:rsidRPr="00DE108C">
        <w:rPr>
          <w:rFonts w:eastAsia="Verdana"/>
        </w:rPr>
        <w:t>d</w:t>
      </w:r>
      <w:r w:rsidRPr="00DE108C">
        <w:rPr>
          <w:rFonts w:eastAsia="Verdana"/>
        </w:rPr>
        <w:t xml:space="preserve"> over 1,300 respondents</w:t>
      </w:r>
    </w:p>
    <w:p w14:paraId="6957D200" w14:textId="77777777" w:rsidR="00767B75" w:rsidRPr="00DE108C" w:rsidRDefault="00767B75" w:rsidP="00253364">
      <w:pPr>
        <w:pStyle w:val="ListBullet"/>
        <w:rPr>
          <w:rFonts w:eastAsia="Verdana"/>
        </w:rPr>
      </w:pPr>
      <w:r w:rsidRPr="00DE108C">
        <w:rPr>
          <w:rFonts w:eastAsia="Verdana"/>
        </w:rPr>
        <w:t>seven waterways and drainage focus groups (70 attendees; demographic based)</w:t>
      </w:r>
    </w:p>
    <w:p w14:paraId="69203AC4" w14:textId="77777777" w:rsidR="00767B75" w:rsidRPr="00DE108C" w:rsidRDefault="00767B75" w:rsidP="00253364">
      <w:pPr>
        <w:pStyle w:val="ListBullet"/>
        <w:rPr>
          <w:rFonts w:eastAsia="Verdana"/>
        </w:rPr>
      </w:pPr>
      <w:r w:rsidRPr="00DE108C">
        <w:rPr>
          <w:rFonts w:eastAsia="Verdana"/>
        </w:rPr>
        <w:t>a waterways and drainage customer forum (35 participants, three sessions)</w:t>
      </w:r>
    </w:p>
    <w:p w14:paraId="147B5935" w14:textId="77777777" w:rsidR="00767B75" w:rsidRPr="00DE108C" w:rsidRDefault="00767B75" w:rsidP="00253364">
      <w:pPr>
        <w:pStyle w:val="ListBullet"/>
        <w:rPr>
          <w:rFonts w:eastAsia="Verdana"/>
        </w:rPr>
      </w:pPr>
      <w:r w:rsidRPr="00DE108C">
        <w:rPr>
          <w:rFonts w:eastAsia="Verdana"/>
        </w:rPr>
        <w:t xml:space="preserve">a community survey on the proposed program of work outlined in our Playback document, which had over 2,000 respondents </w:t>
      </w:r>
    </w:p>
    <w:p w14:paraId="5B19FE39" w14:textId="77777777" w:rsidR="00767B75" w:rsidRPr="00DE108C" w:rsidRDefault="00767B75" w:rsidP="00253364">
      <w:pPr>
        <w:pStyle w:val="ListBullet"/>
        <w:rPr>
          <w:rFonts w:eastAsia="Verdana"/>
        </w:rPr>
      </w:pPr>
      <w:r w:rsidRPr="00DE108C">
        <w:rPr>
          <w:rFonts w:eastAsia="Verdana"/>
        </w:rPr>
        <w:t xml:space="preserve">thirteen focus groups on the proposed program of work outlined in our Playback period (112 attendees; demographic and water corporation customer-based) </w:t>
      </w:r>
    </w:p>
    <w:p w14:paraId="0F3AC4D9" w14:textId="45E888F8" w:rsidR="00767B75" w:rsidRPr="00DE108C" w:rsidRDefault="00767B75" w:rsidP="00253364">
      <w:pPr>
        <w:pStyle w:val="ListBullet"/>
        <w:rPr>
          <w:rFonts w:eastAsia="Verdana"/>
        </w:rPr>
      </w:pPr>
      <w:r w:rsidRPr="00DE108C">
        <w:rPr>
          <w:rFonts w:eastAsia="Verdana"/>
        </w:rPr>
        <w:t>three in-person pop-up events to promote and discuss proposals outlined in the Playback (events were held in each of the metro</w:t>
      </w:r>
      <w:r w:rsidR="00E7119E">
        <w:rPr>
          <w:rFonts w:eastAsia="Verdana"/>
        </w:rPr>
        <w:t xml:space="preserve">politan </w:t>
      </w:r>
      <w:r w:rsidRPr="00DE108C">
        <w:rPr>
          <w:rFonts w:eastAsia="Verdana"/>
        </w:rPr>
        <w:t>water corporation service areas, with over 600 touchpoints)</w:t>
      </w:r>
    </w:p>
    <w:p w14:paraId="5C9E8123" w14:textId="77777777" w:rsidR="00767B75" w:rsidRPr="00253364" w:rsidRDefault="00767B75" w:rsidP="00253364">
      <w:pPr>
        <w:pStyle w:val="ListBullet"/>
        <w:rPr>
          <w:rFonts w:eastAsia="Verdana"/>
        </w:rPr>
      </w:pPr>
      <w:r w:rsidRPr="00DE108C">
        <w:rPr>
          <w:rFonts w:eastAsia="Verdana"/>
        </w:rPr>
        <w:t xml:space="preserve">establishment of a new, ongoing customer forum (35 participants), that will meet throughout the 2026-31 regulatory period to discuss Melbourne Water’s performance against our commitments and provide community insights into key programs of work. </w:t>
      </w:r>
    </w:p>
    <w:p w14:paraId="47CD006B" w14:textId="212120F6" w:rsidR="00767B75" w:rsidRPr="00DE108C" w:rsidRDefault="00767B75" w:rsidP="00073677">
      <w:pPr>
        <w:rPr>
          <w:rFonts w:eastAsia="Verdana"/>
        </w:rPr>
      </w:pPr>
      <w:r w:rsidRPr="00DE108C">
        <w:rPr>
          <w:rFonts w:eastAsia="Verdana"/>
        </w:rPr>
        <w:t>Overall, we heard from more than 6,</w:t>
      </w:r>
      <w:r w:rsidR="00AD432B">
        <w:rPr>
          <w:rFonts w:eastAsia="Verdana"/>
        </w:rPr>
        <w:t>0</w:t>
      </w:r>
      <w:r w:rsidRPr="00DE108C">
        <w:rPr>
          <w:rFonts w:eastAsia="Verdana"/>
        </w:rPr>
        <w:t xml:space="preserve">00 end-use customers during the </w:t>
      </w:r>
      <w:r w:rsidR="00AA6129" w:rsidRPr="00DE108C">
        <w:rPr>
          <w:rFonts w:eastAsia="Verdana"/>
        </w:rPr>
        <w:t>P</w:t>
      </w:r>
      <w:r w:rsidRPr="00DE108C">
        <w:rPr>
          <w:rFonts w:eastAsia="Verdana"/>
        </w:rPr>
        <w:t xml:space="preserve">rice </w:t>
      </w:r>
      <w:r w:rsidR="00AA6129" w:rsidRPr="00DE108C">
        <w:rPr>
          <w:rFonts w:eastAsia="Verdana"/>
        </w:rPr>
        <w:t>S</w:t>
      </w:r>
      <w:r w:rsidRPr="00DE108C">
        <w:rPr>
          <w:rFonts w:eastAsia="Verdana"/>
        </w:rPr>
        <w:t>ubmission’s development.</w:t>
      </w:r>
    </w:p>
    <w:p w14:paraId="1E95E782" w14:textId="53AB3E0F" w:rsidR="00767B75" w:rsidRPr="00DE108C" w:rsidRDefault="00767B75">
      <w:pPr>
        <w:pStyle w:val="Heading4"/>
        <w:rPr>
          <w:szCs w:val="18"/>
        </w:rPr>
      </w:pPr>
      <w:r w:rsidRPr="00DE108C">
        <w:rPr>
          <w:szCs w:val="18"/>
        </w:rPr>
        <w:t>3.</w:t>
      </w:r>
      <w:r w:rsidR="0016695E" w:rsidRPr="00DE108C">
        <w:rPr>
          <w:szCs w:val="18"/>
        </w:rPr>
        <w:t>2</w:t>
      </w:r>
      <w:r w:rsidRPr="00DE108C">
        <w:rPr>
          <w:szCs w:val="18"/>
        </w:rPr>
        <w:t>.2.2 Engagement methodology for end</w:t>
      </w:r>
      <w:r w:rsidR="00797F31">
        <w:rPr>
          <w:szCs w:val="18"/>
        </w:rPr>
        <w:t>-</w:t>
      </w:r>
      <w:r w:rsidRPr="00DE108C">
        <w:rPr>
          <w:szCs w:val="18"/>
        </w:rPr>
        <w:t xml:space="preserve">use customer engagement </w:t>
      </w:r>
    </w:p>
    <w:p w14:paraId="77DF2982" w14:textId="6B96CC94" w:rsidR="00767B75" w:rsidRPr="00DE108C" w:rsidRDefault="00767B75" w:rsidP="006C1EE6">
      <w:pPr>
        <w:rPr>
          <w:rFonts w:eastAsia="Verdana"/>
        </w:rPr>
      </w:pPr>
      <w:r w:rsidRPr="00DE108C">
        <w:rPr>
          <w:rFonts w:eastAsia="Verdana"/>
        </w:rPr>
        <w:t>To ensure transparency and prevent bias, we ran multiple engagement activities with</w:t>
      </w:r>
      <w:r w:rsidR="004C593B" w:rsidRPr="00DE108C">
        <w:rPr>
          <w:rFonts w:eastAsia="Verdana"/>
        </w:rPr>
        <w:t xml:space="preserve"> support from</w:t>
      </w:r>
      <w:r w:rsidRPr="00DE108C">
        <w:rPr>
          <w:rFonts w:eastAsia="Verdana"/>
        </w:rPr>
        <w:t xml:space="preserve"> third-party providers to deliver our program.</w:t>
      </w:r>
    </w:p>
    <w:p w14:paraId="474864C6" w14:textId="2BB7CA96" w:rsidR="00767B75" w:rsidRPr="00DE108C" w:rsidRDefault="00767B75" w:rsidP="00763DC1">
      <w:pPr>
        <w:rPr>
          <w:b/>
          <w:bCs/>
        </w:rPr>
      </w:pPr>
      <w:r w:rsidRPr="00DE108C">
        <w:rPr>
          <w:b/>
          <w:bCs/>
        </w:rPr>
        <w:t>Social research</w:t>
      </w:r>
    </w:p>
    <w:p w14:paraId="3F4EE635" w14:textId="47504ACC" w:rsidR="00767B75" w:rsidRPr="00DE108C" w:rsidRDefault="00767B75" w:rsidP="00763DC1">
      <w:pPr>
        <w:rPr>
          <w:rFonts w:eastAsia="Verdana"/>
        </w:rPr>
      </w:pPr>
      <w:r w:rsidRPr="00E54E12">
        <w:rPr>
          <w:rFonts w:eastAsia="Verdana"/>
        </w:rPr>
        <w:t>Prior to survey development, we consulted Professor John Rose</w:t>
      </w:r>
      <w:r w:rsidR="00625C25" w:rsidRPr="00E54E12">
        <w:rPr>
          <w:rFonts w:eastAsia="Verdana"/>
        </w:rPr>
        <w:t xml:space="preserve"> (</w:t>
      </w:r>
      <w:r w:rsidRPr="00E54E12">
        <w:rPr>
          <w:rFonts w:eastAsia="Verdana"/>
        </w:rPr>
        <w:t>University of Sydney</w:t>
      </w:r>
      <w:r w:rsidR="00105FC2">
        <w:rPr>
          <w:rFonts w:eastAsia="Verdana"/>
        </w:rPr>
        <w:t>)</w:t>
      </w:r>
      <w:r w:rsidR="0006354D" w:rsidRPr="00E54E12">
        <w:rPr>
          <w:rFonts w:eastAsia="Verdana"/>
        </w:rPr>
        <w:t>. Professor Rose</w:t>
      </w:r>
      <w:r w:rsidR="00752720" w:rsidRPr="00E54E12">
        <w:rPr>
          <w:rFonts w:eastAsia="Verdana"/>
        </w:rPr>
        <w:t xml:space="preserve"> recommended</w:t>
      </w:r>
      <w:r w:rsidRPr="00E54E12">
        <w:rPr>
          <w:rFonts w:eastAsia="Verdana"/>
        </w:rPr>
        <w:t xml:space="preserve"> appropriate methodologies for Melbourne Water to use for </w:t>
      </w:r>
      <w:r w:rsidR="4CD29C0E" w:rsidRPr="00E54E12">
        <w:rPr>
          <w:rFonts w:eastAsia="Verdana"/>
        </w:rPr>
        <w:t xml:space="preserve">the following </w:t>
      </w:r>
      <w:r w:rsidRPr="00E54E12">
        <w:rPr>
          <w:rFonts w:eastAsia="Verdana"/>
        </w:rPr>
        <w:t>prioritisation and willingness-to-pay surveys</w:t>
      </w:r>
      <w:r w:rsidR="053140A0" w:rsidRPr="00E54E12">
        <w:rPr>
          <w:rFonts w:eastAsia="Verdana"/>
        </w:rPr>
        <w:t>:</w:t>
      </w:r>
    </w:p>
    <w:p w14:paraId="50E256C5" w14:textId="77777777" w:rsidR="00767B75" w:rsidRPr="00DE108C" w:rsidRDefault="00767B75" w:rsidP="00253364">
      <w:pPr>
        <w:pStyle w:val="ListBullet"/>
        <w:rPr>
          <w:rFonts w:eastAsia="Verdana"/>
        </w:rPr>
      </w:pPr>
      <w:r w:rsidRPr="00253364">
        <w:rPr>
          <w:rFonts w:eastAsia="Verdana"/>
          <w:b/>
        </w:rPr>
        <w:t>Prioritisation (best-worst) surveys:</w:t>
      </w:r>
      <w:r w:rsidRPr="00DE108C">
        <w:rPr>
          <w:rFonts w:eastAsia="Verdana"/>
        </w:rPr>
        <w:t xml:space="preserve"> We initially conducted two best-worst surveys of end-use customers to understand how customers prioritised key issues. Conducted at the start of our engagement period (Stage 1: Values and Priorities), the results of these surveys helped us identify key issues that were taken forward into our early deliberation processes and our willingness to pay survey. </w:t>
      </w:r>
    </w:p>
    <w:p w14:paraId="09B4661C" w14:textId="4F5734A0" w:rsidR="00767B75" w:rsidRPr="00DE108C" w:rsidRDefault="00767B75" w:rsidP="00253364">
      <w:pPr>
        <w:pStyle w:val="ListBullet"/>
        <w:rPr>
          <w:rFonts w:eastAsia="Verdana"/>
        </w:rPr>
      </w:pPr>
      <w:r w:rsidRPr="00253364">
        <w:rPr>
          <w:rFonts w:eastAsia="Verdana"/>
          <w:b/>
        </w:rPr>
        <w:t>Willingness to pay survey</w:t>
      </w:r>
      <w:r w:rsidRPr="00DE108C">
        <w:rPr>
          <w:rFonts w:eastAsia="Verdana"/>
          <w:b/>
          <w:bCs/>
        </w:rPr>
        <w:t>:</w:t>
      </w:r>
      <w:r w:rsidRPr="00DE108C">
        <w:rPr>
          <w:rFonts w:eastAsia="Verdana"/>
        </w:rPr>
        <w:t xml:space="preserve"> Run in November to December 2024, our willingness to pay survey used a choice modelling survey methodology. This survey allowed us to understand how much customers are willing to pay for specific assets and services. For example, how much customers are willing to pay for projects to improve access to and the health of waterways, testing preferences for a current level of expenditure (nine large-scale projects), a lower level of expenditure (four projects), or a higher level of expenditure (11 projects). To ensure accessibility and ease of understanding, we used video explainers that could be translated into other languages</w:t>
      </w:r>
      <w:r w:rsidR="00FA2A46" w:rsidRPr="00DE108C">
        <w:rPr>
          <w:rFonts w:eastAsia="Verdana"/>
        </w:rPr>
        <w:t>/</w:t>
      </w:r>
      <w:r w:rsidR="00FC64F1" w:rsidRPr="00DE108C">
        <w:rPr>
          <w:rFonts w:eastAsia="Verdana"/>
        </w:rPr>
        <w:t>had captions</w:t>
      </w:r>
      <w:r w:rsidRPr="00DE108C">
        <w:rPr>
          <w:rFonts w:eastAsia="Verdana"/>
        </w:rPr>
        <w:t xml:space="preserve"> to provide context for each question. These results have been used to inform relevant business cases and expenditure justifications for investment.</w:t>
      </w:r>
    </w:p>
    <w:p w14:paraId="27446F65" w14:textId="77777777" w:rsidR="00AD432B" w:rsidRDefault="00AD432B" w:rsidP="00763DC1">
      <w:pPr>
        <w:rPr>
          <w:b/>
          <w:bCs/>
        </w:rPr>
      </w:pPr>
    </w:p>
    <w:p w14:paraId="68BE02C8" w14:textId="2C17C745" w:rsidR="00767B75" w:rsidRPr="00DE108C" w:rsidRDefault="00767B75" w:rsidP="00763DC1">
      <w:pPr>
        <w:rPr>
          <w:b/>
          <w:bCs/>
          <w:szCs w:val="18"/>
        </w:rPr>
      </w:pPr>
      <w:r w:rsidRPr="00DE108C">
        <w:rPr>
          <w:b/>
          <w:bCs/>
        </w:rPr>
        <w:lastRenderedPageBreak/>
        <w:t>Deliberative</w:t>
      </w:r>
      <w:r w:rsidRPr="00DE108C">
        <w:rPr>
          <w:b/>
          <w:bCs/>
          <w:szCs w:val="18"/>
        </w:rPr>
        <w:t xml:space="preserve"> panel and customer forums</w:t>
      </w:r>
    </w:p>
    <w:p w14:paraId="5C7D9EDA" w14:textId="77777777" w:rsidR="00767B75" w:rsidRPr="00DE108C" w:rsidRDefault="00767B75" w:rsidP="00FC64F1">
      <w:pPr>
        <w:rPr>
          <w:rFonts w:eastAsia="Verdana"/>
        </w:rPr>
      </w:pPr>
      <w:r w:rsidRPr="00DE108C">
        <w:rPr>
          <w:rFonts w:eastAsia="Verdana"/>
        </w:rPr>
        <w:t xml:space="preserve">In PS21, Melbourne Water stood up two customer forums – a water and sewerage forum (with representatives only from the water corporations) and a waterways and drainage forum, which was made up of end-use customers, representatives from local authorities, emergency services, developers, river keepers and environmental community groups. </w:t>
      </w:r>
    </w:p>
    <w:p w14:paraId="5A43F61F" w14:textId="12E9CB48" w:rsidR="00767B75" w:rsidRPr="00DE108C" w:rsidRDefault="00767B75" w:rsidP="00FC64F1">
      <w:pPr>
        <w:rPr>
          <w:rFonts w:eastAsia="Verdana"/>
        </w:rPr>
      </w:pPr>
      <w:r w:rsidRPr="00DE108C">
        <w:rPr>
          <w:rFonts w:eastAsia="Verdana"/>
        </w:rPr>
        <w:t>For PS26, we wanted to take a broader approach to engaging with end-use customers to ensure customers could understand Melbourne Water as a whole. We have heard throughout our engagement that end-use customers see ‘one water bill’ and do not differentiate between the waterways and drainage charge and water and sewer</w:t>
      </w:r>
      <w:r w:rsidR="75731BE8" w:rsidRPr="00DE108C">
        <w:rPr>
          <w:rFonts w:eastAsia="Verdana"/>
        </w:rPr>
        <w:t>age</w:t>
      </w:r>
      <w:r w:rsidRPr="00DE108C">
        <w:rPr>
          <w:rFonts w:eastAsia="Verdana"/>
        </w:rPr>
        <w:t>/usage charges. To reflect this, we took both water and sewer</w:t>
      </w:r>
      <w:r w:rsidR="46E9AAB4" w:rsidRPr="00DE108C">
        <w:rPr>
          <w:rFonts w:eastAsia="Verdana"/>
        </w:rPr>
        <w:t>age</w:t>
      </w:r>
      <w:r w:rsidRPr="00DE108C">
        <w:rPr>
          <w:rFonts w:eastAsia="Verdana"/>
        </w:rPr>
        <w:t xml:space="preserve"> programs and waterways and drainage programs to our deliberative panel to discuss and provide feedback. The panel met in four phases over 13 months, allowing for each submission development stage to be tested with the panel. </w:t>
      </w:r>
    </w:p>
    <w:p w14:paraId="07043164" w14:textId="1B5D0725" w:rsidR="00763DC1" w:rsidRPr="00DE108C" w:rsidRDefault="00767B75" w:rsidP="00FC64F1">
      <w:r w:rsidRPr="00DE108C">
        <w:rPr>
          <w:rFonts w:eastAsia="Verdana"/>
        </w:rPr>
        <w:t xml:space="preserve">To ensure we received appropriate and detailed feedback on our waterways and drainage services, we </w:t>
      </w:r>
      <w:r w:rsidR="00BF7056">
        <w:rPr>
          <w:rFonts w:eastAsia="Verdana"/>
        </w:rPr>
        <w:t xml:space="preserve">also </w:t>
      </w:r>
      <w:r w:rsidRPr="00DE108C">
        <w:rPr>
          <w:rFonts w:eastAsia="Verdana"/>
        </w:rPr>
        <w:t xml:space="preserve">ran a </w:t>
      </w:r>
      <w:r w:rsidR="00BF7056">
        <w:rPr>
          <w:rFonts w:eastAsia="Verdana"/>
        </w:rPr>
        <w:t xml:space="preserve">waterways and drainage </w:t>
      </w:r>
      <w:r w:rsidRPr="00DE108C">
        <w:rPr>
          <w:rFonts w:eastAsia="Verdana"/>
        </w:rPr>
        <w:t xml:space="preserve">customer forum. This deliberative process tested level of comfort in investments for specific programs, as well as the overall bill impact these decisions would have. </w:t>
      </w:r>
    </w:p>
    <w:p w14:paraId="12A2B724" w14:textId="77777777" w:rsidR="00763DC1" w:rsidRPr="00DE108C" w:rsidRDefault="00767B75" w:rsidP="00763DC1">
      <w:pPr>
        <w:rPr>
          <w:b/>
          <w:bCs/>
        </w:rPr>
      </w:pPr>
      <w:r w:rsidRPr="00DE108C">
        <w:rPr>
          <w:b/>
          <w:bCs/>
        </w:rPr>
        <w:t>Focus groups</w:t>
      </w:r>
    </w:p>
    <w:p w14:paraId="35A938DC" w14:textId="48D76906" w:rsidR="00767B75" w:rsidRPr="00311AB3" w:rsidRDefault="00767B75" w:rsidP="00311AB3">
      <w:pPr>
        <w:rPr>
          <w:rFonts w:eastAsia="Verdana"/>
        </w:rPr>
      </w:pPr>
      <w:r w:rsidRPr="00311AB3">
        <w:t xml:space="preserve">We know that surveys alone do not allow for nuanced feedback. To ensure we understood customer sentiment on our waterways and drainage proposals and draft proposal through the Playback, we ran a series of focus groups with different </w:t>
      </w:r>
      <w:r w:rsidRPr="00311AB3">
        <w:rPr>
          <w:rFonts w:eastAsia="Verdana"/>
        </w:rPr>
        <w:t>demographic groups and groups representing the geographic locations of water</w:t>
      </w:r>
      <w:r w:rsidR="008407A8">
        <w:rPr>
          <w:rFonts w:eastAsia="Verdana"/>
        </w:rPr>
        <w:t xml:space="preserve"> corporation</w:t>
      </w:r>
      <w:r w:rsidRPr="00311AB3">
        <w:rPr>
          <w:rFonts w:eastAsia="Verdana"/>
        </w:rPr>
        <w:t xml:space="preserve"> boundaries.</w:t>
      </w:r>
    </w:p>
    <w:bookmarkStart w:id="226" w:name="_Toc207892992"/>
    <w:bookmarkStart w:id="227" w:name="_Toc208490515"/>
    <w:bookmarkStart w:id="228" w:name="_Toc208490853"/>
    <w:bookmarkStart w:id="229" w:name="_Toc208911011"/>
    <w:bookmarkStart w:id="230" w:name="_Toc210051318"/>
    <w:p w14:paraId="37F73287" w14:textId="25F29126" w:rsidR="00767B75" w:rsidRPr="00DE108C" w:rsidRDefault="00845198" w:rsidP="00C41A3D">
      <w:pPr>
        <w:pStyle w:val="Caption"/>
      </w:pPr>
      <w:r w:rsidRPr="00DE108C">
        <w:rPr>
          <w:noProof/>
        </w:rPr>
        <w:lastRenderedPageBreak/>
        <mc:AlternateContent>
          <mc:Choice Requires="wps">
            <w:drawing>
              <wp:anchor distT="45720" distB="45720" distL="114300" distR="114300" simplePos="0" relativeHeight="251658241" behindDoc="0" locked="0" layoutInCell="1" allowOverlap="1" wp14:anchorId="16ECA055" wp14:editId="571194E9">
                <wp:simplePos x="0" y="0"/>
                <wp:positionH relativeFrom="margin">
                  <wp:align>left</wp:align>
                </wp:positionH>
                <wp:positionV relativeFrom="paragraph">
                  <wp:posOffset>257175</wp:posOffset>
                </wp:positionV>
                <wp:extent cx="6134100" cy="4422775"/>
                <wp:effectExtent l="0" t="0" r="19050" b="15875"/>
                <wp:wrapTopAndBottom/>
                <wp:docPr id="1757579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34100" cy="4423144"/>
                        </a:xfrm>
                        <a:prstGeom prst="rect">
                          <a:avLst/>
                        </a:prstGeom>
                        <a:solidFill>
                          <a:schemeClr val="bg2"/>
                        </a:solidFill>
                        <a:ln w="9525">
                          <a:solidFill>
                            <a:srgbClr val="000000"/>
                          </a:solidFill>
                          <a:miter/>
                        </a:ln>
                      </wps:spPr>
                      <wps:txbx>
                        <w:txbxContent>
                          <w:p w14:paraId="790FBD78" w14:textId="77777777" w:rsidR="00845198" w:rsidRDefault="00845198" w:rsidP="009E44BB">
                            <w:pPr>
                              <w:spacing w:line="276" w:lineRule="auto"/>
                              <w:rPr>
                                <w:rFonts w:ascii="Verdana" w:eastAsia="Verdana" w:hAnsi="Verdana"/>
                                <w:b/>
                              </w:rPr>
                            </w:pPr>
                            <w:r>
                              <w:rPr>
                                <w:rFonts w:ascii="Verdana" w:eastAsia="Verdana" w:hAnsi="Verdana"/>
                                <w:b/>
                              </w:rPr>
                              <w:t>Ensuring accessibility in and interaction with our engagement</w:t>
                            </w:r>
                          </w:p>
                          <w:p w14:paraId="6BE49821" w14:textId="7492B31D" w:rsidR="00845198" w:rsidRDefault="00845198" w:rsidP="009E44BB">
                            <w:pPr>
                              <w:spacing w:line="276" w:lineRule="auto"/>
                              <w:rPr>
                                <w:rFonts w:ascii="Verdana" w:eastAsia="Verdana" w:hAnsi="Verdana"/>
                              </w:rPr>
                            </w:pPr>
                            <w:r>
                              <w:rPr>
                                <w:rFonts w:ascii="Verdana" w:eastAsia="Verdana" w:hAnsi="Verdana"/>
                              </w:rPr>
                              <w:t>Our engagement approach was carefully designed to align with the complexity of the content and the diverse circumstances of our customers and stakeholders. A multi-method strategy – ranging from large-scale online surveys and targeted focus groups</w:t>
                            </w:r>
                            <w:r w:rsidR="009C3F12">
                              <w:rPr>
                                <w:rFonts w:ascii="Verdana" w:eastAsia="Verdana" w:hAnsi="Verdana"/>
                              </w:rPr>
                              <w:t>,</w:t>
                            </w:r>
                            <w:r>
                              <w:rPr>
                                <w:rFonts w:ascii="Verdana" w:eastAsia="Verdana" w:hAnsi="Verdana"/>
                              </w:rPr>
                              <w:t xml:space="preserve"> to in-person pop-ups, stakeholder meetings and social/media outreach – enabled us to attain both broad reach and deep insight. This approach ensured meaningful participation across a wide spectrum of community cohorts, including C</w:t>
                            </w:r>
                            <w:r>
                              <w:rPr>
                                <w:rFonts w:ascii="Verdana" w:eastAsia="Verdana" w:hAnsi="Verdana"/>
                                <w:color w:val="000000"/>
                              </w:rPr>
                              <w:t>ALD</w:t>
                            </w:r>
                            <w:r>
                              <w:rPr>
                                <w:rFonts w:ascii="Verdana" w:eastAsia="Verdana" w:hAnsi="Verdana"/>
                              </w:rPr>
                              <w:t xml:space="preserve"> groups,</w:t>
                            </w:r>
                            <w:r w:rsidR="00950834">
                              <w:rPr>
                                <w:rFonts w:ascii="Verdana" w:eastAsia="Verdana" w:hAnsi="Verdana"/>
                              </w:rPr>
                              <w:t xml:space="preserve"> customers experiencing financial vulnerability</w:t>
                            </w:r>
                            <w:r>
                              <w:rPr>
                                <w:rFonts w:ascii="Verdana" w:eastAsia="Verdana" w:hAnsi="Verdana"/>
                              </w:rPr>
                              <w:t>, people with disability, renters, homeowners and age-based segments. Engagement activities were geographically distributed across our service area and extended over a two-year period (2023–25), giving participants time to understand the issues, form opinions, and influence Melbourne Water’s proposals.</w:t>
                            </w:r>
                          </w:p>
                          <w:p w14:paraId="3BAD2DCA" w14:textId="77777777" w:rsidR="00845198" w:rsidRDefault="00845198" w:rsidP="009E44BB">
                            <w:pPr>
                              <w:spacing w:line="276" w:lineRule="auto"/>
                              <w:rPr>
                                <w:rFonts w:ascii="Verdana" w:eastAsia="Verdana" w:hAnsi="Verdana"/>
                              </w:rPr>
                            </w:pPr>
                            <w:r>
                              <w:rPr>
                                <w:rFonts w:ascii="Verdana" w:eastAsia="Verdana" w:hAnsi="Verdana"/>
                              </w:rPr>
                              <w:t xml:space="preserve">To support informed and inclusive participation, clear and accessible information was provided throughout the process. This included plain language summaries, multilingual materials, videos to provide context and support for surveys and activities, interactive polls, and other formats designed to reduce barriers to engagement. </w:t>
                            </w:r>
                          </w:p>
                          <w:p w14:paraId="7DC26556" w14:textId="77777777" w:rsidR="00845198" w:rsidRDefault="009E44BB" w:rsidP="009E44BB">
                            <w:pPr>
                              <w:spacing w:line="276" w:lineRule="auto"/>
                              <w:rPr>
                                <w:rFonts w:ascii="Verdana" w:eastAsia="Verdana" w:hAnsi="Verdana"/>
                              </w:rPr>
                            </w:pPr>
                            <w:r>
                              <w:rPr>
                                <w:rFonts w:ascii="Verdana" w:eastAsia="Verdana" w:hAnsi="Verdana"/>
                              </w:rPr>
                              <w:t xml:space="preserve">Participants were given context around the </w:t>
                            </w:r>
                            <w:r>
                              <w:rPr>
                                <w:rFonts w:ascii="Verdana" w:eastAsia="Verdana" w:hAnsi="Verdana"/>
                                <w:color w:val="000000"/>
                              </w:rPr>
                              <w:t>P</w:t>
                            </w:r>
                            <w:r>
                              <w:rPr>
                                <w:rFonts w:ascii="Verdana" w:eastAsia="Verdana" w:hAnsi="Verdana"/>
                              </w:rPr>
                              <w:t xml:space="preserve">rice </w:t>
                            </w:r>
                            <w:r>
                              <w:rPr>
                                <w:rFonts w:ascii="Verdana" w:eastAsia="Verdana" w:hAnsi="Verdana"/>
                                <w:color w:val="000000"/>
                              </w:rPr>
                              <w:t>S</w:t>
                            </w:r>
                            <w:r>
                              <w:rPr>
                                <w:rFonts w:ascii="Verdana" w:eastAsia="Verdana" w:hAnsi="Verdana"/>
                              </w:rPr>
                              <w:t>ubmission</w:t>
                            </w:r>
                            <w:r w:rsidR="00845198">
                              <w:rPr>
                                <w:rFonts w:ascii="Verdana" w:eastAsia="Verdana" w:hAnsi="Verdana"/>
                              </w:rPr>
                              <w:t xml:space="preserve">, including key drivers such as population growth, climate impacts, ageing infrastructure, and regulatory frameworks. </w:t>
                            </w:r>
                          </w:p>
                          <w:p w14:paraId="25B694F9" w14:textId="7BBBC4B7" w:rsidR="00845198" w:rsidRDefault="00845198" w:rsidP="009E44BB">
                            <w:pPr>
                              <w:spacing w:line="276" w:lineRule="auto"/>
                              <w:rPr>
                                <w:rFonts w:ascii="Verdana" w:eastAsia="Verdana" w:hAnsi="Verdana"/>
                              </w:rPr>
                            </w:pPr>
                            <w:r>
                              <w:rPr>
                                <w:rFonts w:ascii="Verdana" w:eastAsia="Verdana" w:hAnsi="Verdana"/>
                              </w:rPr>
                              <w:t>The Playback phase allowed us to validate our understanding of community feedback before finalising proposals, ensuring transparency and trust. Overall, the engagement was inclusive and enabled participants to contribute meaningfully to shaping Melbourne Water’s future direction.</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16ECA055" id="_x0000_s1044" style="position:absolute;margin-left:0;margin-top:20.25pt;width:483pt;height:348.2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" fillcolor="#eff5fb [3214]">
                <v:textbox>
                  <w:txbxContent>
                    <w:p w14:paraId="790FBD78" w14:textId="77777777" w:rsidR="00845198" w:rsidRDefault="00845198" w:rsidP="009E44BB">
                      <w:pPr>
                        <w:spacing w:line="276" w:lineRule="auto"/>
                        <w:rPr>
                          <w:rFonts w:ascii="Verdana" w:eastAsia="Verdana" w:hAnsi="Verdana"/>
                          <w:b/>
                        </w:rPr>
                      </w:pPr>
                      <w:r>
                        <w:rPr>
                          <w:rFonts w:ascii="Verdana" w:eastAsia="Verdana" w:hAnsi="Verdana"/>
                          <w:b/>
                        </w:rPr>
                        <w:t>Ensuring accessibility in and interaction with our engagement</w:t>
                      </w:r>
                    </w:p>
                    <w:p w14:paraId="6BE49821" w14:textId="7492B31D" w:rsidR="00845198" w:rsidRDefault="00845198" w:rsidP="009E44BB">
                      <w:pPr>
                        <w:spacing w:line="276" w:lineRule="auto"/>
                        <w:rPr>
                          <w:rFonts w:ascii="Verdana" w:eastAsia="Verdana" w:hAnsi="Verdana"/>
                        </w:rPr>
                      </w:pPr>
                      <w:r>
                        <w:rPr>
                          <w:rFonts w:ascii="Verdana" w:eastAsia="Verdana" w:hAnsi="Verdana"/>
                        </w:rPr>
                        <w:t>Our engagement approach was carefully designed to align with the complexity of the content and the diverse circumstances of our customers and stakeholders. A multi-method strategy – ranging from large-scale online surveys and targeted focus groups</w:t>
                      </w:r>
                      <w:r w:rsidR="009C3F12">
                        <w:rPr>
                          <w:rFonts w:ascii="Verdana" w:eastAsia="Verdana" w:hAnsi="Verdana"/>
                        </w:rPr>
                        <w:t>,</w:t>
                      </w:r>
                      <w:r>
                        <w:rPr>
                          <w:rFonts w:ascii="Verdana" w:eastAsia="Verdana" w:hAnsi="Verdana"/>
                        </w:rPr>
                        <w:t xml:space="preserve"> to in-person pop-ups, stakeholder meetings and social/media outreach – enabled us to attain both broad reach and deep insight. This approach ensured meaningful participation across a wide spectrum of community cohorts, including C</w:t>
                      </w:r>
                      <w:r>
                        <w:rPr>
                          <w:rFonts w:ascii="Verdana" w:eastAsia="Verdana" w:hAnsi="Verdana"/>
                          <w:color w:val="000000"/>
                        </w:rPr>
                        <w:t>ALD</w:t>
                      </w:r>
                      <w:r>
                        <w:rPr>
                          <w:rFonts w:ascii="Verdana" w:eastAsia="Verdana" w:hAnsi="Verdana"/>
                        </w:rPr>
                        <w:t xml:space="preserve"> groups,</w:t>
                      </w:r>
                      <w:r w:rsidR="00950834">
                        <w:rPr>
                          <w:rFonts w:ascii="Verdana" w:eastAsia="Verdana" w:hAnsi="Verdana"/>
                        </w:rPr>
                        <w:t xml:space="preserve"> customers experiencing financial vulnerability</w:t>
                      </w:r>
                      <w:r>
                        <w:rPr>
                          <w:rFonts w:ascii="Verdana" w:eastAsia="Verdana" w:hAnsi="Verdana"/>
                        </w:rPr>
                        <w:t>, people with disability, renters, homeowners and age-based segments. Engagement activities were geographically distributed across our service area and extended over a two-year period (2023–25), giving participants time to understand the issues, form opinions, and influence Melbourne Water’s proposals.</w:t>
                      </w:r>
                    </w:p>
                    <w:p w14:paraId="3BAD2DCA" w14:textId="77777777" w:rsidR="00845198" w:rsidRDefault="00845198" w:rsidP="009E44BB">
                      <w:pPr>
                        <w:spacing w:line="276" w:lineRule="auto"/>
                        <w:rPr>
                          <w:rFonts w:ascii="Verdana" w:eastAsia="Verdana" w:hAnsi="Verdana"/>
                        </w:rPr>
                      </w:pPr>
                      <w:r>
                        <w:rPr>
                          <w:rFonts w:ascii="Verdana" w:eastAsia="Verdana" w:hAnsi="Verdana"/>
                        </w:rPr>
                        <w:t xml:space="preserve">To support informed and inclusive participation, clear and accessible information was provided throughout the process. This included plain language summaries, multilingual materials, videos to provide context and support for surveys and activities, interactive polls, and other formats designed to reduce barriers to engagement. </w:t>
                      </w:r>
                    </w:p>
                    <w:p w14:paraId="7DC26556" w14:textId="77777777" w:rsidR="00845198" w:rsidRDefault="009E44BB" w:rsidP="009E44BB">
                      <w:pPr>
                        <w:spacing w:line="276" w:lineRule="auto"/>
                        <w:rPr>
                          <w:rFonts w:ascii="Verdana" w:eastAsia="Verdana" w:hAnsi="Verdana"/>
                        </w:rPr>
                      </w:pPr>
                      <w:r>
                        <w:rPr>
                          <w:rFonts w:ascii="Verdana" w:eastAsia="Verdana" w:hAnsi="Verdana"/>
                        </w:rPr>
                        <w:t xml:space="preserve">Participants were given context around the </w:t>
                      </w:r>
                      <w:r>
                        <w:rPr>
                          <w:rFonts w:ascii="Verdana" w:eastAsia="Verdana" w:hAnsi="Verdana"/>
                          <w:color w:val="000000"/>
                        </w:rPr>
                        <w:t>P</w:t>
                      </w:r>
                      <w:r>
                        <w:rPr>
                          <w:rFonts w:ascii="Verdana" w:eastAsia="Verdana" w:hAnsi="Verdana"/>
                        </w:rPr>
                        <w:t xml:space="preserve">rice </w:t>
                      </w:r>
                      <w:r>
                        <w:rPr>
                          <w:rFonts w:ascii="Verdana" w:eastAsia="Verdana" w:hAnsi="Verdana"/>
                          <w:color w:val="000000"/>
                        </w:rPr>
                        <w:t>S</w:t>
                      </w:r>
                      <w:r>
                        <w:rPr>
                          <w:rFonts w:ascii="Verdana" w:eastAsia="Verdana" w:hAnsi="Verdana"/>
                        </w:rPr>
                        <w:t>ubmission</w:t>
                      </w:r>
                      <w:r w:rsidR="00845198">
                        <w:rPr>
                          <w:rFonts w:ascii="Verdana" w:eastAsia="Verdana" w:hAnsi="Verdana"/>
                        </w:rPr>
                        <w:t xml:space="preserve">, including key drivers such as population growth, climate impacts, ageing infrastructure, and regulatory frameworks. </w:t>
                      </w:r>
                    </w:p>
                    <w:p w14:paraId="25B694F9" w14:textId="7BBBC4B7" w:rsidR="00845198" w:rsidRDefault="00845198" w:rsidP="009E44BB">
                      <w:pPr>
                        <w:spacing w:line="276" w:lineRule="auto"/>
                        <w:rPr>
                          <w:rFonts w:ascii="Verdana" w:eastAsia="Verdana" w:hAnsi="Verdana"/>
                        </w:rPr>
                      </w:pPr>
                      <w:r>
                        <w:rPr>
                          <w:rFonts w:ascii="Verdana" w:eastAsia="Verdana" w:hAnsi="Verdana"/>
                        </w:rPr>
                        <w:t>The Playback phase allowed us to validate our understanding of community feedback before finalising proposals, ensuring transparency and trust. Overall, the engagement was inclusive and enabled participants to contribute meaningfully to shaping Melbourne Water’s future direction.</w:t>
                      </w:r>
                    </w:p>
                  </w:txbxContent>
                </v:textbox>
                <w10:wrap type="topAndBottom" anchorx="margin"/>
              </v:rect>
            </w:pict>
          </mc:Fallback>
        </mc:AlternateContent>
      </w:r>
      <w:r w:rsidR="00C41A3D" w:rsidRPr="00DE108C">
        <w:t>Box 3.1: Ensuring accessibility</w:t>
      </w:r>
      <w:r w:rsidR="001826B9" w:rsidRPr="00DE108C">
        <w:t xml:space="preserve"> and interaction with our engagement</w:t>
      </w:r>
      <w:bookmarkEnd w:id="226"/>
      <w:bookmarkEnd w:id="227"/>
      <w:bookmarkEnd w:id="228"/>
      <w:bookmarkEnd w:id="229"/>
      <w:bookmarkEnd w:id="230"/>
      <w:r w:rsidR="001826B9" w:rsidRPr="00DE108C">
        <w:t xml:space="preserve"> </w:t>
      </w:r>
    </w:p>
    <w:p w14:paraId="215A4062" w14:textId="5048EDA2" w:rsidR="00767B75" w:rsidRPr="00DE108C" w:rsidRDefault="00767B75">
      <w:pPr>
        <w:pStyle w:val="Heading3"/>
      </w:pPr>
      <w:r w:rsidRPr="00DE108C">
        <w:t>3.</w:t>
      </w:r>
      <w:r w:rsidR="0016695E" w:rsidRPr="00DE108C">
        <w:t>2</w:t>
      </w:r>
      <w:r w:rsidRPr="00DE108C">
        <w:t>.3 Engaging with Traditional Owner</w:t>
      </w:r>
      <w:r w:rsidR="72DF0FD7" w:rsidRPr="00DE108C">
        <w:t>s</w:t>
      </w:r>
      <w:r w:rsidRPr="00DE108C">
        <w:t xml:space="preserve"> </w:t>
      </w:r>
    </w:p>
    <w:p w14:paraId="78596B7A" w14:textId="5ADCF515" w:rsidR="00A16859" w:rsidRPr="00DE108C" w:rsidRDefault="00A16859" w:rsidP="00A16859">
      <w:r w:rsidRPr="00DE108C">
        <w:t xml:space="preserve">Most of the land on which Melbourne Water operates is the land of the </w:t>
      </w:r>
      <w:r w:rsidR="003B6ADE" w:rsidRPr="00DE108C">
        <w:t>Wurundjeri Woi-wurrung</w:t>
      </w:r>
      <w:r w:rsidR="004201DE">
        <w:t>,</w:t>
      </w:r>
      <w:r w:rsidR="003B6ADE" w:rsidRPr="00DE108C">
        <w:t xml:space="preserve"> </w:t>
      </w:r>
      <w:r w:rsidRPr="00DE108C">
        <w:t>Bunurong</w:t>
      </w:r>
      <w:r w:rsidR="004201DE">
        <w:t xml:space="preserve"> and</w:t>
      </w:r>
      <w:r w:rsidRPr="00DE108C">
        <w:t xml:space="preserve"> Wadawurrung peoples. Our service region also borders the lands of the Gunaikurnai and Taungurung peoples, with essential catchments and water supply systems located within these areas. The proposed work outlined in this submission has been developed through discussion and engagement with all five Traditional Owner groups. </w:t>
      </w:r>
    </w:p>
    <w:p w14:paraId="546CB9C9" w14:textId="333D742E" w:rsidR="00767B75" w:rsidRPr="00DE108C" w:rsidRDefault="00767B75" w:rsidP="00985A8B">
      <w:pPr>
        <w:rPr>
          <w:rFonts w:eastAsia="Verdana"/>
        </w:rPr>
      </w:pPr>
      <w:r w:rsidRPr="00DE108C">
        <w:rPr>
          <w:rFonts w:eastAsia="Verdana"/>
        </w:rPr>
        <w:t xml:space="preserve">We are committed to reconciliation through partnerships with Traditional Owners and recognise the ongoing deep relationship of Aboriginal and Torres Strait Islander peoples with the lands and waters that Melbourne Water manages. While the program of work (comprised of sub-programs, including water justice and strategy policy, managing healthy Country, and planning and development in cultural landscapes) proposed in PS26 is </w:t>
      </w:r>
      <w:r w:rsidR="00A16859" w:rsidRPr="00DE108C">
        <w:t xml:space="preserve">just </w:t>
      </w:r>
      <w:r w:rsidRPr="00DE108C">
        <w:rPr>
          <w:rFonts w:eastAsia="Verdana"/>
        </w:rPr>
        <w:t xml:space="preserve">one step in our ongoing journey, it represents a significant milestone in </w:t>
      </w:r>
      <w:r w:rsidR="00A16859" w:rsidRPr="00DE108C">
        <w:t>implementing</w:t>
      </w:r>
      <w:r w:rsidRPr="00DE108C">
        <w:rPr>
          <w:rFonts w:eastAsia="Verdana"/>
        </w:rPr>
        <w:t xml:space="preserve"> our first Stretch Reconciliation Action Plan</w:t>
      </w:r>
      <w:r w:rsidR="00A16859" w:rsidRPr="00DE108C">
        <w:t xml:space="preserve"> and State water policy.</w:t>
      </w:r>
      <w:r w:rsidRPr="00DE108C">
        <w:rPr>
          <w:rFonts w:eastAsia="Verdana"/>
        </w:rPr>
        <w:t xml:space="preserve"> This program and subsequent sub-programs were developed in response to discussions held with Traditional Owners </w:t>
      </w:r>
      <w:r w:rsidR="00A16859" w:rsidRPr="00DE108C">
        <w:t xml:space="preserve">regarding </w:t>
      </w:r>
      <w:r w:rsidRPr="00DE108C">
        <w:rPr>
          <w:rFonts w:eastAsia="Verdana"/>
        </w:rPr>
        <w:t xml:space="preserve">their </w:t>
      </w:r>
      <w:r w:rsidR="00A16859" w:rsidRPr="00DE108C">
        <w:t>self-determined aspirations.</w:t>
      </w:r>
      <w:r w:rsidRPr="00DE108C">
        <w:rPr>
          <w:rFonts w:eastAsia="Verdana"/>
        </w:rPr>
        <w:t xml:space="preserve"> </w:t>
      </w:r>
    </w:p>
    <w:p w14:paraId="712A0FF8" w14:textId="05604D28" w:rsidR="47AB52BF" w:rsidRPr="00DE108C" w:rsidRDefault="00767B75" w:rsidP="493DEE81">
      <w:r w:rsidRPr="00DE108C">
        <w:rPr>
          <w:rFonts w:eastAsia="Verdana"/>
        </w:rPr>
        <w:t xml:space="preserve">Led by </w:t>
      </w:r>
      <w:r w:rsidR="47AB52BF" w:rsidRPr="00DE108C">
        <w:rPr>
          <w:rFonts w:eastAsia="Verdana"/>
        </w:rPr>
        <w:t xml:space="preserve">our </w:t>
      </w:r>
      <w:r w:rsidRPr="00DE108C">
        <w:rPr>
          <w:rFonts w:eastAsia="Verdana"/>
        </w:rPr>
        <w:t xml:space="preserve">Traditional </w:t>
      </w:r>
      <w:r w:rsidR="47AB52BF" w:rsidRPr="00DE108C">
        <w:rPr>
          <w:rFonts w:eastAsia="Verdana"/>
        </w:rPr>
        <w:t>Owner partners</w:t>
      </w:r>
      <w:r w:rsidRPr="00DE108C">
        <w:rPr>
          <w:rFonts w:eastAsia="Verdana"/>
        </w:rPr>
        <w:t xml:space="preserve">, we customised our engagement for each Traditional Owner Corporation. </w:t>
      </w:r>
      <w:r w:rsidR="00A16859" w:rsidRPr="00DE108C">
        <w:t>PS26 builds on the strong foundations laid through our Innovate Reconciliation Action Plan, partnerships</w:t>
      </w:r>
      <w:r w:rsidRPr="00DE108C">
        <w:rPr>
          <w:rFonts w:eastAsia="Verdana"/>
        </w:rPr>
        <w:t xml:space="preserve"> and ongoing programs led by our Aboriginal Engagement and Community Connections Team. </w:t>
      </w:r>
    </w:p>
    <w:p w14:paraId="03E31E2D" w14:textId="1009BFE3" w:rsidR="00A16859" w:rsidRPr="00DE108C" w:rsidRDefault="00A16859" w:rsidP="00A16859">
      <w:r w:rsidRPr="00DE108C">
        <w:t xml:space="preserve">Working with Wurundjeri Woi-wurrung and Wadawurrung, we held a series of regular meetings and conversations to support relationship building and enable genuine co-design. The </w:t>
      </w:r>
      <w:r w:rsidRPr="00DE108C">
        <w:lastRenderedPageBreak/>
        <w:t xml:space="preserve">Bunurong Land Council Aboriginal Corporation requested that engagement primarily continue to occur at a metropolitan sector level, with all metropolitan water corporations working together as a single collective, rather than as separate organisations. We are actively exploring how best to support this collaborative approach. Gunaikurnai priority areas include water management and justice, research on culturally significant species and opportunities for increased cultural understanding and connection to the Thomson Reservoir and catchment. </w:t>
      </w:r>
    </w:p>
    <w:p w14:paraId="6E2AE5F6" w14:textId="4ACAB59A" w:rsidR="00A16859" w:rsidRPr="00DE108C" w:rsidRDefault="00A16859" w:rsidP="00A16859">
      <w:r w:rsidRPr="00DE108C">
        <w:t xml:space="preserve">While Bunurong, Gunaikurnai and Taungurung priorities and interests are reflected in this submission, we anticipate their influence will grow significantly through </w:t>
      </w:r>
      <w:r w:rsidR="247E106E">
        <w:t>the 2026-31 regulatory period</w:t>
      </w:r>
      <w:r w:rsidRPr="00DE108C">
        <w:t xml:space="preserve"> and into our 2031 Price Submission as this coordinated engagement model continues to develop. </w:t>
      </w:r>
    </w:p>
    <w:p w14:paraId="4BAF5E5C" w14:textId="5DA5BB60" w:rsidR="00767B75" w:rsidRPr="00DE108C" w:rsidRDefault="00A16859" w:rsidP="00A16859">
      <w:pPr>
        <w:rPr>
          <w:rFonts w:eastAsia="Verdana"/>
        </w:rPr>
      </w:pPr>
      <w:r w:rsidRPr="00DE108C">
        <w:t xml:space="preserve">Through this process, we identified shared priorities and developed the following programs of work for PS26: </w:t>
      </w:r>
    </w:p>
    <w:p w14:paraId="4196D7DA" w14:textId="77777777" w:rsidR="001854DC" w:rsidRPr="001D0E5E" w:rsidRDefault="001854DC" w:rsidP="008275DE">
      <w:pPr>
        <w:pStyle w:val="ListNumber"/>
        <w:rPr>
          <w:rFonts w:eastAsia="Verdana"/>
        </w:rPr>
      </w:pPr>
      <w:r w:rsidRPr="001D0E5E">
        <w:rPr>
          <w:rFonts w:eastAsia="Verdana"/>
        </w:rPr>
        <w:t xml:space="preserve">Water justice, strategy and policy </w:t>
      </w:r>
    </w:p>
    <w:p w14:paraId="03C6D0B1" w14:textId="77777777" w:rsidR="001854DC" w:rsidRPr="001D0E5E" w:rsidRDefault="001854DC" w:rsidP="008275DE">
      <w:pPr>
        <w:pStyle w:val="ListNumber"/>
        <w:rPr>
          <w:rFonts w:eastAsia="Verdana"/>
        </w:rPr>
      </w:pPr>
      <w:r w:rsidRPr="001D0E5E">
        <w:rPr>
          <w:rFonts w:eastAsia="Verdana"/>
        </w:rPr>
        <w:t xml:space="preserve">Managing for Healthy Country </w:t>
      </w:r>
    </w:p>
    <w:p w14:paraId="6FF89668" w14:textId="055A9C4D" w:rsidR="00767B75" w:rsidRPr="001D0E5E" w:rsidRDefault="00767B75" w:rsidP="008275DE">
      <w:pPr>
        <w:pStyle w:val="ListNumber"/>
        <w:rPr>
          <w:rFonts w:eastAsia="Verdana"/>
        </w:rPr>
      </w:pPr>
      <w:r w:rsidRPr="001D0E5E">
        <w:rPr>
          <w:rFonts w:eastAsia="Verdana"/>
        </w:rPr>
        <w:t>Planning and Development in Cultural Landscapes.</w:t>
      </w:r>
    </w:p>
    <w:p w14:paraId="784197F6" w14:textId="77777777" w:rsidR="00767B75" w:rsidRPr="00DE108C" w:rsidRDefault="00767B75" w:rsidP="00094CD4">
      <w:pPr>
        <w:pStyle w:val="Caption"/>
      </w:pPr>
      <w:bookmarkStart w:id="231" w:name="_Toc207892993"/>
      <w:bookmarkStart w:id="232" w:name="_Toc208490516"/>
      <w:bookmarkStart w:id="233" w:name="_Toc208490854"/>
      <w:bookmarkStart w:id="234" w:name="_Toc208911012"/>
      <w:bookmarkStart w:id="235" w:name="_Toc210051319"/>
      <w:r w:rsidRPr="00DE108C">
        <w:t>Table 3.1: Areas of interest and influence on our work for our Traditional Owner partners</w:t>
      </w:r>
      <w:bookmarkEnd w:id="231"/>
      <w:bookmarkEnd w:id="232"/>
      <w:bookmarkEnd w:id="233"/>
      <w:bookmarkEnd w:id="234"/>
      <w:bookmarkEnd w:id="235"/>
    </w:p>
    <w:tbl>
      <w:tblPr>
        <w:tblStyle w:val="TableGrid"/>
        <w:tblW w:w="96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62"/>
        <w:gridCol w:w="3953"/>
      </w:tblGrid>
      <w:tr w:rsidR="00055179" w:rsidRPr="00DE108C" w14:paraId="3A8EE981" w14:textId="77777777" w:rsidTr="00C72514">
        <w:trPr>
          <w:cnfStyle w:val="100000000000" w:firstRow="1" w:lastRow="0" w:firstColumn="0" w:lastColumn="0" w:oddVBand="0" w:evenVBand="0" w:oddHBand="0" w:evenHBand="0" w:firstRowFirstColumn="0" w:firstRowLastColumn="0" w:lastRowFirstColumn="0" w:lastRowLastColumn="0"/>
          <w:cantSplit/>
          <w:trHeight w:val="300"/>
          <w:tblHeader/>
        </w:trPr>
        <w:tc>
          <w:tcPr>
            <w:tcW w:w="5662"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left w:w="75" w:type="dxa"/>
              <w:right w:w="75" w:type="dxa"/>
            </w:tcMar>
          </w:tcPr>
          <w:p w14:paraId="076FBDF8" w14:textId="77777777" w:rsidR="00767B75" w:rsidRPr="00C72514" w:rsidRDefault="00767B75" w:rsidP="00C72514">
            <w:pPr>
              <w:pStyle w:val="Table"/>
              <w:rPr>
                <w:rFonts w:eastAsia="Verdana"/>
                <w:sz w:val="16"/>
                <w:szCs w:val="16"/>
              </w:rPr>
            </w:pPr>
            <w:r w:rsidRPr="00C72514">
              <w:rPr>
                <w:rFonts w:eastAsia="Verdana"/>
                <w:sz w:val="16"/>
                <w:szCs w:val="16"/>
              </w:rPr>
              <w:t>Areas of interest</w:t>
            </w:r>
          </w:p>
        </w:tc>
        <w:tc>
          <w:tcPr>
            <w:tcW w:w="3953"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left w:w="75" w:type="dxa"/>
              <w:right w:w="75" w:type="dxa"/>
            </w:tcMar>
          </w:tcPr>
          <w:p w14:paraId="64D78179" w14:textId="77777777" w:rsidR="00767B75" w:rsidRPr="00C72514" w:rsidRDefault="00767B75" w:rsidP="00C72514">
            <w:pPr>
              <w:pStyle w:val="Table"/>
              <w:rPr>
                <w:rFonts w:eastAsia="Verdana"/>
                <w:sz w:val="16"/>
                <w:szCs w:val="16"/>
              </w:rPr>
            </w:pPr>
            <w:r w:rsidRPr="00C72514">
              <w:rPr>
                <w:rFonts w:eastAsia="Verdana"/>
                <w:sz w:val="16"/>
                <w:szCs w:val="16"/>
              </w:rPr>
              <w:t xml:space="preserve">Influence on our work </w:t>
            </w:r>
          </w:p>
        </w:tc>
      </w:tr>
      <w:tr w:rsidR="00767B75" w:rsidRPr="00DE108C" w14:paraId="11959EAB" w14:textId="77777777">
        <w:trPr>
          <w:trHeight w:val="300"/>
        </w:trPr>
        <w:tc>
          <w:tcPr>
            <w:tcW w:w="9615" w:type="dxa"/>
            <w:gridSpan w:val="2"/>
            <w:tcBorders>
              <w:left w:val="single" w:sz="6" w:space="0" w:color="auto"/>
              <w:bottom w:val="single" w:sz="6" w:space="0" w:color="auto"/>
              <w:right w:val="single" w:sz="6" w:space="0" w:color="auto"/>
            </w:tcBorders>
            <w:tcMar>
              <w:left w:w="75" w:type="dxa"/>
              <w:right w:w="75" w:type="dxa"/>
            </w:tcMar>
          </w:tcPr>
          <w:p w14:paraId="17A0DEF2" w14:textId="2796E02A" w:rsidR="00767B75" w:rsidRPr="00DE108C" w:rsidRDefault="00767B75" w:rsidP="004278B8">
            <w:pPr>
              <w:pStyle w:val="TableHeading"/>
              <w:rPr>
                <w:rFonts w:eastAsia="Verdana"/>
                <w:szCs w:val="16"/>
              </w:rPr>
            </w:pPr>
            <w:r w:rsidRPr="00DE108C">
              <w:rPr>
                <w:rFonts w:eastAsia="Verdana"/>
                <w:color w:val="auto"/>
                <w:szCs w:val="16"/>
              </w:rPr>
              <w:t>Wurundjeri Woi</w:t>
            </w:r>
            <w:r w:rsidR="607AB21B" w:rsidRPr="00DE108C">
              <w:rPr>
                <w:rFonts w:eastAsia="Verdana"/>
                <w:color w:val="auto"/>
                <w:szCs w:val="16"/>
              </w:rPr>
              <w:t>-w</w:t>
            </w:r>
            <w:r w:rsidRPr="00DE108C">
              <w:rPr>
                <w:rFonts w:eastAsia="Verdana"/>
                <w:color w:val="auto"/>
                <w:szCs w:val="16"/>
              </w:rPr>
              <w:t>urrung Cultural Heritage Aboriginal Corporation</w:t>
            </w:r>
          </w:p>
        </w:tc>
      </w:tr>
      <w:tr w:rsidR="00055179" w:rsidRPr="00DE108C" w14:paraId="212FADF5" w14:textId="77777777" w:rsidTr="00654947">
        <w:trPr>
          <w:cnfStyle w:val="000000010000" w:firstRow="0" w:lastRow="0" w:firstColumn="0" w:lastColumn="0" w:oddVBand="0" w:evenVBand="0" w:oddHBand="0" w:evenHBand="1" w:firstRowFirstColumn="0" w:firstRowLastColumn="0" w:lastRowFirstColumn="0" w:lastRowLastColumn="0"/>
          <w:trHeight w:val="300"/>
        </w:trPr>
        <w:tc>
          <w:tcPr>
            <w:tcW w:w="5662" w:type="dxa"/>
            <w:tcBorders>
              <w:left w:val="single" w:sz="6" w:space="0" w:color="auto"/>
              <w:bottom w:val="single" w:sz="6" w:space="0" w:color="auto"/>
            </w:tcBorders>
            <w:tcMar>
              <w:left w:w="75" w:type="dxa"/>
              <w:right w:w="75" w:type="dxa"/>
            </w:tcMar>
          </w:tcPr>
          <w:p w14:paraId="1298EDC0" w14:textId="77777777" w:rsidR="00D043A6" w:rsidRPr="00DE108C" w:rsidRDefault="00D043A6">
            <w:pPr>
              <w:pStyle w:val="ListBullet"/>
              <w:numPr>
                <w:ilvl w:val="0"/>
                <w:numId w:val="28"/>
              </w:numPr>
              <w:ind w:left="360" w:hanging="270"/>
              <w:rPr>
                <w:rFonts w:ascii="Verdana" w:eastAsia="Verdana" w:hAnsi="Verdana" w:cs="Verdana"/>
                <w:sz w:val="16"/>
                <w:szCs w:val="16"/>
              </w:rPr>
            </w:pPr>
            <w:r w:rsidRPr="00DE108C">
              <w:rPr>
                <w:rFonts w:ascii="Verdana" w:eastAsia="Verdana" w:hAnsi="Verdana" w:cs="Verdana"/>
                <w:sz w:val="16"/>
                <w:szCs w:val="16"/>
              </w:rPr>
              <w:t xml:space="preserve">Establishing stable and sustainable funding sources. </w:t>
            </w:r>
          </w:p>
          <w:p w14:paraId="739ADE96" w14:textId="77777777" w:rsidR="00D043A6" w:rsidRPr="00DE108C" w:rsidRDefault="00D043A6">
            <w:pPr>
              <w:pStyle w:val="ListBullet"/>
              <w:numPr>
                <w:ilvl w:val="0"/>
                <w:numId w:val="28"/>
              </w:numPr>
              <w:ind w:left="360" w:hanging="270"/>
              <w:rPr>
                <w:rFonts w:ascii="Verdana" w:eastAsia="Verdana" w:hAnsi="Verdana" w:cs="Verdana"/>
                <w:sz w:val="16"/>
                <w:szCs w:val="16"/>
              </w:rPr>
            </w:pPr>
            <w:r w:rsidRPr="00DE108C">
              <w:rPr>
                <w:rFonts w:ascii="Verdana" w:eastAsia="Verdana" w:hAnsi="Verdana" w:cs="Verdana"/>
                <w:sz w:val="16"/>
                <w:szCs w:val="16"/>
              </w:rPr>
              <w:t xml:space="preserve">Embedding cultural landscape planning and management approaches. </w:t>
            </w:r>
          </w:p>
          <w:p w14:paraId="76912AD3" w14:textId="403A78D7" w:rsidR="00D043A6" w:rsidRPr="00DE108C" w:rsidRDefault="00D043A6">
            <w:pPr>
              <w:pStyle w:val="ListBullet"/>
              <w:numPr>
                <w:ilvl w:val="0"/>
                <w:numId w:val="28"/>
              </w:numPr>
              <w:ind w:left="360" w:hanging="270"/>
              <w:rPr>
                <w:rFonts w:ascii="Verdana" w:eastAsia="Verdana" w:hAnsi="Verdana" w:cs="Verdana"/>
                <w:sz w:val="16"/>
                <w:szCs w:val="16"/>
              </w:rPr>
            </w:pPr>
            <w:r w:rsidRPr="00DE108C">
              <w:rPr>
                <w:rFonts w:ascii="Verdana" w:eastAsia="Verdana" w:hAnsi="Verdana" w:cs="Verdana"/>
                <w:sz w:val="16"/>
                <w:szCs w:val="16"/>
              </w:rPr>
              <w:t>Contributing to the development of water policy and strategic planning</w:t>
            </w:r>
            <w:r w:rsidR="02A81508" w:rsidRPr="14031F0E">
              <w:rPr>
                <w:rFonts w:ascii="Verdana" w:eastAsia="Verdana" w:hAnsi="Verdana" w:cs="Verdana"/>
                <w:sz w:val="16"/>
                <w:szCs w:val="16"/>
              </w:rPr>
              <w:t>.</w:t>
            </w:r>
            <w:r w:rsidRPr="00DE108C">
              <w:rPr>
                <w:rFonts w:ascii="Verdana" w:eastAsia="Verdana" w:hAnsi="Verdana" w:cs="Verdana"/>
                <w:sz w:val="16"/>
                <w:szCs w:val="16"/>
              </w:rPr>
              <w:t xml:space="preserve"> </w:t>
            </w:r>
          </w:p>
          <w:p w14:paraId="30D945A7" w14:textId="77777777" w:rsidR="00D043A6" w:rsidRPr="00DE108C" w:rsidRDefault="00D043A6">
            <w:pPr>
              <w:pStyle w:val="ListBullet"/>
              <w:numPr>
                <w:ilvl w:val="0"/>
                <w:numId w:val="28"/>
              </w:numPr>
              <w:ind w:left="360" w:hanging="270"/>
              <w:rPr>
                <w:rFonts w:ascii="Verdana" w:eastAsia="Verdana" w:hAnsi="Verdana" w:cs="Verdana"/>
                <w:sz w:val="16"/>
                <w:szCs w:val="16"/>
              </w:rPr>
            </w:pPr>
            <w:r w:rsidRPr="00DE108C">
              <w:rPr>
                <w:rFonts w:ascii="Verdana" w:eastAsia="Verdana" w:hAnsi="Verdana" w:cs="Verdana"/>
                <w:sz w:val="16"/>
                <w:szCs w:val="16"/>
              </w:rPr>
              <w:t xml:space="preserve">Supporting and participating in Water on Country activities and research. </w:t>
            </w:r>
          </w:p>
          <w:p w14:paraId="539F85ED" w14:textId="7CE42FF2" w:rsidR="00D043A6" w:rsidRPr="00DE108C" w:rsidRDefault="00D043A6">
            <w:pPr>
              <w:pStyle w:val="ListBullet"/>
              <w:numPr>
                <w:ilvl w:val="0"/>
                <w:numId w:val="28"/>
              </w:numPr>
              <w:ind w:left="360" w:hanging="270"/>
              <w:rPr>
                <w:rFonts w:ascii="Verdana" w:eastAsia="Verdana" w:hAnsi="Verdana" w:cs="Verdana"/>
                <w:sz w:val="16"/>
                <w:szCs w:val="16"/>
              </w:rPr>
            </w:pPr>
            <w:r w:rsidRPr="00DE108C">
              <w:rPr>
                <w:rFonts w:ascii="Verdana" w:eastAsia="Verdana" w:hAnsi="Verdana" w:cs="Verdana"/>
                <w:sz w:val="16"/>
                <w:szCs w:val="16"/>
              </w:rPr>
              <w:t xml:space="preserve">Ensuring Traditional Owner organisations are adequately resourced to provide input into Melbourne Water’s plans and strategies, such as the </w:t>
            </w:r>
            <w:r w:rsidRPr="14031F0E">
              <w:rPr>
                <w:rFonts w:ascii="Verdana" w:eastAsia="Verdana" w:hAnsi="Verdana" w:cs="Verdana"/>
                <w:i/>
                <w:sz w:val="16"/>
                <w:szCs w:val="16"/>
              </w:rPr>
              <w:t>Healthy Water Strategy</w:t>
            </w:r>
            <w:r w:rsidRPr="00DE108C">
              <w:rPr>
                <w:rFonts w:ascii="Verdana" w:eastAsia="Verdana" w:hAnsi="Verdana" w:cs="Verdana"/>
                <w:sz w:val="16"/>
                <w:szCs w:val="16"/>
              </w:rPr>
              <w:t>, Recycled Water Strategy</w:t>
            </w:r>
            <w:r w:rsidR="27E3EA47" w:rsidRPr="14031F0E">
              <w:rPr>
                <w:rFonts w:ascii="Verdana" w:eastAsia="Verdana" w:hAnsi="Verdana" w:cs="Verdana"/>
                <w:sz w:val="16"/>
                <w:szCs w:val="16"/>
              </w:rPr>
              <w:t xml:space="preserve"> and</w:t>
            </w:r>
            <w:r w:rsidRPr="00DE108C">
              <w:rPr>
                <w:rFonts w:ascii="Verdana" w:eastAsia="Verdana" w:hAnsi="Verdana" w:cs="Verdana"/>
                <w:sz w:val="16"/>
                <w:szCs w:val="16"/>
              </w:rPr>
              <w:t xml:space="preserve"> </w:t>
            </w:r>
            <w:r w:rsidRPr="00DE108C">
              <w:rPr>
                <w:rFonts w:ascii="Verdana" w:eastAsia="Verdana" w:hAnsi="Verdana" w:cs="Verdana"/>
                <w:i/>
                <w:sz w:val="16"/>
                <w:szCs w:val="16"/>
              </w:rPr>
              <w:t>Burndap Birrarung burndap umarkoo</w:t>
            </w:r>
            <w:r w:rsidRPr="00DE108C">
              <w:rPr>
                <w:rFonts w:ascii="Verdana" w:eastAsia="Verdana" w:hAnsi="Verdana" w:cs="Verdana"/>
                <w:sz w:val="16"/>
                <w:szCs w:val="16"/>
              </w:rPr>
              <w:t xml:space="preserve"> (previously, Yarra Strategic Plan). </w:t>
            </w:r>
          </w:p>
          <w:p w14:paraId="28D26E4E" w14:textId="213DCCA8" w:rsidR="00767B75" w:rsidRPr="00DE108C" w:rsidRDefault="00767B75">
            <w:pPr>
              <w:pStyle w:val="ListBullet"/>
              <w:numPr>
                <w:ilvl w:val="0"/>
                <w:numId w:val="28"/>
              </w:numPr>
              <w:ind w:left="360" w:hanging="270"/>
              <w:rPr>
                <w:rFonts w:ascii="Verdana" w:eastAsia="Verdana" w:hAnsi="Verdana" w:cs="Verdana"/>
                <w:sz w:val="16"/>
                <w:szCs w:val="16"/>
              </w:rPr>
            </w:pPr>
            <w:r w:rsidRPr="00DE108C">
              <w:rPr>
                <w:rFonts w:ascii="Verdana" w:eastAsia="Verdana" w:hAnsi="Verdana" w:cs="Verdana"/>
                <w:sz w:val="16"/>
                <w:szCs w:val="16"/>
              </w:rPr>
              <w:t>Supporting succession planning through initiatives such as traineeship and capacity-building programs.</w:t>
            </w:r>
          </w:p>
        </w:tc>
        <w:tc>
          <w:tcPr>
            <w:tcW w:w="3953" w:type="dxa"/>
            <w:tcBorders>
              <w:bottom w:val="single" w:sz="6" w:space="0" w:color="auto"/>
              <w:right w:val="single" w:sz="6" w:space="0" w:color="auto"/>
            </w:tcBorders>
            <w:tcMar>
              <w:left w:w="75" w:type="dxa"/>
              <w:right w:w="75" w:type="dxa"/>
            </w:tcMar>
          </w:tcPr>
          <w:p w14:paraId="0D842297" w14:textId="368568A7" w:rsidR="00767B75" w:rsidRPr="00DE108C" w:rsidRDefault="00767B75">
            <w:pPr>
              <w:pStyle w:val="BodyText"/>
              <w:rPr>
                <w:rFonts w:ascii="Verdana" w:eastAsia="Verdana" w:hAnsi="Verdana" w:cs="Verdana"/>
                <w:sz w:val="16"/>
                <w:szCs w:val="16"/>
              </w:rPr>
            </w:pPr>
            <w:r w:rsidRPr="14031F0E">
              <w:rPr>
                <w:rFonts w:eastAsia="Verdana"/>
                <w:sz w:val="16"/>
                <w:szCs w:val="16"/>
              </w:rPr>
              <w:t>In partnership with Wurundjeri</w:t>
            </w:r>
            <w:r w:rsidR="728D2551" w:rsidRPr="14031F0E">
              <w:rPr>
                <w:rFonts w:eastAsia="Verdana"/>
                <w:sz w:val="16"/>
                <w:szCs w:val="16"/>
              </w:rPr>
              <w:t xml:space="preserve"> Woi-wurrung</w:t>
            </w:r>
            <w:r w:rsidRPr="14031F0E">
              <w:rPr>
                <w:rFonts w:eastAsia="Verdana"/>
                <w:sz w:val="16"/>
                <w:szCs w:val="16"/>
              </w:rPr>
              <w:t xml:space="preserve">, we have developed a program of work that reflects these interests, including </w:t>
            </w:r>
            <w:r w:rsidR="00ED133D" w:rsidRPr="14031F0E">
              <w:rPr>
                <w:rFonts w:eastAsia="Verdana"/>
                <w:sz w:val="16"/>
                <w:szCs w:val="16"/>
              </w:rPr>
              <w:t xml:space="preserve">proposed </w:t>
            </w:r>
            <w:r w:rsidRPr="14031F0E">
              <w:rPr>
                <w:rFonts w:eastAsia="Verdana"/>
                <w:sz w:val="16"/>
                <w:szCs w:val="16"/>
              </w:rPr>
              <w:t xml:space="preserve">resourcing and contributing funding to </w:t>
            </w:r>
            <w:r w:rsidR="00ED133D" w:rsidRPr="14031F0E">
              <w:rPr>
                <w:rFonts w:eastAsia="Verdana"/>
                <w:sz w:val="16"/>
                <w:szCs w:val="16"/>
              </w:rPr>
              <w:t xml:space="preserve">support </w:t>
            </w:r>
            <w:r w:rsidRPr="14031F0E">
              <w:rPr>
                <w:rFonts w:eastAsia="Verdana"/>
                <w:sz w:val="16"/>
                <w:szCs w:val="16"/>
              </w:rPr>
              <w:t>Wurundjeri Woi</w:t>
            </w:r>
            <w:r w:rsidR="2C5A5422" w:rsidRPr="14031F0E">
              <w:rPr>
                <w:rFonts w:eastAsia="Verdana"/>
                <w:sz w:val="16"/>
                <w:szCs w:val="16"/>
              </w:rPr>
              <w:t>-w</w:t>
            </w:r>
            <w:r w:rsidRPr="14031F0E">
              <w:rPr>
                <w:rFonts w:eastAsia="Verdana"/>
                <w:sz w:val="16"/>
                <w:szCs w:val="16"/>
              </w:rPr>
              <w:t xml:space="preserve">urrung Cultural Heritage Aboriginal </w:t>
            </w:r>
            <w:r w:rsidR="00ED133D" w:rsidRPr="14031F0E">
              <w:rPr>
                <w:rFonts w:eastAsia="Verdana"/>
                <w:sz w:val="16"/>
                <w:szCs w:val="16"/>
              </w:rPr>
              <w:t>Corporation's pursuit</w:t>
            </w:r>
            <w:r w:rsidRPr="14031F0E">
              <w:rPr>
                <w:rFonts w:eastAsia="Verdana"/>
                <w:sz w:val="16"/>
                <w:szCs w:val="16"/>
              </w:rPr>
              <w:t xml:space="preserve"> of </w:t>
            </w:r>
            <w:r w:rsidR="00ED133D" w:rsidRPr="14031F0E">
              <w:rPr>
                <w:rFonts w:eastAsia="Verdana"/>
                <w:sz w:val="16"/>
                <w:szCs w:val="16"/>
              </w:rPr>
              <w:t xml:space="preserve">its self-determined </w:t>
            </w:r>
            <w:r w:rsidRPr="14031F0E">
              <w:rPr>
                <w:rFonts w:eastAsia="Verdana"/>
                <w:sz w:val="16"/>
                <w:szCs w:val="16"/>
              </w:rPr>
              <w:t xml:space="preserve">interest. </w:t>
            </w:r>
          </w:p>
        </w:tc>
      </w:tr>
      <w:tr w:rsidR="00767B75" w:rsidRPr="00DE108C" w14:paraId="2B041D29" w14:textId="77777777">
        <w:trPr>
          <w:trHeight w:val="300"/>
        </w:trPr>
        <w:tc>
          <w:tcPr>
            <w:tcW w:w="9615" w:type="dxa"/>
            <w:gridSpan w:val="2"/>
            <w:tcBorders>
              <w:left w:val="single" w:sz="6" w:space="0" w:color="auto"/>
              <w:bottom w:val="single" w:sz="6" w:space="0" w:color="auto"/>
              <w:right w:val="single" w:sz="6" w:space="0" w:color="auto"/>
            </w:tcBorders>
            <w:tcMar>
              <w:left w:w="75" w:type="dxa"/>
              <w:right w:w="75" w:type="dxa"/>
            </w:tcMar>
          </w:tcPr>
          <w:p w14:paraId="3D316533" w14:textId="77777777" w:rsidR="00767B75" w:rsidRPr="00DE108C" w:rsidRDefault="00767B75" w:rsidP="009E4E9F">
            <w:pPr>
              <w:pStyle w:val="TableHeading"/>
              <w:keepNext/>
              <w:keepLines/>
              <w:rPr>
                <w:rFonts w:eastAsia="Verdana"/>
                <w:szCs w:val="16"/>
              </w:rPr>
            </w:pPr>
            <w:r w:rsidRPr="00DE108C">
              <w:rPr>
                <w:rFonts w:eastAsia="Verdana"/>
                <w:color w:val="auto"/>
                <w:szCs w:val="16"/>
              </w:rPr>
              <w:lastRenderedPageBreak/>
              <w:t>Gunaikurnai Land and Waters Aboriginal Corporation (GLaWAC)</w:t>
            </w:r>
          </w:p>
        </w:tc>
      </w:tr>
      <w:tr w:rsidR="00055179" w:rsidRPr="00DE108C" w14:paraId="19D754C4" w14:textId="77777777" w:rsidTr="00654947">
        <w:trPr>
          <w:cnfStyle w:val="000000010000" w:firstRow="0" w:lastRow="0" w:firstColumn="0" w:lastColumn="0" w:oddVBand="0" w:evenVBand="0" w:oddHBand="0" w:evenHBand="1" w:firstRowFirstColumn="0" w:firstRowLastColumn="0" w:lastRowFirstColumn="0" w:lastRowLastColumn="0"/>
          <w:trHeight w:val="300"/>
        </w:trPr>
        <w:tc>
          <w:tcPr>
            <w:tcW w:w="5662" w:type="dxa"/>
            <w:tcBorders>
              <w:left w:val="single" w:sz="6" w:space="0" w:color="auto"/>
              <w:bottom w:val="single" w:sz="6" w:space="0" w:color="auto"/>
            </w:tcBorders>
            <w:tcMar>
              <w:left w:w="75" w:type="dxa"/>
              <w:right w:w="75" w:type="dxa"/>
            </w:tcMar>
          </w:tcPr>
          <w:p w14:paraId="36D416CA" w14:textId="77777777" w:rsidR="00EE4DE8" w:rsidRPr="00DE108C" w:rsidRDefault="00EE4DE8">
            <w:pPr>
              <w:pStyle w:val="ListBullet"/>
              <w:keepNext/>
              <w:keepLines/>
              <w:numPr>
                <w:ilvl w:val="0"/>
                <w:numId w:val="27"/>
              </w:numPr>
              <w:ind w:left="360" w:hanging="270"/>
              <w:rPr>
                <w:rFonts w:eastAsia="Verdana"/>
                <w:sz w:val="16"/>
                <w:szCs w:val="16"/>
              </w:rPr>
            </w:pPr>
            <w:r w:rsidRPr="14031F0E">
              <w:rPr>
                <w:rFonts w:eastAsia="Verdana"/>
                <w:sz w:val="16"/>
                <w:szCs w:val="16"/>
              </w:rPr>
              <w:t xml:space="preserve">Securing funding to support the commitments established in the 2022 Partnership Agreement between Melbourne Water and GLaWAC, noting that a formal funding model was not defined at the time. </w:t>
            </w:r>
          </w:p>
          <w:p w14:paraId="683A269D" w14:textId="77777777" w:rsidR="00EE4DE8" w:rsidRPr="00DE108C" w:rsidRDefault="00EE4DE8">
            <w:pPr>
              <w:pStyle w:val="ListBullet"/>
              <w:keepNext/>
              <w:keepLines/>
              <w:numPr>
                <w:ilvl w:val="0"/>
                <w:numId w:val="27"/>
              </w:numPr>
              <w:ind w:left="360" w:hanging="270"/>
              <w:rPr>
                <w:rFonts w:eastAsia="Verdana"/>
                <w:sz w:val="16"/>
                <w:szCs w:val="16"/>
              </w:rPr>
            </w:pPr>
            <w:r w:rsidRPr="14031F0E">
              <w:rPr>
                <w:rFonts w:eastAsia="Verdana"/>
                <w:sz w:val="16"/>
                <w:szCs w:val="16"/>
              </w:rPr>
              <w:t xml:space="preserve">Advancing restorative water justice initiatives. </w:t>
            </w:r>
          </w:p>
          <w:p w14:paraId="7EC7DD10" w14:textId="77777777" w:rsidR="00EE4DE8" w:rsidRPr="00DE108C" w:rsidRDefault="00767B75">
            <w:pPr>
              <w:pStyle w:val="ListBullet"/>
              <w:keepNext/>
              <w:keepLines/>
              <w:numPr>
                <w:ilvl w:val="0"/>
                <w:numId w:val="27"/>
              </w:numPr>
              <w:ind w:left="360" w:hanging="270"/>
              <w:rPr>
                <w:rFonts w:eastAsia="Verdana"/>
                <w:sz w:val="16"/>
                <w:szCs w:val="16"/>
              </w:rPr>
            </w:pPr>
            <w:r w:rsidRPr="14031F0E">
              <w:rPr>
                <w:rFonts w:eastAsia="Verdana"/>
                <w:sz w:val="16"/>
                <w:szCs w:val="16"/>
              </w:rPr>
              <w:t>Supporting research, focused on eels, through funding.</w:t>
            </w:r>
            <w:r w:rsidR="00EE4DE8" w:rsidRPr="14031F0E">
              <w:rPr>
                <w:rFonts w:eastAsia="Verdana"/>
                <w:sz w:val="16"/>
                <w:szCs w:val="16"/>
              </w:rPr>
              <w:t xml:space="preserve"> </w:t>
            </w:r>
          </w:p>
          <w:p w14:paraId="434D772A" w14:textId="3C4F544B" w:rsidR="00767B75" w:rsidRPr="00DE108C" w:rsidRDefault="00EE4DE8">
            <w:pPr>
              <w:pStyle w:val="ListBullet"/>
              <w:keepNext/>
              <w:keepLines/>
              <w:numPr>
                <w:ilvl w:val="0"/>
                <w:numId w:val="27"/>
              </w:numPr>
              <w:ind w:left="360" w:hanging="270"/>
              <w:rPr>
                <w:rFonts w:eastAsia="Verdana"/>
                <w:sz w:val="16"/>
                <w:szCs w:val="16"/>
              </w:rPr>
            </w:pPr>
            <w:r w:rsidRPr="14031F0E">
              <w:rPr>
                <w:rFonts w:eastAsia="Verdana"/>
                <w:sz w:val="16"/>
                <w:szCs w:val="16"/>
              </w:rPr>
              <w:t>Cultural Values Assessment and interpretation</w:t>
            </w:r>
            <w:r w:rsidR="00F704A1" w:rsidRPr="14031F0E">
              <w:rPr>
                <w:rFonts w:eastAsia="Verdana"/>
                <w:sz w:val="16"/>
                <w:szCs w:val="16"/>
              </w:rPr>
              <w:t>.</w:t>
            </w:r>
          </w:p>
        </w:tc>
        <w:tc>
          <w:tcPr>
            <w:tcW w:w="3953" w:type="dxa"/>
            <w:tcBorders>
              <w:bottom w:val="single" w:sz="6" w:space="0" w:color="auto"/>
              <w:right w:val="single" w:sz="6" w:space="0" w:color="auto"/>
            </w:tcBorders>
            <w:tcMar>
              <w:left w:w="75" w:type="dxa"/>
              <w:right w:w="75" w:type="dxa"/>
            </w:tcMar>
          </w:tcPr>
          <w:p w14:paraId="0DE15DC7" w14:textId="61DCB7CD" w:rsidR="00767B75" w:rsidRPr="00DE108C" w:rsidRDefault="00767B75" w:rsidP="003C08FA">
            <w:pPr>
              <w:pStyle w:val="TableText"/>
              <w:rPr>
                <w:rFonts w:eastAsia="Verdana"/>
              </w:rPr>
            </w:pPr>
            <w:r w:rsidRPr="00DE108C">
              <w:rPr>
                <w:rFonts w:eastAsia="Verdana"/>
              </w:rPr>
              <w:t xml:space="preserve">As per our co-developed </w:t>
            </w:r>
            <w:r w:rsidR="000E3FE9" w:rsidRPr="00DE108C">
              <w:rPr>
                <w:rFonts w:eastAsia="Verdana"/>
              </w:rPr>
              <w:t xml:space="preserve">Partnership </w:t>
            </w:r>
            <w:r w:rsidRPr="00DE108C">
              <w:rPr>
                <w:rFonts w:eastAsia="Verdana"/>
              </w:rPr>
              <w:t xml:space="preserve">Agreement with GLaWAC, we are proposing to continue to contribute funding to support key self-determined interests. </w:t>
            </w:r>
          </w:p>
        </w:tc>
      </w:tr>
      <w:tr w:rsidR="00767B75" w:rsidRPr="00DE108C" w14:paraId="2904EDCE" w14:textId="77777777">
        <w:trPr>
          <w:trHeight w:val="300"/>
        </w:trPr>
        <w:tc>
          <w:tcPr>
            <w:tcW w:w="9615" w:type="dxa"/>
            <w:gridSpan w:val="2"/>
            <w:tcBorders>
              <w:left w:val="single" w:sz="6" w:space="0" w:color="auto"/>
              <w:bottom w:val="single" w:sz="6" w:space="0" w:color="auto"/>
              <w:right w:val="single" w:sz="6" w:space="0" w:color="auto"/>
            </w:tcBorders>
            <w:tcMar>
              <w:left w:w="75" w:type="dxa"/>
              <w:right w:w="75" w:type="dxa"/>
            </w:tcMar>
          </w:tcPr>
          <w:p w14:paraId="74DBA2E4" w14:textId="095D8449" w:rsidR="00767B75" w:rsidRPr="00DE108C" w:rsidRDefault="00767B75" w:rsidP="00FA1EDB">
            <w:pPr>
              <w:pStyle w:val="TableHeading"/>
              <w:keepNext/>
              <w:keepLines/>
              <w:rPr>
                <w:rFonts w:eastAsia="Verdana"/>
                <w:szCs w:val="16"/>
              </w:rPr>
            </w:pPr>
            <w:r w:rsidRPr="00DE108C">
              <w:rPr>
                <w:rFonts w:eastAsia="Verdana"/>
                <w:color w:val="auto"/>
                <w:szCs w:val="16"/>
              </w:rPr>
              <w:t>Wadawurrung Traditional Owners Aboriginal Corporation</w:t>
            </w:r>
          </w:p>
        </w:tc>
      </w:tr>
      <w:tr w:rsidR="00055179" w:rsidRPr="00DE108C" w14:paraId="78CB1620" w14:textId="77777777" w:rsidTr="00654947">
        <w:trPr>
          <w:cnfStyle w:val="000000010000" w:firstRow="0" w:lastRow="0" w:firstColumn="0" w:lastColumn="0" w:oddVBand="0" w:evenVBand="0" w:oddHBand="0" w:evenHBand="1" w:firstRowFirstColumn="0" w:firstRowLastColumn="0" w:lastRowFirstColumn="0" w:lastRowLastColumn="0"/>
          <w:trHeight w:val="300"/>
        </w:trPr>
        <w:tc>
          <w:tcPr>
            <w:tcW w:w="5662" w:type="dxa"/>
            <w:tcBorders>
              <w:left w:val="single" w:sz="6" w:space="0" w:color="auto"/>
              <w:bottom w:val="single" w:sz="6" w:space="0" w:color="auto"/>
            </w:tcBorders>
            <w:tcMar>
              <w:left w:w="75" w:type="dxa"/>
              <w:right w:w="75" w:type="dxa"/>
            </w:tcMar>
          </w:tcPr>
          <w:p w14:paraId="687195B9" w14:textId="2E057BFC" w:rsidR="00767B75" w:rsidRPr="00DE108C" w:rsidRDefault="283D14C7">
            <w:pPr>
              <w:pStyle w:val="ListBullet"/>
              <w:keepNext/>
              <w:keepLines/>
              <w:numPr>
                <w:ilvl w:val="0"/>
                <w:numId w:val="26"/>
              </w:numPr>
              <w:ind w:left="360" w:hanging="270"/>
              <w:rPr>
                <w:rFonts w:eastAsia="Verdana"/>
                <w:sz w:val="16"/>
                <w:szCs w:val="16"/>
              </w:rPr>
            </w:pPr>
            <w:r w:rsidRPr="00DE108C">
              <w:rPr>
                <w:rFonts w:eastAsia="Verdana"/>
                <w:sz w:val="16"/>
                <w:szCs w:val="16"/>
              </w:rPr>
              <w:t xml:space="preserve">Appropriate and equitable resourcing for Wadawurrung people to participate in their obligation of care and management of Country. </w:t>
            </w:r>
          </w:p>
          <w:p w14:paraId="3FDB9A19" w14:textId="0B1F66FD" w:rsidR="00767B75" w:rsidRPr="00DE108C" w:rsidRDefault="283D14C7">
            <w:pPr>
              <w:pStyle w:val="ListBullet"/>
              <w:keepNext/>
              <w:keepLines/>
              <w:numPr>
                <w:ilvl w:val="0"/>
                <w:numId w:val="26"/>
              </w:numPr>
              <w:ind w:left="360" w:hanging="270"/>
              <w:rPr>
                <w:rFonts w:eastAsia="Verdana"/>
                <w:sz w:val="16"/>
                <w:szCs w:val="16"/>
              </w:rPr>
            </w:pPr>
            <w:r w:rsidRPr="00DE108C">
              <w:rPr>
                <w:sz w:val="16"/>
                <w:szCs w:val="16"/>
              </w:rPr>
              <w:t xml:space="preserve">Resourcing at the program level to support capacity building, self-determined participation, decision making and shared outcomes. </w:t>
            </w:r>
          </w:p>
          <w:p w14:paraId="70821D5B" w14:textId="5EB6A4C5" w:rsidR="00767B75" w:rsidRPr="00DE108C" w:rsidRDefault="283D14C7">
            <w:pPr>
              <w:pStyle w:val="ListBullet"/>
              <w:keepNext/>
              <w:keepLines/>
              <w:numPr>
                <w:ilvl w:val="0"/>
                <w:numId w:val="26"/>
              </w:numPr>
              <w:ind w:left="360" w:hanging="270"/>
              <w:rPr>
                <w:rFonts w:eastAsia="Verdana"/>
                <w:sz w:val="16"/>
                <w:szCs w:val="16"/>
              </w:rPr>
            </w:pPr>
            <w:r w:rsidRPr="00DE108C">
              <w:rPr>
                <w:sz w:val="16"/>
                <w:szCs w:val="16"/>
              </w:rPr>
              <w:t xml:space="preserve">Ensuring Wadawurrung input and interest is reflected in policy, strategy and planning. </w:t>
            </w:r>
          </w:p>
          <w:p w14:paraId="23E9C274" w14:textId="7553D3AF" w:rsidR="00767B75" w:rsidRPr="00DE108C" w:rsidRDefault="283D14C7">
            <w:pPr>
              <w:pStyle w:val="ListBullet"/>
              <w:keepNext/>
              <w:keepLines/>
              <w:numPr>
                <w:ilvl w:val="0"/>
                <w:numId w:val="26"/>
              </w:numPr>
              <w:ind w:left="360" w:hanging="270"/>
              <w:rPr>
                <w:rFonts w:eastAsia="Verdana"/>
                <w:sz w:val="16"/>
                <w:szCs w:val="16"/>
              </w:rPr>
            </w:pPr>
            <w:r w:rsidRPr="00DE108C">
              <w:rPr>
                <w:sz w:val="16"/>
                <w:szCs w:val="16"/>
              </w:rPr>
              <w:t xml:space="preserve">Enabling Wadawurrung access to water rights and entitlements including storm/recycled water. </w:t>
            </w:r>
          </w:p>
          <w:p w14:paraId="1E43ED3C" w14:textId="77C6C3AF" w:rsidR="000E3FE9" w:rsidRPr="00DE108C" w:rsidRDefault="000E3FE9">
            <w:pPr>
              <w:pStyle w:val="ListBullet"/>
              <w:keepNext/>
              <w:keepLines/>
              <w:numPr>
                <w:ilvl w:val="0"/>
                <w:numId w:val="26"/>
              </w:numPr>
              <w:ind w:left="360" w:hanging="270"/>
              <w:rPr>
                <w:rFonts w:eastAsia="Verdana"/>
                <w:sz w:val="16"/>
                <w:szCs w:val="16"/>
              </w:rPr>
            </w:pPr>
            <w:r w:rsidRPr="00DE108C">
              <w:rPr>
                <w:rFonts w:eastAsia="Verdana"/>
                <w:sz w:val="16"/>
                <w:szCs w:val="16"/>
              </w:rPr>
              <w:t>Response and readiness for Treaty and truth telling</w:t>
            </w:r>
            <w:r w:rsidR="67986EB9" w:rsidRPr="14031F0E">
              <w:rPr>
                <w:rFonts w:eastAsia="Verdana"/>
                <w:sz w:val="16"/>
                <w:szCs w:val="16"/>
              </w:rPr>
              <w:t>.</w:t>
            </w:r>
            <w:r w:rsidRPr="00DE108C">
              <w:rPr>
                <w:rFonts w:eastAsia="Verdana"/>
                <w:sz w:val="16"/>
                <w:szCs w:val="16"/>
              </w:rPr>
              <w:t xml:space="preserve"> </w:t>
            </w:r>
          </w:p>
          <w:p w14:paraId="214DE1EC" w14:textId="58DFE7AB" w:rsidR="00767B75" w:rsidRPr="00DE108C" w:rsidRDefault="283D14C7">
            <w:pPr>
              <w:pStyle w:val="ListBullet"/>
              <w:keepNext/>
              <w:keepLines/>
              <w:numPr>
                <w:ilvl w:val="0"/>
                <w:numId w:val="26"/>
              </w:numPr>
              <w:ind w:left="360" w:hanging="270"/>
              <w:rPr>
                <w:rFonts w:eastAsia="Verdana"/>
                <w:sz w:val="16"/>
                <w:szCs w:val="16"/>
              </w:rPr>
            </w:pPr>
            <w:r w:rsidRPr="00DE108C">
              <w:rPr>
                <w:sz w:val="16"/>
                <w:szCs w:val="16"/>
              </w:rPr>
              <w:t xml:space="preserve">Sharing and building whole of system </w:t>
            </w:r>
            <w:r w:rsidR="00475AFD">
              <w:rPr>
                <w:sz w:val="16"/>
                <w:szCs w:val="16"/>
              </w:rPr>
              <w:t>w</w:t>
            </w:r>
            <w:r w:rsidRPr="00DE108C">
              <w:rPr>
                <w:sz w:val="16"/>
                <w:szCs w:val="16"/>
              </w:rPr>
              <w:t xml:space="preserve">ater knowledge through research and forums. </w:t>
            </w:r>
          </w:p>
          <w:p w14:paraId="35F933B7" w14:textId="11BFE869" w:rsidR="00767B75" w:rsidRPr="00DE108C" w:rsidRDefault="283D14C7">
            <w:pPr>
              <w:pStyle w:val="ListBullet"/>
              <w:keepNext/>
              <w:keepLines/>
              <w:numPr>
                <w:ilvl w:val="0"/>
                <w:numId w:val="26"/>
              </w:numPr>
              <w:ind w:left="360" w:hanging="270"/>
              <w:rPr>
                <w:rFonts w:eastAsia="Verdana"/>
                <w:sz w:val="16"/>
                <w:szCs w:val="16"/>
              </w:rPr>
            </w:pPr>
            <w:r w:rsidRPr="00DE108C">
              <w:rPr>
                <w:sz w:val="16"/>
                <w:szCs w:val="16"/>
              </w:rPr>
              <w:t xml:space="preserve">Cultural Values Assessments and management programs for priority landscapes. </w:t>
            </w:r>
          </w:p>
          <w:p w14:paraId="74B3FDE7" w14:textId="681E531F" w:rsidR="00767B75" w:rsidRPr="00DE108C" w:rsidRDefault="00767B75">
            <w:pPr>
              <w:pStyle w:val="ListBullet"/>
              <w:keepNext/>
              <w:keepLines/>
              <w:numPr>
                <w:ilvl w:val="0"/>
                <w:numId w:val="26"/>
              </w:numPr>
              <w:ind w:left="360" w:hanging="270"/>
              <w:rPr>
                <w:rFonts w:eastAsia="Verdana"/>
                <w:sz w:val="16"/>
                <w:szCs w:val="16"/>
              </w:rPr>
            </w:pPr>
            <w:r w:rsidRPr="00DE108C">
              <w:rPr>
                <w:rFonts w:eastAsia="Verdana"/>
                <w:sz w:val="16"/>
                <w:szCs w:val="16"/>
              </w:rPr>
              <w:t>Providing strategic and cultural guidance in urban planning and development processes.</w:t>
            </w:r>
            <w:r w:rsidR="283D14C7" w:rsidRPr="00DE108C">
              <w:rPr>
                <w:sz w:val="16"/>
                <w:szCs w:val="16"/>
              </w:rPr>
              <w:t xml:space="preserve"> </w:t>
            </w:r>
          </w:p>
          <w:p w14:paraId="788D5147" w14:textId="76F90E58" w:rsidR="00767B75" w:rsidRPr="00DE108C" w:rsidRDefault="283D14C7">
            <w:pPr>
              <w:pStyle w:val="ListBullet"/>
              <w:keepNext/>
              <w:keepLines/>
              <w:numPr>
                <w:ilvl w:val="0"/>
                <w:numId w:val="26"/>
              </w:numPr>
              <w:ind w:left="360" w:hanging="270"/>
              <w:rPr>
                <w:rFonts w:eastAsia="Verdana"/>
                <w:sz w:val="16"/>
                <w:szCs w:val="16"/>
              </w:rPr>
            </w:pPr>
            <w:r w:rsidRPr="00DE108C">
              <w:rPr>
                <w:sz w:val="16"/>
                <w:szCs w:val="16"/>
              </w:rPr>
              <w:t xml:space="preserve">Access and involvement in Major Project Development planning cycles. </w:t>
            </w:r>
          </w:p>
          <w:p w14:paraId="1C94959F" w14:textId="645864FD" w:rsidR="00767B75" w:rsidRPr="00DE108C" w:rsidRDefault="283D14C7">
            <w:pPr>
              <w:pStyle w:val="ListBullet"/>
              <w:keepNext/>
              <w:keepLines/>
              <w:numPr>
                <w:ilvl w:val="0"/>
                <w:numId w:val="26"/>
              </w:numPr>
              <w:ind w:left="360" w:hanging="270"/>
              <w:rPr>
                <w:rFonts w:eastAsia="Verdana"/>
                <w:sz w:val="16"/>
                <w:szCs w:val="16"/>
              </w:rPr>
            </w:pPr>
            <w:r w:rsidRPr="00DE108C">
              <w:rPr>
                <w:sz w:val="16"/>
                <w:szCs w:val="16"/>
              </w:rPr>
              <w:t xml:space="preserve">Co-designed natural resource management planning and implementation across landscapes. </w:t>
            </w:r>
          </w:p>
          <w:p w14:paraId="613C5A8E" w14:textId="45895604" w:rsidR="00767B75" w:rsidRPr="00DE108C" w:rsidRDefault="283D14C7">
            <w:pPr>
              <w:pStyle w:val="ListBullet"/>
              <w:keepNext/>
              <w:keepLines/>
              <w:numPr>
                <w:ilvl w:val="0"/>
                <w:numId w:val="26"/>
              </w:numPr>
              <w:ind w:left="360" w:hanging="270"/>
              <w:rPr>
                <w:rFonts w:eastAsia="Verdana"/>
                <w:sz w:val="16"/>
                <w:szCs w:val="16"/>
              </w:rPr>
            </w:pPr>
            <w:r w:rsidRPr="00DE108C">
              <w:rPr>
                <w:sz w:val="16"/>
                <w:szCs w:val="16"/>
              </w:rPr>
              <w:t xml:space="preserve">Promoting the use and revitalisation of cultural fire practices. </w:t>
            </w:r>
          </w:p>
          <w:p w14:paraId="54EF4FC8" w14:textId="39D6D5E6" w:rsidR="00767B75" w:rsidRPr="00DE108C" w:rsidRDefault="283D14C7">
            <w:pPr>
              <w:pStyle w:val="ListBullet"/>
              <w:keepNext/>
              <w:keepLines/>
              <w:numPr>
                <w:ilvl w:val="0"/>
                <w:numId w:val="26"/>
              </w:numPr>
              <w:ind w:left="360" w:hanging="270"/>
              <w:rPr>
                <w:rFonts w:eastAsia="Verdana"/>
                <w:color w:val="auto"/>
                <w:sz w:val="16"/>
                <w:szCs w:val="16"/>
              </w:rPr>
            </w:pPr>
            <w:r w:rsidRPr="00DE108C">
              <w:rPr>
                <w:sz w:val="16"/>
                <w:szCs w:val="16"/>
              </w:rPr>
              <w:t>Supporting Healthy Country Planning initiatives</w:t>
            </w:r>
            <w:r w:rsidR="5048F365" w:rsidRPr="14031F0E">
              <w:rPr>
                <w:sz w:val="16"/>
                <w:szCs w:val="16"/>
              </w:rPr>
              <w:t>,</w:t>
            </w:r>
            <w:r w:rsidRPr="00DE108C">
              <w:rPr>
                <w:sz w:val="16"/>
                <w:szCs w:val="16"/>
              </w:rPr>
              <w:t xml:space="preserve"> such as monitoring programs that incorporate cultural knowledge and indicators.</w:t>
            </w:r>
          </w:p>
        </w:tc>
        <w:tc>
          <w:tcPr>
            <w:tcW w:w="3953" w:type="dxa"/>
            <w:tcBorders>
              <w:bottom w:val="single" w:sz="6" w:space="0" w:color="auto"/>
              <w:right w:val="single" w:sz="6" w:space="0" w:color="auto"/>
            </w:tcBorders>
            <w:tcMar>
              <w:left w:w="75" w:type="dxa"/>
              <w:right w:w="75" w:type="dxa"/>
            </w:tcMar>
          </w:tcPr>
          <w:p w14:paraId="2600690E" w14:textId="0AF3ECAF" w:rsidR="00767B75" w:rsidRPr="00DE108C" w:rsidRDefault="05AE0E33" w:rsidP="003C08FA">
            <w:pPr>
              <w:pStyle w:val="TableText"/>
              <w:rPr>
                <w:rFonts w:eastAsia="Verdana"/>
              </w:rPr>
            </w:pPr>
            <w:r w:rsidRPr="00DE108C">
              <w:rPr>
                <w:rFonts w:eastAsia="Verdana"/>
              </w:rPr>
              <w:t xml:space="preserve">Through implementation of our </w:t>
            </w:r>
            <w:r w:rsidRPr="00DE108C">
              <w:rPr>
                <w:rFonts w:eastAsia="Verdana"/>
                <w:i/>
              </w:rPr>
              <w:t>Wunggurrwil Ngitj</w:t>
            </w:r>
            <w:r w:rsidRPr="00DE108C">
              <w:rPr>
                <w:rFonts w:eastAsia="Verdana"/>
              </w:rPr>
              <w:t xml:space="preserve"> (strong together) partnership, we continue to strengthen our partnership and contribute funding to support Wadawurrung Traditional Owner Aboriginal Corporation’s pursuit of its self-determined interest.</w:t>
            </w:r>
            <w:r w:rsidR="00DC38C7" w:rsidRPr="00DE108C">
              <w:rPr>
                <w:rFonts w:eastAsia="Verdana"/>
              </w:rPr>
              <w:t xml:space="preserve"> </w:t>
            </w:r>
          </w:p>
        </w:tc>
      </w:tr>
      <w:tr w:rsidR="00767B75" w:rsidRPr="00DE108C" w14:paraId="422D61BB" w14:textId="77777777">
        <w:trPr>
          <w:trHeight w:val="300"/>
        </w:trPr>
        <w:tc>
          <w:tcPr>
            <w:tcW w:w="9615" w:type="dxa"/>
            <w:gridSpan w:val="2"/>
            <w:tcBorders>
              <w:left w:val="single" w:sz="6" w:space="0" w:color="auto"/>
              <w:bottom w:val="single" w:sz="6" w:space="0" w:color="auto"/>
              <w:right w:val="single" w:sz="6" w:space="0" w:color="auto"/>
            </w:tcBorders>
            <w:tcMar>
              <w:left w:w="75" w:type="dxa"/>
              <w:right w:w="75" w:type="dxa"/>
            </w:tcMar>
          </w:tcPr>
          <w:p w14:paraId="221CB3E0" w14:textId="77777777" w:rsidR="00767B75" w:rsidRPr="00DE108C" w:rsidRDefault="00767B75" w:rsidP="003C08FA">
            <w:pPr>
              <w:pStyle w:val="TableHeading"/>
              <w:rPr>
                <w:rFonts w:eastAsia="Verdana"/>
                <w:szCs w:val="16"/>
              </w:rPr>
            </w:pPr>
            <w:r w:rsidRPr="00DE108C">
              <w:rPr>
                <w:rFonts w:eastAsia="Verdana"/>
                <w:color w:val="auto"/>
                <w:szCs w:val="16"/>
              </w:rPr>
              <w:t>Bunurong Land Council Aboriginal Corporation (BLCAC)</w:t>
            </w:r>
          </w:p>
        </w:tc>
      </w:tr>
      <w:tr w:rsidR="00055179" w:rsidRPr="00DE108C" w14:paraId="73CDBDA2" w14:textId="77777777" w:rsidTr="00654947">
        <w:trPr>
          <w:cnfStyle w:val="000000010000" w:firstRow="0" w:lastRow="0" w:firstColumn="0" w:lastColumn="0" w:oddVBand="0" w:evenVBand="0" w:oddHBand="0" w:evenHBand="1" w:firstRowFirstColumn="0" w:firstRowLastColumn="0" w:lastRowFirstColumn="0" w:lastRowLastColumn="0"/>
          <w:trHeight w:val="300"/>
        </w:trPr>
        <w:tc>
          <w:tcPr>
            <w:tcW w:w="5662" w:type="dxa"/>
            <w:tcBorders>
              <w:left w:val="single" w:sz="6" w:space="0" w:color="auto"/>
              <w:bottom w:val="single" w:sz="6" w:space="0" w:color="auto"/>
            </w:tcBorders>
            <w:tcMar>
              <w:left w:w="75" w:type="dxa"/>
              <w:right w:w="75" w:type="dxa"/>
            </w:tcMar>
          </w:tcPr>
          <w:p w14:paraId="6D509202" w14:textId="4418247F" w:rsidR="00A43957" w:rsidRPr="00DE108C" w:rsidRDefault="00A43957">
            <w:pPr>
              <w:pStyle w:val="ListBullet"/>
              <w:numPr>
                <w:ilvl w:val="0"/>
                <w:numId w:val="25"/>
              </w:numPr>
              <w:ind w:left="360" w:hanging="270"/>
              <w:rPr>
                <w:rFonts w:eastAsia="Verdana"/>
                <w:sz w:val="16"/>
                <w:szCs w:val="16"/>
              </w:rPr>
            </w:pPr>
            <w:r w:rsidRPr="00DE108C">
              <w:rPr>
                <w:rFonts w:eastAsia="Verdana"/>
                <w:sz w:val="16"/>
                <w:szCs w:val="16"/>
              </w:rPr>
              <w:t>Supporting the Bunurong – Water Justice Fund through a</w:t>
            </w:r>
            <w:r w:rsidR="003721A5">
              <w:rPr>
                <w:rFonts w:eastAsia="Verdana"/>
                <w:sz w:val="16"/>
                <w:szCs w:val="16"/>
              </w:rPr>
              <w:t xml:space="preserve"> water corporation </w:t>
            </w:r>
            <w:r w:rsidRPr="00DE108C">
              <w:rPr>
                <w:rFonts w:eastAsia="Verdana"/>
                <w:sz w:val="16"/>
                <w:szCs w:val="16"/>
              </w:rPr>
              <w:t xml:space="preserve">Accord-level funding model. </w:t>
            </w:r>
          </w:p>
          <w:p w14:paraId="2390DA48" w14:textId="77777777" w:rsidR="00A43957" w:rsidRPr="00DE108C" w:rsidRDefault="00A43957">
            <w:pPr>
              <w:pStyle w:val="ListBullet"/>
              <w:numPr>
                <w:ilvl w:val="0"/>
                <w:numId w:val="25"/>
              </w:numPr>
              <w:ind w:left="360" w:hanging="270"/>
              <w:rPr>
                <w:rFonts w:eastAsia="Verdana"/>
                <w:sz w:val="16"/>
                <w:szCs w:val="16"/>
              </w:rPr>
            </w:pPr>
            <w:r w:rsidRPr="00DE108C">
              <w:rPr>
                <w:rFonts w:eastAsia="Verdana"/>
                <w:sz w:val="16"/>
                <w:szCs w:val="16"/>
              </w:rPr>
              <w:t xml:space="preserve">Enabling Bunurong to support Indigenous community organisations operating on Bunurong Country. </w:t>
            </w:r>
          </w:p>
          <w:p w14:paraId="779195DA" w14:textId="77777777" w:rsidR="00A43957" w:rsidRPr="00DE108C" w:rsidRDefault="00A43957">
            <w:pPr>
              <w:pStyle w:val="ListBullet"/>
              <w:numPr>
                <w:ilvl w:val="0"/>
                <w:numId w:val="25"/>
              </w:numPr>
              <w:ind w:left="360" w:hanging="270"/>
              <w:rPr>
                <w:rFonts w:eastAsia="Verdana"/>
                <w:sz w:val="16"/>
                <w:szCs w:val="16"/>
              </w:rPr>
            </w:pPr>
            <w:r w:rsidRPr="00DE108C">
              <w:rPr>
                <w:rFonts w:eastAsia="Verdana"/>
                <w:sz w:val="16"/>
                <w:szCs w:val="16"/>
              </w:rPr>
              <w:t xml:space="preserve">Assisting BLCAC’s Strong Country team in responding to Melbourne Water project work on Bunurong Country. </w:t>
            </w:r>
          </w:p>
          <w:p w14:paraId="4889996C" w14:textId="57A41629" w:rsidR="00767B75" w:rsidRPr="00DE108C" w:rsidRDefault="00767B75">
            <w:pPr>
              <w:pStyle w:val="ListBullet"/>
              <w:numPr>
                <w:ilvl w:val="0"/>
                <w:numId w:val="25"/>
              </w:numPr>
              <w:ind w:left="360" w:hanging="270"/>
              <w:rPr>
                <w:rFonts w:eastAsia="Verdana"/>
                <w:sz w:val="16"/>
                <w:szCs w:val="16"/>
              </w:rPr>
            </w:pPr>
            <w:r w:rsidRPr="00DE108C">
              <w:rPr>
                <w:rFonts w:eastAsia="Verdana"/>
                <w:sz w:val="16"/>
                <w:szCs w:val="16"/>
              </w:rPr>
              <w:t>Supporting the development of BLCAC’s Strong Country ranger program on the western side of Bunurong Country (near Altona).</w:t>
            </w:r>
          </w:p>
        </w:tc>
        <w:tc>
          <w:tcPr>
            <w:tcW w:w="3953" w:type="dxa"/>
            <w:tcBorders>
              <w:bottom w:val="single" w:sz="6" w:space="0" w:color="auto"/>
              <w:right w:val="single" w:sz="6" w:space="0" w:color="auto"/>
            </w:tcBorders>
            <w:tcMar>
              <w:left w:w="75" w:type="dxa"/>
              <w:right w:w="75" w:type="dxa"/>
            </w:tcMar>
          </w:tcPr>
          <w:p w14:paraId="61CF9681" w14:textId="6EB4CFA5" w:rsidR="00767B75" w:rsidRPr="00DE108C" w:rsidRDefault="00767B75" w:rsidP="003C08FA">
            <w:pPr>
              <w:pStyle w:val="TableText"/>
              <w:rPr>
                <w:rFonts w:eastAsia="Verdana"/>
              </w:rPr>
            </w:pPr>
            <w:r w:rsidRPr="00DE108C">
              <w:rPr>
                <w:rFonts w:eastAsia="Verdana"/>
              </w:rPr>
              <w:t xml:space="preserve">We have contributed to a commitment to develop a partnership and identify Bunurong’s preferred model of engaging and </w:t>
            </w:r>
            <w:r w:rsidRPr="081CB1A8">
              <w:rPr>
                <w:rFonts w:eastAsia="Verdana"/>
              </w:rPr>
              <w:t>f</w:t>
            </w:r>
            <w:r w:rsidR="2A8930D7" w:rsidRPr="081CB1A8">
              <w:rPr>
                <w:rFonts w:eastAsia="Verdana"/>
              </w:rPr>
              <w:t>u</w:t>
            </w:r>
            <w:r w:rsidRPr="081CB1A8">
              <w:rPr>
                <w:rFonts w:eastAsia="Verdana"/>
              </w:rPr>
              <w:t>nding</w:t>
            </w:r>
            <w:r w:rsidRPr="00DE108C">
              <w:rPr>
                <w:rFonts w:eastAsia="Verdana"/>
              </w:rPr>
              <w:t xml:space="preserve"> self-determined interests.</w:t>
            </w:r>
          </w:p>
        </w:tc>
      </w:tr>
      <w:tr w:rsidR="00767B75" w:rsidRPr="00DE108C" w14:paraId="5347857E" w14:textId="77777777">
        <w:trPr>
          <w:trHeight w:val="300"/>
        </w:trPr>
        <w:tc>
          <w:tcPr>
            <w:tcW w:w="9615" w:type="dxa"/>
            <w:gridSpan w:val="2"/>
            <w:tcBorders>
              <w:left w:val="single" w:sz="6" w:space="0" w:color="auto"/>
              <w:bottom w:val="single" w:sz="6" w:space="0" w:color="auto"/>
              <w:right w:val="single" w:sz="6" w:space="0" w:color="auto"/>
            </w:tcBorders>
            <w:tcMar>
              <w:left w:w="75" w:type="dxa"/>
              <w:right w:w="75" w:type="dxa"/>
            </w:tcMar>
          </w:tcPr>
          <w:p w14:paraId="36F0E9D6" w14:textId="77777777" w:rsidR="00767B75" w:rsidRPr="00DE108C" w:rsidRDefault="00767B75" w:rsidP="003C08FA">
            <w:pPr>
              <w:pStyle w:val="TableHeading"/>
              <w:rPr>
                <w:rFonts w:eastAsia="Verdana"/>
                <w:color w:val="auto"/>
                <w:szCs w:val="16"/>
              </w:rPr>
            </w:pPr>
            <w:r w:rsidRPr="00DE108C">
              <w:rPr>
                <w:rFonts w:eastAsia="Verdana"/>
                <w:color w:val="auto"/>
                <w:szCs w:val="16"/>
              </w:rPr>
              <w:lastRenderedPageBreak/>
              <w:t>Taungurung Land and Waters Council Aboriginal Corporation</w:t>
            </w:r>
          </w:p>
        </w:tc>
      </w:tr>
      <w:tr w:rsidR="00055179" w:rsidRPr="00DE108C" w14:paraId="1E381894" w14:textId="77777777" w:rsidTr="00654947">
        <w:trPr>
          <w:cnfStyle w:val="000000010000" w:firstRow="0" w:lastRow="0" w:firstColumn="0" w:lastColumn="0" w:oddVBand="0" w:evenVBand="0" w:oddHBand="0" w:evenHBand="1" w:firstRowFirstColumn="0" w:firstRowLastColumn="0" w:lastRowFirstColumn="0" w:lastRowLastColumn="0"/>
          <w:trHeight w:val="300"/>
        </w:trPr>
        <w:tc>
          <w:tcPr>
            <w:tcW w:w="5662" w:type="dxa"/>
            <w:tcBorders>
              <w:left w:val="single" w:sz="6" w:space="0" w:color="auto"/>
              <w:bottom w:val="single" w:sz="6" w:space="0" w:color="auto"/>
            </w:tcBorders>
            <w:tcMar>
              <w:left w:w="75" w:type="dxa"/>
              <w:right w:w="75" w:type="dxa"/>
            </w:tcMar>
          </w:tcPr>
          <w:p w14:paraId="20E08CDE" w14:textId="65F2065A" w:rsidR="00B502E0" w:rsidRPr="00DE108C" w:rsidRDefault="00B502E0">
            <w:pPr>
              <w:pStyle w:val="ListBullet"/>
              <w:numPr>
                <w:ilvl w:val="0"/>
                <w:numId w:val="24"/>
              </w:numPr>
              <w:ind w:left="360" w:hanging="270"/>
              <w:rPr>
                <w:rFonts w:eastAsia="Verdana"/>
                <w:sz w:val="16"/>
                <w:szCs w:val="16"/>
              </w:rPr>
            </w:pPr>
            <w:r w:rsidRPr="14031F0E">
              <w:rPr>
                <w:rFonts w:eastAsia="Verdana"/>
                <w:sz w:val="16"/>
                <w:szCs w:val="16"/>
              </w:rPr>
              <w:t>Melbourne Water has been liaising with Taungurung regarding the PS26 process</w:t>
            </w:r>
            <w:r w:rsidR="0E5079C5" w:rsidRPr="14031F0E">
              <w:rPr>
                <w:rFonts w:eastAsia="Verdana"/>
                <w:sz w:val="16"/>
                <w:szCs w:val="16"/>
              </w:rPr>
              <w:t>,</w:t>
            </w:r>
            <w:r w:rsidRPr="14031F0E">
              <w:rPr>
                <w:rFonts w:eastAsia="Verdana"/>
                <w:sz w:val="16"/>
                <w:szCs w:val="16"/>
              </w:rPr>
              <w:t xml:space="preserve"> and they have expressed interest in discussing water justice issues and are interested in N</w:t>
            </w:r>
            <w:r w:rsidR="00670589">
              <w:rPr>
                <w:rFonts w:eastAsia="Verdana"/>
                <w:sz w:val="16"/>
                <w:szCs w:val="16"/>
              </w:rPr>
              <w:t xml:space="preserve">atural </w:t>
            </w:r>
            <w:r w:rsidRPr="14031F0E">
              <w:rPr>
                <w:rFonts w:eastAsia="Verdana"/>
                <w:sz w:val="16"/>
                <w:szCs w:val="16"/>
              </w:rPr>
              <w:t>R</w:t>
            </w:r>
            <w:r w:rsidR="00670589">
              <w:rPr>
                <w:rFonts w:eastAsia="Verdana"/>
                <w:sz w:val="16"/>
                <w:szCs w:val="16"/>
              </w:rPr>
              <w:t xml:space="preserve">esource </w:t>
            </w:r>
            <w:r w:rsidRPr="14031F0E">
              <w:rPr>
                <w:rFonts w:eastAsia="Verdana"/>
                <w:sz w:val="16"/>
                <w:szCs w:val="16"/>
              </w:rPr>
              <w:t>M</w:t>
            </w:r>
            <w:r w:rsidR="00670589">
              <w:rPr>
                <w:rFonts w:eastAsia="Verdana"/>
                <w:sz w:val="16"/>
                <w:szCs w:val="16"/>
              </w:rPr>
              <w:t>anagement (NRM)</w:t>
            </w:r>
            <w:r w:rsidRPr="14031F0E">
              <w:rPr>
                <w:rFonts w:eastAsia="Verdana"/>
                <w:sz w:val="16"/>
                <w:szCs w:val="16"/>
              </w:rPr>
              <w:t xml:space="preserve"> works and potential future employment through our projects. </w:t>
            </w:r>
          </w:p>
          <w:p w14:paraId="79D908F0" w14:textId="41AEF361" w:rsidR="00767B75" w:rsidRPr="00DE108C" w:rsidRDefault="00B502E0">
            <w:pPr>
              <w:pStyle w:val="ListBullet"/>
              <w:numPr>
                <w:ilvl w:val="0"/>
                <w:numId w:val="24"/>
              </w:numPr>
              <w:ind w:left="360" w:hanging="270"/>
              <w:rPr>
                <w:rFonts w:eastAsia="Verdana"/>
                <w:sz w:val="16"/>
                <w:szCs w:val="16"/>
              </w:rPr>
            </w:pPr>
            <w:r w:rsidRPr="14031F0E">
              <w:rPr>
                <w:rFonts w:eastAsia="Verdana"/>
                <w:sz w:val="16"/>
                <w:szCs w:val="16"/>
              </w:rPr>
              <w:t>Taungurung are continuing to deliver cultural awareness training to Melbourne Water staff working on Taungurung Country or involved in water management.</w:t>
            </w:r>
          </w:p>
        </w:tc>
        <w:tc>
          <w:tcPr>
            <w:tcW w:w="3953" w:type="dxa"/>
            <w:tcBorders>
              <w:bottom w:val="single" w:sz="6" w:space="0" w:color="auto"/>
              <w:right w:val="single" w:sz="6" w:space="0" w:color="auto"/>
            </w:tcBorders>
            <w:tcMar>
              <w:left w:w="75" w:type="dxa"/>
              <w:right w:w="75" w:type="dxa"/>
            </w:tcMar>
          </w:tcPr>
          <w:p w14:paraId="1638DB0C" w14:textId="74CF5A82" w:rsidR="00767B75" w:rsidRPr="00DE108C" w:rsidRDefault="00767B75" w:rsidP="003C08FA">
            <w:pPr>
              <w:pStyle w:val="TableText"/>
              <w:rPr>
                <w:rFonts w:eastAsia="Verdana"/>
              </w:rPr>
            </w:pPr>
            <w:r w:rsidRPr="00DE108C">
              <w:rPr>
                <w:rFonts w:eastAsia="Verdana"/>
              </w:rPr>
              <w:t>We will continue to engage in partnership with Taungurung Land and Waters Council but will be directed by the Council on the way and focus of doing so.</w:t>
            </w:r>
          </w:p>
        </w:tc>
      </w:tr>
    </w:tbl>
    <w:p w14:paraId="6913A899" w14:textId="77777777" w:rsidR="00767B75" w:rsidRPr="00DE108C" w:rsidRDefault="00767B75"/>
    <w:p w14:paraId="3237F6AF" w14:textId="2C625EF9" w:rsidR="00767B75" w:rsidRPr="00DE108C" w:rsidRDefault="00767B75">
      <w:pPr>
        <w:pStyle w:val="Heading3"/>
      </w:pPr>
      <w:r w:rsidRPr="00DE108C">
        <w:t>3.</w:t>
      </w:r>
      <w:r w:rsidR="0016695E" w:rsidRPr="00DE108C">
        <w:t>2</w:t>
      </w:r>
      <w:r w:rsidRPr="00DE108C">
        <w:t xml:space="preserve">.4 Engaging with customer vulnerability in mind </w:t>
      </w:r>
    </w:p>
    <w:p w14:paraId="27FF7024" w14:textId="77777777" w:rsidR="00767B75" w:rsidRPr="00DE108C" w:rsidRDefault="00767B75" w:rsidP="00722FDD">
      <w:pPr>
        <w:rPr>
          <w:rFonts w:eastAsia="Verdana"/>
        </w:rPr>
      </w:pPr>
      <w:r w:rsidRPr="00DE108C">
        <w:rPr>
          <w:rFonts w:eastAsia="Verdana"/>
        </w:rPr>
        <w:t>Broad engagement ensures a wide variety of voices are heard, but the voice of the majority can overwhelm the voices of those who engage with essential services differently. To ensure we heard from all voices of our community, we worked to provide inclusive and accessible engagement.</w:t>
      </w:r>
    </w:p>
    <w:p w14:paraId="0D7DE362" w14:textId="5D9D79A2" w:rsidR="00767B75" w:rsidRPr="00DE108C" w:rsidRDefault="00767B75" w:rsidP="00722FDD">
      <w:pPr>
        <w:rPr>
          <w:rFonts w:eastAsia="Verdana"/>
        </w:rPr>
      </w:pPr>
      <w:r w:rsidRPr="00DE108C">
        <w:rPr>
          <w:rFonts w:eastAsia="Verdana"/>
        </w:rPr>
        <w:t>PS26 marks the first time Melbourne Water is putting forward a program of work intended to support customers experiencing hardship. To enable us to confidently put forward this program, it had to be informed by our water corporations, end</w:t>
      </w:r>
      <w:r w:rsidR="6C937DBC" w:rsidRPr="14031F0E">
        <w:rPr>
          <w:rFonts w:eastAsia="Verdana"/>
        </w:rPr>
        <w:t>-</w:t>
      </w:r>
      <w:r w:rsidRPr="00DE108C">
        <w:rPr>
          <w:rFonts w:eastAsia="Verdana"/>
        </w:rPr>
        <w:t>use customers and the community support sector to ensure deliverability, functionality and impact of the work.</w:t>
      </w:r>
    </w:p>
    <w:p w14:paraId="3188D2F6" w14:textId="77777777" w:rsidR="00767B75" w:rsidRPr="00DE108C" w:rsidRDefault="00767B75" w:rsidP="00722FDD">
      <w:pPr>
        <w:rPr>
          <w:rFonts w:eastAsia="Verdana"/>
        </w:rPr>
      </w:pPr>
      <w:r w:rsidRPr="00DE108C">
        <w:rPr>
          <w:rFonts w:eastAsia="Verdana"/>
        </w:rPr>
        <w:t xml:space="preserve">We delivered inclusive engagement by: </w:t>
      </w:r>
    </w:p>
    <w:p w14:paraId="6911EF39" w14:textId="6D5D3C67" w:rsidR="00767B75" w:rsidRPr="00DE108C" w:rsidRDefault="001A78FF" w:rsidP="00253364">
      <w:pPr>
        <w:pStyle w:val="ListBullet"/>
        <w:rPr>
          <w:rFonts w:eastAsia="Verdana"/>
        </w:rPr>
      </w:pPr>
      <w:r>
        <w:rPr>
          <w:rFonts w:eastAsia="Verdana"/>
        </w:rPr>
        <w:t>D</w:t>
      </w:r>
      <w:r w:rsidR="00767B75" w:rsidRPr="00DE108C">
        <w:rPr>
          <w:rFonts w:eastAsia="Verdana"/>
        </w:rPr>
        <w:t>irectly engaging with the Victorian Council of Social Service, Thriving Communities Australia and Consumer Action Law Centre on our proposed hardship program and our PS26 engagement</w:t>
      </w:r>
      <w:r>
        <w:rPr>
          <w:rFonts w:eastAsia="Verdana"/>
        </w:rPr>
        <w:t>.</w:t>
      </w:r>
    </w:p>
    <w:p w14:paraId="70133EF6" w14:textId="34389DD8" w:rsidR="00767B75" w:rsidRPr="00DE108C" w:rsidRDefault="001A78FF" w:rsidP="00253364">
      <w:pPr>
        <w:pStyle w:val="ListBullet"/>
        <w:rPr>
          <w:rFonts w:eastAsia="Verdana"/>
        </w:rPr>
      </w:pPr>
      <w:r>
        <w:rPr>
          <w:rFonts w:eastAsia="Verdana"/>
        </w:rPr>
        <w:t>E</w:t>
      </w:r>
      <w:r w:rsidR="00767B75" w:rsidRPr="00DE108C">
        <w:rPr>
          <w:rFonts w:eastAsia="Verdana"/>
        </w:rPr>
        <w:t>stablishing a Community Sector Forum, with representatives from Financial Counselling Victoria, Uniting Vic.Tas., Thriving Communities Australia and the Victorian Council of Social Service. This forum provided an opportunity to discuss our proposed hardship program and PS26. These organisations provided us with insights into current lived experience of end-use customers</w:t>
      </w:r>
      <w:r>
        <w:rPr>
          <w:rFonts w:eastAsia="Verdana"/>
        </w:rPr>
        <w:t>.</w:t>
      </w:r>
    </w:p>
    <w:p w14:paraId="2D635ABB" w14:textId="501D8552" w:rsidR="00767B75" w:rsidRPr="00DE108C" w:rsidRDefault="001A78FF" w:rsidP="00253364">
      <w:pPr>
        <w:pStyle w:val="ListBullet"/>
        <w:rPr>
          <w:rFonts w:eastAsia="Verdana"/>
        </w:rPr>
      </w:pPr>
      <w:r>
        <w:rPr>
          <w:rFonts w:eastAsia="Verdana"/>
        </w:rPr>
        <w:t>E</w:t>
      </w:r>
      <w:r w:rsidR="00767B75" w:rsidRPr="00DE108C">
        <w:rPr>
          <w:rFonts w:eastAsia="Verdana"/>
        </w:rPr>
        <w:t>nsuring representation on our deliberative community panel, waterways and drainage forum and ongoing customer forum was diverse and inclusive by employing recruitment criteria and support provision, such as extra support for carers, accessibility for people with disabilities, and accommodation for sensory needs</w:t>
      </w:r>
      <w:r>
        <w:rPr>
          <w:rFonts w:eastAsia="Verdana"/>
        </w:rPr>
        <w:t>.</w:t>
      </w:r>
    </w:p>
    <w:p w14:paraId="579C790C" w14:textId="62424EDE" w:rsidR="00767B75" w:rsidRPr="00DE108C" w:rsidRDefault="001A78FF" w:rsidP="00253364">
      <w:pPr>
        <w:pStyle w:val="ListBullet"/>
        <w:rPr>
          <w:rFonts w:eastAsia="Verdana"/>
        </w:rPr>
      </w:pPr>
      <w:r>
        <w:rPr>
          <w:rFonts w:eastAsia="Verdana"/>
        </w:rPr>
        <w:t>H</w:t>
      </w:r>
      <w:r w:rsidR="00767B75" w:rsidRPr="00DE108C">
        <w:rPr>
          <w:rFonts w:eastAsia="Verdana"/>
        </w:rPr>
        <w:t>osting a series of demographic-based focus groups on waterways and drainage in December 2025, including recruiting customers who have experienced payment hardship through the Victorian Council for Social Services</w:t>
      </w:r>
      <w:r>
        <w:rPr>
          <w:rFonts w:eastAsia="Verdana"/>
        </w:rPr>
        <w:t>.</w:t>
      </w:r>
    </w:p>
    <w:p w14:paraId="28DC9548" w14:textId="4A7F03DD" w:rsidR="00767B75" w:rsidRPr="00DE108C" w:rsidRDefault="001A78FF" w:rsidP="00253364">
      <w:pPr>
        <w:pStyle w:val="ListBullet"/>
        <w:rPr>
          <w:rFonts w:eastAsia="Verdana"/>
        </w:rPr>
      </w:pPr>
      <w:r>
        <w:rPr>
          <w:rFonts w:eastAsia="Verdana"/>
        </w:rPr>
        <w:t>R</w:t>
      </w:r>
      <w:r w:rsidR="00767B75" w:rsidRPr="00DE108C">
        <w:rPr>
          <w:rFonts w:eastAsia="Verdana"/>
        </w:rPr>
        <w:t>unning a cognitive test of our Playback focus group to ensure the information presented was accessible and provided enough information to make informed decisions</w:t>
      </w:r>
      <w:r>
        <w:rPr>
          <w:rFonts w:eastAsia="Verdana"/>
        </w:rPr>
        <w:t>.</w:t>
      </w:r>
    </w:p>
    <w:p w14:paraId="3157AF6B" w14:textId="1377F9BE" w:rsidR="00767B75" w:rsidRPr="00DE108C" w:rsidRDefault="001A78FF" w:rsidP="00253364">
      <w:pPr>
        <w:pStyle w:val="ListBullet"/>
        <w:rPr>
          <w:rFonts w:eastAsia="Verdana"/>
        </w:rPr>
      </w:pPr>
      <w:r>
        <w:rPr>
          <w:rFonts w:eastAsia="Verdana"/>
        </w:rPr>
        <w:t>H</w:t>
      </w:r>
      <w:r w:rsidR="00767B75" w:rsidRPr="00DE108C">
        <w:rPr>
          <w:rFonts w:eastAsia="Verdana"/>
        </w:rPr>
        <w:t xml:space="preserve">osting specific focus groups in our Playback period for customers, including those who were experiencing financial hardship, </w:t>
      </w:r>
      <w:r w:rsidR="4E816526" w:rsidRPr="14031F0E">
        <w:rPr>
          <w:rFonts w:eastAsia="Verdana"/>
        </w:rPr>
        <w:t>CALD</w:t>
      </w:r>
      <w:r w:rsidR="00767B75" w:rsidRPr="00DE108C">
        <w:rPr>
          <w:rFonts w:eastAsia="Verdana"/>
        </w:rPr>
        <w:t>, concession-card holders, living with a disability, and from an older/younger demographic</w:t>
      </w:r>
      <w:r>
        <w:rPr>
          <w:rFonts w:eastAsia="Verdana"/>
        </w:rPr>
        <w:t>.</w:t>
      </w:r>
    </w:p>
    <w:p w14:paraId="0BF1618F" w14:textId="6D41ABF0" w:rsidR="00767B75" w:rsidRPr="00DE108C" w:rsidRDefault="001A78FF" w:rsidP="00253364">
      <w:pPr>
        <w:pStyle w:val="ListBullet"/>
        <w:rPr>
          <w:rFonts w:eastAsia="Verdana"/>
        </w:rPr>
      </w:pPr>
      <w:r>
        <w:rPr>
          <w:rFonts w:eastAsia="Verdana"/>
        </w:rPr>
        <w:t>H</w:t>
      </w:r>
      <w:r w:rsidR="00767B75" w:rsidRPr="00DE108C">
        <w:rPr>
          <w:rFonts w:eastAsia="Verdana"/>
        </w:rPr>
        <w:t>eld a series of in-person pop-ups through Playback at key high foot traffic and accessible locations in metro Melbourne</w:t>
      </w:r>
      <w:r>
        <w:rPr>
          <w:rFonts w:eastAsia="Verdana"/>
        </w:rPr>
        <w:t>.</w:t>
      </w:r>
    </w:p>
    <w:p w14:paraId="181659F3" w14:textId="178C2107" w:rsidR="14031F0E" w:rsidRPr="00353874" w:rsidRDefault="001A78FF" w:rsidP="00253364">
      <w:pPr>
        <w:pStyle w:val="ListBullet"/>
        <w:rPr>
          <w:rFonts w:eastAsia="Verdana"/>
        </w:rPr>
      </w:pPr>
      <w:r>
        <w:rPr>
          <w:rFonts w:eastAsia="Verdana"/>
        </w:rPr>
        <w:t>T</w:t>
      </w:r>
      <w:r w:rsidR="00767B75" w:rsidRPr="00DE108C">
        <w:rPr>
          <w:rFonts w:eastAsia="Verdana"/>
        </w:rPr>
        <w:t xml:space="preserve">ranslated our Playback document into the top five most spoken languages, other than English, in our service region. </w:t>
      </w:r>
    </w:p>
    <w:p w14:paraId="7B1E122E" w14:textId="35CC40D3" w:rsidR="00767B75" w:rsidRPr="00DE108C" w:rsidRDefault="00767B75" w:rsidP="00353874">
      <w:pPr>
        <w:rPr>
          <w:rFonts w:eastAsia="Verdana"/>
        </w:rPr>
      </w:pPr>
      <w:r w:rsidRPr="00DE108C">
        <w:rPr>
          <w:rFonts w:eastAsia="Verdana"/>
        </w:rPr>
        <w:lastRenderedPageBreak/>
        <w:t xml:space="preserve">Information on our hardship program is available in Chapter 4 </w:t>
      </w:r>
      <w:r w:rsidR="14B28C1D" w:rsidRPr="14031F0E">
        <w:rPr>
          <w:rFonts w:eastAsia="Verdana"/>
        </w:rPr>
        <w:t>(</w:t>
      </w:r>
      <w:r w:rsidRPr="00DE108C">
        <w:rPr>
          <w:rFonts w:eastAsia="Verdana"/>
        </w:rPr>
        <w:t>Outcomes</w:t>
      </w:r>
      <w:r w:rsidR="05C7601E" w:rsidRPr="14031F0E">
        <w:rPr>
          <w:rFonts w:eastAsia="Verdana"/>
        </w:rPr>
        <w:t>)</w:t>
      </w:r>
      <w:r w:rsidRPr="14031F0E">
        <w:rPr>
          <w:rFonts w:eastAsia="Verdana"/>
        </w:rPr>
        <w:t>.</w:t>
      </w:r>
    </w:p>
    <w:p w14:paraId="4BAC719C" w14:textId="084F0F5F" w:rsidR="00767B75" w:rsidRPr="00DE108C" w:rsidRDefault="00767B75">
      <w:pPr>
        <w:pStyle w:val="Heading3"/>
      </w:pPr>
      <w:r w:rsidRPr="00DE108C">
        <w:t>3.</w:t>
      </w:r>
      <w:r w:rsidR="0016695E" w:rsidRPr="00DE108C">
        <w:t>2</w:t>
      </w:r>
      <w:r w:rsidRPr="00DE108C">
        <w:t xml:space="preserve">.5 Engaging with developers </w:t>
      </w:r>
    </w:p>
    <w:p w14:paraId="318F541A" w14:textId="0052B8B1" w:rsidR="00767B75" w:rsidRPr="00DE108C" w:rsidRDefault="00767B75" w:rsidP="00722FDD">
      <w:pPr>
        <w:rPr>
          <w:rFonts w:eastAsia="Verdana"/>
        </w:rPr>
      </w:pPr>
      <w:r w:rsidRPr="00DE108C">
        <w:rPr>
          <w:rFonts w:eastAsia="Verdana"/>
        </w:rPr>
        <w:t xml:space="preserve">Melbourne Water plays a crucial role in urban development, primarily as a drainage and floodplain management authority. We work with developers to </w:t>
      </w:r>
      <w:r w:rsidR="00EE1178">
        <w:rPr>
          <w:rFonts w:eastAsia="Verdana"/>
        </w:rPr>
        <w:t>provide</w:t>
      </w:r>
      <w:r w:rsidRPr="00DE108C">
        <w:rPr>
          <w:rFonts w:eastAsia="Verdana"/>
        </w:rPr>
        <w:t xml:space="preserve"> new development areas </w:t>
      </w:r>
      <w:r w:rsidR="003A33B0">
        <w:rPr>
          <w:rFonts w:eastAsia="Verdana"/>
        </w:rPr>
        <w:t xml:space="preserve">that </w:t>
      </w:r>
      <w:r w:rsidRPr="00DE108C">
        <w:rPr>
          <w:rFonts w:eastAsia="Verdana"/>
        </w:rPr>
        <w:t xml:space="preserve">are safe from flooding and </w:t>
      </w:r>
      <w:r w:rsidR="003A33B0">
        <w:rPr>
          <w:rFonts w:eastAsia="Verdana"/>
        </w:rPr>
        <w:t>do</w:t>
      </w:r>
      <w:r w:rsidRPr="00DE108C">
        <w:rPr>
          <w:rFonts w:eastAsia="Verdana"/>
        </w:rPr>
        <w:t xml:space="preserve"> not negatively impact other properties or waterways. We do this by providing design and construction standards, conditions, and information related to flood management, stormwater quality, sewerage and drainage. We also act as a referral authority in the planning system, reviewing development and subdivision applications to ensure they meet planning requirements.</w:t>
      </w:r>
    </w:p>
    <w:p w14:paraId="629A2888" w14:textId="0AB7BD46" w:rsidR="00767B75" w:rsidRPr="00DE108C" w:rsidRDefault="00767B75">
      <w:pPr>
        <w:pStyle w:val="Heading4"/>
      </w:pPr>
      <w:r w:rsidRPr="00DE108C">
        <w:t>3.</w:t>
      </w:r>
      <w:r w:rsidR="0016695E" w:rsidRPr="00DE108C">
        <w:t>2</w:t>
      </w:r>
      <w:r w:rsidRPr="00DE108C">
        <w:t xml:space="preserve">.5.1 How we engaged </w:t>
      </w:r>
    </w:p>
    <w:p w14:paraId="4F11E75C" w14:textId="77777777" w:rsidR="00767B75" w:rsidRPr="00DE108C" w:rsidRDefault="00767B75" w:rsidP="00040542">
      <w:pPr>
        <w:rPr>
          <w:rFonts w:eastAsia="Verdana"/>
        </w:rPr>
      </w:pPr>
      <w:r w:rsidRPr="00DE108C">
        <w:rPr>
          <w:rFonts w:eastAsia="Verdana"/>
        </w:rPr>
        <w:t>We engaged directly with developers through our Urban Planning and Development Strategic Collaboration Group. Set up prior to our PS26 development, this group meets regularly to discuss and decide on key issues relating to Melbourne Water’s role in the industry. We utilised this existing engagement platform to discuss PS26-specific topics, including:</w:t>
      </w:r>
    </w:p>
    <w:p w14:paraId="7CE59B38" w14:textId="77777777" w:rsidR="00767B75" w:rsidRPr="00DE108C" w:rsidRDefault="00767B75" w:rsidP="00253364">
      <w:pPr>
        <w:pStyle w:val="ListBullet"/>
        <w:rPr>
          <w:rFonts w:eastAsia="Verdana"/>
        </w:rPr>
      </w:pPr>
      <w:r w:rsidRPr="00DE108C">
        <w:rPr>
          <w:rFonts w:eastAsia="Verdana"/>
        </w:rPr>
        <w:t>principles used for pricing and setting our development schemes</w:t>
      </w:r>
    </w:p>
    <w:p w14:paraId="0F80BBA4" w14:textId="706FCC34" w:rsidR="00767B75" w:rsidRPr="00DE108C" w:rsidRDefault="00767B75" w:rsidP="00253364">
      <w:pPr>
        <w:pStyle w:val="ListBullet"/>
        <w:rPr>
          <w:rFonts w:eastAsia="Verdana"/>
        </w:rPr>
      </w:pPr>
      <w:r w:rsidRPr="00DE108C">
        <w:rPr>
          <w:rFonts w:eastAsia="Verdana"/>
        </w:rPr>
        <w:t xml:space="preserve">our proposed </w:t>
      </w:r>
      <w:r w:rsidR="1FEC5243" w:rsidRPr="00DE108C">
        <w:rPr>
          <w:rFonts w:eastAsia="Verdana"/>
        </w:rPr>
        <w:t>c</w:t>
      </w:r>
      <w:r w:rsidRPr="00DE108C">
        <w:rPr>
          <w:rFonts w:eastAsia="Verdana"/>
        </w:rPr>
        <w:t xml:space="preserve">ustomer Outcomes (specifically, Outcome 4) </w:t>
      </w:r>
    </w:p>
    <w:p w14:paraId="3D9B6DDC" w14:textId="3F0D8E32" w:rsidR="00767B75" w:rsidRPr="00DE108C" w:rsidRDefault="00767B75" w:rsidP="00253364">
      <w:pPr>
        <w:pStyle w:val="ListBullet"/>
        <w:rPr>
          <w:rFonts w:eastAsia="Verdana"/>
        </w:rPr>
      </w:pPr>
      <w:r w:rsidRPr="00DE108C">
        <w:rPr>
          <w:rFonts w:eastAsia="Verdana"/>
        </w:rPr>
        <w:t xml:space="preserve">how we will measure our performance against this Outcome, including seeking advice from the industry on what measures and commitments are important to them. </w:t>
      </w:r>
    </w:p>
    <w:p w14:paraId="0ED25D21" w14:textId="7657B8A9" w:rsidR="00767B75" w:rsidRPr="00DE108C" w:rsidRDefault="00767B75">
      <w:pPr>
        <w:pStyle w:val="Heading4"/>
      </w:pPr>
      <w:r w:rsidRPr="00DE108C">
        <w:t>3.</w:t>
      </w:r>
      <w:r w:rsidR="0016695E" w:rsidRPr="00DE108C">
        <w:t>2</w:t>
      </w:r>
      <w:r w:rsidRPr="00DE108C">
        <w:t>.5.2 Developer feedback and influence</w:t>
      </w:r>
    </w:p>
    <w:p w14:paraId="374B640D" w14:textId="77777777" w:rsidR="00767B75" w:rsidRPr="00DE108C" w:rsidRDefault="00767B75" w:rsidP="00094CD4">
      <w:pPr>
        <w:pStyle w:val="Caption"/>
      </w:pPr>
      <w:bookmarkStart w:id="236" w:name="_Toc207892994"/>
      <w:bookmarkStart w:id="237" w:name="_Toc208490517"/>
      <w:bookmarkStart w:id="238" w:name="_Toc208490855"/>
      <w:bookmarkStart w:id="239" w:name="_Toc208911013"/>
      <w:bookmarkStart w:id="240" w:name="_Toc210051320"/>
      <w:r w:rsidRPr="00DE108C">
        <w:t>Table 3.2: Areas engaged on and influence of developers</w:t>
      </w:r>
      <w:bookmarkEnd w:id="236"/>
      <w:bookmarkEnd w:id="237"/>
      <w:bookmarkEnd w:id="238"/>
      <w:bookmarkEnd w:id="239"/>
      <w:bookmarkEnd w:id="240"/>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600"/>
        <w:gridCol w:w="6015"/>
      </w:tblGrid>
      <w:tr w:rsidR="0069661E" w:rsidRPr="00DE108C" w14:paraId="2E98CFBE" w14:textId="77777777">
        <w:trPr>
          <w:cnfStyle w:val="100000000000" w:firstRow="1" w:lastRow="0" w:firstColumn="0" w:lastColumn="0" w:oddVBand="0" w:evenVBand="0" w:oddHBand="0" w:evenHBand="0" w:firstRowFirstColumn="0" w:firstRowLastColumn="0" w:lastRowFirstColumn="0" w:lastRowLastColumn="0"/>
          <w:trHeight w:val="300"/>
        </w:trPr>
        <w:tc>
          <w:tcPr>
            <w:tcW w:w="3600"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left w:w="75" w:type="dxa"/>
              <w:right w:w="75" w:type="dxa"/>
            </w:tcMar>
          </w:tcPr>
          <w:p w14:paraId="624A0EE0" w14:textId="77777777" w:rsidR="00767B75" w:rsidRPr="00DE108C" w:rsidRDefault="00767B75" w:rsidP="00040542">
            <w:pPr>
              <w:pStyle w:val="TableHeading"/>
              <w:rPr>
                <w:rFonts w:eastAsia="Verdana"/>
              </w:rPr>
            </w:pPr>
            <w:r w:rsidRPr="00DE108C">
              <w:rPr>
                <w:rFonts w:eastAsia="Verdana"/>
              </w:rPr>
              <w:t xml:space="preserve">Area of interest </w:t>
            </w:r>
          </w:p>
        </w:tc>
        <w:tc>
          <w:tcPr>
            <w:tcW w:w="6015"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left w:w="75" w:type="dxa"/>
              <w:right w:w="75" w:type="dxa"/>
            </w:tcMar>
          </w:tcPr>
          <w:p w14:paraId="4E29A481" w14:textId="77777777" w:rsidR="00767B75" w:rsidRPr="00DE108C" w:rsidRDefault="00767B75" w:rsidP="00040542">
            <w:pPr>
              <w:pStyle w:val="TableHeading"/>
              <w:rPr>
                <w:rFonts w:eastAsia="Verdana"/>
              </w:rPr>
            </w:pPr>
            <w:r w:rsidRPr="00DE108C">
              <w:rPr>
                <w:rFonts w:eastAsia="Verdana"/>
              </w:rPr>
              <w:t>Influence on our work</w:t>
            </w:r>
          </w:p>
        </w:tc>
      </w:tr>
      <w:tr w:rsidR="00767B75" w:rsidRPr="00DE108C" w14:paraId="3F802C66" w14:textId="77777777">
        <w:trPr>
          <w:trHeight w:val="300"/>
        </w:trPr>
        <w:tc>
          <w:tcPr>
            <w:tcW w:w="3600" w:type="dxa"/>
            <w:tcBorders>
              <w:left w:val="single" w:sz="6" w:space="0" w:color="auto"/>
            </w:tcBorders>
            <w:tcMar>
              <w:left w:w="75" w:type="dxa"/>
              <w:right w:w="75" w:type="dxa"/>
            </w:tcMar>
          </w:tcPr>
          <w:p w14:paraId="37666E90" w14:textId="77777777" w:rsidR="00767B75" w:rsidRPr="00DE108C" w:rsidRDefault="00767B75" w:rsidP="00040542">
            <w:pPr>
              <w:pStyle w:val="TableText"/>
              <w:rPr>
                <w:rFonts w:eastAsia="Verdana"/>
              </w:rPr>
            </w:pPr>
            <w:r w:rsidRPr="00DE108C">
              <w:rPr>
                <w:rFonts w:eastAsia="Verdana"/>
              </w:rPr>
              <w:t>Response times for urban planning and development statutory and non-statutory applications</w:t>
            </w:r>
          </w:p>
        </w:tc>
        <w:tc>
          <w:tcPr>
            <w:tcW w:w="6015" w:type="dxa"/>
            <w:tcBorders>
              <w:right w:val="single" w:sz="6" w:space="0" w:color="auto"/>
            </w:tcBorders>
            <w:tcMar>
              <w:left w:w="75" w:type="dxa"/>
              <w:right w:w="75" w:type="dxa"/>
            </w:tcMar>
          </w:tcPr>
          <w:p w14:paraId="6FAC492D" w14:textId="77777777" w:rsidR="00767B75" w:rsidRPr="00DE108C" w:rsidRDefault="00767B75" w:rsidP="00040542">
            <w:pPr>
              <w:pStyle w:val="TableText"/>
              <w:rPr>
                <w:rFonts w:eastAsia="Verdana"/>
              </w:rPr>
            </w:pPr>
            <w:r w:rsidRPr="00DE108C">
              <w:rPr>
                <w:rFonts w:eastAsia="Verdana"/>
              </w:rPr>
              <w:t xml:space="preserve">Following feedback from developers, we have made a commitment through Outcome 4 to respond to urban planning and development statutory and non-statutory applications within an agreed timeframe. </w:t>
            </w:r>
          </w:p>
        </w:tc>
      </w:tr>
      <w:tr w:rsidR="0069661E" w:rsidRPr="00DE108C" w14:paraId="731BBA7A" w14:textId="77777777">
        <w:trPr>
          <w:cnfStyle w:val="000000010000" w:firstRow="0" w:lastRow="0" w:firstColumn="0" w:lastColumn="0" w:oddVBand="0" w:evenVBand="0" w:oddHBand="0" w:evenHBand="1" w:firstRowFirstColumn="0" w:firstRowLastColumn="0" w:lastRowFirstColumn="0" w:lastRowLastColumn="0"/>
          <w:trHeight w:val="300"/>
        </w:trPr>
        <w:tc>
          <w:tcPr>
            <w:tcW w:w="3600" w:type="dxa"/>
            <w:tcBorders>
              <w:left w:val="single" w:sz="6" w:space="0" w:color="auto"/>
            </w:tcBorders>
            <w:tcMar>
              <w:left w:w="75" w:type="dxa"/>
              <w:right w:w="75" w:type="dxa"/>
            </w:tcMar>
          </w:tcPr>
          <w:p w14:paraId="33341202" w14:textId="77777777" w:rsidR="00767B75" w:rsidRPr="00DE108C" w:rsidRDefault="00767B75" w:rsidP="00040542">
            <w:pPr>
              <w:pStyle w:val="TableText"/>
              <w:rPr>
                <w:rFonts w:eastAsia="Verdana"/>
              </w:rPr>
            </w:pPr>
            <w:r w:rsidRPr="00DE108C">
              <w:rPr>
                <w:rFonts w:eastAsia="Verdana"/>
              </w:rPr>
              <w:t>Resourcing</w:t>
            </w:r>
          </w:p>
        </w:tc>
        <w:tc>
          <w:tcPr>
            <w:tcW w:w="6015" w:type="dxa"/>
            <w:tcBorders>
              <w:right w:val="single" w:sz="6" w:space="0" w:color="auto"/>
            </w:tcBorders>
            <w:tcMar>
              <w:left w:w="75" w:type="dxa"/>
              <w:right w:w="75" w:type="dxa"/>
            </w:tcMar>
          </w:tcPr>
          <w:p w14:paraId="6FA39F1B" w14:textId="77777777" w:rsidR="00767B75" w:rsidRPr="00DE108C" w:rsidRDefault="00767B75" w:rsidP="00040542">
            <w:pPr>
              <w:pStyle w:val="TableText"/>
              <w:rPr>
                <w:rFonts w:eastAsia="Verdana"/>
              </w:rPr>
            </w:pPr>
            <w:r w:rsidRPr="00DE108C">
              <w:rPr>
                <w:rFonts w:eastAsia="Verdana"/>
              </w:rPr>
              <w:t>To ensure we adequately resource this function, we will continue the uplift in resourcing we introduced in the current regulatory period to ensure we meet the increased demand for this service and agreed application timeframes.</w:t>
            </w:r>
          </w:p>
        </w:tc>
      </w:tr>
      <w:tr w:rsidR="00767B75" w:rsidRPr="00DE108C" w14:paraId="798710DC" w14:textId="77777777">
        <w:trPr>
          <w:trHeight w:val="300"/>
        </w:trPr>
        <w:tc>
          <w:tcPr>
            <w:tcW w:w="3600" w:type="dxa"/>
            <w:tcBorders>
              <w:left w:val="single" w:sz="6" w:space="0" w:color="auto"/>
            </w:tcBorders>
            <w:tcMar>
              <w:left w:w="75" w:type="dxa"/>
              <w:right w:w="75" w:type="dxa"/>
            </w:tcMar>
          </w:tcPr>
          <w:p w14:paraId="09CDDB47" w14:textId="00509701" w:rsidR="00767B75" w:rsidRPr="00DE108C" w:rsidRDefault="00783AD0" w:rsidP="00040542">
            <w:pPr>
              <w:pStyle w:val="TableText"/>
              <w:rPr>
                <w:rFonts w:eastAsia="Verdana"/>
              </w:rPr>
            </w:pPr>
            <w:r>
              <w:rPr>
                <w:rFonts w:eastAsia="Verdana"/>
              </w:rPr>
              <w:t>Develop</w:t>
            </w:r>
            <w:r w:rsidR="00AD432B">
              <w:rPr>
                <w:rFonts w:eastAsia="Verdana"/>
              </w:rPr>
              <w:t>ment</w:t>
            </w:r>
            <w:r w:rsidR="00767B75" w:rsidRPr="00DE108C">
              <w:rPr>
                <w:rFonts w:eastAsia="Verdana"/>
              </w:rPr>
              <w:t xml:space="preserve"> Service</w:t>
            </w:r>
            <w:r w:rsidR="00AD432B">
              <w:rPr>
                <w:rFonts w:eastAsia="Verdana"/>
              </w:rPr>
              <w:t>s</w:t>
            </w:r>
            <w:r w:rsidR="00767B75" w:rsidRPr="00DE108C">
              <w:rPr>
                <w:rFonts w:eastAsia="Verdana"/>
              </w:rPr>
              <w:t xml:space="preserve"> Scheme (DSS) principles</w:t>
            </w:r>
          </w:p>
        </w:tc>
        <w:tc>
          <w:tcPr>
            <w:tcW w:w="6015" w:type="dxa"/>
            <w:tcBorders>
              <w:right w:val="single" w:sz="6" w:space="0" w:color="auto"/>
            </w:tcBorders>
            <w:tcMar>
              <w:left w:w="75" w:type="dxa"/>
              <w:right w:w="75" w:type="dxa"/>
            </w:tcMar>
          </w:tcPr>
          <w:p w14:paraId="3961D722" w14:textId="1B474D3A" w:rsidR="00767B75" w:rsidRPr="00DE108C" w:rsidRDefault="00767B75" w:rsidP="00040542">
            <w:pPr>
              <w:pStyle w:val="TableText"/>
              <w:rPr>
                <w:rFonts w:eastAsia="Verdana"/>
              </w:rPr>
            </w:pPr>
            <w:r w:rsidRPr="00DE108C">
              <w:rPr>
                <w:rFonts w:eastAsia="Verdana"/>
              </w:rPr>
              <w:t>We have committed to reviewing the DSS principles</w:t>
            </w:r>
            <w:r w:rsidR="00A57A55">
              <w:rPr>
                <w:rFonts w:eastAsia="Verdana"/>
              </w:rPr>
              <w:t xml:space="preserve"> for the provision of waterways and drainage services for urban growth</w:t>
            </w:r>
            <w:r w:rsidR="00A57A55">
              <w:rPr>
                <w:rStyle w:val="FootnoteReference"/>
                <w:rFonts w:eastAsia="Verdana"/>
              </w:rPr>
              <w:footnoteReference w:id="5"/>
            </w:r>
            <w:r w:rsidRPr="00DE108C">
              <w:rPr>
                <w:rFonts w:eastAsia="Verdana"/>
              </w:rPr>
              <w:t xml:space="preserve">, and in the interim will continue to apply the principles previously agreed with developers following our engagement with the sector. </w:t>
            </w:r>
          </w:p>
        </w:tc>
      </w:tr>
      <w:tr w:rsidR="0069661E" w:rsidRPr="00DE108C" w14:paraId="051FFF5E" w14:textId="77777777">
        <w:trPr>
          <w:cnfStyle w:val="000000010000" w:firstRow="0" w:lastRow="0" w:firstColumn="0" w:lastColumn="0" w:oddVBand="0" w:evenVBand="0" w:oddHBand="0" w:evenHBand="1" w:firstRowFirstColumn="0" w:firstRowLastColumn="0" w:lastRowFirstColumn="0" w:lastRowLastColumn="0"/>
          <w:trHeight w:val="300"/>
        </w:trPr>
        <w:tc>
          <w:tcPr>
            <w:tcW w:w="3600" w:type="dxa"/>
            <w:tcBorders>
              <w:left w:val="single" w:sz="6" w:space="0" w:color="auto"/>
            </w:tcBorders>
            <w:tcMar>
              <w:left w:w="75" w:type="dxa"/>
              <w:right w:w="75" w:type="dxa"/>
            </w:tcMar>
          </w:tcPr>
          <w:p w14:paraId="4D9EBC23" w14:textId="77777777" w:rsidR="00767B75" w:rsidRPr="00DE108C" w:rsidRDefault="00767B75" w:rsidP="00040542">
            <w:pPr>
              <w:pStyle w:val="TableText"/>
              <w:rPr>
                <w:rFonts w:eastAsia="Verdana"/>
              </w:rPr>
            </w:pPr>
            <w:r w:rsidRPr="00DE108C">
              <w:rPr>
                <w:rFonts w:eastAsia="Verdana"/>
              </w:rPr>
              <w:t>Miscellaneous fees</w:t>
            </w:r>
          </w:p>
        </w:tc>
        <w:tc>
          <w:tcPr>
            <w:tcW w:w="6015" w:type="dxa"/>
            <w:tcBorders>
              <w:right w:val="single" w:sz="6" w:space="0" w:color="auto"/>
            </w:tcBorders>
            <w:tcMar>
              <w:left w:w="75" w:type="dxa"/>
              <w:right w:w="75" w:type="dxa"/>
            </w:tcMar>
          </w:tcPr>
          <w:p w14:paraId="5DA45A10" w14:textId="77777777" w:rsidR="00767B75" w:rsidRPr="00DE108C" w:rsidRDefault="00767B75" w:rsidP="00040542">
            <w:pPr>
              <w:pStyle w:val="TableText"/>
              <w:rPr>
                <w:rFonts w:eastAsia="Verdana"/>
              </w:rPr>
            </w:pPr>
            <w:r w:rsidRPr="00DE108C">
              <w:rPr>
                <w:rFonts w:eastAsia="Verdana"/>
              </w:rPr>
              <w:t>We will continue to set miscellaneous fees via established pricing principles, transitioning to full cost recovery over time.</w:t>
            </w:r>
          </w:p>
        </w:tc>
      </w:tr>
      <w:tr w:rsidR="00767B75" w:rsidRPr="00DE108C" w14:paraId="40C9C0F8" w14:textId="77777777">
        <w:trPr>
          <w:trHeight w:val="300"/>
        </w:trPr>
        <w:tc>
          <w:tcPr>
            <w:tcW w:w="3600" w:type="dxa"/>
            <w:tcBorders>
              <w:left w:val="single" w:sz="6" w:space="0" w:color="auto"/>
              <w:bottom w:val="single" w:sz="6" w:space="0" w:color="auto"/>
            </w:tcBorders>
            <w:tcMar>
              <w:left w:w="75" w:type="dxa"/>
              <w:right w:w="75" w:type="dxa"/>
            </w:tcMar>
          </w:tcPr>
          <w:p w14:paraId="37946DAD" w14:textId="77777777" w:rsidR="00767B75" w:rsidRPr="00DE108C" w:rsidRDefault="00767B75" w:rsidP="00040542">
            <w:pPr>
              <w:pStyle w:val="TableText"/>
              <w:rPr>
                <w:rFonts w:eastAsia="Verdana"/>
              </w:rPr>
            </w:pPr>
            <w:r w:rsidRPr="00DE108C">
              <w:rPr>
                <w:rFonts w:eastAsia="Verdana"/>
              </w:rPr>
              <w:t xml:space="preserve">Reporting our performance against agreed commitments </w:t>
            </w:r>
          </w:p>
        </w:tc>
        <w:tc>
          <w:tcPr>
            <w:tcW w:w="6015" w:type="dxa"/>
            <w:tcBorders>
              <w:bottom w:val="single" w:sz="6" w:space="0" w:color="auto"/>
              <w:right w:val="single" w:sz="6" w:space="0" w:color="auto"/>
            </w:tcBorders>
            <w:tcMar>
              <w:left w:w="75" w:type="dxa"/>
              <w:right w:w="75" w:type="dxa"/>
            </w:tcMar>
          </w:tcPr>
          <w:p w14:paraId="544045FC" w14:textId="77777777" w:rsidR="00767B75" w:rsidRPr="00DE108C" w:rsidRDefault="00767B75" w:rsidP="00040542">
            <w:pPr>
              <w:pStyle w:val="TableText"/>
              <w:rPr>
                <w:rFonts w:eastAsia="Verdana"/>
              </w:rPr>
            </w:pPr>
            <w:r w:rsidRPr="00DE108C">
              <w:rPr>
                <w:rFonts w:eastAsia="Verdana"/>
              </w:rPr>
              <w:t>We will be reporting annually against the commitments we are making to the sector via our annual Outcomes Performance Report.</w:t>
            </w:r>
          </w:p>
        </w:tc>
      </w:tr>
    </w:tbl>
    <w:p w14:paraId="7901247C" w14:textId="1A8187B7" w:rsidR="00767B75" w:rsidRPr="00DE108C" w:rsidRDefault="00767B75">
      <w:pPr>
        <w:pStyle w:val="Heading3"/>
      </w:pPr>
      <w:r w:rsidRPr="00DE108C">
        <w:lastRenderedPageBreak/>
        <w:t>3.</w:t>
      </w:r>
      <w:r w:rsidR="0016695E" w:rsidRPr="00DE108C">
        <w:t>2</w:t>
      </w:r>
      <w:r w:rsidRPr="00DE108C">
        <w:t xml:space="preserve">.6 Engaging with direct service customers </w:t>
      </w:r>
    </w:p>
    <w:p w14:paraId="3BE1ADD2" w14:textId="77777777" w:rsidR="00767B75" w:rsidRPr="00DE108C" w:rsidRDefault="00767B75" w:rsidP="00040542">
      <w:pPr>
        <w:rPr>
          <w:rFonts w:eastAsia="Verdana"/>
        </w:rPr>
      </w:pPr>
      <w:r w:rsidRPr="00DE108C">
        <w:rPr>
          <w:rFonts w:eastAsia="Verdana"/>
        </w:rPr>
        <w:t>We provide a range of services directly to individual customer segments. These customers pay separate charges outside of bulk water and sewerage charges for these services. These direct service customers are:</w:t>
      </w:r>
    </w:p>
    <w:p w14:paraId="5BD62608" w14:textId="41F5AC92" w:rsidR="00767B75" w:rsidRPr="00DE108C" w:rsidRDefault="003A23DE" w:rsidP="00253364">
      <w:pPr>
        <w:pStyle w:val="ListBullet"/>
      </w:pPr>
      <w:r>
        <w:t>P</w:t>
      </w:r>
      <w:r w:rsidR="00767B75" w:rsidRPr="00DE108C">
        <w:t>roperty owners living alongside the Tidal Waterways and Quiet Lakes in the Patterson Lakes area, who pay a special service charge in addition to the waterways and drainage charge. These customers receive services specific to their properties, including maintenance of jetties and bore flushing of lakes that abut their properties</w:t>
      </w:r>
      <w:r>
        <w:t>.</w:t>
      </w:r>
    </w:p>
    <w:p w14:paraId="417DEB74" w14:textId="6632C4DC" w:rsidR="00767B75" w:rsidRPr="00DE108C" w:rsidRDefault="003A23DE" w:rsidP="00253364">
      <w:pPr>
        <w:pStyle w:val="ListBullet"/>
      </w:pPr>
      <w:r>
        <w:t>P</w:t>
      </w:r>
      <w:r w:rsidR="00767B75" w:rsidRPr="00DE108C">
        <w:t>roperty owners in the Koo Wee Rup–Longwarry Flood Protection District. This district is historically prone to flooding risks, and customers pay a dedicated charge to cover maintenance services for the extensive network of channels that drain the area and mitigate flood risks</w:t>
      </w:r>
      <w:r>
        <w:t>.</w:t>
      </w:r>
    </w:p>
    <w:p w14:paraId="16BEA639" w14:textId="3FFF9200" w:rsidR="00767B75" w:rsidRPr="00DE108C" w:rsidRDefault="003A23DE" w:rsidP="00253364">
      <w:pPr>
        <w:pStyle w:val="ListBullet"/>
      </w:pPr>
      <w:r>
        <w:t>L</w:t>
      </w:r>
      <w:r w:rsidR="00767B75" w:rsidRPr="00DE108C">
        <w:t>icensed waterway diverters who hold licences to extract water directly from rivers, streams, dams and stormwater pipes for a variety of purposes, including domestic and stock watering, agricultural irrigation, stormwater harvesting, power generation and industrial cooling.</w:t>
      </w:r>
    </w:p>
    <w:p w14:paraId="2AFB8D75" w14:textId="2A86DE93" w:rsidR="00767B75" w:rsidRPr="00DE108C" w:rsidRDefault="00767B75" w:rsidP="00040542">
      <w:pPr>
        <w:rPr>
          <w:rFonts w:eastAsia="Verdana"/>
        </w:rPr>
      </w:pPr>
      <w:r w:rsidRPr="00DE108C">
        <w:rPr>
          <w:rFonts w:eastAsia="Verdana"/>
        </w:rPr>
        <w:t>To reflect the unique services provided to these customers, we ran concurrent engagement programs with each group during 2024 and 2025. This ensured these customers could engage directly on topics that mattered most to them</w:t>
      </w:r>
      <w:r w:rsidR="5BDF9970" w:rsidRPr="14031F0E">
        <w:rPr>
          <w:rFonts w:eastAsia="Verdana"/>
        </w:rPr>
        <w:t>,</w:t>
      </w:r>
      <w:r w:rsidRPr="00DE108C">
        <w:rPr>
          <w:rFonts w:eastAsia="Verdana"/>
        </w:rPr>
        <w:t xml:space="preserve"> and they could also participate in the broader engagement program.</w:t>
      </w:r>
    </w:p>
    <w:p w14:paraId="0F6E968D" w14:textId="19DEC699" w:rsidR="00767B75" w:rsidRPr="00DE108C" w:rsidRDefault="00767B75">
      <w:pPr>
        <w:pStyle w:val="Heading4"/>
        <w:rPr>
          <w:szCs w:val="18"/>
        </w:rPr>
      </w:pPr>
      <w:r w:rsidRPr="00DE108C">
        <w:rPr>
          <w:szCs w:val="18"/>
        </w:rPr>
        <w:t>3.</w:t>
      </w:r>
      <w:r w:rsidR="0016695E" w:rsidRPr="00DE108C">
        <w:rPr>
          <w:szCs w:val="18"/>
        </w:rPr>
        <w:t>2</w:t>
      </w:r>
      <w:r w:rsidRPr="00DE108C">
        <w:rPr>
          <w:szCs w:val="18"/>
        </w:rPr>
        <w:t xml:space="preserve">.6.1 Engaging with Patterson Lakes customers </w:t>
      </w:r>
    </w:p>
    <w:p w14:paraId="209258EB" w14:textId="73C6FF27" w:rsidR="00767B75" w:rsidRPr="00DE108C" w:rsidRDefault="00636BAD" w:rsidP="007C0436">
      <w:pPr>
        <w:pStyle w:val="Heading5"/>
      </w:pPr>
      <w:r w:rsidRPr="00DE108C">
        <w:t>H</w:t>
      </w:r>
      <w:r w:rsidR="00767B75" w:rsidRPr="00DE108C">
        <w:t xml:space="preserve">ow we engaged </w:t>
      </w:r>
    </w:p>
    <w:p w14:paraId="296A03F8" w14:textId="497080BF" w:rsidR="00767B75" w:rsidRPr="00DE108C" w:rsidRDefault="00767B75" w:rsidP="003927D0">
      <w:pPr>
        <w:rPr>
          <w:rFonts w:eastAsia="Verdana"/>
        </w:rPr>
      </w:pPr>
      <w:r w:rsidRPr="00DE108C">
        <w:rPr>
          <w:rFonts w:eastAsia="Verdana"/>
        </w:rPr>
        <w:t xml:space="preserve">We made sure </w:t>
      </w:r>
      <w:r w:rsidR="00431D20">
        <w:rPr>
          <w:rFonts w:eastAsia="Verdana"/>
        </w:rPr>
        <w:t xml:space="preserve">that </w:t>
      </w:r>
      <w:r w:rsidRPr="00DE108C">
        <w:rPr>
          <w:rFonts w:eastAsia="Verdana"/>
        </w:rPr>
        <w:t>customers in the Patterson Lakes area had the opportunity to provide feedback on pricing and service levels via multiple channels, including:</w:t>
      </w:r>
    </w:p>
    <w:p w14:paraId="6326F757" w14:textId="2905702A" w:rsidR="00767B75" w:rsidRPr="00DE108C" w:rsidRDefault="00767B75" w:rsidP="00F35C95">
      <w:pPr>
        <w:pStyle w:val="ListBullet"/>
        <w:rPr>
          <w:rFonts w:eastAsia="Verdana"/>
        </w:rPr>
      </w:pPr>
      <w:r w:rsidRPr="00DE108C">
        <w:rPr>
          <w:rFonts w:eastAsia="Verdana"/>
          <w:b/>
          <w:bCs/>
        </w:rPr>
        <w:t>Customer surveys:</w:t>
      </w:r>
      <w:r w:rsidRPr="00DE108C">
        <w:rPr>
          <w:rFonts w:eastAsia="Verdana"/>
        </w:rPr>
        <w:t xml:space="preserve"> In November 2024, surveys were sent to residents of the three Quiet Lakes (Legana, Illawong and Carramar; approximately 300 residents) to ensure every customer had the opportunity to have their say on the prices they pay, services they receive</w:t>
      </w:r>
      <w:r w:rsidR="34FAF77A" w:rsidRPr="14031F0E">
        <w:rPr>
          <w:rFonts w:eastAsia="Verdana"/>
        </w:rPr>
        <w:t>,</w:t>
      </w:r>
      <w:r w:rsidRPr="00DE108C">
        <w:rPr>
          <w:rFonts w:eastAsia="Verdana"/>
        </w:rPr>
        <w:t xml:space="preserve"> and the level of service expected. We received nine responses to the Lake Carramar survey and 24 responses to the Lake Legana and Illawong survey. Through this survey, we heard that improving water quality and potentially expanding bore flushing to all three lakes was important. </w:t>
      </w:r>
    </w:p>
    <w:p w14:paraId="68EBB1EC" w14:textId="68D6A261" w:rsidR="00767B75" w:rsidRPr="00DE108C" w:rsidRDefault="00767B75" w:rsidP="00F35C95">
      <w:pPr>
        <w:pStyle w:val="ListBullet"/>
        <w:rPr>
          <w:rFonts w:eastAsia="Verdana"/>
        </w:rPr>
      </w:pPr>
      <w:r w:rsidRPr="00DE108C">
        <w:rPr>
          <w:rFonts w:eastAsia="Verdana"/>
          <w:b/>
          <w:bCs/>
        </w:rPr>
        <w:t>Community drop-in session:</w:t>
      </w:r>
      <w:r w:rsidRPr="00DE108C">
        <w:rPr>
          <w:rFonts w:eastAsia="Verdana"/>
        </w:rPr>
        <w:t xml:space="preserve"> Held in May 2025, this in-person drop-in session allowed Quiet Lakes residents to interact directly with Melbourne Water on maintenance, bore-flushing services and price options to improve water quality across all three lakes. To ensure awareness of this session, letters were sent directly to the homes of residents</w:t>
      </w:r>
      <w:r w:rsidR="1BB6BB20" w:rsidRPr="14031F0E">
        <w:rPr>
          <w:rFonts w:eastAsia="Verdana"/>
        </w:rPr>
        <w:t>,</w:t>
      </w:r>
      <w:r w:rsidRPr="00DE108C">
        <w:rPr>
          <w:rFonts w:eastAsia="Verdana"/>
        </w:rPr>
        <w:t xml:space="preserve"> and the event was promoted through local channels. The session focused on providing a deeper understanding of the services and levels of service customers are willing to pay for, and to inform a final set of prices and services. </w:t>
      </w:r>
      <w:r w:rsidR="2DF3B478" w:rsidRPr="00DE108C">
        <w:rPr>
          <w:rFonts w:eastAsia="Verdana"/>
        </w:rPr>
        <w:t xml:space="preserve">17 </w:t>
      </w:r>
      <w:r w:rsidRPr="00DE108C">
        <w:rPr>
          <w:rFonts w:eastAsia="Verdana"/>
        </w:rPr>
        <w:t>residents attended the session.</w:t>
      </w:r>
    </w:p>
    <w:p w14:paraId="3515AB76" w14:textId="56CFA59F" w:rsidR="00767B75" w:rsidRPr="00DE108C" w:rsidRDefault="00767B75" w:rsidP="00F35C95">
      <w:pPr>
        <w:pStyle w:val="ListBullet"/>
        <w:rPr>
          <w:rFonts w:eastAsia="Verdana"/>
        </w:rPr>
      </w:pPr>
      <w:r w:rsidRPr="00DE108C">
        <w:rPr>
          <w:rFonts w:eastAsia="Verdana"/>
          <w:b/>
          <w:bCs/>
        </w:rPr>
        <w:t>Quiet Lakes finalisation survey:</w:t>
      </w:r>
      <w:r w:rsidRPr="00DE108C">
        <w:rPr>
          <w:rFonts w:eastAsia="Verdana"/>
        </w:rPr>
        <w:t xml:space="preserve"> To address the lower level of engagement for the community drop-in session, we ran a final survey of Quiet Lakes customers in August 2025 to help finalise the service levels and costs that Quiet Lakes residents preferred. The survey provided two options:</w:t>
      </w:r>
    </w:p>
    <w:p w14:paraId="1B5FA9F5" w14:textId="77777777" w:rsidR="00F35C95" w:rsidRPr="001563D2" w:rsidRDefault="00767B75">
      <w:pPr>
        <w:pStyle w:val="ListNumber"/>
        <w:numPr>
          <w:ilvl w:val="0"/>
          <w:numId w:val="35"/>
        </w:numPr>
        <w:ind w:left="1134" w:hanging="567"/>
        <w:rPr>
          <w:rFonts w:eastAsia="Verdana"/>
        </w:rPr>
      </w:pPr>
      <w:r w:rsidRPr="001563D2">
        <w:rPr>
          <w:rFonts w:eastAsia="Verdana"/>
        </w:rPr>
        <w:t>maintain current level of service (where Lake Carramar receives no bore flushing)</w:t>
      </w:r>
    </w:p>
    <w:p w14:paraId="4007D88C" w14:textId="77777777" w:rsidR="00767B75" w:rsidRPr="001563D2" w:rsidRDefault="00767B75" w:rsidP="001563D2">
      <w:pPr>
        <w:pStyle w:val="ListNumber"/>
        <w:ind w:left="1134"/>
        <w:rPr>
          <w:rFonts w:eastAsia="Verdana"/>
        </w:rPr>
      </w:pPr>
      <w:r w:rsidRPr="001563D2">
        <w:rPr>
          <w:rFonts w:eastAsia="Verdana"/>
        </w:rPr>
        <w:t xml:space="preserve">expand the bore flushing service across three lakes. </w:t>
      </w:r>
    </w:p>
    <w:p w14:paraId="080B43B6" w14:textId="773CC167" w:rsidR="00F35C95" w:rsidRDefault="00767B75" w:rsidP="001563D2">
      <w:pPr>
        <w:pStyle w:val="ListBullet"/>
        <w:numPr>
          <w:ilvl w:val="0"/>
          <w:numId w:val="0"/>
        </w:numPr>
        <w:ind w:left="567"/>
        <w:rPr>
          <w:rFonts w:eastAsia="Verdana"/>
        </w:rPr>
      </w:pPr>
      <w:r w:rsidRPr="008275DE">
        <w:rPr>
          <w:rFonts w:eastAsia="Verdana"/>
        </w:rPr>
        <w:lastRenderedPageBreak/>
        <w:t>Customers</w:t>
      </w:r>
      <w:r w:rsidRPr="00DE108C">
        <w:rPr>
          <w:rFonts w:eastAsia="Verdana"/>
        </w:rPr>
        <w:t xml:space="preserve"> told us they preferred the second option, which directly influenced our decision to propose bore flushing in Lake Carramar in PS26. We received </w:t>
      </w:r>
      <w:r w:rsidR="025B61BB" w:rsidRPr="00DE108C">
        <w:rPr>
          <w:rFonts w:eastAsia="Verdana"/>
        </w:rPr>
        <w:t>38 (12 responses were not completed)</w:t>
      </w:r>
      <w:r w:rsidRPr="00DE108C">
        <w:rPr>
          <w:rFonts w:eastAsia="Verdana"/>
        </w:rPr>
        <w:t xml:space="preserve"> responses to the survey.</w:t>
      </w:r>
    </w:p>
    <w:p w14:paraId="33315038" w14:textId="3466E445" w:rsidR="00767B75" w:rsidRPr="00DE108C" w:rsidRDefault="00767B75" w:rsidP="00F35C95">
      <w:pPr>
        <w:pStyle w:val="ListBullet"/>
        <w:rPr>
          <w:rFonts w:eastAsia="Verdana"/>
        </w:rPr>
      </w:pPr>
      <w:r w:rsidRPr="00DE108C">
        <w:rPr>
          <w:rFonts w:eastAsia="Verdana"/>
          <w:b/>
          <w:bCs/>
        </w:rPr>
        <w:t>Jetty maintenance survey:</w:t>
      </w:r>
      <w:r w:rsidRPr="00DE108C">
        <w:rPr>
          <w:rFonts w:eastAsia="Verdana"/>
        </w:rPr>
        <w:t xml:space="preserve"> Approximately 700 customers in the Patterson Lakes region have access to a private jetty (timber or concrete). Melbourne Water maintains these jetties through the installation or replacement of timber or concrete jetties and ongoing inspections/general maintenance. </w:t>
      </w:r>
      <w:r w:rsidR="00482ABD" w:rsidRPr="00482ABD">
        <w:rPr>
          <w:rFonts w:eastAsia="Verdana"/>
        </w:rPr>
        <w:t xml:space="preserve">Timber customers are expected to finalise the repayment of the initial cost of the jetty during the 2026-31 regulatory period, and concrete customers in subsequent regulatory periods. </w:t>
      </w:r>
      <w:r w:rsidRPr="00DE108C">
        <w:rPr>
          <w:rFonts w:eastAsia="Verdana"/>
        </w:rPr>
        <w:t xml:space="preserve">Engagement options for jetty maintenance were limited and focused on price structure. In August 2025, we surveyed jetty customers. Customers with timber jetties were offered two pricing options: maintain current price structure or a smooth price structure over the five-year period. For customers with concrete jetties, this communication was an ‘inform’ level of influence, with the option to provide feedback on their current level of service. We received </w:t>
      </w:r>
      <w:r w:rsidR="525AC531" w:rsidRPr="00DE108C">
        <w:rPr>
          <w:rFonts w:eastAsia="Verdana"/>
        </w:rPr>
        <w:t>90</w:t>
      </w:r>
      <w:r w:rsidRPr="00DE108C">
        <w:rPr>
          <w:rFonts w:eastAsia="Verdana"/>
        </w:rPr>
        <w:t xml:space="preserve"> responses to the survey.</w:t>
      </w:r>
    </w:p>
    <w:p w14:paraId="05DF498B" w14:textId="5140D03C" w:rsidR="00767B75" w:rsidRPr="00DE108C" w:rsidRDefault="00767B75" w:rsidP="003927D0">
      <w:pPr>
        <w:pStyle w:val="Heading5"/>
      </w:pPr>
      <w:r w:rsidRPr="00DE108C">
        <w:t xml:space="preserve">Customer </w:t>
      </w:r>
      <w:r w:rsidR="002E52F3" w:rsidRPr="00DE108C">
        <w:t>p</w:t>
      </w:r>
      <w:r w:rsidRPr="00DE108C">
        <w:t>riorities</w:t>
      </w:r>
    </w:p>
    <w:p w14:paraId="6214FAC3" w14:textId="77777777" w:rsidR="00767B75" w:rsidRPr="00DE108C" w:rsidRDefault="00767B75" w:rsidP="003927D0">
      <w:pPr>
        <w:rPr>
          <w:rFonts w:eastAsia="Verdana"/>
        </w:rPr>
      </w:pPr>
      <w:r w:rsidRPr="00DE108C">
        <w:rPr>
          <w:rFonts w:eastAsia="Verdana"/>
        </w:rPr>
        <w:t xml:space="preserve">Feedback from Quiet Lakes customers has been consistent across all forms of engagement, with most participants supporting a price increase to introduce bore flushing at Lake Carramar to provide a consistent service level across all three lakes. </w:t>
      </w:r>
    </w:p>
    <w:p w14:paraId="59E4FD8E" w14:textId="77777777" w:rsidR="00767B75" w:rsidRPr="00DE108C" w:rsidRDefault="00767B75" w:rsidP="003927D0">
      <w:pPr>
        <w:rPr>
          <w:rFonts w:eastAsia="Verdana"/>
        </w:rPr>
      </w:pPr>
      <w:r w:rsidRPr="00DE108C">
        <w:rPr>
          <w:rFonts w:eastAsia="Verdana"/>
        </w:rPr>
        <w:t>Several priorities were identified:</w:t>
      </w:r>
    </w:p>
    <w:p w14:paraId="40E00DF2" w14:textId="77777777" w:rsidR="00767B75" w:rsidRPr="00DE108C" w:rsidRDefault="00767B75" w:rsidP="005014EF">
      <w:pPr>
        <w:pStyle w:val="ListBullet"/>
        <w:rPr>
          <w:rFonts w:eastAsia="Verdana"/>
        </w:rPr>
      </w:pPr>
      <w:r w:rsidRPr="00DE108C">
        <w:rPr>
          <w:rFonts w:eastAsia="Verdana"/>
        </w:rPr>
        <w:t>balancing price and water quality outcomes</w:t>
      </w:r>
    </w:p>
    <w:p w14:paraId="6E83E330" w14:textId="77777777" w:rsidR="00767B75" w:rsidRPr="00DE108C" w:rsidRDefault="00767B75" w:rsidP="005014EF">
      <w:pPr>
        <w:pStyle w:val="ListBullet"/>
        <w:rPr>
          <w:rFonts w:eastAsia="Verdana"/>
        </w:rPr>
      </w:pPr>
      <w:r w:rsidRPr="00DE108C">
        <w:rPr>
          <w:rFonts w:eastAsia="Verdana"/>
        </w:rPr>
        <w:t>maintaining recreational and amenity value</w:t>
      </w:r>
    </w:p>
    <w:p w14:paraId="54AFA651" w14:textId="77777777" w:rsidR="00767B75" w:rsidRPr="00DE108C" w:rsidRDefault="00767B75" w:rsidP="005014EF">
      <w:pPr>
        <w:pStyle w:val="ListBullet"/>
        <w:rPr>
          <w:rFonts w:eastAsia="Verdana"/>
        </w:rPr>
      </w:pPr>
      <w:r w:rsidRPr="00DE108C">
        <w:rPr>
          <w:rFonts w:eastAsia="Verdana"/>
        </w:rPr>
        <w:t>regular and transparent communication</w:t>
      </w:r>
    </w:p>
    <w:p w14:paraId="718C5142" w14:textId="77777777" w:rsidR="00767B75" w:rsidRPr="00DE108C" w:rsidRDefault="00767B75" w:rsidP="005014EF">
      <w:pPr>
        <w:pStyle w:val="ListBullet"/>
        <w:rPr>
          <w:rFonts w:eastAsia="Verdana"/>
        </w:rPr>
      </w:pPr>
      <w:r w:rsidRPr="00DE108C">
        <w:rPr>
          <w:rFonts w:eastAsia="Verdana"/>
        </w:rPr>
        <w:t>broad engagement about cost and service.</w:t>
      </w:r>
    </w:p>
    <w:p w14:paraId="2F163708" w14:textId="77777777" w:rsidR="00767B75" w:rsidRPr="00DE108C" w:rsidRDefault="00767B75" w:rsidP="00742F4C">
      <w:pPr>
        <w:rPr>
          <w:rFonts w:eastAsia="Verdana"/>
        </w:rPr>
      </w:pPr>
      <w:r w:rsidRPr="00DE108C">
        <w:rPr>
          <w:rFonts w:eastAsia="Verdana"/>
        </w:rPr>
        <w:t>From customers who receive jetty maintenance services, we heard that customers with timber jetties preferred smooth price structures, rather than maintaining current price structure.</w:t>
      </w:r>
    </w:p>
    <w:p w14:paraId="0249F0AC" w14:textId="63C69ABB" w:rsidR="00767B75" w:rsidRPr="00DE108C" w:rsidRDefault="00767B75" w:rsidP="003927D0">
      <w:pPr>
        <w:pStyle w:val="Heading5"/>
      </w:pPr>
      <w:r w:rsidRPr="00DE108C">
        <w:t xml:space="preserve">Areas engaged on and influence </w:t>
      </w:r>
    </w:p>
    <w:p w14:paraId="69A2A3E4" w14:textId="77777777" w:rsidR="00767B75" w:rsidRPr="00DE108C" w:rsidRDefault="00767B75" w:rsidP="003927D0">
      <w:pPr>
        <w:rPr>
          <w:rFonts w:eastAsia="Verdana"/>
        </w:rPr>
      </w:pPr>
      <w:r w:rsidRPr="00DE108C">
        <w:rPr>
          <w:rFonts w:eastAsia="Verdana"/>
        </w:rPr>
        <w:t>Patterson Lakes customers are split into two categories based on the charge they pay.</w:t>
      </w:r>
    </w:p>
    <w:p w14:paraId="1F763E85" w14:textId="5DB2C78E" w:rsidR="00767B75" w:rsidRPr="00DE108C" w:rsidRDefault="00767B75" w:rsidP="00094CD4">
      <w:pPr>
        <w:pStyle w:val="Caption"/>
      </w:pPr>
      <w:bookmarkStart w:id="241" w:name="_Toc207892995"/>
      <w:bookmarkStart w:id="242" w:name="_Toc208490518"/>
      <w:bookmarkStart w:id="243" w:name="_Toc208490856"/>
      <w:bookmarkStart w:id="244" w:name="_Toc208911014"/>
      <w:bookmarkStart w:id="245" w:name="_Toc210051321"/>
      <w:r w:rsidRPr="00DE108C">
        <w:t>Table 3.3: Areas engaged on and influence of Patterson Lakes customers</w:t>
      </w:r>
      <w:bookmarkEnd w:id="241"/>
      <w:bookmarkEnd w:id="242"/>
      <w:bookmarkEnd w:id="243"/>
      <w:bookmarkEnd w:id="244"/>
      <w:bookmarkEnd w:id="245"/>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725"/>
        <w:gridCol w:w="4890"/>
      </w:tblGrid>
      <w:tr w:rsidR="0069661E" w:rsidRPr="00DE108C" w14:paraId="3FCFE214" w14:textId="77777777">
        <w:trPr>
          <w:cnfStyle w:val="100000000000" w:firstRow="1" w:lastRow="0" w:firstColumn="0" w:lastColumn="0" w:oddVBand="0" w:evenVBand="0" w:oddHBand="0" w:evenHBand="0" w:firstRowFirstColumn="0" w:firstRowLastColumn="0" w:lastRowFirstColumn="0" w:lastRowLastColumn="0"/>
          <w:trHeight w:val="300"/>
        </w:trPr>
        <w:tc>
          <w:tcPr>
            <w:tcW w:w="4725"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left w:w="75" w:type="dxa"/>
              <w:right w:w="75" w:type="dxa"/>
            </w:tcMar>
          </w:tcPr>
          <w:p w14:paraId="164932E2" w14:textId="77777777" w:rsidR="00767B75" w:rsidRPr="00DE108C" w:rsidRDefault="00767B75" w:rsidP="003927D0">
            <w:pPr>
              <w:pStyle w:val="TableHeading"/>
              <w:rPr>
                <w:rFonts w:eastAsia="Verdana"/>
              </w:rPr>
            </w:pPr>
            <w:r w:rsidRPr="00DE108C">
              <w:rPr>
                <w:rFonts w:eastAsia="Verdana"/>
              </w:rPr>
              <w:t>Area of interest/topics engaged on</w:t>
            </w:r>
          </w:p>
        </w:tc>
        <w:tc>
          <w:tcPr>
            <w:tcW w:w="4890"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left w:w="75" w:type="dxa"/>
              <w:right w:w="75" w:type="dxa"/>
            </w:tcMar>
          </w:tcPr>
          <w:p w14:paraId="1131D548" w14:textId="77777777" w:rsidR="00767B75" w:rsidRPr="00DE108C" w:rsidRDefault="00767B75" w:rsidP="003927D0">
            <w:pPr>
              <w:pStyle w:val="TableHeading"/>
              <w:rPr>
                <w:rFonts w:eastAsia="Verdana"/>
              </w:rPr>
            </w:pPr>
            <w:r w:rsidRPr="00DE108C">
              <w:rPr>
                <w:rFonts w:eastAsia="Verdana"/>
              </w:rPr>
              <w:t xml:space="preserve">Influence on our work </w:t>
            </w:r>
          </w:p>
        </w:tc>
      </w:tr>
      <w:tr w:rsidR="00767B75" w:rsidRPr="00DE108C" w14:paraId="0ECDCE6C" w14:textId="77777777">
        <w:trPr>
          <w:trHeight w:val="300"/>
        </w:trPr>
        <w:tc>
          <w:tcPr>
            <w:tcW w:w="4725" w:type="dxa"/>
            <w:tcBorders>
              <w:left w:val="single" w:sz="6" w:space="0" w:color="auto"/>
            </w:tcBorders>
            <w:tcMar>
              <w:left w:w="75" w:type="dxa"/>
              <w:right w:w="75" w:type="dxa"/>
            </w:tcMar>
          </w:tcPr>
          <w:p w14:paraId="2520F894" w14:textId="77777777" w:rsidR="00767B75" w:rsidRPr="00DE108C" w:rsidRDefault="00767B75" w:rsidP="00C73D75">
            <w:pPr>
              <w:pStyle w:val="TableText"/>
            </w:pPr>
            <w:r w:rsidRPr="00DE108C">
              <w:t xml:space="preserve">Customers who own properties on the Quiet Lakes pay a bore flushing fee. This fee covers bore flushing services we currently provide to Lake Legana and Lake Illawong, this service improves the water quality of these lakes for customer use. The third Quiet Lake – Lake Carramar – currently does not receive a bore flushing service and is a main focus of community engagement. </w:t>
            </w:r>
          </w:p>
        </w:tc>
        <w:tc>
          <w:tcPr>
            <w:tcW w:w="4890" w:type="dxa"/>
            <w:tcBorders>
              <w:right w:val="single" w:sz="6" w:space="0" w:color="auto"/>
            </w:tcBorders>
            <w:tcMar>
              <w:left w:w="75" w:type="dxa"/>
              <w:right w:w="75" w:type="dxa"/>
            </w:tcMar>
          </w:tcPr>
          <w:p w14:paraId="7CECFB09" w14:textId="15387A18" w:rsidR="00767B75" w:rsidRPr="00DE108C" w:rsidRDefault="00767B75" w:rsidP="00C73D75">
            <w:pPr>
              <w:pStyle w:val="TableText"/>
              <w:rPr>
                <w:rFonts w:ascii="Verdana" w:eastAsia="Verdana" w:hAnsi="Verdana" w:cs="Verdana"/>
              </w:rPr>
            </w:pPr>
            <w:r w:rsidRPr="00DE108C">
              <w:rPr>
                <w:rFonts w:ascii="Verdana" w:eastAsia="Verdana" w:hAnsi="Verdana" w:cs="Verdana"/>
              </w:rPr>
              <w:t>Bore flushing will be provided at Lake Carramar with the cost shared equally across customers at all three Lakes. This enables the lake network to be managed as a complete system rather than separate entities.</w:t>
            </w:r>
          </w:p>
          <w:p w14:paraId="2A678E18" w14:textId="7EC92673" w:rsidR="00767B75" w:rsidRPr="00DE108C" w:rsidRDefault="00767B75" w:rsidP="00C73D75">
            <w:pPr>
              <w:pStyle w:val="TableText"/>
              <w:rPr>
                <w:rFonts w:ascii="Verdana" w:eastAsia="Verdana" w:hAnsi="Verdana" w:cs="Verdana"/>
              </w:rPr>
            </w:pPr>
            <w:r w:rsidRPr="00DE108C">
              <w:rPr>
                <w:rFonts w:ascii="Verdana" w:eastAsia="Verdana" w:hAnsi="Verdana" w:cs="Verdana"/>
              </w:rPr>
              <w:t>We are proposing a $0.3 million increase in our opex for Quiet Lakes bore flushing.</w:t>
            </w:r>
            <w:r w:rsidR="008C46DF">
              <w:rPr>
                <w:rFonts w:ascii="Verdana" w:eastAsia="Verdana" w:hAnsi="Verdana" w:cs="Verdana"/>
              </w:rPr>
              <w:t xml:space="preserve"> </w:t>
            </w:r>
          </w:p>
          <w:p w14:paraId="61C2F214" w14:textId="77777777" w:rsidR="00767B75" w:rsidRPr="00DE108C" w:rsidRDefault="00767B75" w:rsidP="00C73D75">
            <w:pPr>
              <w:pStyle w:val="TableText"/>
              <w:rPr>
                <w:rFonts w:ascii="Verdana" w:eastAsia="Verdana" w:hAnsi="Verdana" w:cs="Verdana"/>
              </w:rPr>
            </w:pPr>
          </w:p>
        </w:tc>
      </w:tr>
      <w:tr w:rsidR="0069661E" w:rsidRPr="00DE108C" w14:paraId="65E371BE" w14:textId="77777777">
        <w:trPr>
          <w:cnfStyle w:val="000000010000" w:firstRow="0" w:lastRow="0" w:firstColumn="0" w:lastColumn="0" w:oddVBand="0" w:evenVBand="0" w:oddHBand="0" w:evenHBand="1" w:firstRowFirstColumn="0" w:firstRowLastColumn="0" w:lastRowFirstColumn="0" w:lastRowLastColumn="0"/>
          <w:trHeight w:val="300"/>
        </w:trPr>
        <w:tc>
          <w:tcPr>
            <w:tcW w:w="4725" w:type="dxa"/>
            <w:tcBorders>
              <w:left w:val="single" w:sz="6" w:space="0" w:color="auto"/>
              <w:bottom w:val="single" w:sz="6" w:space="0" w:color="auto"/>
            </w:tcBorders>
            <w:tcMar>
              <w:left w:w="75" w:type="dxa"/>
              <w:right w:w="75" w:type="dxa"/>
            </w:tcMar>
          </w:tcPr>
          <w:p w14:paraId="0874C0F5" w14:textId="77777777" w:rsidR="00767B75" w:rsidRPr="00DE108C" w:rsidRDefault="00767B75" w:rsidP="00C73D75">
            <w:pPr>
              <w:pStyle w:val="TableText"/>
            </w:pPr>
            <w:r w:rsidRPr="00DE108C">
              <w:t>Tidal waterways customers pay a jetty maintenance fee. This fee covers the ongoing maintenance, repairs and replacement of the jetties on customers’ properties that are used to gain access to the tidal waterways for recreational activities.</w:t>
            </w:r>
          </w:p>
        </w:tc>
        <w:tc>
          <w:tcPr>
            <w:tcW w:w="4890" w:type="dxa"/>
            <w:tcBorders>
              <w:bottom w:val="single" w:sz="6" w:space="0" w:color="auto"/>
              <w:right w:val="single" w:sz="6" w:space="0" w:color="auto"/>
            </w:tcBorders>
            <w:tcMar>
              <w:left w:w="75" w:type="dxa"/>
              <w:right w:w="75" w:type="dxa"/>
            </w:tcMar>
          </w:tcPr>
          <w:p w14:paraId="021B2191" w14:textId="6F243A73" w:rsidR="00767B75" w:rsidRPr="00DE108C" w:rsidRDefault="00767B75" w:rsidP="00C73D75">
            <w:pPr>
              <w:pStyle w:val="TableText"/>
              <w:rPr>
                <w:rFonts w:eastAsia="Verdana"/>
              </w:rPr>
            </w:pPr>
            <w:r w:rsidRPr="00DE108C">
              <w:rPr>
                <w:rFonts w:eastAsia="Verdana"/>
              </w:rPr>
              <w:t xml:space="preserve">Customers with timber jetties told us they prefer smooth price structures. We have implemented this pricing structure, as outlined in </w:t>
            </w:r>
            <w:r w:rsidR="0054557D" w:rsidRPr="00DE108C">
              <w:rPr>
                <w:rFonts w:eastAsia="Verdana"/>
              </w:rPr>
              <w:t>S</w:t>
            </w:r>
            <w:r w:rsidRPr="00DE108C">
              <w:rPr>
                <w:rFonts w:eastAsia="Verdana"/>
              </w:rPr>
              <w:t xml:space="preserve">ection </w:t>
            </w:r>
            <w:r w:rsidR="004E6AC3" w:rsidRPr="00DE108C">
              <w:rPr>
                <w:rFonts w:eastAsia="Verdana"/>
              </w:rPr>
              <w:t>11.4.3</w:t>
            </w:r>
            <w:r w:rsidR="3FCB24CB" w:rsidRPr="14031F0E">
              <w:rPr>
                <w:rFonts w:eastAsia="Verdana"/>
              </w:rPr>
              <w:t xml:space="preserve"> (</w:t>
            </w:r>
            <w:r w:rsidR="009403CD">
              <w:rPr>
                <w:rFonts w:eastAsia="Verdana"/>
              </w:rPr>
              <w:t>Special area charging</w:t>
            </w:r>
            <w:r w:rsidR="3FCB24CB" w:rsidRPr="14031F0E">
              <w:rPr>
                <w:rFonts w:eastAsia="Verdana"/>
              </w:rPr>
              <w:t>)</w:t>
            </w:r>
            <w:r w:rsidRPr="14031F0E">
              <w:rPr>
                <w:rFonts w:eastAsia="Verdana"/>
              </w:rPr>
              <w:t>.</w:t>
            </w:r>
            <w:r w:rsidRPr="00DE108C">
              <w:rPr>
                <w:rFonts w:eastAsia="Verdana"/>
              </w:rPr>
              <w:t xml:space="preserve"> </w:t>
            </w:r>
          </w:p>
        </w:tc>
      </w:tr>
    </w:tbl>
    <w:p w14:paraId="618F7D76" w14:textId="77777777" w:rsidR="00767B75" w:rsidRPr="00DE108C" w:rsidRDefault="00767B75">
      <w:pPr>
        <w:rPr>
          <w:rFonts w:ascii="Verdana" w:eastAsia="Verdana" w:hAnsi="Verdana" w:cs="Verdana"/>
        </w:rPr>
      </w:pPr>
    </w:p>
    <w:p w14:paraId="58CCF6E0" w14:textId="4DBF0604" w:rsidR="00767B75" w:rsidRPr="00DE108C" w:rsidRDefault="00767B75">
      <w:pPr>
        <w:pStyle w:val="Heading4"/>
        <w:rPr>
          <w:szCs w:val="18"/>
        </w:rPr>
      </w:pPr>
      <w:r w:rsidRPr="00DE108C">
        <w:rPr>
          <w:szCs w:val="18"/>
        </w:rPr>
        <w:lastRenderedPageBreak/>
        <w:t>3.</w:t>
      </w:r>
      <w:r w:rsidR="00B70F3C" w:rsidRPr="00DE108C">
        <w:rPr>
          <w:szCs w:val="18"/>
        </w:rPr>
        <w:t>2</w:t>
      </w:r>
      <w:r w:rsidRPr="00DE108C">
        <w:rPr>
          <w:szCs w:val="18"/>
        </w:rPr>
        <w:t>.6.2 Engaging with Koo Wee Rup–Longwarry Flood Protection District customers</w:t>
      </w:r>
    </w:p>
    <w:p w14:paraId="4A27D581" w14:textId="66A76BA2" w:rsidR="00767B75" w:rsidRPr="00DE108C" w:rsidRDefault="00767B75" w:rsidP="00CF27D9">
      <w:pPr>
        <w:pStyle w:val="Heading5"/>
      </w:pPr>
      <w:r w:rsidRPr="00DE108C">
        <w:t xml:space="preserve">How we engaged </w:t>
      </w:r>
    </w:p>
    <w:p w14:paraId="75367F71" w14:textId="77777777" w:rsidR="00767B75" w:rsidRPr="00DE108C" w:rsidRDefault="00767B75" w:rsidP="005014EF">
      <w:pPr>
        <w:pStyle w:val="ListBullet"/>
        <w:rPr>
          <w:rFonts w:eastAsia="Verdana"/>
        </w:rPr>
      </w:pPr>
      <w:r w:rsidRPr="00DE108C">
        <w:rPr>
          <w:rFonts w:eastAsia="Verdana"/>
        </w:rPr>
        <w:t>Koo Wee Rup and Longwarry customers have provided feedback about service levels and cost via multiple channels, including:</w:t>
      </w:r>
    </w:p>
    <w:p w14:paraId="46C3FA20" w14:textId="3B5CA98E" w:rsidR="00767B75" w:rsidRPr="00DE108C" w:rsidRDefault="00767B75" w:rsidP="005014EF">
      <w:pPr>
        <w:pStyle w:val="ListBullet"/>
        <w:rPr>
          <w:rFonts w:eastAsia="Verdana"/>
        </w:rPr>
      </w:pPr>
      <w:r w:rsidRPr="00DE108C">
        <w:rPr>
          <w:rFonts w:eastAsia="Verdana"/>
        </w:rPr>
        <w:t>a customer survey in November 2024 (3</w:t>
      </w:r>
      <w:r w:rsidR="650CBDEE" w:rsidRPr="00DE108C">
        <w:rPr>
          <w:rFonts w:eastAsia="Verdana"/>
        </w:rPr>
        <w:t>11</w:t>
      </w:r>
      <w:r w:rsidRPr="00DE108C">
        <w:rPr>
          <w:rFonts w:eastAsia="Verdana"/>
        </w:rPr>
        <w:t xml:space="preserve"> responses)</w:t>
      </w:r>
    </w:p>
    <w:p w14:paraId="675F8300" w14:textId="77777777" w:rsidR="00767B75" w:rsidRPr="00DE108C" w:rsidRDefault="00767B75" w:rsidP="005014EF">
      <w:pPr>
        <w:pStyle w:val="ListBullet"/>
        <w:rPr>
          <w:rFonts w:eastAsia="Verdana"/>
        </w:rPr>
      </w:pPr>
      <w:r w:rsidRPr="00DE108C">
        <w:rPr>
          <w:rFonts w:eastAsia="Verdana"/>
        </w:rPr>
        <w:t>a face-to-face community event (40 attendees)</w:t>
      </w:r>
    </w:p>
    <w:p w14:paraId="56318DFC" w14:textId="1DB5B5C9" w:rsidR="00767B75" w:rsidRPr="00DE108C" w:rsidRDefault="2A13F944" w:rsidP="005014EF">
      <w:pPr>
        <w:pStyle w:val="ListBullet"/>
      </w:pPr>
      <w:r w:rsidRPr="00DE108C">
        <w:t>the ongoing customer</w:t>
      </w:r>
      <w:r w:rsidR="00767B75" w:rsidRPr="00DE108C">
        <w:t xml:space="preserve"> advisory group.</w:t>
      </w:r>
    </w:p>
    <w:p w14:paraId="4620E778" w14:textId="77777777" w:rsidR="00767B75" w:rsidRPr="00DE108C" w:rsidRDefault="00767B75" w:rsidP="6B468754">
      <w:r w:rsidRPr="00DE108C">
        <w:t>Engagement with our direct service customers is ongoing. Through our PS26 development, we engaged with several existing advisory groups, consisting of customer and community representatives to help inform our engagement process. These groups provided local insights, as well as initial thoughts on proposals related to services, prices charged to customers and our engagement approach for their community.</w:t>
      </w:r>
    </w:p>
    <w:p w14:paraId="775CC826" w14:textId="50FF66A6" w:rsidR="00767B75" w:rsidRPr="00DE108C" w:rsidRDefault="00767B75" w:rsidP="00CF27D9">
      <w:pPr>
        <w:pStyle w:val="Heading5"/>
      </w:pPr>
      <w:r w:rsidRPr="00DE108C">
        <w:t xml:space="preserve">Customer </w:t>
      </w:r>
      <w:r w:rsidR="002E52F3" w:rsidRPr="00DE108C">
        <w:t>p</w:t>
      </w:r>
      <w:r w:rsidRPr="00DE108C">
        <w:t>riorities</w:t>
      </w:r>
    </w:p>
    <w:p w14:paraId="3D7746AD" w14:textId="77777777" w:rsidR="00767B75" w:rsidRPr="00DE108C" w:rsidRDefault="00767B75" w:rsidP="00CF27D9">
      <w:pPr>
        <w:rPr>
          <w:rFonts w:eastAsia="Verdana"/>
        </w:rPr>
      </w:pPr>
      <w:r w:rsidRPr="00DE108C">
        <w:rPr>
          <w:rFonts w:eastAsia="Verdana"/>
        </w:rPr>
        <w:t xml:space="preserve">Feedback across all forms of engagement has indicated support for a higher level of service. </w:t>
      </w:r>
    </w:p>
    <w:p w14:paraId="23DF31D7" w14:textId="77777777" w:rsidR="00767B75" w:rsidRPr="00DE108C" w:rsidRDefault="00767B75" w:rsidP="00CF27D9">
      <w:pPr>
        <w:rPr>
          <w:rFonts w:eastAsia="Verdana"/>
        </w:rPr>
      </w:pPr>
      <w:r w:rsidRPr="00DE108C">
        <w:rPr>
          <w:rFonts w:eastAsia="Verdana"/>
        </w:rPr>
        <w:t xml:space="preserve">Several main themes were identified in the feedback received, including: </w:t>
      </w:r>
    </w:p>
    <w:p w14:paraId="4487DA86" w14:textId="77777777" w:rsidR="00767B75" w:rsidRPr="00DE108C" w:rsidRDefault="00767B75" w:rsidP="005014EF">
      <w:pPr>
        <w:pStyle w:val="ListBullet"/>
        <w:rPr>
          <w:rFonts w:eastAsia="Verdana"/>
        </w:rPr>
      </w:pPr>
      <w:r w:rsidRPr="00DE108C">
        <w:rPr>
          <w:rFonts w:eastAsia="Verdana"/>
        </w:rPr>
        <w:t xml:space="preserve">affordability needs to be balanced against reduced flood risk </w:t>
      </w:r>
    </w:p>
    <w:p w14:paraId="2AD72338" w14:textId="77777777" w:rsidR="00767B75" w:rsidRPr="00DE108C" w:rsidRDefault="00767B75" w:rsidP="005014EF">
      <w:pPr>
        <w:pStyle w:val="ListBullet"/>
        <w:rPr>
          <w:rFonts w:eastAsia="Verdana"/>
        </w:rPr>
      </w:pPr>
      <w:r w:rsidRPr="00DE108C">
        <w:rPr>
          <w:rFonts w:eastAsia="Verdana"/>
        </w:rPr>
        <w:t>regular and transparent communication is important – many participants would like to better understand how the precept charge is spent</w:t>
      </w:r>
    </w:p>
    <w:p w14:paraId="1A6EDB56" w14:textId="77777777" w:rsidR="00767B75" w:rsidRPr="00DE108C" w:rsidRDefault="00767B75" w:rsidP="005014EF">
      <w:pPr>
        <w:pStyle w:val="ListBullet"/>
        <w:rPr>
          <w:rFonts w:eastAsia="Verdana"/>
        </w:rPr>
      </w:pPr>
      <w:r w:rsidRPr="00DE108C">
        <w:rPr>
          <w:rFonts w:eastAsia="Verdana"/>
        </w:rPr>
        <w:t>fairness and equity matters – there is a feeling that developers upstream should also be contributing to the cost as run off from developed areas contributes to flooding</w:t>
      </w:r>
    </w:p>
    <w:p w14:paraId="29E12A5D" w14:textId="77777777" w:rsidR="00767B75" w:rsidRPr="00DE108C" w:rsidRDefault="00767B75" w:rsidP="005014EF">
      <w:pPr>
        <w:pStyle w:val="ListBullet"/>
        <w:rPr>
          <w:rFonts w:eastAsia="Verdana"/>
        </w:rPr>
      </w:pPr>
      <w:r w:rsidRPr="00DE108C">
        <w:rPr>
          <w:rFonts w:eastAsia="Verdana"/>
        </w:rPr>
        <w:t>dissatisfaction with the current service level – some customers feel there is a lack of tangible outcomes from the existing maintenance activities</w:t>
      </w:r>
    </w:p>
    <w:p w14:paraId="61C9A790" w14:textId="575CF7D9" w:rsidR="00767B75" w:rsidRPr="00DE108C" w:rsidRDefault="00767B75" w:rsidP="005014EF">
      <w:pPr>
        <w:pStyle w:val="ListBullet"/>
        <w:rPr>
          <w:rFonts w:eastAsia="Verdana"/>
        </w:rPr>
      </w:pPr>
      <w:r w:rsidRPr="00DE108C">
        <w:rPr>
          <w:rFonts w:eastAsia="Verdana"/>
        </w:rPr>
        <w:t>ongoing maintenance is a priority.</w:t>
      </w:r>
    </w:p>
    <w:p w14:paraId="102E24C5" w14:textId="4DB21543" w:rsidR="00767B75" w:rsidRPr="00DE108C" w:rsidRDefault="00767B75" w:rsidP="00CF27D9">
      <w:pPr>
        <w:pStyle w:val="Heading5"/>
      </w:pPr>
      <w:r w:rsidRPr="00DE108C">
        <w:t>Koo Wee Rup–Longwarry Flood Protection District customer feedback and influence</w:t>
      </w:r>
    </w:p>
    <w:p w14:paraId="55454ACB" w14:textId="36EE30C5" w:rsidR="00767B75" w:rsidRPr="00DE108C" w:rsidRDefault="00767B75" w:rsidP="00094CD4">
      <w:pPr>
        <w:pStyle w:val="Caption"/>
        <w:rPr>
          <w:szCs w:val="18"/>
        </w:rPr>
      </w:pPr>
      <w:bookmarkStart w:id="246" w:name="_Toc207892996"/>
      <w:bookmarkStart w:id="247" w:name="_Toc208490519"/>
      <w:bookmarkStart w:id="248" w:name="_Toc208490857"/>
      <w:bookmarkStart w:id="249" w:name="_Toc208911015"/>
      <w:bookmarkStart w:id="250" w:name="_Toc210051322"/>
      <w:r w:rsidRPr="00DE108C">
        <w:rPr>
          <w:rFonts w:ascii="Verdana" w:eastAsia="Verdana" w:hAnsi="Verdana" w:cs="Verdana"/>
        </w:rPr>
        <w:t xml:space="preserve">Table 3.4: Areas engaged on and influence of </w:t>
      </w:r>
      <w:r w:rsidRPr="00DE108C">
        <w:t>Koo Wee Rup–Longwarry Flood Protection District customers</w:t>
      </w:r>
      <w:bookmarkEnd w:id="246"/>
      <w:bookmarkEnd w:id="247"/>
      <w:bookmarkEnd w:id="248"/>
      <w:bookmarkEnd w:id="249"/>
      <w:bookmarkEnd w:id="250"/>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950"/>
        <w:gridCol w:w="4665"/>
      </w:tblGrid>
      <w:tr w:rsidR="0069661E" w:rsidRPr="00DE108C" w14:paraId="45D7EEBB" w14:textId="77777777">
        <w:trPr>
          <w:cnfStyle w:val="100000000000" w:firstRow="1" w:lastRow="0" w:firstColumn="0" w:lastColumn="0" w:oddVBand="0" w:evenVBand="0" w:oddHBand="0" w:evenHBand="0" w:firstRowFirstColumn="0" w:firstRowLastColumn="0" w:lastRowFirstColumn="0" w:lastRowLastColumn="0"/>
          <w:trHeight w:val="300"/>
        </w:trPr>
        <w:tc>
          <w:tcPr>
            <w:tcW w:w="4950"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left w:w="75" w:type="dxa"/>
              <w:right w:w="75" w:type="dxa"/>
            </w:tcMar>
          </w:tcPr>
          <w:p w14:paraId="5E53348C" w14:textId="77777777" w:rsidR="00767B75" w:rsidRPr="00DE108C" w:rsidRDefault="00767B75" w:rsidP="00CF27D9">
            <w:pPr>
              <w:pStyle w:val="TableHeading"/>
              <w:rPr>
                <w:rFonts w:eastAsia="Verdana"/>
              </w:rPr>
            </w:pPr>
            <w:r w:rsidRPr="00DE108C">
              <w:rPr>
                <w:rFonts w:eastAsia="Verdana"/>
              </w:rPr>
              <w:t xml:space="preserve">Area of interest/topics engaged on </w:t>
            </w:r>
          </w:p>
        </w:tc>
        <w:tc>
          <w:tcPr>
            <w:tcW w:w="4665"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left w:w="75" w:type="dxa"/>
              <w:right w:w="75" w:type="dxa"/>
            </w:tcMar>
          </w:tcPr>
          <w:p w14:paraId="3913C0CB" w14:textId="77777777" w:rsidR="00767B75" w:rsidRPr="00DE108C" w:rsidRDefault="00767B75" w:rsidP="00CF27D9">
            <w:pPr>
              <w:pStyle w:val="TableHeading"/>
              <w:rPr>
                <w:rFonts w:eastAsia="Verdana"/>
              </w:rPr>
            </w:pPr>
            <w:r w:rsidRPr="00DE108C">
              <w:rPr>
                <w:rFonts w:eastAsia="Verdana"/>
              </w:rPr>
              <w:t xml:space="preserve">Influence on our work </w:t>
            </w:r>
          </w:p>
        </w:tc>
      </w:tr>
      <w:tr w:rsidR="00767B75" w:rsidRPr="00DE108C" w14:paraId="380FA09E" w14:textId="77777777">
        <w:trPr>
          <w:trHeight w:val="300"/>
        </w:trPr>
        <w:tc>
          <w:tcPr>
            <w:tcW w:w="4950" w:type="dxa"/>
            <w:tcBorders>
              <w:left w:val="single" w:sz="6" w:space="0" w:color="auto"/>
              <w:bottom w:val="single" w:sz="6" w:space="0" w:color="auto"/>
            </w:tcBorders>
            <w:tcMar>
              <w:left w:w="75" w:type="dxa"/>
              <w:right w:w="75" w:type="dxa"/>
            </w:tcMar>
          </w:tcPr>
          <w:p w14:paraId="07EE649D" w14:textId="77777777" w:rsidR="00767B75" w:rsidRPr="00DE108C" w:rsidRDefault="00767B75" w:rsidP="00CF27D9">
            <w:pPr>
              <w:pStyle w:val="TableText"/>
              <w:rPr>
                <w:rFonts w:eastAsia="Verdana"/>
              </w:rPr>
            </w:pPr>
            <w:r w:rsidRPr="00DE108C">
              <w:rPr>
                <w:rFonts w:eastAsia="Verdana"/>
              </w:rPr>
              <w:t>Customers in the district pay a ‘Melbourne Water special precept rate’, which funds the higher level of drainage services the district receives. As the area is a former swampland and is prone to flooding, customers value a service that helps minimise the risk of flooding in the area, while also balancing the cost of this service.</w:t>
            </w:r>
          </w:p>
        </w:tc>
        <w:tc>
          <w:tcPr>
            <w:tcW w:w="4665" w:type="dxa"/>
            <w:tcBorders>
              <w:bottom w:val="single" w:sz="6" w:space="0" w:color="auto"/>
              <w:right w:val="single" w:sz="6" w:space="0" w:color="auto"/>
            </w:tcBorders>
            <w:tcMar>
              <w:left w:w="75" w:type="dxa"/>
              <w:right w:w="75" w:type="dxa"/>
            </w:tcMar>
          </w:tcPr>
          <w:p w14:paraId="5F9684FE" w14:textId="77777777" w:rsidR="00767B75" w:rsidRPr="00DE108C" w:rsidRDefault="00767B75" w:rsidP="00CF27D9">
            <w:pPr>
              <w:pStyle w:val="TableText"/>
              <w:rPr>
                <w:rFonts w:eastAsia="Verdana"/>
              </w:rPr>
            </w:pPr>
            <w:r w:rsidRPr="00DE108C">
              <w:rPr>
                <w:rFonts w:eastAsia="Verdana"/>
              </w:rPr>
              <w:t>In response to customer feedback, a dedicated resource will be located to manage and maintain the Koo Wee Rup–Longwarry Flood Protection District, increasing responsiveness and consistency of communication.</w:t>
            </w:r>
          </w:p>
          <w:p w14:paraId="2C78F9B0" w14:textId="576AE578" w:rsidR="00767B75" w:rsidRPr="00DE108C" w:rsidRDefault="00767B75" w:rsidP="00CF27D9">
            <w:pPr>
              <w:pStyle w:val="TableText"/>
              <w:rPr>
                <w:rFonts w:eastAsia="Verdana"/>
              </w:rPr>
            </w:pPr>
            <w:r w:rsidRPr="00DE108C">
              <w:rPr>
                <w:rFonts w:eastAsia="Verdana"/>
              </w:rPr>
              <w:t xml:space="preserve">A 10 per cent </w:t>
            </w:r>
            <w:r w:rsidR="00A87DF9" w:rsidRPr="00DE108C">
              <w:rPr>
                <w:rFonts w:eastAsia="Verdana"/>
              </w:rPr>
              <w:t>uplift in spend</w:t>
            </w:r>
            <w:r w:rsidRPr="00DE108C">
              <w:rPr>
                <w:rFonts w:eastAsia="Verdana"/>
              </w:rPr>
              <w:t xml:space="preserve"> is proposed to enable </w:t>
            </w:r>
            <w:r w:rsidR="00810217" w:rsidRPr="00DE108C">
              <w:rPr>
                <w:rFonts w:eastAsia="Verdana"/>
              </w:rPr>
              <w:t>the customer supported</w:t>
            </w:r>
            <w:r w:rsidRPr="00DE108C">
              <w:rPr>
                <w:rFonts w:eastAsia="Verdana"/>
              </w:rPr>
              <w:t xml:space="preserve"> uplift in service </w:t>
            </w:r>
            <w:r w:rsidR="00810217" w:rsidRPr="00DE108C">
              <w:rPr>
                <w:rFonts w:eastAsia="Verdana"/>
              </w:rPr>
              <w:t>for the district</w:t>
            </w:r>
            <w:r w:rsidRPr="00DE108C">
              <w:rPr>
                <w:rFonts w:eastAsia="Verdana"/>
              </w:rPr>
              <w:t>.</w:t>
            </w:r>
          </w:p>
        </w:tc>
      </w:tr>
    </w:tbl>
    <w:p w14:paraId="4DAA84C9" w14:textId="7D0F13CE" w:rsidR="00767B75" w:rsidRPr="00DE108C" w:rsidRDefault="00767B75">
      <w:pPr>
        <w:pStyle w:val="Heading4"/>
        <w:rPr>
          <w:szCs w:val="18"/>
        </w:rPr>
      </w:pPr>
      <w:r w:rsidRPr="00DE108C">
        <w:rPr>
          <w:szCs w:val="18"/>
        </w:rPr>
        <w:t>3.</w:t>
      </w:r>
      <w:r w:rsidR="008153A5" w:rsidRPr="00DE108C">
        <w:rPr>
          <w:szCs w:val="18"/>
        </w:rPr>
        <w:t>2</w:t>
      </w:r>
      <w:r w:rsidRPr="00DE108C">
        <w:rPr>
          <w:szCs w:val="18"/>
        </w:rPr>
        <w:t>.6.3 Engaging with licensed diverters</w:t>
      </w:r>
    </w:p>
    <w:p w14:paraId="21B4E72B" w14:textId="77777777" w:rsidR="00767B75" w:rsidRPr="00DE108C" w:rsidRDefault="00767B75" w:rsidP="00E9755C">
      <w:pPr>
        <w:rPr>
          <w:rFonts w:eastAsia="Verdana"/>
        </w:rPr>
      </w:pPr>
      <w:r w:rsidRPr="00DE108C">
        <w:rPr>
          <w:rFonts w:eastAsia="Verdana"/>
        </w:rPr>
        <w:t xml:space="preserve">Melbourne Water is the delegated surface-water diversion manager that manages surface water diversions in the Werribee, Maribyrnong and Yarra basins through a licencing system. Licence holders are granted the right to take and use a specific volume of water from waterways or dams for particular purposes. </w:t>
      </w:r>
    </w:p>
    <w:p w14:paraId="34150F6C" w14:textId="112B2159" w:rsidR="00767B75" w:rsidRPr="00DE108C" w:rsidRDefault="00767B75" w:rsidP="00E9755C">
      <w:pPr>
        <w:rPr>
          <w:rFonts w:eastAsia="Verdana"/>
        </w:rPr>
      </w:pPr>
      <w:r w:rsidRPr="00DE108C">
        <w:rPr>
          <w:rFonts w:eastAsia="Verdana"/>
        </w:rPr>
        <w:t xml:space="preserve">These licences include conditions, such as maximum extraction rates, specific periods for diversion, minimum stream flows, and the designated locations for water extraction and usage. </w:t>
      </w:r>
      <w:r w:rsidRPr="00DE108C">
        <w:rPr>
          <w:rFonts w:eastAsia="Verdana"/>
        </w:rPr>
        <w:lastRenderedPageBreak/>
        <w:t xml:space="preserve">Melbourne Water ensures compliance with these licences and manages water resources to balance the needs of various users while protecting the environment. </w:t>
      </w:r>
    </w:p>
    <w:p w14:paraId="26FD81EB" w14:textId="247232A0" w:rsidR="00767B75" w:rsidRPr="00DE108C" w:rsidRDefault="00767B75" w:rsidP="00E9755C">
      <w:pPr>
        <w:rPr>
          <w:rFonts w:eastAsia="Verdana"/>
        </w:rPr>
      </w:pPr>
      <w:r w:rsidRPr="00DE108C">
        <w:rPr>
          <w:rFonts w:eastAsia="Verdana"/>
        </w:rPr>
        <w:t>Our diversions management program ensures water allocations are managed fairly, sustainably and consistently between approximately 1,300 licence holders. The program is directly funded by customers through licence, volumetric and application fees. We support the Victorian Government</w:t>
      </w:r>
      <w:r w:rsidR="00AD432B">
        <w:rPr>
          <w:rFonts w:eastAsia="Verdana"/>
        </w:rPr>
        <w:t>’s</w:t>
      </w:r>
      <w:r w:rsidRPr="00DE108C">
        <w:rPr>
          <w:rFonts w:eastAsia="Verdana"/>
        </w:rPr>
        <w:t xml:space="preserve"> approach to compliance and enforcement around water theft, with systems in place to monitor take and use of water, and the power to issue penalty infringement notices for non-compliance.</w:t>
      </w:r>
    </w:p>
    <w:p w14:paraId="666DEC7C" w14:textId="27DFEC82" w:rsidR="00767B75" w:rsidRPr="00DE108C" w:rsidRDefault="00767B75" w:rsidP="00E9755C">
      <w:pPr>
        <w:pStyle w:val="Heading5"/>
      </w:pPr>
      <w:r w:rsidRPr="00DE108C">
        <w:t xml:space="preserve">How we engaged </w:t>
      </w:r>
    </w:p>
    <w:p w14:paraId="22164244" w14:textId="77777777" w:rsidR="00767B75" w:rsidRPr="00DE108C" w:rsidRDefault="00767B75" w:rsidP="00E9755C">
      <w:pPr>
        <w:rPr>
          <w:rFonts w:eastAsia="Verdana"/>
        </w:rPr>
      </w:pPr>
      <w:r w:rsidRPr="00DE108C">
        <w:rPr>
          <w:rFonts w:eastAsia="Verdana"/>
        </w:rPr>
        <w:t>Our engagement with licensed diverters utilised existing and PS26-specific channels, including:</w:t>
      </w:r>
    </w:p>
    <w:p w14:paraId="4AF8EFC9" w14:textId="77777777" w:rsidR="00767B75" w:rsidRPr="008C46DF" w:rsidRDefault="00767B75" w:rsidP="008C46DF">
      <w:pPr>
        <w:pStyle w:val="ListBullet"/>
        <w:rPr>
          <w:rFonts w:eastAsia="Verdana"/>
        </w:rPr>
      </w:pPr>
      <w:r w:rsidRPr="00DE108C">
        <w:rPr>
          <w:rFonts w:eastAsia="Verdana"/>
          <w:b/>
          <w:bCs/>
        </w:rPr>
        <w:t>Advisory Committee meetings:</w:t>
      </w:r>
      <w:r w:rsidRPr="008C46DF">
        <w:rPr>
          <w:rFonts w:eastAsia="Verdana"/>
        </w:rPr>
        <w:t xml:space="preserve"> </w:t>
      </w:r>
      <w:r w:rsidRPr="00DE108C">
        <w:rPr>
          <w:rFonts w:eastAsia="Verdana"/>
        </w:rPr>
        <w:t>Melbourne Water initially met with the Diversions Management Advisory Committee and Keilor Diverters Advisory Group to provide an overview of the diversions program and PS26 process, including timing and customer engagement. Follow-up meetings were held with both committees to share key insights from customer interviews. Input was sought on the service level options to be costed for consultation with a request to include an expanded metering and compliance package.</w:t>
      </w:r>
    </w:p>
    <w:p w14:paraId="4B13DDFE" w14:textId="77777777" w:rsidR="00767B75" w:rsidRPr="008C46DF" w:rsidRDefault="00767B75" w:rsidP="008C46DF">
      <w:pPr>
        <w:pStyle w:val="ListBullet"/>
        <w:rPr>
          <w:rFonts w:eastAsia="Verdana"/>
        </w:rPr>
      </w:pPr>
      <w:r w:rsidRPr="00DE108C">
        <w:rPr>
          <w:rFonts w:eastAsia="Verdana"/>
          <w:b/>
          <w:bCs/>
        </w:rPr>
        <w:t>Customer interviews:</w:t>
      </w:r>
      <w:r w:rsidRPr="00DE108C">
        <w:rPr>
          <w:rFonts w:eastAsia="Verdana"/>
        </w:rPr>
        <w:t xml:space="preserve"> An independent research agency was appointed to conduct twenty 30-minute phone interviews with diversion customers representing Melbourne Water’s main customer groups. These asked about customers’ experience with and expectations of diversion services and the licensing system, with a focus on fee structure, compliance and overall program fairness. Customers were also asked about their appetite for a new online customer portal. Findings were used to initiate consultation with advisory committees and to inform service proposals, which were subsequently tested with customers via an online survey.</w:t>
      </w:r>
    </w:p>
    <w:p w14:paraId="5438294C" w14:textId="3782F3DD" w:rsidR="00767B75" w:rsidRPr="008C46DF" w:rsidRDefault="00767B75" w:rsidP="008C46DF">
      <w:pPr>
        <w:pStyle w:val="ListBullet"/>
        <w:rPr>
          <w:rFonts w:eastAsia="Verdana"/>
        </w:rPr>
      </w:pPr>
      <w:r w:rsidRPr="00DE108C">
        <w:rPr>
          <w:rFonts w:eastAsia="Verdana"/>
          <w:b/>
          <w:bCs/>
        </w:rPr>
        <w:t>Online survey:</w:t>
      </w:r>
      <w:r w:rsidRPr="00DE108C">
        <w:rPr>
          <w:rFonts w:eastAsia="Verdana"/>
        </w:rPr>
        <w:t xml:space="preserve"> Although experience with engaging diversion customers indicated that we would not receive a high response rate to surveys, to hear from the broadest group possible in an accessible way, we developed an online survey that was promoted through direct-contact channels (such as SMS reminders, emails and newsletters). The survey contained background information on diversion management, an overview of the </w:t>
      </w:r>
      <w:r w:rsidR="7502B8D7" w:rsidRPr="14031F0E">
        <w:rPr>
          <w:rFonts w:eastAsia="Verdana"/>
        </w:rPr>
        <w:t>P</w:t>
      </w:r>
      <w:r w:rsidRPr="14031F0E">
        <w:rPr>
          <w:rFonts w:eastAsia="Verdana"/>
        </w:rPr>
        <w:t xml:space="preserve">rice </w:t>
      </w:r>
      <w:r w:rsidR="6E7E4995" w:rsidRPr="14031F0E">
        <w:rPr>
          <w:rFonts w:eastAsia="Verdana"/>
        </w:rPr>
        <w:t>S</w:t>
      </w:r>
      <w:r w:rsidRPr="00DE108C">
        <w:rPr>
          <w:rFonts w:eastAsia="Verdana"/>
        </w:rPr>
        <w:t>ubmission process, an overview of progress to date and three proposed service options along with pricing. To encourage participation and collect information, customers were asked to confirm eligibility, select a preferred service package and had the opportunity to share any thoughts about the diversions service. We received 57 responses (an increase from our PS21 engagement of nine responses).</w:t>
      </w:r>
    </w:p>
    <w:p w14:paraId="09952227" w14:textId="77777777" w:rsidR="00767B75" w:rsidRPr="008C46DF" w:rsidRDefault="00767B75" w:rsidP="008C46DF">
      <w:pPr>
        <w:pStyle w:val="ListBullet"/>
        <w:rPr>
          <w:rFonts w:eastAsia="Verdana"/>
        </w:rPr>
      </w:pPr>
      <w:r w:rsidRPr="00DE108C">
        <w:rPr>
          <w:rFonts w:eastAsia="Verdana"/>
          <w:b/>
          <w:bCs/>
        </w:rPr>
        <w:t>Newsletter:</w:t>
      </w:r>
      <w:r w:rsidRPr="008C46DF">
        <w:rPr>
          <w:rFonts w:eastAsia="Verdana"/>
        </w:rPr>
        <w:t xml:space="preserve"> </w:t>
      </w:r>
      <w:r w:rsidRPr="00DE108C">
        <w:rPr>
          <w:rFonts w:eastAsia="Verdana"/>
        </w:rPr>
        <w:t xml:space="preserve">Throughout the development of PS26, licensed diverters were provided with updates through our newsletter, StreamNews, which is received by over 1,100 diverter customers. </w:t>
      </w:r>
    </w:p>
    <w:p w14:paraId="394BE7F8" w14:textId="5654D4EF" w:rsidR="00767B75" w:rsidRPr="00DE108C" w:rsidRDefault="00767B75" w:rsidP="00E9755C">
      <w:pPr>
        <w:pStyle w:val="Heading5"/>
      </w:pPr>
      <w:r w:rsidRPr="00DE108C">
        <w:t>Licensed diverter feedback and influence</w:t>
      </w:r>
    </w:p>
    <w:p w14:paraId="300ED89B" w14:textId="466CD19D" w:rsidR="00767B75" w:rsidRPr="00DE108C" w:rsidRDefault="00767B75" w:rsidP="00746E53">
      <w:pPr>
        <w:pStyle w:val="Caption"/>
      </w:pPr>
      <w:bookmarkStart w:id="251" w:name="_Toc207892997"/>
      <w:bookmarkStart w:id="252" w:name="_Toc208490520"/>
      <w:bookmarkStart w:id="253" w:name="_Toc208490858"/>
      <w:bookmarkStart w:id="254" w:name="_Toc208911016"/>
      <w:bookmarkStart w:id="255" w:name="_Toc210051323"/>
      <w:r w:rsidRPr="00DE108C">
        <w:t>Table 3.5: Areas engaged on and influence of licensed diverters</w:t>
      </w:r>
      <w:bookmarkEnd w:id="251"/>
      <w:bookmarkEnd w:id="252"/>
      <w:bookmarkEnd w:id="253"/>
      <w:bookmarkEnd w:id="254"/>
      <w:bookmarkEnd w:id="255"/>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950"/>
        <w:gridCol w:w="4665"/>
      </w:tblGrid>
      <w:tr w:rsidR="0069661E" w:rsidRPr="00DE108C" w14:paraId="3D4A41D8" w14:textId="77777777" w:rsidTr="35762B23">
        <w:trPr>
          <w:cnfStyle w:val="100000000000" w:firstRow="1" w:lastRow="0" w:firstColumn="0" w:lastColumn="0" w:oddVBand="0" w:evenVBand="0" w:oddHBand="0" w:evenHBand="0" w:firstRowFirstColumn="0" w:firstRowLastColumn="0" w:lastRowFirstColumn="0" w:lastRowLastColumn="0"/>
          <w:trHeight w:val="300"/>
        </w:trPr>
        <w:tc>
          <w:tcPr>
            <w:tcW w:w="4950"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top w:w="15" w:type="dxa"/>
              <w:left w:w="75" w:type="dxa"/>
              <w:bottom w:w="15" w:type="dxa"/>
              <w:right w:w="75" w:type="dxa"/>
            </w:tcMar>
          </w:tcPr>
          <w:p w14:paraId="44987F09" w14:textId="77777777" w:rsidR="00767B75" w:rsidRPr="00DE108C" w:rsidRDefault="00767B75" w:rsidP="00E9755C">
            <w:pPr>
              <w:pStyle w:val="TableHeading"/>
              <w:rPr>
                <w:rFonts w:eastAsia="Verdana"/>
              </w:rPr>
            </w:pPr>
            <w:r w:rsidRPr="00DE108C">
              <w:rPr>
                <w:rFonts w:eastAsia="Verdana"/>
              </w:rPr>
              <w:t>Area of interest/topics engaged on</w:t>
            </w:r>
          </w:p>
        </w:tc>
        <w:tc>
          <w:tcPr>
            <w:tcW w:w="4665"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top w:w="15" w:type="dxa"/>
              <w:left w:w="75" w:type="dxa"/>
              <w:bottom w:w="15" w:type="dxa"/>
              <w:right w:w="75" w:type="dxa"/>
            </w:tcMar>
          </w:tcPr>
          <w:p w14:paraId="294E561C" w14:textId="77777777" w:rsidR="00767B75" w:rsidRPr="00DE108C" w:rsidRDefault="00767B75" w:rsidP="00E9755C">
            <w:pPr>
              <w:pStyle w:val="TableHeading"/>
              <w:rPr>
                <w:rFonts w:eastAsia="Verdana"/>
              </w:rPr>
            </w:pPr>
            <w:r w:rsidRPr="00DE108C">
              <w:rPr>
                <w:rFonts w:eastAsia="Verdana"/>
              </w:rPr>
              <w:t>Influence on our work</w:t>
            </w:r>
          </w:p>
        </w:tc>
      </w:tr>
      <w:tr w:rsidR="00767B75" w:rsidRPr="00DE108C" w14:paraId="60B3006C" w14:textId="77777777" w:rsidTr="35762B23">
        <w:trPr>
          <w:trHeight w:val="300"/>
        </w:trPr>
        <w:tc>
          <w:tcPr>
            <w:tcW w:w="4950" w:type="dxa"/>
            <w:tcMar>
              <w:top w:w="15" w:type="dxa"/>
              <w:left w:w="75" w:type="dxa"/>
              <w:bottom w:w="15" w:type="dxa"/>
              <w:right w:w="75" w:type="dxa"/>
            </w:tcMar>
          </w:tcPr>
          <w:p w14:paraId="64CCD4DB" w14:textId="55766F33" w:rsidR="00767B75" w:rsidRPr="00DE108C" w:rsidRDefault="00767B75" w:rsidP="00F71D3F">
            <w:pPr>
              <w:pStyle w:val="TableText"/>
              <w:rPr>
                <w:rFonts w:eastAsia="Verdana"/>
              </w:rPr>
            </w:pPr>
            <w:r w:rsidRPr="00DE108C">
              <w:rPr>
                <w:rFonts w:eastAsia="Verdana"/>
              </w:rPr>
              <w:t>Diver</w:t>
            </w:r>
            <w:r w:rsidR="5ABAC0D6" w:rsidRPr="00DE108C">
              <w:rPr>
                <w:rFonts w:eastAsia="Verdana"/>
              </w:rPr>
              <w:t>ter</w:t>
            </w:r>
            <w:r w:rsidRPr="00DE108C">
              <w:rPr>
                <w:rFonts w:eastAsia="Verdana"/>
              </w:rPr>
              <w:t xml:space="preserve"> customers pay an annual licence fee and a usage fee for the volume of water they take directly from local water sources. These customers value accurate meter reads and information, and the service provided by our dedicated officers. </w:t>
            </w:r>
          </w:p>
        </w:tc>
        <w:tc>
          <w:tcPr>
            <w:tcW w:w="4665" w:type="dxa"/>
            <w:tcMar>
              <w:top w:w="15" w:type="dxa"/>
              <w:left w:w="75" w:type="dxa"/>
              <w:bottom w:w="15" w:type="dxa"/>
              <w:right w:w="75" w:type="dxa"/>
            </w:tcMar>
          </w:tcPr>
          <w:p w14:paraId="210ECA26" w14:textId="2592884C" w:rsidR="00767B75" w:rsidRPr="00DE108C" w:rsidRDefault="00767B75" w:rsidP="00F71D3F">
            <w:pPr>
              <w:pStyle w:val="TableText"/>
              <w:rPr>
                <w:rFonts w:eastAsia="Verdana"/>
              </w:rPr>
            </w:pPr>
            <w:r w:rsidRPr="00DE108C">
              <w:rPr>
                <w:rFonts w:eastAsia="Verdana"/>
              </w:rPr>
              <w:t xml:space="preserve">Feedback gathered through the program identified that diverter customers preferred the proposal known as the ‘Standard Package’. This would see prices increase by </w:t>
            </w:r>
            <w:r w:rsidR="002D1BF7" w:rsidRPr="00DE108C">
              <w:rPr>
                <w:rFonts w:eastAsia="Verdana"/>
              </w:rPr>
              <w:t>CPI +</w:t>
            </w:r>
            <w:r w:rsidR="002D1BF7">
              <w:rPr>
                <w:rFonts w:eastAsia="Verdana"/>
              </w:rPr>
              <w:t xml:space="preserve"> </w:t>
            </w:r>
            <w:r w:rsidRPr="00DE108C">
              <w:rPr>
                <w:rFonts w:eastAsia="Verdana"/>
              </w:rPr>
              <w:t>0.2</w:t>
            </w:r>
            <w:r w:rsidR="00AD432B">
              <w:rPr>
                <w:rFonts w:eastAsia="Verdana"/>
              </w:rPr>
              <w:t xml:space="preserve"> per cent</w:t>
            </w:r>
            <w:r w:rsidRPr="00DE108C">
              <w:rPr>
                <w:rFonts w:eastAsia="Verdana"/>
              </w:rPr>
              <w:t xml:space="preserve"> and would involve:</w:t>
            </w:r>
          </w:p>
          <w:p w14:paraId="4F6DDF8E" w14:textId="77777777" w:rsidR="00767B75" w:rsidRPr="00DE108C" w:rsidRDefault="00767B75" w:rsidP="003A108A">
            <w:pPr>
              <w:pStyle w:val="Tablebullet"/>
              <w:rPr>
                <w:rFonts w:eastAsia="Verdana"/>
                <w:szCs w:val="16"/>
                <w:lang w:val="en-GB"/>
              </w:rPr>
            </w:pPr>
            <w:r w:rsidRPr="14031F0E">
              <w:rPr>
                <w:rFonts w:eastAsia="Verdana"/>
              </w:rPr>
              <w:lastRenderedPageBreak/>
              <w:t>continuation of current service levels to meet our Customer Charter commitments, including an increased communications focus</w:t>
            </w:r>
          </w:p>
          <w:p w14:paraId="45263CED" w14:textId="77777777" w:rsidR="00767B75" w:rsidRPr="00DE108C" w:rsidRDefault="00767B75" w:rsidP="003A108A">
            <w:pPr>
              <w:pStyle w:val="Tablebullet"/>
              <w:rPr>
                <w:rFonts w:eastAsia="Verdana"/>
                <w:szCs w:val="16"/>
                <w:lang w:val="en-GB"/>
              </w:rPr>
            </w:pPr>
            <w:r w:rsidRPr="14031F0E">
              <w:rPr>
                <w:rFonts w:eastAsia="Verdana"/>
              </w:rPr>
              <w:t>meter installation to comply with the Victorian Government’s Non-urban Metering Policy and associated renewals</w:t>
            </w:r>
          </w:p>
          <w:p w14:paraId="66FC30FA" w14:textId="77777777" w:rsidR="00767B75" w:rsidRPr="00DE108C" w:rsidRDefault="00767B75" w:rsidP="003A108A">
            <w:pPr>
              <w:pStyle w:val="Tablebullet"/>
              <w:rPr>
                <w:rFonts w:eastAsia="Verdana"/>
                <w:szCs w:val="16"/>
                <w:lang w:val="en-GB"/>
              </w:rPr>
            </w:pPr>
            <w:r w:rsidRPr="14031F0E">
              <w:rPr>
                <w:rFonts w:eastAsia="Verdana"/>
              </w:rPr>
              <w:t>continuous improvement to embrace new technologies and digital platforms</w:t>
            </w:r>
          </w:p>
          <w:p w14:paraId="73EFE1B3" w14:textId="77777777" w:rsidR="00767B75" w:rsidRPr="00DE108C" w:rsidRDefault="00767B75" w:rsidP="003A108A">
            <w:pPr>
              <w:pStyle w:val="Tablebullet"/>
              <w:rPr>
                <w:rFonts w:eastAsia="Verdana"/>
                <w:lang w:val="en-GB"/>
              </w:rPr>
            </w:pPr>
            <w:r w:rsidRPr="14031F0E">
              <w:rPr>
                <w:rFonts w:eastAsia="Verdana"/>
                <w:lang w:val="en-GB"/>
              </w:rPr>
              <w:t xml:space="preserve">an increase in operating expenditure of </w:t>
            </w:r>
            <w:r w:rsidRPr="00DE108C">
              <w:rPr>
                <w:rFonts w:eastAsia="Verdana"/>
                <w:szCs w:val="16"/>
                <w:lang w:val="en-GB"/>
              </w:rPr>
              <w:t>$0.3 million</w:t>
            </w:r>
            <w:r w:rsidRPr="14031F0E">
              <w:rPr>
                <w:rFonts w:eastAsia="Verdana"/>
                <w:szCs w:val="16"/>
                <w:lang w:val="en-GB"/>
              </w:rPr>
              <w:t xml:space="preserve"> for diversion customers as a result of increased maintenance to maintain the system</w:t>
            </w:r>
            <w:r w:rsidRPr="00DE108C">
              <w:rPr>
                <w:rFonts w:eastAsia="Verdana"/>
                <w:lang w:val="en-GB"/>
              </w:rPr>
              <w:t>.</w:t>
            </w:r>
          </w:p>
          <w:p w14:paraId="54B28C08" w14:textId="38A6CBF2" w:rsidR="00767B75" w:rsidRPr="00DE108C" w:rsidRDefault="00767B75" w:rsidP="00F71D3F">
            <w:pPr>
              <w:pStyle w:val="TableText"/>
              <w:rPr>
                <w:rFonts w:eastAsia="Verdana"/>
                <w:lang w:val="en-GB"/>
              </w:rPr>
            </w:pPr>
            <w:r w:rsidRPr="00DE108C">
              <w:rPr>
                <w:rFonts w:eastAsia="Verdana"/>
              </w:rPr>
              <w:t xml:space="preserve">We have put forward this package as part of our submission. Further information available in </w:t>
            </w:r>
            <w:r w:rsidR="0056483E" w:rsidRPr="00DE108C">
              <w:rPr>
                <w:rFonts w:eastAsia="Verdana"/>
              </w:rPr>
              <w:t>Section</w:t>
            </w:r>
            <w:r w:rsidRPr="00DE108C">
              <w:rPr>
                <w:rFonts w:eastAsia="Verdana"/>
              </w:rPr>
              <w:t xml:space="preserve"> </w:t>
            </w:r>
            <w:r w:rsidR="00CE349F">
              <w:rPr>
                <w:rFonts w:eastAsia="Verdana"/>
              </w:rPr>
              <w:t>11.4.4</w:t>
            </w:r>
            <w:r w:rsidR="00226A86">
              <w:rPr>
                <w:rFonts w:eastAsia="Verdana"/>
              </w:rPr>
              <w:t xml:space="preserve"> (Diversions)</w:t>
            </w:r>
            <w:r w:rsidRPr="00DE108C">
              <w:rPr>
                <w:rFonts w:eastAsia="Verdana"/>
              </w:rPr>
              <w:t>.</w:t>
            </w:r>
          </w:p>
        </w:tc>
      </w:tr>
    </w:tbl>
    <w:p w14:paraId="4E241031" w14:textId="77777777" w:rsidR="00767B75" w:rsidRPr="00DE108C" w:rsidRDefault="00767B75">
      <w:pPr>
        <w:rPr>
          <w:rFonts w:ascii="Verdana" w:eastAsia="Verdana" w:hAnsi="Verdana" w:cs="Verdana"/>
        </w:rPr>
      </w:pPr>
    </w:p>
    <w:p w14:paraId="588E0349" w14:textId="05004E7D" w:rsidR="00767B75" w:rsidRPr="00DE108C" w:rsidRDefault="00767B75">
      <w:pPr>
        <w:pStyle w:val="Heading3"/>
      </w:pPr>
      <w:r w:rsidRPr="00DE108C">
        <w:t>3.</w:t>
      </w:r>
      <w:r w:rsidR="001A30F3" w:rsidRPr="00DE108C">
        <w:t>2</w:t>
      </w:r>
      <w:r w:rsidRPr="00DE108C">
        <w:t>.7 Engaging with environmental community groups</w:t>
      </w:r>
    </w:p>
    <w:p w14:paraId="5B20FF67" w14:textId="77777777" w:rsidR="00767B75" w:rsidRPr="00DE108C" w:rsidRDefault="00767B75" w:rsidP="00F71D3F">
      <w:pPr>
        <w:rPr>
          <w:rFonts w:eastAsia="Verdana"/>
        </w:rPr>
      </w:pPr>
      <w:r w:rsidRPr="00DE108C">
        <w:rPr>
          <w:rFonts w:eastAsia="Verdana"/>
        </w:rPr>
        <w:t>We collaborate with environmental community groups in diverse ways to improve waterway health and enhance liveability. We partner with these groups to develop long-term strategies, provide grants for specific projects and monitor the health of our waterways. This collaboration is critical for us to continue to protect water quality in waterways, increase biodiversity and create green spaces for our community to enjoy.</w:t>
      </w:r>
    </w:p>
    <w:p w14:paraId="1BF3043D" w14:textId="2D0A8FA1" w:rsidR="00767B75" w:rsidRPr="00DE108C" w:rsidRDefault="00767B75">
      <w:pPr>
        <w:pStyle w:val="Heading4"/>
        <w:rPr>
          <w:szCs w:val="16"/>
        </w:rPr>
      </w:pPr>
      <w:r w:rsidRPr="00DE108C">
        <w:rPr>
          <w:szCs w:val="16"/>
        </w:rPr>
        <w:t>3.</w:t>
      </w:r>
      <w:r w:rsidR="001A30F3" w:rsidRPr="00DE108C">
        <w:rPr>
          <w:szCs w:val="16"/>
        </w:rPr>
        <w:t>2</w:t>
      </w:r>
      <w:r w:rsidRPr="00DE108C">
        <w:rPr>
          <w:szCs w:val="16"/>
        </w:rPr>
        <w:t>.7.1 How we engaged</w:t>
      </w:r>
    </w:p>
    <w:p w14:paraId="54F64843" w14:textId="76777153" w:rsidR="00767B75" w:rsidRPr="00DE108C" w:rsidRDefault="00767B75" w:rsidP="00F71D3F">
      <w:pPr>
        <w:rPr>
          <w:rFonts w:eastAsia="Verdana"/>
        </w:rPr>
      </w:pPr>
      <w:r w:rsidRPr="00DE108C">
        <w:rPr>
          <w:rFonts w:eastAsia="Verdana"/>
        </w:rPr>
        <w:t xml:space="preserve">To develop PS26 and the </w:t>
      </w:r>
      <w:r w:rsidRPr="14031F0E">
        <w:rPr>
          <w:rFonts w:eastAsia="Verdana"/>
        </w:rPr>
        <w:t>W</w:t>
      </w:r>
      <w:r w:rsidR="7B10EC54" w:rsidRPr="14031F0E">
        <w:rPr>
          <w:rFonts w:eastAsia="Verdana"/>
        </w:rPr>
        <w:t xml:space="preserve">aterways and Drainage </w:t>
      </w:r>
      <w:r w:rsidRPr="14031F0E">
        <w:rPr>
          <w:rFonts w:eastAsia="Verdana"/>
        </w:rPr>
        <w:t>I</w:t>
      </w:r>
      <w:r w:rsidR="0AC9F62D" w:rsidRPr="14031F0E">
        <w:rPr>
          <w:rFonts w:eastAsia="Verdana"/>
        </w:rPr>
        <w:t xml:space="preserve">nvestment </w:t>
      </w:r>
      <w:r w:rsidRPr="14031F0E">
        <w:rPr>
          <w:rFonts w:eastAsia="Verdana"/>
        </w:rPr>
        <w:t>P</w:t>
      </w:r>
      <w:r w:rsidR="59FC4407" w:rsidRPr="14031F0E">
        <w:rPr>
          <w:rFonts w:eastAsia="Verdana"/>
        </w:rPr>
        <w:t>lan (</w:t>
      </w:r>
      <w:r w:rsidRPr="00DE108C">
        <w:rPr>
          <w:rFonts w:eastAsia="Verdana"/>
        </w:rPr>
        <w:t>WDIP</w:t>
      </w:r>
      <w:r w:rsidR="59FC4407" w:rsidRPr="14031F0E">
        <w:rPr>
          <w:rFonts w:eastAsia="Verdana"/>
        </w:rPr>
        <w:t>)</w:t>
      </w:r>
      <w:r w:rsidRPr="14031F0E">
        <w:rPr>
          <w:rFonts w:eastAsia="Verdana"/>
        </w:rPr>
        <w:t>,</w:t>
      </w:r>
      <w:r w:rsidRPr="00DE108C">
        <w:rPr>
          <w:rFonts w:eastAsia="Verdana"/>
        </w:rPr>
        <w:t xml:space="preserve"> we conducted a survey with community groups and partners to gain insights into their priorities and values on waterways and drainage to help shape programs and priorities. This was </w:t>
      </w:r>
      <w:r w:rsidR="6FD15398" w:rsidRPr="14031F0E">
        <w:rPr>
          <w:rFonts w:eastAsia="Verdana"/>
        </w:rPr>
        <w:t>undertaken</w:t>
      </w:r>
      <w:r w:rsidRPr="00DE108C">
        <w:rPr>
          <w:rFonts w:eastAsia="Verdana"/>
        </w:rPr>
        <w:t xml:space="preserve"> from April to May 2025 with 73 surveys completed. </w:t>
      </w:r>
    </w:p>
    <w:p w14:paraId="073F23B6" w14:textId="4F19DA55" w:rsidR="00767B75" w:rsidRPr="00DE108C" w:rsidRDefault="00767B75">
      <w:pPr>
        <w:pStyle w:val="Heading4"/>
        <w:rPr>
          <w:szCs w:val="16"/>
        </w:rPr>
      </w:pPr>
      <w:r w:rsidRPr="00DE108C">
        <w:rPr>
          <w:szCs w:val="16"/>
        </w:rPr>
        <w:t>3.</w:t>
      </w:r>
      <w:r w:rsidR="001A30F3" w:rsidRPr="00DE108C">
        <w:rPr>
          <w:szCs w:val="16"/>
        </w:rPr>
        <w:t>2</w:t>
      </w:r>
      <w:r w:rsidRPr="00DE108C">
        <w:rPr>
          <w:szCs w:val="16"/>
        </w:rPr>
        <w:t>.7.2 Environmental community groups feedback and influence</w:t>
      </w:r>
    </w:p>
    <w:p w14:paraId="1C49A9C7" w14:textId="363905F1" w:rsidR="00767B75" w:rsidRPr="00DE108C" w:rsidRDefault="00767B75" w:rsidP="00746E53">
      <w:pPr>
        <w:pStyle w:val="Caption"/>
      </w:pPr>
      <w:bookmarkStart w:id="256" w:name="_Toc207892998"/>
      <w:bookmarkStart w:id="257" w:name="_Toc208490521"/>
      <w:bookmarkStart w:id="258" w:name="_Toc208490859"/>
      <w:bookmarkStart w:id="259" w:name="_Toc208911017"/>
      <w:bookmarkStart w:id="260" w:name="_Toc210051324"/>
      <w:r w:rsidRPr="00DE108C">
        <w:t>Table 3.</w:t>
      </w:r>
      <w:r w:rsidR="70E5A91F" w:rsidRPr="00DE108C">
        <w:t>6</w:t>
      </w:r>
      <w:r w:rsidRPr="00DE108C">
        <w:t>: Areas engaged on and influence of environmental community groups</w:t>
      </w:r>
      <w:bookmarkEnd w:id="256"/>
      <w:bookmarkEnd w:id="257"/>
      <w:bookmarkEnd w:id="258"/>
      <w:bookmarkEnd w:id="259"/>
      <w:bookmarkEnd w:id="260"/>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275"/>
        <w:gridCol w:w="5340"/>
      </w:tblGrid>
      <w:tr w:rsidR="0069661E" w:rsidRPr="00DE108C" w14:paraId="76BBEC1D" w14:textId="77777777">
        <w:trPr>
          <w:cnfStyle w:val="100000000000" w:firstRow="1" w:lastRow="0" w:firstColumn="0" w:lastColumn="0" w:oddVBand="0" w:evenVBand="0" w:oddHBand="0" w:evenHBand="0" w:firstRowFirstColumn="0" w:firstRowLastColumn="0" w:lastRowFirstColumn="0" w:lastRowLastColumn="0"/>
          <w:trHeight w:val="300"/>
        </w:trPr>
        <w:tc>
          <w:tcPr>
            <w:tcW w:w="4275"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left w:w="75" w:type="dxa"/>
              <w:right w:w="75" w:type="dxa"/>
            </w:tcMar>
          </w:tcPr>
          <w:p w14:paraId="5102F4A9" w14:textId="77777777" w:rsidR="00767B75" w:rsidRPr="00DE108C" w:rsidRDefault="00767B75" w:rsidP="00F71D3F">
            <w:pPr>
              <w:pStyle w:val="TableHeading"/>
              <w:rPr>
                <w:rFonts w:eastAsia="Verdana"/>
              </w:rPr>
            </w:pPr>
            <w:r w:rsidRPr="00DE108C">
              <w:rPr>
                <w:rFonts w:eastAsia="Verdana"/>
              </w:rPr>
              <w:t>Area of interest/topics engaged on</w:t>
            </w:r>
          </w:p>
        </w:tc>
        <w:tc>
          <w:tcPr>
            <w:tcW w:w="5340"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left w:w="75" w:type="dxa"/>
              <w:right w:w="75" w:type="dxa"/>
            </w:tcMar>
          </w:tcPr>
          <w:p w14:paraId="7970C82A" w14:textId="77777777" w:rsidR="00767B75" w:rsidRPr="00DE108C" w:rsidRDefault="00767B75" w:rsidP="00F71D3F">
            <w:pPr>
              <w:pStyle w:val="TableHeading"/>
              <w:rPr>
                <w:rFonts w:eastAsia="Verdana"/>
              </w:rPr>
            </w:pPr>
            <w:r w:rsidRPr="00DE108C">
              <w:rPr>
                <w:rFonts w:eastAsia="Verdana"/>
              </w:rPr>
              <w:t>Influence on our work</w:t>
            </w:r>
          </w:p>
        </w:tc>
      </w:tr>
      <w:tr w:rsidR="00767B75" w:rsidRPr="00DE108C" w14:paraId="5B61C2CB" w14:textId="77777777">
        <w:trPr>
          <w:trHeight w:val="300"/>
        </w:trPr>
        <w:tc>
          <w:tcPr>
            <w:tcW w:w="4275" w:type="dxa"/>
            <w:tcBorders>
              <w:left w:val="single" w:sz="6" w:space="0" w:color="auto"/>
            </w:tcBorders>
            <w:tcMar>
              <w:left w:w="75" w:type="dxa"/>
              <w:right w:w="75" w:type="dxa"/>
            </w:tcMar>
          </w:tcPr>
          <w:p w14:paraId="225E144A" w14:textId="77777777" w:rsidR="00767B75" w:rsidRPr="00DE108C" w:rsidRDefault="00767B75" w:rsidP="00F71D3F">
            <w:pPr>
              <w:pStyle w:val="TableText"/>
              <w:rPr>
                <w:rFonts w:eastAsia="Verdana"/>
              </w:rPr>
            </w:pPr>
            <w:r w:rsidRPr="00DE108C">
              <w:rPr>
                <w:rFonts w:eastAsia="Verdana"/>
              </w:rPr>
              <w:t>Providing vegetation for the environment was the highest priority identified through our work.</w:t>
            </w:r>
          </w:p>
        </w:tc>
        <w:tc>
          <w:tcPr>
            <w:tcW w:w="5340" w:type="dxa"/>
            <w:tcBorders>
              <w:right w:val="single" w:sz="6" w:space="0" w:color="auto"/>
            </w:tcBorders>
            <w:tcMar>
              <w:left w:w="75" w:type="dxa"/>
              <w:right w:w="75" w:type="dxa"/>
            </w:tcMar>
          </w:tcPr>
          <w:p w14:paraId="0E3D2930" w14:textId="428FE09A" w:rsidR="00767B75" w:rsidRPr="00DE108C" w:rsidRDefault="00767B75" w:rsidP="0030061C">
            <w:pPr>
              <w:pStyle w:val="Tablebullet"/>
              <w:rPr>
                <w:rFonts w:eastAsia="Verdana"/>
              </w:rPr>
            </w:pPr>
            <w:r w:rsidRPr="0030061C">
              <w:rPr>
                <w:rFonts w:eastAsia="Verdana"/>
              </w:rPr>
              <w:t>Feedback</w:t>
            </w:r>
            <w:r w:rsidRPr="00DE108C">
              <w:rPr>
                <w:rFonts w:eastAsia="Verdana"/>
              </w:rPr>
              <w:t xml:space="preserve"> from community groups directly influenced our proposed opex for vegetation. We are proposing an increase in vegetation opex of $6.2 million to provide grants and support to community groups to increase vegetation along the waterways. This activity was also supported by end</w:t>
            </w:r>
            <w:r w:rsidR="1CE8CEA7" w:rsidRPr="14031F0E">
              <w:rPr>
                <w:rFonts w:eastAsia="Verdana"/>
              </w:rPr>
              <w:t>-</w:t>
            </w:r>
            <w:r w:rsidRPr="00DE108C">
              <w:rPr>
                <w:rFonts w:eastAsia="Verdana"/>
              </w:rPr>
              <w:t xml:space="preserve">use customers. </w:t>
            </w:r>
          </w:p>
        </w:tc>
      </w:tr>
      <w:tr w:rsidR="0069661E" w:rsidRPr="00DE108C" w14:paraId="1044E687" w14:textId="77777777">
        <w:trPr>
          <w:cnfStyle w:val="000000010000" w:firstRow="0" w:lastRow="0" w:firstColumn="0" w:lastColumn="0" w:oddVBand="0" w:evenVBand="0" w:oddHBand="0" w:evenHBand="1" w:firstRowFirstColumn="0" w:firstRowLastColumn="0" w:lastRowFirstColumn="0" w:lastRowLastColumn="0"/>
          <w:trHeight w:val="300"/>
        </w:trPr>
        <w:tc>
          <w:tcPr>
            <w:tcW w:w="4275" w:type="dxa"/>
            <w:tcBorders>
              <w:left w:val="single" w:sz="6" w:space="0" w:color="auto"/>
              <w:bottom w:val="single" w:sz="6" w:space="0" w:color="auto"/>
            </w:tcBorders>
            <w:tcMar>
              <w:left w:w="75" w:type="dxa"/>
              <w:right w:w="75" w:type="dxa"/>
            </w:tcMar>
          </w:tcPr>
          <w:p w14:paraId="507AD3F7" w14:textId="77777777" w:rsidR="00767B75" w:rsidRPr="00DE108C" w:rsidRDefault="00767B75" w:rsidP="00F71D3F">
            <w:pPr>
              <w:pStyle w:val="TableText"/>
              <w:rPr>
                <w:rFonts w:eastAsia="Verdana"/>
              </w:rPr>
            </w:pPr>
            <w:r w:rsidRPr="00DE108C">
              <w:rPr>
                <w:rFonts w:eastAsia="Verdana"/>
              </w:rPr>
              <w:t>Key activities that groups want Melbourne Water to invest in are protecting wildlife and biodiversity and engaging/educating and informing communities.</w:t>
            </w:r>
          </w:p>
        </w:tc>
        <w:tc>
          <w:tcPr>
            <w:tcW w:w="5340" w:type="dxa"/>
            <w:tcBorders>
              <w:bottom w:val="single" w:sz="6" w:space="0" w:color="auto"/>
              <w:right w:val="single" w:sz="6" w:space="0" w:color="auto"/>
            </w:tcBorders>
            <w:tcMar>
              <w:left w:w="75" w:type="dxa"/>
              <w:right w:w="75" w:type="dxa"/>
            </w:tcMar>
          </w:tcPr>
          <w:p w14:paraId="2F6139E9" w14:textId="1ADCA7C6" w:rsidR="00767B75" w:rsidRPr="00634EF2" w:rsidRDefault="00767B75" w:rsidP="000826C7">
            <w:pPr>
              <w:pStyle w:val="Tablebullet"/>
              <w:rPr>
                <w:rFonts w:eastAsia="Verdana"/>
              </w:rPr>
            </w:pPr>
            <w:r w:rsidRPr="00634EF2">
              <w:rPr>
                <w:rFonts w:eastAsia="Verdana"/>
              </w:rPr>
              <w:t>Feedback from community groups along with end-use customers influenced our decisions around waterway condition capital works. We are proposing to undertake $</w:t>
            </w:r>
            <w:r w:rsidR="002C00C4" w:rsidRPr="00634EF2">
              <w:rPr>
                <w:rFonts w:eastAsia="Verdana"/>
              </w:rPr>
              <w:t>144</w:t>
            </w:r>
            <w:r w:rsidRPr="00634EF2">
              <w:rPr>
                <w:rFonts w:eastAsia="Verdana"/>
              </w:rPr>
              <w:t xml:space="preserve"> million in waterway condition capital works to renew ageing assets and improve the quality of vegetation and lands surrounding waterways to support biodiversity and waterway health. As part of this, we are proposing a waterway vegetation program to ensure compliance with </w:t>
            </w:r>
            <w:r w:rsidRPr="00634EF2">
              <w:rPr>
                <w:rFonts w:eastAsia="Verdana"/>
              </w:rPr>
              <w:lastRenderedPageBreak/>
              <w:t>our obligations as the waterways manager ($</w:t>
            </w:r>
            <w:r w:rsidR="006E6727" w:rsidRPr="00634EF2">
              <w:rPr>
                <w:rFonts w:eastAsia="Verdana"/>
              </w:rPr>
              <w:t>76</w:t>
            </w:r>
            <w:r w:rsidRPr="00634EF2">
              <w:rPr>
                <w:rFonts w:eastAsia="Verdana"/>
              </w:rPr>
              <w:t xml:space="preserve"> million), which will support wildlife and biodiversity.</w:t>
            </w:r>
          </w:p>
          <w:p w14:paraId="3FF760AF" w14:textId="466726F4" w:rsidR="00767B75" w:rsidRPr="00DE108C" w:rsidRDefault="00767B75" w:rsidP="000826C7">
            <w:pPr>
              <w:pStyle w:val="Tablebullet"/>
              <w:rPr>
                <w:rFonts w:eastAsia="Verdana"/>
              </w:rPr>
            </w:pPr>
            <w:r w:rsidRPr="00634EF2">
              <w:rPr>
                <w:rFonts w:eastAsia="Verdana"/>
              </w:rPr>
              <w:t>We are also proposing an engagement program to raise awareness and educate the community on the importance of water efficiency, sustainable practices in sewer systems and how to contribute to healthy waterways. This will be reported on through our annual Outcomes Performance Report.</w:t>
            </w:r>
          </w:p>
        </w:tc>
      </w:tr>
    </w:tbl>
    <w:p w14:paraId="3E4C916D" w14:textId="77777777" w:rsidR="00767B75" w:rsidRPr="00DE108C" w:rsidRDefault="00767B75">
      <w:pPr>
        <w:pStyle w:val="BodyText"/>
      </w:pPr>
    </w:p>
    <w:p w14:paraId="1A73C7E9" w14:textId="18A818FD" w:rsidR="00767B75" w:rsidRPr="00DE108C" w:rsidRDefault="00767B75" w:rsidP="00763595">
      <w:pPr>
        <w:pStyle w:val="Heading2"/>
        <w:rPr>
          <w:szCs w:val="16"/>
        </w:rPr>
      </w:pPr>
      <w:bookmarkStart w:id="261" w:name="_Toc207892888"/>
      <w:bookmarkStart w:id="262" w:name="_Toc207853381"/>
      <w:r w:rsidRPr="00DE108C">
        <w:rPr>
          <w:szCs w:val="16"/>
        </w:rPr>
        <w:t>3.</w:t>
      </w:r>
      <w:r w:rsidR="001A30F3" w:rsidRPr="00DE108C">
        <w:t>3</w:t>
      </w:r>
      <w:r w:rsidRPr="00DE108C">
        <w:rPr>
          <w:szCs w:val="16"/>
        </w:rPr>
        <w:t xml:space="preserve"> What we engaged on</w:t>
      </w:r>
      <w:bookmarkEnd w:id="261"/>
      <w:bookmarkEnd w:id="262"/>
      <w:r w:rsidRPr="00DE108C">
        <w:rPr>
          <w:szCs w:val="16"/>
        </w:rPr>
        <w:t xml:space="preserve"> </w:t>
      </w:r>
    </w:p>
    <w:p w14:paraId="66C8E9CB" w14:textId="77777777" w:rsidR="00767B75" w:rsidRPr="00DE108C" w:rsidRDefault="00767B75" w:rsidP="00F71D3F">
      <w:pPr>
        <w:rPr>
          <w:rFonts w:eastAsia="Verdana"/>
        </w:rPr>
      </w:pPr>
      <w:r w:rsidRPr="00DE108C">
        <w:rPr>
          <w:rFonts w:eastAsia="Verdana"/>
        </w:rPr>
        <w:t xml:space="preserve">We engaged on topics of material interest and impact to customers. These topics were identified through early engagement with the water corporations and via community prioritisation activities. </w:t>
      </w:r>
    </w:p>
    <w:p w14:paraId="44BDFAC5" w14:textId="20BD7158" w:rsidR="00767B75" w:rsidRPr="00DE108C" w:rsidRDefault="00767B75" w:rsidP="00F71D3F">
      <w:pPr>
        <w:rPr>
          <w:rFonts w:eastAsia="Verdana"/>
        </w:rPr>
      </w:pPr>
      <w:r w:rsidRPr="00DE108C">
        <w:rPr>
          <w:rFonts w:eastAsia="Verdana"/>
        </w:rPr>
        <w:t xml:space="preserve">Our first engagement objective was to identify the challenges our </w:t>
      </w:r>
      <w:r w:rsidR="60454E7A" w:rsidRPr="6547E72D">
        <w:rPr>
          <w:rFonts w:eastAsia="Verdana"/>
        </w:rPr>
        <w:t>PS26</w:t>
      </w:r>
      <w:r w:rsidRPr="00DE108C">
        <w:rPr>
          <w:rFonts w:eastAsia="Verdana"/>
        </w:rPr>
        <w:t xml:space="preserve"> would need to consider to provide value to customers and community, which would guide our ongoing engagement program. We identified these challenges in consultation with our water corporation customers. This allowed us to focus our purpose at each stage of engagement. The water corporations identified the following challenges (no preferential order): </w:t>
      </w:r>
    </w:p>
    <w:p w14:paraId="474A323B" w14:textId="75838905" w:rsidR="00767B75" w:rsidRPr="00DE108C" w:rsidRDefault="330DF4EF" w:rsidP="008C46DF">
      <w:pPr>
        <w:pStyle w:val="ListBullet"/>
        <w:rPr>
          <w:rFonts w:eastAsia="Verdana"/>
        </w:rPr>
      </w:pPr>
      <w:r w:rsidRPr="14031F0E">
        <w:rPr>
          <w:rFonts w:eastAsia="Verdana"/>
        </w:rPr>
        <w:t>a</w:t>
      </w:r>
      <w:r w:rsidR="00767B75" w:rsidRPr="00DE108C">
        <w:rPr>
          <w:rFonts w:eastAsia="Verdana"/>
        </w:rPr>
        <w:t xml:space="preserve"> changing climate</w:t>
      </w:r>
    </w:p>
    <w:p w14:paraId="0475D309" w14:textId="196629F3" w:rsidR="00767B75" w:rsidRPr="00DE108C" w:rsidRDefault="783E1AA8" w:rsidP="008C46DF">
      <w:pPr>
        <w:pStyle w:val="ListBullet"/>
        <w:rPr>
          <w:rFonts w:eastAsia="Verdana"/>
        </w:rPr>
      </w:pPr>
      <w:r w:rsidRPr="14031F0E">
        <w:rPr>
          <w:rFonts w:eastAsia="Verdana"/>
        </w:rPr>
        <w:t>p</w:t>
      </w:r>
      <w:r w:rsidR="00767B75" w:rsidRPr="00DE108C">
        <w:rPr>
          <w:rFonts w:eastAsia="Verdana"/>
        </w:rPr>
        <w:t xml:space="preserve">opulation growth </w:t>
      </w:r>
    </w:p>
    <w:p w14:paraId="372DAC54" w14:textId="4E54ACEE" w:rsidR="00767B75" w:rsidRPr="00DE108C" w:rsidRDefault="511BCCA6" w:rsidP="008C46DF">
      <w:pPr>
        <w:pStyle w:val="ListBullet"/>
        <w:rPr>
          <w:rFonts w:eastAsia="Verdana"/>
        </w:rPr>
      </w:pPr>
      <w:r w:rsidRPr="14031F0E">
        <w:rPr>
          <w:rFonts w:eastAsia="Verdana"/>
        </w:rPr>
        <w:t>a</w:t>
      </w:r>
      <w:r w:rsidR="00767B75" w:rsidRPr="00DE108C">
        <w:rPr>
          <w:rFonts w:eastAsia="Verdana"/>
        </w:rPr>
        <w:t>g</w:t>
      </w:r>
      <w:r w:rsidR="7A6A19CE" w:rsidRPr="00DE108C">
        <w:rPr>
          <w:rFonts w:eastAsia="Verdana"/>
        </w:rPr>
        <w:t>e</w:t>
      </w:r>
      <w:r w:rsidR="00767B75" w:rsidRPr="00DE108C">
        <w:rPr>
          <w:rFonts w:eastAsia="Verdana"/>
        </w:rPr>
        <w:t xml:space="preserve">ing infrastructure and changing technology </w:t>
      </w:r>
    </w:p>
    <w:p w14:paraId="6E38E4DC" w14:textId="6CB42A18" w:rsidR="00767B75" w:rsidRPr="00DE108C" w:rsidRDefault="2C8B360E" w:rsidP="008C46DF">
      <w:pPr>
        <w:pStyle w:val="ListBullet"/>
        <w:rPr>
          <w:rFonts w:eastAsia="Verdana"/>
        </w:rPr>
      </w:pPr>
      <w:r w:rsidRPr="14031F0E">
        <w:rPr>
          <w:rFonts w:eastAsia="Verdana"/>
        </w:rPr>
        <w:t>p</w:t>
      </w:r>
      <w:r w:rsidR="00767B75" w:rsidRPr="00DE108C">
        <w:rPr>
          <w:rFonts w:eastAsia="Verdana"/>
        </w:rPr>
        <w:t>rotecting our environment</w:t>
      </w:r>
    </w:p>
    <w:p w14:paraId="17B0BDAA" w14:textId="2202AB68" w:rsidR="00767B75" w:rsidRPr="00DE108C" w:rsidRDefault="1A431E79" w:rsidP="008C46DF">
      <w:pPr>
        <w:pStyle w:val="ListBullet"/>
        <w:rPr>
          <w:rFonts w:eastAsia="Verdana"/>
        </w:rPr>
      </w:pPr>
      <w:r w:rsidRPr="14031F0E">
        <w:rPr>
          <w:rFonts w:eastAsia="Verdana"/>
        </w:rPr>
        <w:t>e</w:t>
      </w:r>
      <w:r w:rsidR="00767B75" w:rsidRPr="00DE108C">
        <w:rPr>
          <w:rFonts w:eastAsia="Verdana"/>
        </w:rPr>
        <w:t xml:space="preserve">quity </w:t>
      </w:r>
    </w:p>
    <w:p w14:paraId="3F285CD8" w14:textId="256B7C86" w:rsidR="00767B75" w:rsidRPr="00DE108C" w:rsidRDefault="04048510" w:rsidP="008C46DF">
      <w:pPr>
        <w:pStyle w:val="ListBullet"/>
        <w:rPr>
          <w:rFonts w:eastAsia="Verdana"/>
        </w:rPr>
      </w:pPr>
      <w:r w:rsidRPr="14031F0E">
        <w:rPr>
          <w:rFonts w:eastAsia="Verdana"/>
        </w:rPr>
        <w:t>c</w:t>
      </w:r>
      <w:r w:rsidR="00767B75" w:rsidRPr="14031F0E">
        <w:rPr>
          <w:rFonts w:eastAsia="Verdana"/>
        </w:rPr>
        <w:t>aring</w:t>
      </w:r>
      <w:r w:rsidR="00767B75" w:rsidRPr="00DE108C">
        <w:rPr>
          <w:rFonts w:eastAsia="Verdana"/>
        </w:rPr>
        <w:t xml:space="preserve"> for Country</w:t>
      </w:r>
      <w:r w:rsidR="3559C2E4" w:rsidRPr="14031F0E">
        <w:rPr>
          <w:rFonts w:eastAsia="Verdana"/>
        </w:rPr>
        <w:t>.</w:t>
      </w:r>
      <w:r w:rsidR="00767B75" w:rsidRPr="00DE108C">
        <w:rPr>
          <w:rFonts w:eastAsia="Verdana"/>
        </w:rPr>
        <w:t xml:space="preserve"> </w:t>
      </w:r>
    </w:p>
    <w:p w14:paraId="0A7E9507" w14:textId="61E935CF" w:rsidR="00767B75" w:rsidRPr="00DE108C" w:rsidRDefault="00767B75">
      <w:pPr>
        <w:pStyle w:val="Heading3"/>
      </w:pPr>
      <w:r w:rsidRPr="00DE108C">
        <w:t>3.</w:t>
      </w:r>
      <w:r w:rsidR="001A30F3" w:rsidRPr="00DE108C">
        <w:t>3</w:t>
      </w:r>
      <w:r w:rsidRPr="00DE108C">
        <w:t>.1 Water corporations</w:t>
      </w:r>
    </w:p>
    <w:p w14:paraId="3527D6C1" w14:textId="6A496C55" w:rsidR="00767B75" w:rsidRPr="00DE108C" w:rsidRDefault="00767B75" w:rsidP="00F71D3F">
      <w:pPr>
        <w:rPr>
          <w:rFonts w:eastAsia="Verdana"/>
        </w:rPr>
      </w:pPr>
      <w:r w:rsidRPr="00DE108C">
        <w:rPr>
          <w:rFonts w:eastAsia="Verdana"/>
        </w:rPr>
        <w:t xml:space="preserve">In consultation with the water corporations, we developed specific topics for engagement with them and the community, including: </w:t>
      </w:r>
    </w:p>
    <w:p w14:paraId="54668034" w14:textId="0E7AEE7B" w:rsidR="00767B75" w:rsidRPr="00DE108C" w:rsidRDefault="00767B75" w:rsidP="008C46DF">
      <w:pPr>
        <w:pStyle w:val="ListBullet"/>
      </w:pPr>
      <w:r w:rsidRPr="00DE108C">
        <w:rPr>
          <w:rFonts w:eastAsia="Verdana"/>
        </w:rPr>
        <w:t>engagement topics for communities</w:t>
      </w:r>
      <w:r w:rsidR="18AF5BB7" w:rsidRPr="00DE108C">
        <w:rPr>
          <w:rFonts w:eastAsia="Verdana"/>
        </w:rPr>
        <w:t xml:space="preserve"> (</w:t>
      </w:r>
      <w:r w:rsidRPr="00DE108C">
        <w:rPr>
          <w:rFonts w:eastAsia="Verdana"/>
        </w:rPr>
        <w:t>including developing the ‘challenges’ to direct</w:t>
      </w:r>
      <w:r w:rsidR="6DC3F660" w:rsidRPr="00DE108C">
        <w:rPr>
          <w:rFonts w:eastAsia="Verdana"/>
        </w:rPr>
        <w:t>ly</w:t>
      </w:r>
      <w:r w:rsidRPr="00DE108C">
        <w:rPr>
          <w:rFonts w:eastAsia="Verdana"/>
        </w:rPr>
        <w:t xml:space="preserve"> be addressed in our submission</w:t>
      </w:r>
      <w:r w:rsidR="3C6EDD9A" w:rsidRPr="00DE108C">
        <w:rPr>
          <w:rFonts w:eastAsia="Verdana"/>
        </w:rPr>
        <w:t>)</w:t>
      </w:r>
      <w:r w:rsidRPr="00DE108C">
        <w:rPr>
          <w:rFonts w:eastAsia="Verdana"/>
        </w:rPr>
        <w:t xml:space="preserve"> and the community Playback </w:t>
      </w:r>
    </w:p>
    <w:p w14:paraId="7B513FC7" w14:textId="7F91E68D" w:rsidR="00767B75" w:rsidRPr="00DE108C" w:rsidRDefault="00767B75" w:rsidP="008C46DF">
      <w:pPr>
        <w:pStyle w:val="ListBullet"/>
        <w:rPr>
          <w:rFonts w:eastAsia="Verdana"/>
        </w:rPr>
      </w:pPr>
      <w:r w:rsidRPr="00DE108C">
        <w:rPr>
          <w:rFonts w:eastAsia="Verdana"/>
        </w:rPr>
        <w:t>customer Outcomes and potential for alignment between performance commitments between Melbourne Water and the water corporations</w:t>
      </w:r>
      <w:r w:rsidR="459DE7DE" w:rsidRPr="14031F0E">
        <w:rPr>
          <w:rFonts w:eastAsia="Verdana"/>
        </w:rPr>
        <w:t>,</w:t>
      </w:r>
      <w:r w:rsidRPr="00DE108C">
        <w:rPr>
          <w:rFonts w:eastAsia="Verdana"/>
        </w:rPr>
        <w:t xml:space="preserve"> such as Guaranteed Service Levels </w:t>
      </w:r>
      <w:r w:rsidR="3F60C0E4" w:rsidRPr="14031F0E">
        <w:rPr>
          <w:rFonts w:eastAsia="Verdana"/>
        </w:rPr>
        <w:t xml:space="preserve">(GSL) </w:t>
      </w:r>
      <w:r w:rsidRPr="00DE108C">
        <w:rPr>
          <w:rFonts w:eastAsia="Verdana"/>
        </w:rPr>
        <w:t xml:space="preserve">for water quality and support programs for vulnerable customers </w:t>
      </w:r>
    </w:p>
    <w:p w14:paraId="77089CEA" w14:textId="0096E801" w:rsidR="00767B75" w:rsidRPr="00DE108C" w:rsidRDefault="00767B75" w:rsidP="008C46DF">
      <w:pPr>
        <w:pStyle w:val="ListBullet"/>
        <w:rPr>
          <w:rFonts w:eastAsia="Verdana"/>
        </w:rPr>
      </w:pPr>
      <w:r w:rsidRPr="00DE108C">
        <w:rPr>
          <w:rFonts w:eastAsia="Verdana"/>
        </w:rPr>
        <w:t xml:space="preserve">capital planning and prioritisation based on an understanding of the water corporations’ needs </w:t>
      </w:r>
    </w:p>
    <w:p w14:paraId="2078C54E" w14:textId="77777777" w:rsidR="00767B75" w:rsidRPr="00DE108C" w:rsidRDefault="00767B75" w:rsidP="008C46DF">
      <w:pPr>
        <w:pStyle w:val="ListBullet"/>
      </w:pPr>
      <w:r w:rsidRPr="00DE108C">
        <w:t>managing deliverability and uncertainty in investment programs and sharing risk</w:t>
      </w:r>
    </w:p>
    <w:p w14:paraId="54360465" w14:textId="77777777" w:rsidR="00767B75" w:rsidRPr="00DE108C" w:rsidRDefault="00767B75" w:rsidP="008C46DF">
      <w:pPr>
        <w:pStyle w:val="ListBullet"/>
      </w:pPr>
      <w:r w:rsidRPr="00DE108C">
        <w:rPr>
          <w:rFonts w:eastAsia="Verdana"/>
        </w:rPr>
        <w:t>asset ownership and Bulk Supply Agreement modernisation</w:t>
      </w:r>
    </w:p>
    <w:p w14:paraId="1A555D72" w14:textId="4788622E" w:rsidR="00767B75" w:rsidRPr="00DE108C" w:rsidRDefault="00767B75" w:rsidP="008C46DF">
      <w:pPr>
        <w:pStyle w:val="ListBullet"/>
        <w:rPr>
          <w:rFonts w:eastAsia="Verdana"/>
        </w:rPr>
      </w:pPr>
      <w:r w:rsidRPr="00DE108C">
        <w:rPr>
          <w:rFonts w:eastAsia="Verdana"/>
        </w:rPr>
        <w:t>our approach to PREMO ratings.</w:t>
      </w:r>
    </w:p>
    <w:p w14:paraId="6140D290" w14:textId="6BE02DBE" w:rsidR="36392395" w:rsidRPr="00DE108C" w:rsidRDefault="34699F61" w:rsidP="57EA7F97">
      <w:r w:rsidRPr="00DE108C">
        <w:t xml:space="preserve">Through the </w:t>
      </w:r>
      <w:r w:rsidR="6DB21CB6" w:rsidRPr="00DE108C">
        <w:t>engagement</w:t>
      </w:r>
      <w:r w:rsidRPr="00DE108C">
        <w:t xml:space="preserve"> process</w:t>
      </w:r>
      <w:r w:rsidR="78AFE36A" w:rsidRPr="00DE108C">
        <w:t xml:space="preserve"> with water corporations</w:t>
      </w:r>
      <w:r w:rsidRPr="00DE108C">
        <w:t xml:space="preserve">, a series of key </w:t>
      </w:r>
      <w:r w:rsidR="6DB817EA" w:rsidRPr="00DE108C">
        <w:t>matters</w:t>
      </w:r>
      <w:r w:rsidR="169755FA" w:rsidRPr="00DE108C">
        <w:t>/topics</w:t>
      </w:r>
      <w:r w:rsidRPr="00DE108C">
        <w:t xml:space="preserve"> were developed</w:t>
      </w:r>
      <w:r w:rsidR="7345E2D7" w:rsidRPr="00DE108C">
        <w:t>,</w:t>
      </w:r>
      <w:r w:rsidRPr="00DE108C">
        <w:t xml:space="preserve"> engaged on</w:t>
      </w:r>
      <w:r w:rsidR="5C2803E2" w:rsidRPr="00DE108C">
        <w:t>,</w:t>
      </w:r>
      <w:r w:rsidRPr="00DE108C">
        <w:t xml:space="preserve"> </w:t>
      </w:r>
      <w:r w:rsidR="0A9202DC" w:rsidRPr="00DE108C">
        <w:t xml:space="preserve">and resolved </w:t>
      </w:r>
      <w:r w:rsidR="2BCD1A8D" w:rsidRPr="00DE108C">
        <w:t>or had a resolution pathway identified</w:t>
      </w:r>
      <w:r w:rsidR="0A9202DC" w:rsidRPr="00DE108C">
        <w:t xml:space="preserve">. </w:t>
      </w:r>
      <w:r w:rsidR="5B8C5E2F" w:rsidRPr="00DE108C">
        <w:t>A detailed</w:t>
      </w:r>
      <w:r w:rsidR="26CF1DDB" w:rsidRPr="00DE108C">
        <w:t xml:space="preserve"> resolution outcome for these matters </w:t>
      </w:r>
      <w:r w:rsidR="4C7CF18F" w:rsidRPr="00DE108C">
        <w:t>is</w:t>
      </w:r>
      <w:r w:rsidR="26CF1DDB" w:rsidRPr="00DE108C">
        <w:t xml:space="preserve"> outlined in Appendix </w:t>
      </w:r>
      <w:r w:rsidR="00002650">
        <w:t>A</w:t>
      </w:r>
      <w:r w:rsidR="195300AB">
        <w:t xml:space="preserve"> (</w:t>
      </w:r>
      <w:r w:rsidR="26CF1DDB" w:rsidRPr="00DE108C">
        <w:t>Water corporation summaries</w:t>
      </w:r>
      <w:r w:rsidR="049CDECF">
        <w:t>)</w:t>
      </w:r>
      <w:r w:rsidR="2E95A8D5">
        <w:t>.</w:t>
      </w:r>
      <w:r w:rsidR="26CF1DDB" w:rsidRPr="00DE108C">
        <w:t xml:space="preserve"> </w:t>
      </w:r>
    </w:p>
    <w:p w14:paraId="7A8FD942" w14:textId="18C35E39" w:rsidR="00767B75" w:rsidRPr="00DE108C" w:rsidRDefault="00767B75" w:rsidP="00397AD5">
      <w:pPr>
        <w:pStyle w:val="Heading3"/>
      </w:pPr>
      <w:r w:rsidRPr="00DE108C">
        <w:t>3.</w:t>
      </w:r>
      <w:r w:rsidR="001A30F3" w:rsidRPr="00DE108C">
        <w:t>3</w:t>
      </w:r>
      <w:r w:rsidRPr="00DE108C">
        <w:t>.</w:t>
      </w:r>
      <w:r w:rsidR="00397AD5" w:rsidRPr="00DE108C">
        <w:t>2</w:t>
      </w:r>
      <w:r w:rsidRPr="00DE108C">
        <w:t xml:space="preserve"> End-use customers and community</w:t>
      </w:r>
    </w:p>
    <w:p w14:paraId="7B8EB61A" w14:textId="77E0AE63" w:rsidR="00767B75" w:rsidRPr="00DE108C" w:rsidRDefault="00767B75" w:rsidP="00F71D3F">
      <w:pPr>
        <w:rPr>
          <w:rFonts w:eastAsia="Verdana"/>
        </w:rPr>
      </w:pPr>
      <w:r w:rsidRPr="00DE108C">
        <w:rPr>
          <w:rFonts w:eastAsia="Verdana"/>
        </w:rPr>
        <w:t xml:space="preserve">For end-use customers and community, we started broad, initially seeking to understand overall priorities that were used to inform our investment directions and Outcomes </w:t>
      </w:r>
      <w:r w:rsidR="009C49FE">
        <w:rPr>
          <w:rFonts w:eastAsia="Verdana"/>
        </w:rPr>
        <w:t xml:space="preserve">- </w:t>
      </w:r>
      <w:r w:rsidRPr="00DE108C">
        <w:rPr>
          <w:rFonts w:eastAsia="Verdana"/>
        </w:rPr>
        <w:t xml:space="preserve">outlined </w:t>
      </w:r>
      <w:r w:rsidRPr="00DE108C">
        <w:rPr>
          <w:rFonts w:eastAsia="Verdana"/>
        </w:rPr>
        <w:lastRenderedPageBreak/>
        <w:t xml:space="preserve">in Chapter 4 </w:t>
      </w:r>
      <w:r w:rsidR="54E6ADAB" w:rsidRPr="14031F0E">
        <w:rPr>
          <w:rFonts w:eastAsia="Verdana"/>
        </w:rPr>
        <w:t>(</w:t>
      </w:r>
      <w:r w:rsidRPr="00DE108C">
        <w:rPr>
          <w:rFonts w:eastAsia="Verdana"/>
        </w:rPr>
        <w:t>Outcomes</w:t>
      </w:r>
      <w:r w:rsidR="3451C56B" w:rsidRPr="14031F0E">
        <w:rPr>
          <w:rFonts w:eastAsia="Verdana"/>
        </w:rPr>
        <w:t>)</w:t>
      </w:r>
      <w:r w:rsidRPr="14031F0E">
        <w:rPr>
          <w:rFonts w:eastAsia="Verdana"/>
        </w:rPr>
        <w:t>.</w:t>
      </w:r>
      <w:r w:rsidRPr="00DE108C">
        <w:rPr>
          <w:rFonts w:eastAsia="Verdana"/>
        </w:rPr>
        <w:t xml:space="preserve"> We then targeted specific initiatives and activities that required broad community sentiment and insights for us to proceed, including:</w:t>
      </w:r>
    </w:p>
    <w:p w14:paraId="2CED10D6" w14:textId="77777777" w:rsidR="00767B75" w:rsidRPr="00DE108C" w:rsidRDefault="00767B75" w:rsidP="008C46DF">
      <w:pPr>
        <w:pStyle w:val="ListBullet"/>
        <w:rPr>
          <w:rFonts w:eastAsia="Verdana"/>
        </w:rPr>
      </w:pPr>
      <w:r w:rsidRPr="00DE108C">
        <w:rPr>
          <w:rFonts w:eastAsia="Verdana"/>
          <w:b/>
          <w:bCs/>
        </w:rPr>
        <w:t>Customer Outcomes</w:t>
      </w:r>
      <w:r w:rsidRPr="008C46DF">
        <w:rPr>
          <w:rFonts w:eastAsia="Verdana"/>
          <w:b/>
        </w:rPr>
        <w:t>:</w:t>
      </w:r>
      <w:r w:rsidRPr="00DE108C">
        <w:rPr>
          <w:rFonts w:eastAsia="Verdana"/>
        </w:rPr>
        <w:t xml:space="preserve"> To make sure community priorities were reflected in proposed Customer Outcomes. </w:t>
      </w:r>
    </w:p>
    <w:p w14:paraId="1DABB24B" w14:textId="77777777" w:rsidR="00767B75" w:rsidRPr="00DE108C" w:rsidRDefault="00767B75" w:rsidP="008C46DF">
      <w:pPr>
        <w:pStyle w:val="ListBullet"/>
        <w:rPr>
          <w:rFonts w:eastAsia="Verdana"/>
        </w:rPr>
      </w:pPr>
      <w:r w:rsidRPr="00DE108C">
        <w:rPr>
          <w:rFonts w:eastAsia="Verdana"/>
          <w:b/>
          <w:bCs/>
        </w:rPr>
        <w:t>Vulnerability program</w:t>
      </w:r>
      <w:r w:rsidRPr="008C46DF">
        <w:rPr>
          <w:rFonts w:eastAsia="Verdana"/>
          <w:b/>
        </w:rPr>
        <w:t>:</w:t>
      </w:r>
      <w:r w:rsidRPr="00DE108C">
        <w:rPr>
          <w:rFonts w:eastAsia="Verdana"/>
        </w:rPr>
        <w:t xml:space="preserve"> Understanding community views on cost-of-living pressures and whether Melbourne Water should consider implementing a program of work to provide further support for customers experiencing vulnerability, and their willingness to pay for this program.</w:t>
      </w:r>
    </w:p>
    <w:p w14:paraId="5EE3A4D6" w14:textId="77777777" w:rsidR="00767B75" w:rsidRPr="00DE108C" w:rsidRDefault="00767B75" w:rsidP="008C46DF">
      <w:pPr>
        <w:pStyle w:val="ListBullet"/>
        <w:rPr>
          <w:rFonts w:eastAsia="Verdana"/>
        </w:rPr>
      </w:pPr>
      <w:r w:rsidRPr="00DE108C">
        <w:rPr>
          <w:rFonts w:eastAsia="Verdana"/>
          <w:b/>
          <w:bCs/>
        </w:rPr>
        <w:t>Delivery against Customer Outcomes (investments)</w:t>
      </w:r>
      <w:r w:rsidRPr="008C46DF">
        <w:rPr>
          <w:rFonts w:eastAsia="Verdana"/>
          <w:b/>
        </w:rPr>
        <w:t>:</w:t>
      </w:r>
      <w:r w:rsidRPr="00DE108C">
        <w:rPr>
          <w:rFonts w:eastAsia="Verdana"/>
        </w:rPr>
        <w:t xml:space="preserve"> What level of investment customers are comfortable with for each of our Outcomes.</w:t>
      </w:r>
    </w:p>
    <w:p w14:paraId="5E378B6B" w14:textId="0D1FA73C" w:rsidR="00767B75" w:rsidRPr="00DE108C" w:rsidRDefault="00767B75" w:rsidP="008C46DF">
      <w:pPr>
        <w:pStyle w:val="ListBullet"/>
        <w:rPr>
          <w:rFonts w:eastAsia="Verdana"/>
        </w:rPr>
      </w:pPr>
      <w:r w:rsidRPr="00DE108C">
        <w:rPr>
          <w:rFonts w:eastAsia="Verdana"/>
          <w:b/>
          <w:bCs/>
        </w:rPr>
        <w:t>Price paths</w:t>
      </w:r>
      <w:r w:rsidRPr="008C46DF">
        <w:rPr>
          <w:rFonts w:eastAsia="Verdana"/>
          <w:b/>
        </w:rPr>
        <w:t>:</w:t>
      </w:r>
      <w:r w:rsidRPr="00DE108C">
        <w:rPr>
          <w:rFonts w:eastAsia="Verdana"/>
        </w:rPr>
        <w:t xml:space="preserve"> To understand if bill increases were to be required, how those increases could best be introduced.</w:t>
      </w:r>
    </w:p>
    <w:p w14:paraId="13EC745F" w14:textId="77777777" w:rsidR="00767B75" w:rsidRPr="00DE108C" w:rsidRDefault="00767B75" w:rsidP="008C46DF">
      <w:pPr>
        <w:pStyle w:val="ListBullet"/>
        <w:rPr>
          <w:rFonts w:eastAsia="Verdana"/>
        </w:rPr>
      </w:pPr>
      <w:r w:rsidRPr="00DE108C">
        <w:rPr>
          <w:rFonts w:eastAsia="Verdana"/>
          <w:b/>
          <w:bCs/>
        </w:rPr>
        <w:t>Waterways and drainage programs of work</w:t>
      </w:r>
      <w:r w:rsidRPr="008C46DF">
        <w:rPr>
          <w:rFonts w:eastAsia="Verdana"/>
          <w:b/>
        </w:rPr>
        <w:t>:</w:t>
      </w:r>
      <w:r w:rsidRPr="00DE108C">
        <w:rPr>
          <w:rFonts w:eastAsia="Verdana"/>
        </w:rPr>
        <w:t xml:space="preserve"> For our waterways and drainage services, residential and non-residential customers are our direct customers. To reflect this closer relationship, we took a number of programs to customers to understand their expected level of service and corresponding investments levels. These programs included:</w:t>
      </w:r>
    </w:p>
    <w:p w14:paraId="71391496" w14:textId="095C3D64" w:rsidR="00767B75" w:rsidRPr="008C46DF" w:rsidRDefault="0AA50770" w:rsidP="008C46DF">
      <w:pPr>
        <w:pStyle w:val="ListBullet2"/>
        <w:rPr>
          <w:rFonts w:eastAsia="Verdana"/>
        </w:rPr>
      </w:pPr>
      <w:r>
        <w:t>u</w:t>
      </w:r>
      <w:r w:rsidR="00767B75" w:rsidRPr="00DE108C">
        <w:t>rban drainage</w:t>
      </w:r>
    </w:p>
    <w:p w14:paraId="35D7A18C" w14:textId="1AB48DBB" w:rsidR="00767B75" w:rsidRPr="008C46DF" w:rsidRDefault="3773F380" w:rsidP="008C46DF">
      <w:pPr>
        <w:pStyle w:val="ListBullet2"/>
        <w:rPr>
          <w:rFonts w:eastAsia="Verdana"/>
        </w:rPr>
      </w:pPr>
      <w:r>
        <w:t>p</w:t>
      </w:r>
      <w:r w:rsidR="00767B75" w:rsidRPr="00DE108C">
        <w:t xml:space="preserve">ollution and litter management </w:t>
      </w:r>
    </w:p>
    <w:p w14:paraId="2C5D56CC" w14:textId="4406E556" w:rsidR="00767B75" w:rsidRPr="008C46DF" w:rsidRDefault="28ACA559" w:rsidP="008C46DF">
      <w:pPr>
        <w:pStyle w:val="ListBullet2"/>
        <w:rPr>
          <w:rFonts w:eastAsia="Verdana"/>
        </w:rPr>
      </w:pPr>
      <w:r>
        <w:t>f</w:t>
      </w:r>
      <w:r w:rsidR="00767B75" w:rsidRPr="00DE108C">
        <w:t xml:space="preserve">lood mitigation </w:t>
      </w:r>
    </w:p>
    <w:p w14:paraId="13D788E8" w14:textId="5791DEBE" w:rsidR="00767B75" w:rsidRPr="008C46DF" w:rsidRDefault="02D9AAEC" w:rsidP="008C46DF">
      <w:pPr>
        <w:pStyle w:val="ListBullet2"/>
        <w:rPr>
          <w:rFonts w:eastAsia="Verdana"/>
        </w:rPr>
      </w:pPr>
      <w:r>
        <w:t>m</w:t>
      </w:r>
      <w:r w:rsidR="00767B75" w:rsidRPr="00DE108C">
        <w:t xml:space="preserve">anaging constructed stormwater treatment wetlands for water quality benefits </w:t>
      </w:r>
    </w:p>
    <w:p w14:paraId="4EABF9FB" w14:textId="0663DD70" w:rsidR="00767B75" w:rsidRPr="008C46DF" w:rsidRDefault="7A68983F" w:rsidP="008C46DF">
      <w:pPr>
        <w:pStyle w:val="ListBullet2"/>
        <w:rPr>
          <w:rFonts w:eastAsia="Verdana"/>
        </w:rPr>
      </w:pPr>
      <w:r>
        <w:t>m</w:t>
      </w:r>
      <w:r w:rsidR="00767B75" w:rsidRPr="00DE108C">
        <w:t xml:space="preserve">anaging the volume of flows into our systems via stormwater harvesting </w:t>
      </w:r>
    </w:p>
    <w:p w14:paraId="36A1F9E3" w14:textId="627393A8" w:rsidR="00767B75" w:rsidRPr="008C46DF" w:rsidRDefault="001BA267" w:rsidP="008C46DF">
      <w:pPr>
        <w:pStyle w:val="ListBullet2"/>
        <w:rPr>
          <w:rFonts w:eastAsia="Verdana"/>
        </w:rPr>
      </w:pPr>
      <w:r>
        <w:t>p</w:t>
      </w:r>
      <w:r w:rsidR="00767B75" w:rsidRPr="00DE108C">
        <w:t>roviding community access and recreational opportunities to our lands and waterways.</w:t>
      </w:r>
    </w:p>
    <w:p w14:paraId="70B55F97" w14:textId="6BFD6BE3" w:rsidR="00397AD5" w:rsidRPr="00DE108C" w:rsidRDefault="002A1552" w:rsidP="00397AD5">
      <w:pPr>
        <w:pStyle w:val="Heading2"/>
        <w:rPr>
          <w:rFonts w:eastAsia="Verdana"/>
        </w:rPr>
      </w:pPr>
      <w:bookmarkStart w:id="263" w:name="_Toc207892889"/>
      <w:bookmarkStart w:id="264" w:name="_Toc207853382"/>
      <w:r w:rsidRPr="00DE108C">
        <w:rPr>
          <w:rFonts w:eastAsia="Verdana"/>
        </w:rPr>
        <w:t>3.</w:t>
      </w:r>
      <w:r w:rsidR="001A30F3" w:rsidRPr="00DE108C">
        <w:rPr>
          <w:rFonts w:eastAsia="Verdana"/>
        </w:rPr>
        <w:t>4</w:t>
      </w:r>
      <w:r w:rsidRPr="00DE108C">
        <w:rPr>
          <w:rFonts w:eastAsia="Verdana"/>
        </w:rPr>
        <w:t xml:space="preserve"> Findings and influence</w:t>
      </w:r>
      <w:bookmarkEnd w:id="263"/>
      <w:bookmarkEnd w:id="264"/>
      <w:r w:rsidRPr="00DE108C">
        <w:rPr>
          <w:rFonts w:eastAsia="Verdana"/>
        </w:rPr>
        <w:t xml:space="preserve"> </w:t>
      </w:r>
    </w:p>
    <w:p w14:paraId="7EFC3BEC" w14:textId="29303275" w:rsidR="00767B75" w:rsidRPr="00DE108C" w:rsidRDefault="00767B75" w:rsidP="002A1552">
      <w:pPr>
        <w:pStyle w:val="Heading3"/>
      </w:pPr>
      <w:r w:rsidRPr="00DE108C">
        <w:t>3.</w:t>
      </w:r>
      <w:r w:rsidR="001A30F3" w:rsidRPr="00DE108C">
        <w:t>4</w:t>
      </w:r>
      <w:r w:rsidRPr="00DE108C">
        <w:t xml:space="preserve">.1 Customer priorities </w:t>
      </w:r>
    </w:p>
    <w:p w14:paraId="2D93D15C" w14:textId="70648FE3" w:rsidR="00767B75" w:rsidRPr="00DE108C" w:rsidRDefault="00767B75" w:rsidP="00F71D3F">
      <w:pPr>
        <w:rPr>
          <w:rFonts w:eastAsia="Verdana"/>
        </w:rPr>
      </w:pPr>
      <w:r w:rsidRPr="00DE108C">
        <w:rPr>
          <w:rFonts w:eastAsia="Verdana"/>
        </w:rPr>
        <w:t xml:space="preserve">Through the engagement program we identified a series </w:t>
      </w:r>
      <w:r w:rsidR="0DA8D6E6" w:rsidRPr="14031F0E">
        <w:rPr>
          <w:rFonts w:eastAsia="Verdana"/>
        </w:rPr>
        <w:t>of</w:t>
      </w:r>
      <w:r w:rsidRPr="14031F0E">
        <w:rPr>
          <w:rFonts w:eastAsia="Verdana"/>
        </w:rPr>
        <w:t xml:space="preserve"> </w:t>
      </w:r>
      <w:r w:rsidRPr="00DE108C">
        <w:rPr>
          <w:rFonts w:eastAsia="Verdana"/>
        </w:rPr>
        <w:t xml:space="preserve">top-level priority all customers expect us to deliver on and are the foundation for all our programs and decisions for </w:t>
      </w:r>
      <w:r w:rsidR="0030061C">
        <w:rPr>
          <w:rFonts w:eastAsia="Verdana"/>
        </w:rPr>
        <w:t xml:space="preserve">the </w:t>
      </w:r>
      <w:r w:rsidRPr="00DE108C">
        <w:rPr>
          <w:rFonts w:eastAsia="Verdana"/>
        </w:rPr>
        <w:t>2026-31</w:t>
      </w:r>
      <w:r w:rsidR="0030061C">
        <w:rPr>
          <w:rFonts w:eastAsia="Verdana"/>
        </w:rPr>
        <w:t xml:space="preserve"> regulatory period</w:t>
      </w:r>
      <w:r w:rsidRPr="00DE108C">
        <w:rPr>
          <w:rFonts w:eastAsia="Verdana"/>
        </w:rPr>
        <w:t>. In order of priority, these are:</w:t>
      </w:r>
    </w:p>
    <w:p w14:paraId="1AD37D62" w14:textId="77777777" w:rsidR="00767B75" w:rsidRPr="00DE108C" w:rsidRDefault="00767B75" w:rsidP="008C46DF">
      <w:pPr>
        <w:pStyle w:val="ListBullet"/>
        <w:rPr>
          <w:rFonts w:eastAsia="Verdana"/>
        </w:rPr>
      </w:pPr>
      <w:r w:rsidRPr="00DE108C">
        <w:rPr>
          <w:rFonts w:eastAsia="Verdana"/>
        </w:rPr>
        <w:t xml:space="preserve">Clean, safe and reliable water services are the top priority. </w:t>
      </w:r>
    </w:p>
    <w:p w14:paraId="3E7DCC9A" w14:textId="77777777" w:rsidR="00767B75" w:rsidRPr="00DE108C" w:rsidRDefault="00767B75" w:rsidP="008C46DF">
      <w:pPr>
        <w:pStyle w:val="ListBullet"/>
        <w:rPr>
          <w:rFonts w:eastAsia="Verdana"/>
        </w:rPr>
      </w:pPr>
      <w:r w:rsidRPr="00DE108C">
        <w:rPr>
          <w:rFonts w:eastAsia="Verdana"/>
        </w:rPr>
        <w:t xml:space="preserve">Resilient and sustainable sewerage services and infrastructure. </w:t>
      </w:r>
    </w:p>
    <w:p w14:paraId="7B1F0C07" w14:textId="57E1761B" w:rsidR="00767B75" w:rsidRPr="00DE108C" w:rsidRDefault="00767B75" w:rsidP="008C46DF">
      <w:pPr>
        <w:pStyle w:val="ListBullet"/>
        <w:rPr>
          <w:rFonts w:eastAsia="Verdana"/>
        </w:rPr>
      </w:pPr>
      <w:r w:rsidRPr="00DE108C">
        <w:rPr>
          <w:rFonts w:eastAsia="Verdana"/>
        </w:rPr>
        <w:t>Keeping bills as low as possible but also invest</w:t>
      </w:r>
      <w:r w:rsidR="003B0522">
        <w:rPr>
          <w:rFonts w:eastAsia="Verdana"/>
        </w:rPr>
        <w:t xml:space="preserve"> </w:t>
      </w:r>
      <w:r w:rsidRPr="00DE108C">
        <w:rPr>
          <w:rFonts w:eastAsia="Verdana"/>
        </w:rPr>
        <w:t>in reliable services for a growing Melbourne.</w:t>
      </w:r>
    </w:p>
    <w:p w14:paraId="711D71CF" w14:textId="77777777" w:rsidR="00767B75" w:rsidRPr="00DE108C" w:rsidRDefault="00767B75" w:rsidP="008C46DF">
      <w:pPr>
        <w:pStyle w:val="ListBullet"/>
        <w:rPr>
          <w:rFonts w:eastAsia="Verdana"/>
        </w:rPr>
      </w:pPr>
      <w:r w:rsidRPr="00DE108C">
        <w:rPr>
          <w:rFonts w:eastAsia="Verdana"/>
        </w:rPr>
        <w:t xml:space="preserve">Continue to support and protect waterway health. </w:t>
      </w:r>
    </w:p>
    <w:p w14:paraId="11A4096A" w14:textId="77777777" w:rsidR="00767B75" w:rsidRPr="00DE108C" w:rsidRDefault="00767B75" w:rsidP="008C46DF">
      <w:pPr>
        <w:pStyle w:val="ListBullet"/>
        <w:rPr>
          <w:rFonts w:eastAsia="Verdana"/>
        </w:rPr>
      </w:pPr>
      <w:r w:rsidRPr="00DE108C">
        <w:rPr>
          <w:rFonts w:eastAsia="Verdana"/>
        </w:rPr>
        <w:t xml:space="preserve">Ensure resilience and reliability for the whole water cycle, including flood mitigation and drainage management, now and into the future. </w:t>
      </w:r>
    </w:p>
    <w:p w14:paraId="5D09DAAF" w14:textId="77777777" w:rsidR="00767B75" w:rsidRPr="00DE108C" w:rsidRDefault="00767B75" w:rsidP="008C46DF">
      <w:pPr>
        <w:pStyle w:val="ListBullet"/>
        <w:rPr>
          <w:rFonts w:eastAsia="Verdana"/>
        </w:rPr>
      </w:pPr>
      <w:r w:rsidRPr="00DE108C">
        <w:rPr>
          <w:rFonts w:eastAsia="Verdana"/>
        </w:rPr>
        <w:t xml:space="preserve">Equity is important, as is providing hardship support to customers who need it. </w:t>
      </w:r>
    </w:p>
    <w:p w14:paraId="5E1747BC" w14:textId="5CB09047" w:rsidR="00767B75" w:rsidRPr="00DE108C" w:rsidRDefault="00767B75" w:rsidP="008C46DF">
      <w:pPr>
        <w:pStyle w:val="ListBullet"/>
        <w:rPr>
          <w:rFonts w:eastAsia="Verdana"/>
        </w:rPr>
      </w:pPr>
      <w:r w:rsidRPr="00DE108C">
        <w:rPr>
          <w:rFonts w:eastAsia="Verdana"/>
        </w:rPr>
        <w:t>Active collaboration with partners</w:t>
      </w:r>
      <w:r w:rsidR="31561840" w:rsidRPr="14031F0E">
        <w:rPr>
          <w:rFonts w:eastAsia="Verdana"/>
        </w:rPr>
        <w:t>,</w:t>
      </w:r>
      <w:r w:rsidRPr="00DE108C">
        <w:rPr>
          <w:rFonts w:eastAsia="Verdana"/>
        </w:rPr>
        <w:t xml:space="preserve"> including Traditional Owners, local government and delivery partners. </w:t>
      </w:r>
    </w:p>
    <w:p w14:paraId="3E27E12C" w14:textId="77777777" w:rsidR="00767B75" w:rsidRPr="00DE108C" w:rsidRDefault="00767B75" w:rsidP="008C46DF">
      <w:pPr>
        <w:pStyle w:val="ListBullet"/>
        <w:rPr>
          <w:rFonts w:eastAsia="Verdana"/>
        </w:rPr>
      </w:pPr>
      <w:r w:rsidRPr="00DE108C">
        <w:rPr>
          <w:rFonts w:eastAsia="Verdana"/>
        </w:rPr>
        <w:t xml:space="preserve">Provide more clarity and transparency on how Melbourne Water delivers against its performance targets and spends customer money. </w:t>
      </w:r>
    </w:p>
    <w:p w14:paraId="1AF621B7" w14:textId="07C7342C" w:rsidR="00767B75" w:rsidRPr="00DE108C" w:rsidRDefault="00767B75" w:rsidP="008C46DF">
      <w:pPr>
        <w:rPr>
          <w:rFonts w:eastAsia="Verdana"/>
          <w:color w:val="auto"/>
          <w:szCs w:val="20"/>
        </w:rPr>
      </w:pPr>
      <w:r w:rsidRPr="00DE108C">
        <w:rPr>
          <w:rFonts w:eastAsia="Verdana"/>
        </w:rPr>
        <w:t xml:space="preserve">Hearing directly from the water corporations and developers, we identified their </w:t>
      </w:r>
      <w:r w:rsidR="2DCC8AE0" w:rsidRPr="14031F0E">
        <w:rPr>
          <w:rFonts w:eastAsia="Verdana"/>
        </w:rPr>
        <w:t xml:space="preserve">following </w:t>
      </w:r>
      <w:r w:rsidRPr="00DE108C">
        <w:rPr>
          <w:rFonts w:eastAsia="Verdana"/>
        </w:rPr>
        <w:t>priorities:</w:t>
      </w:r>
    </w:p>
    <w:p w14:paraId="6F781CF4" w14:textId="77777777" w:rsidR="00767B75" w:rsidRPr="00DE108C" w:rsidRDefault="00767B75" w:rsidP="008C46DF">
      <w:pPr>
        <w:pStyle w:val="ListBullet"/>
        <w:rPr>
          <w:rFonts w:eastAsia="Verdana"/>
        </w:rPr>
      </w:pPr>
      <w:r w:rsidRPr="00DE108C">
        <w:rPr>
          <w:rFonts w:eastAsia="Verdana"/>
        </w:rPr>
        <w:t>The urban water corporations connected to our system want fairer tariff structures with higher variable charges such that Melbourne Water shares demand-related risk.</w:t>
      </w:r>
    </w:p>
    <w:p w14:paraId="6C4F2A62" w14:textId="4C089D94" w:rsidR="00767B75" w:rsidRPr="00DE108C" w:rsidRDefault="00767B75" w:rsidP="008C46DF">
      <w:pPr>
        <w:pStyle w:val="ListBullet"/>
        <w:rPr>
          <w:rFonts w:eastAsia="Verdana"/>
        </w:rPr>
      </w:pPr>
      <w:r w:rsidRPr="00DE108C">
        <w:rPr>
          <w:rFonts w:eastAsia="Verdana"/>
        </w:rPr>
        <w:lastRenderedPageBreak/>
        <w:t xml:space="preserve">The metropolitan water corporations want us to reinvigorate </w:t>
      </w:r>
      <w:r w:rsidR="00AD432B">
        <w:rPr>
          <w:rFonts w:eastAsia="Verdana"/>
        </w:rPr>
        <w:t>B</w:t>
      </w:r>
      <w:r w:rsidR="0030061C">
        <w:rPr>
          <w:rFonts w:eastAsia="Verdana"/>
        </w:rPr>
        <w:t xml:space="preserve">ulk </w:t>
      </w:r>
      <w:r w:rsidR="00AD432B">
        <w:rPr>
          <w:rFonts w:eastAsia="Verdana"/>
        </w:rPr>
        <w:t>S</w:t>
      </w:r>
      <w:r w:rsidR="0030061C">
        <w:rPr>
          <w:rFonts w:eastAsia="Verdana"/>
        </w:rPr>
        <w:t xml:space="preserve">upply </w:t>
      </w:r>
      <w:r w:rsidR="00AD432B">
        <w:rPr>
          <w:rFonts w:eastAsia="Verdana"/>
        </w:rPr>
        <w:t>A</w:t>
      </w:r>
      <w:r w:rsidR="0030061C">
        <w:rPr>
          <w:rFonts w:eastAsia="Verdana"/>
        </w:rPr>
        <w:t>greements</w:t>
      </w:r>
      <w:r w:rsidRPr="00DE108C">
        <w:rPr>
          <w:rFonts w:eastAsia="Verdana"/>
        </w:rPr>
        <w:t xml:space="preserve">, including commitments to collaborative planning, reviewing asset ownership, and having more regular reviews of the agreements. </w:t>
      </w:r>
    </w:p>
    <w:p w14:paraId="62BA3971" w14:textId="25184850" w:rsidR="00767B75" w:rsidRPr="00DE108C" w:rsidRDefault="00767B75" w:rsidP="008C46DF">
      <w:pPr>
        <w:pStyle w:val="ListBullet"/>
        <w:rPr>
          <w:rFonts w:eastAsia="Verdana"/>
        </w:rPr>
      </w:pPr>
      <w:r w:rsidRPr="00DE108C">
        <w:rPr>
          <w:rFonts w:eastAsia="Verdana"/>
        </w:rPr>
        <w:t xml:space="preserve">The water corporations want firmer commitments from Melbourne Water on bulk infrastructure delivery and service reliability, backed by a new set of </w:t>
      </w:r>
      <w:r w:rsidR="2A5481A8" w:rsidRPr="14031F0E">
        <w:rPr>
          <w:rFonts w:eastAsia="Verdana"/>
        </w:rPr>
        <w:t>GSLs</w:t>
      </w:r>
      <w:r w:rsidRPr="14031F0E">
        <w:rPr>
          <w:rFonts w:eastAsia="Verdana"/>
        </w:rPr>
        <w:t>.</w:t>
      </w:r>
    </w:p>
    <w:p w14:paraId="6C325500" w14:textId="7B5F04EF" w:rsidR="00767B75" w:rsidRPr="00DE108C" w:rsidRDefault="00767B75" w:rsidP="008C46DF">
      <w:pPr>
        <w:pStyle w:val="ListBullet"/>
        <w:rPr>
          <w:rFonts w:eastAsia="Verdana"/>
        </w:rPr>
      </w:pPr>
      <w:r w:rsidRPr="00DE108C">
        <w:rPr>
          <w:rFonts w:eastAsia="Verdana"/>
        </w:rPr>
        <w:t xml:space="preserve">Water corporations and developers want simpler </w:t>
      </w:r>
      <w:r w:rsidR="3CD9726C" w:rsidRPr="14031F0E">
        <w:rPr>
          <w:rFonts w:eastAsia="Verdana"/>
        </w:rPr>
        <w:t>c</w:t>
      </w:r>
      <w:r w:rsidRPr="00DE108C">
        <w:rPr>
          <w:rFonts w:eastAsia="Verdana"/>
        </w:rPr>
        <w:t>ustomer Outcomes that are clearly linked to the services delivered by Melbourne Water.</w:t>
      </w:r>
    </w:p>
    <w:p w14:paraId="49D74D36" w14:textId="176BA63C" w:rsidR="00767B75" w:rsidRPr="00DE108C" w:rsidRDefault="00767B75" w:rsidP="00F71D3F">
      <w:pPr>
        <w:pStyle w:val="ListBullet"/>
        <w:rPr>
          <w:rFonts w:eastAsia="Verdana"/>
        </w:rPr>
      </w:pPr>
      <w:r w:rsidRPr="00DE108C">
        <w:rPr>
          <w:rFonts w:eastAsia="Verdana"/>
        </w:rPr>
        <w:t xml:space="preserve">Developers want greater transparency in the costs of delivering </w:t>
      </w:r>
      <w:r w:rsidR="003A389F">
        <w:rPr>
          <w:rFonts w:eastAsia="Verdana"/>
        </w:rPr>
        <w:t>Development Services Schemes</w:t>
      </w:r>
      <w:r w:rsidRPr="00DE108C">
        <w:rPr>
          <w:rFonts w:eastAsia="Verdana"/>
        </w:rPr>
        <w:t xml:space="preserve"> and commitments to </w:t>
      </w:r>
      <w:r w:rsidR="713E6C5A" w:rsidRPr="40AD8E0A">
        <w:rPr>
          <w:rFonts w:eastAsia="Verdana"/>
        </w:rPr>
        <w:t>turnaround</w:t>
      </w:r>
      <w:r w:rsidRPr="00DE108C">
        <w:rPr>
          <w:rFonts w:eastAsia="Verdana"/>
        </w:rPr>
        <w:t xml:space="preserve"> times of applications.</w:t>
      </w:r>
    </w:p>
    <w:p w14:paraId="63B9F2FF" w14:textId="307F6881" w:rsidR="00767B75" w:rsidRPr="00DE108C" w:rsidRDefault="00767B75" w:rsidP="002A1552">
      <w:pPr>
        <w:pStyle w:val="Heading4"/>
      </w:pPr>
      <w:r w:rsidRPr="00DE108C">
        <w:t>3.</w:t>
      </w:r>
      <w:r w:rsidR="001A30F3" w:rsidRPr="00DE108C">
        <w:t>4</w:t>
      </w:r>
      <w:r w:rsidRPr="00DE108C">
        <w:t>.1.</w:t>
      </w:r>
      <w:r w:rsidR="002A1552" w:rsidRPr="00DE108C">
        <w:t>1</w:t>
      </w:r>
      <w:r w:rsidRPr="00DE108C">
        <w:t xml:space="preserve"> Water corporation feedback and influence</w:t>
      </w:r>
    </w:p>
    <w:p w14:paraId="6FAC0D6E" w14:textId="49C5C229" w:rsidR="00767B75" w:rsidRPr="00DE108C" w:rsidRDefault="00767B75" w:rsidP="00746E53">
      <w:pPr>
        <w:pStyle w:val="Caption"/>
        <w:rPr>
          <w:color w:val="00428B" w:themeColor="accent1"/>
        </w:rPr>
      </w:pPr>
      <w:bookmarkStart w:id="265" w:name="_Toc208911018"/>
      <w:bookmarkStart w:id="266" w:name="_Toc210051325"/>
      <w:bookmarkStart w:id="267" w:name="_Toc207892999"/>
      <w:bookmarkStart w:id="268" w:name="_Toc208490522"/>
      <w:bookmarkStart w:id="269" w:name="_Toc208490860"/>
      <w:r w:rsidRPr="00DE108C">
        <w:t>Table 3.</w:t>
      </w:r>
      <w:r w:rsidR="000A35A2" w:rsidRPr="00DE108C">
        <w:t>7</w:t>
      </w:r>
      <w:r w:rsidRPr="00DE108C">
        <w:t xml:space="preserve">: </w:t>
      </w:r>
      <w:r w:rsidR="000D263C" w:rsidRPr="00DE108C">
        <w:t>Water corporation d</w:t>
      </w:r>
      <w:r w:rsidRPr="00DE108C">
        <w:t>iscussions and influence on our work</w:t>
      </w:r>
      <w:bookmarkEnd w:id="265"/>
      <w:bookmarkEnd w:id="266"/>
      <w:r w:rsidRPr="00DE108C">
        <w:t xml:space="preserve"> </w:t>
      </w:r>
      <w:bookmarkEnd w:id="267"/>
      <w:bookmarkEnd w:id="268"/>
      <w:bookmarkEnd w:id="269"/>
    </w:p>
    <w:tbl>
      <w:tblPr>
        <w:tblStyle w:val="TableGrid"/>
        <w:tblW w:w="96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5"/>
        <w:gridCol w:w="6510"/>
      </w:tblGrid>
      <w:tr w:rsidR="0069661E" w:rsidRPr="00DE108C" w14:paraId="4D349327" w14:textId="77777777" w:rsidTr="14031F0E">
        <w:trPr>
          <w:cnfStyle w:val="100000000000" w:firstRow="1" w:lastRow="0" w:firstColumn="0" w:lastColumn="0" w:oddVBand="0" w:evenVBand="0" w:oddHBand="0" w:evenHBand="0" w:firstRowFirstColumn="0" w:firstRowLastColumn="0" w:lastRowFirstColumn="0" w:lastRowLastColumn="0"/>
          <w:trHeight w:val="300"/>
        </w:trPr>
        <w:tc>
          <w:tcPr>
            <w:tcW w:w="3105"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left w:w="75" w:type="dxa"/>
              <w:right w:w="75" w:type="dxa"/>
            </w:tcMar>
          </w:tcPr>
          <w:p w14:paraId="368C2B46" w14:textId="77777777" w:rsidR="00767B75" w:rsidRPr="00DE108C" w:rsidRDefault="00767B75" w:rsidP="00F71D3F">
            <w:pPr>
              <w:pStyle w:val="TableHeading"/>
              <w:rPr>
                <w:rFonts w:eastAsia="Verdana"/>
              </w:rPr>
            </w:pPr>
            <w:r w:rsidRPr="00DE108C">
              <w:rPr>
                <w:rFonts w:eastAsia="Verdana"/>
              </w:rPr>
              <w:t xml:space="preserve">We discussed </w:t>
            </w:r>
          </w:p>
        </w:tc>
        <w:tc>
          <w:tcPr>
            <w:tcW w:w="6510"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left w:w="75" w:type="dxa"/>
              <w:right w:w="75" w:type="dxa"/>
            </w:tcMar>
          </w:tcPr>
          <w:p w14:paraId="3A64EF14" w14:textId="77777777" w:rsidR="00767B75" w:rsidRPr="00DE108C" w:rsidRDefault="00767B75" w:rsidP="00F71D3F">
            <w:pPr>
              <w:pStyle w:val="TableHeading"/>
              <w:rPr>
                <w:rFonts w:eastAsia="Verdana"/>
              </w:rPr>
            </w:pPr>
            <w:r w:rsidRPr="00DE108C">
              <w:rPr>
                <w:rFonts w:eastAsia="Verdana"/>
              </w:rPr>
              <w:t xml:space="preserve">Influence on our work </w:t>
            </w:r>
          </w:p>
        </w:tc>
      </w:tr>
      <w:tr w:rsidR="00767B75" w:rsidRPr="00DE108C" w14:paraId="533B87DD" w14:textId="77777777" w:rsidTr="14031F0E">
        <w:trPr>
          <w:trHeight w:val="300"/>
        </w:trPr>
        <w:tc>
          <w:tcPr>
            <w:tcW w:w="3105" w:type="dxa"/>
            <w:tcBorders>
              <w:left w:val="single" w:sz="6" w:space="0" w:color="auto"/>
            </w:tcBorders>
            <w:tcMar>
              <w:left w:w="75" w:type="dxa"/>
              <w:right w:w="75" w:type="dxa"/>
            </w:tcMar>
          </w:tcPr>
          <w:p w14:paraId="74FE248B" w14:textId="77777777" w:rsidR="00767B75" w:rsidRPr="00DE108C" w:rsidRDefault="00767B75" w:rsidP="00F71D3F">
            <w:pPr>
              <w:pStyle w:val="TableText"/>
              <w:rPr>
                <w:rFonts w:eastAsia="Verdana"/>
              </w:rPr>
            </w:pPr>
            <w:r w:rsidRPr="00DE108C">
              <w:rPr>
                <w:rFonts w:eastAsia="Verdana"/>
              </w:rPr>
              <w:t xml:space="preserve">PS26 customer Outcomes and commitments that are simpler and clearly linked to service offering. </w:t>
            </w:r>
          </w:p>
        </w:tc>
        <w:tc>
          <w:tcPr>
            <w:tcW w:w="6510" w:type="dxa"/>
            <w:tcBorders>
              <w:right w:val="single" w:sz="6" w:space="0" w:color="auto"/>
            </w:tcBorders>
            <w:tcMar>
              <w:left w:w="75" w:type="dxa"/>
              <w:right w:w="75" w:type="dxa"/>
            </w:tcMar>
          </w:tcPr>
          <w:p w14:paraId="54CCDF7B" w14:textId="77777777" w:rsidR="00767B75" w:rsidRPr="00975508" w:rsidRDefault="00767B75" w:rsidP="000826C7">
            <w:pPr>
              <w:pStyle w:val="Tablebullet"/>
              <w:rPr>
                <w:rFonts w:eastAsia="Verdana"/>
              </w:rPr>
            </w:pPr>
            <w:r w:rsidRPr="00975508">
              <w:rPr>
                <w:rFonts w:eastAsia="Verdana"/>
              </w:rPr>
              <w:t xml:space="preserve">Our Outcomes were developed with the water corporations. </w:t>
            </w:r>
          </w:p>
          <w:p w14:paraId="52A65C9B" w14:textId="168936FD" w:rsidR="00767B75" w:rsidRPr="00DE108C" w:rsidRDefault="00767B75" w:rsidP="000826C7">
            <w:pPr>
              <w:pStyle w:val="Tablebullet"/>
              <w:rPr>
                <w:rFonts w:eastAsia="Verdana"/>
              </w:rPr>
            </w:pPr>
            <w:r w:rsidRPr="00975508">
              <w:rPr>
                <w:rFonts w:eastAsia="Verdana"/>
              </w:rPr>
              <w:t>Early in our engagement, we worked with the corporations to understand their 2023 and 2024 commitments to help us align our Outcomes direction. We then tested Outcome themes, wording, measures and commitments, how Melbourne Water will measure success, and Guaranteed Service Levels</w:t>
            </w:r>
            <w:r w:rsidR="00904D53">
              <w:rPr>
                <w:rFonts w:eastAsia="Verdana"/>
              </w:rPr>
              <w:t xml:space="preserve"> (GSLs)</w:t>
            </w:r>
            <w:r w:rsidRPr="00975508">
              <w:rPr>
                <w:rFonts w:eastAsia="Verdana"/>
              </w:rPr>
              <w:t>.</w:t>
            </w:r>
          </w:p>
        </w:tc>
      </w:tr>
      <w:tr w:rsidR="0069661E" w:rsidRPr="00DE108C" w14:paraId="56EDDEBA" w14:textId="77777777" w:rsidTr="14031F0E">
        <w:trPr>
          <w:cnfStyle w:val="000000010000" w:firstRow="0" w:lastRow="0" w:firstColumn="0" w:lastColumn="0" w:oddVBand="0" w:evenVBand="0" w:oddHBand="0" w:evenHBand="1" w:firstRowFirstColumn="0" w:firstRowLastColumn="0" w:lastRowFirstColumn="0" w:lastRowLastColumn="0"/>
          <w:trHeight w:val="300"/>
        </w:trPr>
        <w:tc>
          <w:tcPr>
            <w:tcW w:w="3105" w:type="dxa"/>
            <w:tcBorders>
              <w:left w:val="single" w:sz="6" w:space="0" w:color="auto"/>
            </w:tcBorders>
            <w:tcMar>
              <w:left w:w="75" w:type="dxa"/>
              <w:right w:w="75" w:type="dxa"/>
            </w:tcMar>
          </w:tcPr>
          <w:p w14:paraId="2DD81628" w14:textId="77777777" w:rsidR="00767B75" w:rsidRPr="00DE108C" w:rsidRDefault="00767B75" w:rsidP="00F71D3F">
            <w:pPr>
              <w:pStyle w:val="TableText"/>
              <w:rPr>
                <w:rFonts w:eastAsia="Verdana"/>
              </w:rPr>
            </w:pPr>
            <w:r w:rsidRPr="00DE108C">
              <w:rPr>
                <w:rFonts w:eastAsia="Verdana"/>
              </w:rPr>
              <w:t xml:space="preserve">Water corporations want a deep and early understanding of Melbourne Water’s proposed capital plan and investment decisions </w:t>
            </w:r>
          </w:p>
        </w:tc>
        <w:tc>
          <w:tcPr>
            <w:tcW w:w="6510" w:type="dxa"/>
            <w:tcBorders>
              <w:right w:val="single" w:sz="6" w:space="0" w:color="auto"/>
            </w:tcBorders>
            <w:tcMar>
              <w:left w:w="75" w:type="dxa"/>
              <w:right w:w="75" w:type="dxa"/>
            </w:tcMar>
          </w:tcPr>
          <w:p w14:paraId="2CBC2295" w14:textId="4C6A1929" w:rsidR="00767B75" w:rsidRPr="00975508" w:rsidRDefault="00767B75" w:rsidP="000826C7">
            <w:pPr>
              <w:pStyle w:val="Tablebullet"/>
              <w:rPr>
                <w:rFonts w:eastAsia="Verdana"/>
              </w:rPr>
            </w:pPr>
            <w:r w:rsidRPr="00975508">
              <w:rPr>
                <w:rFonts w:eastAsia="Verdana"/>
              </w:rPr>
              <w:t xml:space="preserve">Our capital plan was developed in consultation with the water corporations. </w:t>
            </w:r>
          </w:p>
          <w:p w14:paraId="2D7AB13B" w14:textId="0EB86373" w:rsidR="00767B75" w:rsidRPr="00DE108C" w:rsidRDefault="00767B75" w:rsidP="000826C7">
            <w:pPr>
              <w:pStyle w:val="Tablebullet"/>
              <w:rPr>
                <w:rFonts w:eastAsia="Verdana"/>
              </w:rPr>
            </w:pPr>
            <w:r w:rsidRPr="00975508">
              <w:rPr>
                <w:rFonts w:eastAsia="Verdana"/>
              </w:rPr>
              <w:t>The program was taken through staged reviews from June 2024 to finalisation of the submission (September 2025). In doing this, corporations could influence our plans throughout their development</w:t>
            </w:r>
            <w:r w:rsidR="6D70C6B1" w:rsidRPr="00975508">
              <w:rPr>
                <w:rFonts w:eastAsia="Verdana"/>
              </w:rPr>
              <w:t>,</w:t>
            </w:r>
            <w:r w:rsidRPr="00975508">
              <w:rPr>
                <w:rFonts w:eastAsia="Verdana"/>
              </w:rPr>
              <w:t xml:space="preserve"> including expenditure priorities</w:t>
            </w:r>
            <w:r w:rsidR="3574485E" w:rsidRPr="00975508">
              <w:rPr>
                <w:rFonts w:eastAsia="Verdana"/>
              </w:rPr>
              <w:t>. For</w:t>
            </w:r>
            <w:r w:rsidRPr="00975508">
              <w:rPr>
                <w:rFonts w:eastAsia="Verdana"/>
              </w:rPr>
              <w:t xml:space="preserve"> example</w:t>
            </w:r>
            <w:r w:rsidR="17DBAD10" w:rsidRPr="00975508">
              <w:rPr>
                <w:rFonts w:eastAsia="Verdana"/>
              </w:rPr>
              <w:t>,</w:t>
            </w:r>
            <w:r w:rsidRPr="00975508">
              <w:rPr>
                <w:rFonts w:eastAsia="Verdana"/>
              </w:rPr>
              <w:t xml:space="preserve"> our approach to delivering new water supply infrastructure to Melbourne’s </w:t>
            </w:r>
            <w:r w:rsidR="1424ABDB" w:rsidRPr="00975508">
              <w:rPr>
                <w:rFonts w:eastAsia="Verdana"/>
                <w:szCs w:val="20"/>
              </w:rPr>
              <w:t>w</w:t>
            </w:r>
            <w:r w:rsidRPr="00975508">
              <w:rPr>
                <w:rFonts w:eastAsia="Verdana"/>
                <w:szCs w:val="20"/>
              </w:rPr>
              <w:t>est</w:t>
            </w:r>
            <w:r w:rsidRPr="00975508">
              <w:rPr>
                <w:rFonts w:eastAsia="Verdana"/>
              </w:rPr>
              <w:t xml:space="preserve"> and collaborative planning on the Darebin Intercepting Sewer in Y</w:t>
            </w:r>
            <w:r w:rsidR="71DCC2CC" w:rsidRPr="00975508">
              <w:rPr>
                <w:rFonts w:eastAsia="Verdana"/>
              </w:rPr>
              <w:t xml:space="preserve">arra </w:t>
            </w:r>
            <w:r w:rsidRPr="00975508">
              <w:rPr>
                <w:rFonts w:eastAsia="Verdana"/>
              </w:rPr>
              <w:t>V</w:t>
            </w:r>
            <w:r w:rsidR="3A84E9C4" w:rsidRPr="00975508">
              <w:rPr>
                <w:rFonts w:eastAsia="Verdana"/>
              </w:rPr>
              <w:t xml:space="preserve">alley </w:t>
            </w:r>
            <w:r w:rsidRPr="00975508">
              <w:rPr>
                <w:rFonts w:eastAsia="Verdana"/>
              </w:rPr>
              <w:t>W</w:t>
            </w:r>
            <w:r w:rsidR="6CA2D092" w:rsidRPr="00975508">
              <w:rPr>
                <w:rFonts w:eastAsia="Verdana"/>
              </w:rPr>
              <w:t>ater</w:t>
            </w:r>
            <w:r w:rsidRPr="00975508">
              <w:rPr>
                <w:rFonts w:eastAsia="Verdana"/>
              </w:rPr>
              <w:t>’s service area. We received feedback and this was incorporated into the prioritisation process. Whenever we proposed updates to our capital program, we tested it individually and collectively with each corporation.</w:t>
            </w:r>
          </w:p>
        </w:tc>
      </w:tr>
      <w:tr w:rsidR="00767B75" w:rsidRPr="00DE108C" w14:paraId="6F2CE17F" w14:textId="77777777" w:rsidTr="14031F0E">
        <w:trPr>
          <w:trHeight w:val="300"/>
        </w:trPr>
        <w:tc>
          <w:tcPr>
            <w:tcW w:w="3105" w:type="dxa"/>
            <w:tcBorders>
              <w:left w:val="single" w:sz="6" w:space="0" w:color="auto"/>
            </w:tcBorders>
            <w:tcMar>
              <w:left w:w="75" w:type="dxa"/>
              <w:right w:w="75" w:type="dxa"/>
            </w:tcMar>
          </w:tcPr>
          <w:p w14:paraId="7E866B8B" w14:textId="77777777" w:rsidR="00767B75" w:rsidRPr="00DE108C" w:rsidRDefault="00767B75" w:rsidP="00F71D3F">
            <w:pPr>
              <w:pStyle w:val="TableText"/>
              <w:rPr>
                <w:rFonts w:eastAsia="Verdana"/>
              </w:rPr>
            </w:pPr>
            <w:r w:rsidRPr="00DE108C">
              <w:rPr>
                <w:rFonts w:eastAsia="Verdana"/>
              </w:rPr>
              <w:t>Providing a better understanding/deep dive into PS21 performance</w:t>
            </w:r>
          </w:p>
        </w:tc>
        <w:tc>
          <w:tcPr>
            <w:tcW w:w="6510" w:type="dxa"/>
            <w:tcBorders>
              <w:right w:val="single" w:sz="6" w:space="0" w:color="auto"/>
            </w:tcBorders>
            <w:tcMar>
              <w:left w:w="75" w:type="dxa"/>
              <w:right w:w="75" w:type="dxa"/>
            </w:tcMar>
          </w:tcPr>
          <w:p w14:paraId="18326D47" w14:textId="0308C9A7" w:rsidR="00767B75" w:rsidRPr="00975508" w:rsidRDefault="00767B75" w:rsidP="000826C7">
            <w:pPr>
              <w:pStyle w:val="Tablebullet"/>
              <w:rPr>
                <w:rFonts w:eastAsia="Verdana"/>
              </w:rPr>
            </w:pPr>
            <w:r w:rsidRPr="00975508">
              <w:rPr>
                <w:rFonts w:eastAsia="Verdana"/>
              </w:rPr>
              <w:t xml:space="preserve">Water corporations were provided the opportunity to review and provide feedback on our Outcome performance reports for 2023-24 and 2024-25, including discussing whether we were self-rating appropriately considering the Outcomes they receive. </w:t>
            </w:r>
          </w:p>
          <w:p w14:paraId="66ABFD9A" w14:textId="53EC6122" w:rsidR="00767B75" w:rsidRPr="00DE108C" w:rsidRDefault="00767B75" w:rsidP="000826C7">
            <w:pPr>
              <w:pStyle w:val="Tablebullet"/>
              <w:rPr>
                <w:rFonts w:eastAsia="Verdana"/>
              </w:rPr>
            </w:pPr>
            <w:r w:rsidRPr="00975508">
              <w:rPr>
                <w:rFonts w:eastAsia="Verdana"/>
              </w:rPr>
              <w:t>Co-design of customer satisfaction scores for 2021-26 performance measures that will continue into PS26.</w:t>
            </w:r>
          </w:p>
        </w:tc>
      </w:tr>
      <w:tr w:rsidR="0069661E" w:rsidRPr="00DE108C" w14:paraId="55292264" w14:textId="77777777" w:rsidTr="14031F0E">
        <w:trPr>
          <w:cnfStyle w:val="000000010000" w:firstRow="0" w:lastRow="0" w:firstColumn="0" w:lastColumn="0" w:oddVBand="0" w:evenVBand="0" w:oddHBand="0" w:evenHBand="1" w:firstRowFirstColumn="0" w:firstRowLastColumn="0" w:lastRowFirstColumn="0" w:lastRowLastColumn="0"/>
          <w:trHeight w:val="300"/>
        </w:trPr>
        <w:tc>
          <w:tcPr>
            <w:tcW w:w="3105" w:type="dxa"/>
            <w:tcBorders>
              <w:left w:val="single" w:sz="6" w:space="0" w:color="auto"/>
            </w:tcBorders>
            <w:tcMar>
              <w:left w:w="75" w:type="dxa"/>
              <w:right w:w="75" w:type="dxa"/>
            </w:tcMar>
          </w:tcPr>
          <w:p w14:paraId="27D3BC33" w14:textId="3815FE04" w:rsidR="00767B75" w:rsidRPr="00DE108C" w:rsidRDefault="00767B75" w:rsidP="00F71D3F">
            <w:pPr>
              <w:pStyle w:val="TableText"/>
              <w:rPr>
                <w:rFonts w:eastAsia="Verdana"/>
              </w:rPr>
            </w:pPr>
            <w:r w:rsidRPr="00DE108C">
              <w:rPr>
                <w:rFonts w:eastAsia="Verdana"/>
              </w:rPr>
              <w:t>Risk and M</w:t>
            </w:r>
            <w:r w:rsidR="395CB4C5" w:rsidRPr="00DE108C">
              <w:rPr>
                <w:rFonts w:eastAsia="Verdana"/>
              </w:rPr>
              <w:t>elbourne Water'</w:t>
            </w:r>
            <w:r w:rsidRPr="00DE108C">
              <w:rPr>
                <w:rFonts w:eastAsia="Verdana"/>
              </w:rPr>
              <w:t>s risk appetite</w:t>
            </w:r>
          </w:p>
        </w:tc>
        <w:tc>
          <w:tcPr>
            <w:tcW w:w="6510" w:type="dxa"/>
            <w:tcBorders>
              <w:right w:val="single" w:sz="6" w:space="0" w:color="auto"/>
            </w:tcBorders>
            <w:tcMar>
              <w:left w:w="75" w:type="dxa"/>
              <w:right w:w="75" w:type="dxa"/>
            </w:tcMar>
          </w:tcPr>
          <w:p w14:paraId="00E7BC22" w14:textId="1452260D" w:rsidR="00767B75" w:rsidRPr="00DE108C" w:rsidRDefault="00767B75" w:rsidP="000826C7">
            <w:pPr>
              <w:pStyle w:val="Tablebullet"/>
              <w:rPr>
                <w:rFonts w:eastAsia="Verdana"/>
              </w:rPr>
            </w:pPr>
            <w:r w:rsidRPr="00975508">
              <w:rPr>
                <w:rFonts w:eastAsia="Verdana"/>
              </w:rPr>
              <w:t xml:space="preserve">We consulted with corporations on the amount of risk Melbourne Water should take on through this submission. </w:t>
            </w:r>
          </w:p>
        </w:tc>
      </w:tr>
      <w:tr w:rsidR="00767B75" w:rsidRPr="00DE108C" w14:paraId="02A2F714" w14:textId="77777777" w:rsidTr="14031F0E">
        <w:trPr>
          <w:trHeight w:val="300"/>
        </w:trPr>
        <w:tc>
          <w:tcPr>
            <w:tcW w:w="3105" w:type="dxa"/>
            <w:tcBorders>
              <w:left w:val="single" w:sz="6" w:space="0" w:color="auto"/>
            </w:tcBorders>
            <w:tcMar>
              <w:left w:w="75" w:type="dxa"/>
              <w:right w:w="75" w:type="dxa"/>
            </w:tcMar>
          </w:tcPr>
          <w:p w14:paraId="26193F75" w14:textId="77777777" w:rsidR="00767B75" w:rsidRPr="00DE108C" w:rsidRDefault="00767B75" w:rsidP="00F71D3F">
            <w:pPr>
              <w:pStyle w:val="TableText"/>
              <w:rPr>
                <w:rFonts w:eastAsia="Verdana"/>
              </w:rPr>
            </w:pPr>
            <w:r w:rsidRPr="00DE108C">
              <w:rPr>
                <w:rFonts w:eastAsia="Verdana"/>
              </w:rPr>
              <w:t>Bulk Supply Agreements (BSA), collaborative planning and asset transfers</w:t>
            </w:r>
          </w:p>
        </w:tc>
        <w:tc>
          <w:tcPr>
            <w:tcW w:w="6510" w:type="dxa"/>
            <w:tcBorders>
              <w:right w:val="single" w:sz="6" w:space="0" w:color="auto"/>
            </w:tcBorders>
            <w:tcMar>
              <w:left w:w="75" w:type="dxa"/>
              <w:right w:w="75" w:type="dxa"/>
            </w:tcMar>
          </w:tcPr>
          <w:p w14:paraId="31A42460" w14:textId="25D9ADB7" w:rsidR="00767B75" w:rsidRPr="00975508" w:rsidRDefault="46C22179" w:rsidP="000826C7">
            <w:pPr>
              <w:pStyle w:val="Tablebullet"/>
              <w:rPr>
                <w:rFonts w:eastAsia="Verdana"/>
              </w:rPr>
            </w:pPr>
            <w:r w:rsidRPr="00975508">
              <w:rPr>
                <w:rFonts w:eastAsia="Verdana"/>
                <w:szCs w:val="20"/>
              </w:rPr>
              <w:t>During</w:t>
            </w:r>
            <w:r w:rsidR="00767B75" w:rsidRPr="00975508">
              <w:rPr>
                <w:rFonts w:eastAsia="Verdana"/>
              </w:rPr>
              <w:t xml:space="preserve"> early engagement through </w:t>
            </w:r>
            <w:r w:rsidR="009E15BD">
              <w:rPr>
                <w:rFonts w:eastAsia="Verdana"/>
              </w:rPr>
              <w:t>W</w:t>
            </w:r>
            <w:r w:rsidR="00767B75" w:rsidRPr="00975508">
              <w:rPr>
                <w:rFonts w:eastAsia="Verdana"/>
              </w:rPr>
              <w:t xml:space="preserve">ater </w:t>
            </w:r>
            <w:r w:rsidR="009E15BD">
              <w:rPr>
                <w:rFonts w:eastAsia="Verdana"/>
              </w:rPr>
              <w:t>C</w:t>
            </w:r>
            <w:r w:rsidR="00767B75" w:rsidRPr="00975508">
              <w:rPr>
                <w:rFonts w:eastAsia="Verdana"/>
              </w:rPr>
              <w:t xml:space="preserve">orporation </w:t>
            </w:r>
            <w:r w:rsidR="009E15BD">
              <w:rPr>
                <w:rFonts w:eastAsia="Verdana"/>
              </w:rPr>
              <w:t>F</w:t>
            </w:r>
            <w:r w:rsidR="00767B75" w:rsidRPr="00975508">
              <w:rPr>
                <w:rFonts w:eastAsia="Verdana"/>
              </w:rPr>
              <w:t>orum</w:t>
            </w:r>
            <w:r w:rsidR="36B75362" w:rsidRPr="00975508">
              <w:rPr>
                <w:rFonts w:eastAsia="Verdana"/>
              </w:rPr>
              <w:t>s</w:t>
            </w:r>
            <w:r w:rsidR="00767B75" w:rsidRPr="00975508">
              <w:rPr>
                <w:rFonts w:eastAsia="Verdana"/>
              </w:rPr>
              <w:t xml:space="preserve"> and BSA planning forums</w:t>
            </w:r>
            <w:r w:rsidR="77DA3F84" w:rsidRPr="00975508">
              <w:rPr>
                <w:rFonts w:eastAsia="Verdana"/>
              </w:rPr>
              <w:t>,</w:t>
            </w:r>
            <w:r w:rsidR="00767B75" w:rsidRPr="00975508">
              <w:rPr>
                <w:rFonts w:eastAsia="Verdana"/>
              </w:rPr>
              <w:t xml:space="preserve"> we identified that the </w:t>
            </w:r>
            <w:r w:rsidR="699F295D" w:rsidRPr="00975508">
              <w:rPr>
                <w:rFonts w:eastAsia="Verdana"/>
                <w:szCs w:val="20"/>
              </w:rPr>
              <w:t>BSA</w:t>
            </w:r>
            <w:r w:rsidR="00767B75" w:rsidRPr="00975508">
              <w:rPr>
                <w:rFonts w:eastAsia="Verdana"/>
              </w:rPr>
              <w:t xml:space="preserve"> modernisation work program is a priority for the corporations.</w:t>
            </w:r>
          </w:p>
          <w:p w14:paraId="01144B8C" w14:textId="528BA832" w:rsidR="00767B75" w:rsidRPr="00DE108C" w:rsidRDefault="00767B75" w:rsidP="000826C7">
            <w:pPr>
              <w:pStyle w:val="Tablebullet"/>
              <w:rPr>
                <w:rFonts w:eastAsia="Verdana"/>
              </w:rPr>
            </w:pPr>
            <w:r w:rsidRPr="00975508">
              <w:rPr>
                <w:rFonts w:eastAsia="Verdana"/>
              </w:rPr>
              <w:t xml:space="preserve">In mid-2025 we established a dedicated project to deliver on this priority in parallel to the development of PS26 and in time for the water corporations’ </w:t>
            </w:r>
            <w:r w:rsidR="0001273F" w:rsidRPr="00975508">
              <w:rPr>
                <w:rFonts w:eastAsia="Verdana"/>
              </w:rPr>
              <w:t>2028 Price Submissions</w:t>
            </w:r>
            <w:r w:rsidRPr="00975508">
              <w:rPr>
                <w:rFonts w:eastAsia="Verdana"/>
              </w:rPr>
              <w:t>.</w:t>
            </w:r>
          </w:p>
        </w:tc>
      </w:tr>
      <w:tr w:rsidR="0069661E" w:rsidRPr="00DE108C" w14:paraId="11D5FEF8" w14:textId="77777777" w:rsidTr="14031F0E">
        <w:trPr>
          <w:cnfStyle w:val="000000010000" w:firstRow="0" w:lastRow="0" w:firstColumn="0" w:lastColumn="0" w:oddVBand="0" w:evenVBand="0" w:oddHBand="0" w:evenHBand="1" w:firstRowFirstColumn="0" w:firstRowLastColumn="0" w:lastRowFirstColumn="0" w:lastRowLastColumn="0"/>
          <w:trHeight w:val="300"/>
        </w:trPr>
        <w:tc>
          <w:tcPr>
            <w:tcW w:w="3105" w:type="dxa"/>
            <w:tcBorders>
              <w:left w:val="single" w:sz="6" w:space="0" w:color="auto"/>
            </w:tcBorders>
            <w:tcMar>
              <w:left w:w="75" w:type="dxa"/>
              <w:right w:w="75" w:type="dxa"/>
            </w:tcMar>
          </w:tcPr>
          <w:p w14:paraId="40ED7D1A" w14:textId="125975B2" w:rsidR="00767B75" w:rsidRPr="00DE108C" w:rsidRDefault="00767B75" w:rsidP="00F71D3F">
            <w:pPr>
              <w:pStyle w:val="TableText"/>
              <w:rPr>
                <w:rFonts w:eastAsia="Verdana"/>
              </w:rPr>
            </w:pPr>
            <w:r w:rsidRPr="00DE108C">
              <w:rPr>
                <w:rFonts w:eastAsia="Verdana"/>
              </w:rPr>
              <w:lastRenderedPageBreak/>
              <w:t>M</w:t>
            </w:r>
            <w:r w:rsidR="74C7309B" w:rsidRPr="00DE108C">
              <w:rPr>
                <w:rFonts w:eastAsia="Verdana"/>
              </w:rPr>
              <w:t>elbourne Water</w:t>
            </w:r>
            <w:r w:rsidRPr="00DE108C">
              <w:rPr>
                <w:rFonts w:eastAsia="Verdana"/>
              </w:rPr>
              <w:t>’s proposed approach to supporting customers experiencing vulnerability.</w:t>
            </w:r>
          </w:p>
        </w:tc>
        <w:tc>
          <w:tcPr>
            <w:tcW w:w="6510" w:type="dxa"/>
            <w:tcBorders>
              <w:right w:val="single" w:sz="6" w:space="0" w:color="auto"/>
            </w:tcBorders>
            <w:tcMar>
              <w:left w:w="75" w:type="dxa"/>
              <w:right w:w="75" w:type="dxa"/>
            </w:tcMar>
          </w:tcPr>
          <w:p w14:paraId="71E534AE" w14:textId="23726745" w:rsidR="00767B75" w:rsidRPr="00975508" w:rsidRDefault="00767B75" w:rsidP="000826C7">
            <w:pPr>
              <w:pStyle w:val="Tablebullet"/>
              <w:rPr>
                <w:rFonts w:eastAsia="Verdana"/>
              </w:rPr>
            </w:pPr>
            <w:r w:rsidRPr="00975508">
              <w:rPr>
                <w:rFonts w:eastAsia="Verdana"/>
              </w:rPr>
              <w:t>Initial direction for this work program was set by water corporations.</w:t>
            </w:r>
          </w:p>
          <w:p w14:paraId="30702E61" w14:textId="0447C52B" w:rsidR="00767B75" w:rsidRPr="00975508" w:rsidRDefault="00767B75" w:rsidP="000826C7">
            <w:pPr>
              <w:pStyle w:val="Tablebullet"/>
              <w:rPr>
                <w:rFonts w:eastAsia="Verdana"/>
              </w:rPr>
            </w:pPr>
            <w:r w:rsidRPr="00975508">
              <w:rPr>
                <w:rFonts w:eastAsia="Verdana"/>
              </w:rPr>
              <w:t>Re-testing and final decisions on program</w:t>
            </w:r>
            <w:r w:rsidR="01C5829A" w:rsidRPr="00975508">
              <w:rPr>
                <w:rFonts w:eastAsia="Verdana"/>
              </w:rPr>
              <w:t>s were</w:t>
            </w:r>
            <w:r w:rsidRPr="00975508">
              <w:rPr>
                <w:rFonts w:eastAsia="Verdana"/>
              </w:rPr>
              <w:t xml:space="preserve"> made through water corporation forum</w:t>
            </w:r>
            <w:r w:rsidR="156B3D89" w:rsidRPr="00975508">
              <w:rPr>
                <w:rFonts w:eastAsia="Verdana"/>
              </w:rPr>
              <w:t>s</w:t>
            </w:r>
            <w:r w:rsidRPr="00975508">
              <w:rPr>
                <w:rFonts w:eastAsia="Verdana"/>
              </w:rPr>
              <w:t>.</w:t>
            </w:r>
          </w:p>
          <w:p w14:paraId="340A7FCF" w14:textId="36ECA0EC" w:rsidR="00767B75" w:rsidRPr="00975508" w:rsidRDefault="00767B75" w:rsidP="000826C7">
            <w:pPr>
              <w:pStyle w:val="Tablebullet"/>
              <w:rPr>
                <w:rFonts w:eastAsia="Verdana"/>
              </w:rPr>
            </w:pPr>
            <w:r w:rsidRPr="00975508">
              <w:rPr>
                <w:rFonts w:eastAsia="Verdana"/>
              </w:rPr>
              <w:t xml:space="preserve">Implementation of the program is being developed in collaboration with corporations’ customer care teams. </w:t>
            </w:r>
          </w:p>
        </w:tc>
      </w:tr>
      <w:tr w:rsidR="00767B75" w:rsidRPr="00DE108C" w14:paraId="2B9C27ED" w14:textId="77777777" w:rsidTr="14031F0E">
        <w:trPr>
          <w:trHeight w:val="300"/>
        </w:trPr>
        <w:tc>
          <w:tcPr>
            <w:tcW w:w="3105" w:type="dxa"/>
            <w:tcBorders>
              <w:left w:val="single" w:sz="6" w:space="0" w:color="auto"/>
              <w:bottom w:val="single" w:sz="6" w:space="0" w:color="auto"/>
            </w:tcBorders>
            <w:tcMar>
              <w:left w:w="75" w:type="dxa"/>
              <w:right w:w="75" w:type="dxa"/>
            </w:tcMar>
          </w:tcPr>
          <w:p w14:paraId="59A33C1B" w14:textId="77777777" w:rsidR="00767B75" w:rsidRPr="00DE108C" w:rsidRDefault="00767B75" w:rsidP="00F71D3F">
            <w:pPr>
              <w:pStyle w:val="TableText"/>
              <w:rPr>
                <w:rFonts w:eastAsia="Verdana"/>
              </w:rPr>
            </w:pPr>
            <w:r w:rsidRPr="00DE108C">
              <w:rPr>
                <w:rFonts w:eastAsia="Verdana"/>
              </w:rPr>
              <w:t>Melbourne Water’s approach to engagement for PS26</w:t>
            </w:r>
          </w:p>
        </w:tc>
        <w:tc>
          <w:tcPr>
            <w:tcW w:w="6510" w:type="dxa"/>
            <w:tcBorders>
              <w:bottom w:val="single" w:sz="6" w:space="0" w:color="auto"/>
              <w:right w:val="single" w:sz="6" w:space="0" w:color="auto"/>
            </w:tcBorders>
            <w:tcMar>
              <w:left w:w="75" w:type="dxa"/>
              <w:right w:w="75" w:type="dxa"/>
            </w:tcMar>
          </w:tcPr>
          <w:p w14:paraId="6645CF5B" w14:textId="77777777" w:rsidR="00767B75" w:rsidRPr="00975508" w:rsidRDefault="00767B75" w:rsidP="000826C7">
            <w:pPr>
              <w:pStyle w:val="Tablebullet"/>
              <w:rPr>
                <w:rFonts w:eastAsia="Verdana"/>
                <w:color w:val="221F20"/>
              </w:rPr>
            </w:pPr>
            <w:r w:rsidRPr="00975508">
              <w:rPr>
                <w:rFonts w:eastAsia="Verdana"/>
                <w:color w:val="221F20"/>
              </w:rPr>
              <w:t>Feedback, direction and ideas fed into materials presented to deliberative panel and social research as part of our Values and Priorities engagement stage, which in turn directed all subsequent phases.</w:t>
            </w:r>
          </w:p>
          <w:p w14:paraId="1F30BBAA" w14:textId="4E513B64" w:rsidR="00767B75" w:rsidRPr="00975508" w:rsidRDefault="00767B75" w:rsidP="000826C7">
            <w:pPr>
              <w:pStyle w:val="Tablebullet"/>
              <w:rPr>
                <w:rFonts w:eastAsia="Verdana"/>
              </w:rPr>
            </w:pPr>
            <w:r w:rsidRPr="00975508">
              <w:rPr>
                <w:rFonts w:eastAsia="Verdana"/>
              </w:rPr>
              <w:t>Content shared publicly in the Playback period, as well as the Playback engagement program, was discussed with corporations and where possible, changes were made to both documents and engagement programs to reflect corporation expectations and requirements.</w:t>
            </w:r>
          </w:p>
        </w:tc>
      </w:tr>
    </w:tbl>
    <w:p w14:paraId="32EBFF3C" w14:textId="77777777" w:rsidR="00F71D3F" w:rsidRPr="00DE108C" w:rsidRDefault="00F71D3F" w:rsidP="00F71D3F"/>
    <w:p w14:paraId="38164892" w14:textId="2B8C417F" w:rsidR="36CA9B9D" w:rsidRPr="00DE108C" w:rsidRDefault="1F11736B" w:rsidP="2CABB2ED">
      <w:r w:rsidRPr="00DE108C">
        <w:t>Specific changes made to our proposal based on water corporation feedback are outlined in Appendix</w:t>
      </w:r>
      <w:r w:rsidR="500B3B77" w:rsidRPr="00DE108C">
        <w:t xml:space="preserve"> </w:t>
      </w:r>
      <w:r w:rsidR="002E2CF0">
        <w:t>A</w:t>
      </w:r>
      <w:r w:rsidR="244E6012">
        <w:t xml:space="preserve"> (</w:t>
      </w:r>
      <w:r w:rsidRPr="00DE108C">
        <w:t>W</w:t>
      </w:r>
      <w:r w:rsidR="500B3B77" w:rsidRPr="00DE108C">
        <w:t>ater corporation summaries</w:t>
      </w:r>
      <w:r w:rsidR="6EBB9AC3">
        <w:t>)</w:t>
      </w:r>
      <w:r w:rsidR="2553F6FB">
        <w:t>,</w:t>
      </w:r>
      <w:r w:rsidR="2553F6FB" w:rsidRPr="00DE108C">
        <w:t xml:space="preserve"> with k</w:t>
      </w:r>
      <w:r w:rsidR="5556C422" w:rsidRPr="00DE108C">
        <w:t>ey examples includ</w:t>
      </w:r>
      <w:r w:rsidR="652EF8A4" w:rsidRPr="00DE108C">
        <w:t>ing</w:t>
      </w:r>
      <w:r w:rsidR="4F031AC2">
        <w:t>,</w:t>
      </w:r>
      <w:r w:rsidR="5556C422" w:rsidRPr="00DE108C">
        <w:t xml:space="preserve"> water security, </w:t>
      </w:r>
      <w:r w:rsidR="500333F9">
        <w:t>BSA</w:t>
      </w:r>
      <w:r w:rsidR="5556C422">
        <w:t>s</w:t>
      </w:r>
      <w:r w:rsidR="5556C422" w:rsidRPr="00DE108C">
        <w:t xml:space="preserve">, and asset transfers. Where decisions could not be finalised prior to submission (such as </w:t>
      </w:r>
      <w:r w:rsidR="217124E4">
        <w:t>BSAs</w:t>
      </w:r>
      <w:r w:rsidR="6568722E" w:rsidRPr="00DE108C">
        <w:t>), w</w:t>
      </w:r>
      <w:r w:rsidR="36D25E53" w:rsidRPr="00DE108C">
        <w:t xml:space="preserve">e have made commitments to deliver during the regulatory period. </w:t>
      </w:r>
    </w:p>
    <w:p w14:paraId="43EB8AED" w14:textId="0127B2FA" w:rsidR="00767B75" w:rsidRPr="00DE108C" w:rsidRDefault="00767B75" w:rsidP="002A1552">
      <w:pPr>
        <w:pStyle w:val="Heading4"/>
      </w:pPr>
      <w:r w:rsidRPr="00DE108C">
        <w:t>3.</w:t>
      </w:r>
      <w:r w:rsidR="001A30F3" w:rsidRPr="00DE108C">
        <w:t>4</w:t>
      </w:r>
      <w:r w:rsidR="005A366A" w:rsidRPr="00DE108C">
        <w:t>.1.2</w:t>
      </w:r>
      <w:r w:rsidRPr="00DE108C">
        <w:t xml:space="preserve"> End</w:t>
      </w:r>
      <w:r w:rsidR="3F528813">
        <w:t>-</w:t>
      </w:r>
      <w:r w:rsidRPr="00DE108C">
        <w:t>use customer feedback and influence</w:t>
      </w:r>
    </w:p>
    <w:p w14:paraId="3E3D8867" w14:textId="5C567530" w:rsidR="00767B75" w:rsidRPr="00DE108C" w:rsidRDefault="00767B75" w:rsidP="00746E53">
      <w:pPr>
        <w:pStyle w:val="Caption"/>
        <w:rPr>
          <w:color w:val="00428B" w:themeColor="accent1"/>
        </w:rPr>
      </w:pPr>
      <w:bookmarkStart w:id="270" w:name="_Toc208911019"/>
      <w:bookmarkStart w:id="271" w:name="_Toc210051326"/>
      <w:bookmarkStart w:id="272" w:name="_Toc207893000"/>
      <w:bookmarkStart w:id="273" w:name="_Toc208490523"/>
      <w:bookmarkStart w:id="274" w:name="_Toc208490861"/>
      <w:r w:rsidRPr="00DE108C">
        <w:t>Table 3.</w:t>
      </w:r>
      <w:r w:rsidR="000A35A2" w:rsidRPr="00DE108C">
        <w:t>8</w:t>
      </w:r>
      <w:r w:rsidRPr="00DE108C">
        <w:t xml:space="preserve">: </w:t>
      </w:r>
      <w:r w:rsidR="000D263C" w:rsidRPr="00DE108C">
        <w:t xml:space="preserve">End-use customer </w:t>
      </w:r>
      <w:r w:rsidR="009E2459" w:rsidRPr="00DE108C">
        <w:t>d</w:t>
      </w:r>
      <w:r w:rsidRPr="00DE108C">
        <w:t>iscussions and influence on our work</w:t>
      </w:r>
      <w:bookmarkEnd w:id="270"/>
      <w:bookmarkEnd w:id="271"/>
      <w:r w:rsidRPr="00DE108C">
        <w:t xml:space="preserve"> </w:t>
      </w:r>
      <w:bookmarkEnd w:id="272"/>
      <w:bookmarkEnd w:id="273"/>
      <w:bookmarkEnd w:id="274"/>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69"/>
        <w:gridCol w:w="6646"/>
      </w:tblGrid>
      <w:tr w:rsidR="0069661E" w:rsidRPr="00DE108C" w14:paraId="40D3A233" w14:textId="77777777" w:rsidTr="00283FCE">
        <w:trPr>
          <w:cnfStyle w:val="100000000000" w:firstRow="1" w:lastRow="0" w:firstColumn="0" w:lastColumn="0" w:oddVBand="0" w:evenVBand="0" w:oddHBand="0" w:evenHBand="0" w:firstRowFirstColumn="0" w:firstRowLastColumn="0" w:lastRowFirstColumn="0" w:lastRowLastColumn="0"/>
          <w:trHeight w:val="300"/>
        </w:trPr>
        <w:tc>
          <w:tcPr>
            <w:tcW w:w="2969"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top w:w="15" w:type="dxa"/>
              <w:left w:w="75" w:type="dxa"/>
              <w:bottom w:w="15" w:type="dxa"/>
              <w:right w:w="75" w:type="dxa"/>
            </w:tcMar>
          </w:tcPr>
          <w:p w14:paraId="59A6BD3F" w14:textId="77777777" w:rsidR="00767B75" w:rsidRPr="00DE108C" w:rsidRDefault="00767B75" w:rsidP="00F71D3F">
            <w:pPr>
              <w:pStyle w:val="TableHeading"/>
              <w:rPr>
                <w:rFonts w:eastAsia="Verdana"/>
              </w:rPr>
            </w:pPr>
            <w:r w:rsidRPr="00DE108C">
              <w:rPr>
                <w:rFonts w:eastAsia="Verdana"/>
              </w:rPr>
              <w:t>We heard</w:t>
            </w:r>
          </w:p>
        </w:tc>
        <w:tc>
          <w:tcPr>
            <w:tcW w:w="6646" w:type="dxa"/>
            <w:tcBorders>
              <w:top w:val="single" w:sz="6" w:space="0" w:color="231F20" w:themeColor="text1"/>
              <w:left w:val="single" w:sz="6" w:space="0" w:color="231F20" w:themeColor="text1"/>
              <w:bottom w:val="single" w:sz="6" w:space="0" w:color="00428B" w:themeColor="accent1"/>
              <w:right w:val="single" w:sz="6" w:space="0" w:color="231F20" w:themeColor="text1"/>
            </w:tcBorders>
            <w:tcMar>
              <w:top w:w="15" w:type="dxa"/>
              <w:left w:w="75" w:type="dxa"/>
              <w:bottom w:w="15" w:type="dxa"/>
              <w:right w:w="75" w:type="dxa"/>
            </w:tcMar>
          </w:tcPr>
          <w:p w14:paraId="6CB6EDF4" w14:textId="77777777" w:rsidR="00767B75" w:rsidRPr="00DE108C" w:rsidRDefault="00767B75" w:rsidP="00F71D3F">
            <w:pPr>
              <w:pStyle w:val="TableHeading"/>
              <w:rPr>
                <w:rFonts w:eastAsia="Verdana"/>
              </w:rPr>
            </w:pPr>
            <w:r w:rsidRPr="00DE108C">
              <w:rPr>
                <w:rFonts w:eastAsia="Verdana"/>
              </w:rPr>
              <w:t xml:space="preserve">Influence on our work </w:t>
            </w:r>
          </w:p>
        </w:tc>
      </w:tr>
      <w:tr w:rsidR="00767B75" w:rsidRPr="00DE108C" w14:paraId="17910DC1" w14:textId="77777777" w:rsidTr="00283FCE">
        <w:trPr>
          <w:trHeight w:val="300"/>
        </w:trPr>
        <w:tc>
          <w:tcPr>
            <w:tcW w:w="2969" w:type="dxa"/>
            <w:tcMar>
              <w:top w:w="15" w:type="dxa"/>
              <w:left w:w="75" w:type="dxa"/>
              <w:bottom w:w="15" w:type="dxa"/>
              <w:right w:w="75" w:type="dxa"/>
            </w:tcMar>
          </w:tcPr>
          <w:p w14:paraId="12026269" w14:textId="4CBE72B0" w:rsidR="00767B75" w:rsidRPr="00DE108C" w:rsidRDefault="00767B75" w:rsidP="00F71D3F">
            <w:pPr>
              <w:pStyle w:val="TableText"/>
              <w:rPr>
                <w:rFonts w:eastAsia="Verdana"/>
              </w:rPr>
            </w:pPr>
            <w:r w:rsidRPr="00DE108C">
              <w:rPr>
                <w:rFonts w:eastAsia="Verdana"/>
              </w:rPr>
              <w:t xml:space="preserve">Providing clean, safe and reliable water services is Melbourne Water’s number one job. </w:t>
            </w:r>
          </w:p>
          <w:p w14:paraId="00860E7F" w14:textId="37B6C524" w:rsidR="00767B75" w:rsidRPr="00DE108C" w:rsidRDefault="00767B75" w:rsidP="00F71D3F">
            <w:pPr>
              <w:pStyle w:val="TableText"/>
              <w:rPr>
                <w:rFonts w:eastAsia="Verdana"/>
              </w:rPr>
            </w:pPr>
            <w:r w:rsidRPr="00DE108C">
              <w:rPr>
                <w:rFonts w:eastAsia="Verdana"/>
              </w:rPr>
              <w:t xml:space="preserve">Continue to provide resilient and sustainable sewerage services and infrastructure. </w:t>
            </w:r>
          </w:p>
        </w:tc>
        <w:tc>
          <w:tcPr>
            <w:tcW w:w="6646" w:type="dxa"/>
            <w:tcMar>
              <w:top w:w="15" w:type="dxa"/>
              <w:left w:w="75" w:type="dxa"/>
              <w:bottom w:w="15" w:type="dxa"/>
              <w:right w:w="75" w:type="dxa"/>
            </w:tcMar>
          </w:tcPr>
          <w:p w14:paraId="31E6C207" w14:textId="77777777" w:rsidR="00767B75" w:rsidRPr="00AF2EB2" w:rsidRDefault="00767B75" w:rsidP="003A108A">
            <w:pPr>
              <w:pStyle w:val="Tablebullet"/>
              <w:rPr>
                <w:rFonts w:eastAsia="Verdana"/>
              </w:rPr>
            </w:pPr>
            <w:r w:rsidRPr="00AF2EB2">
              <w:rPr>
                <w:rFonts w:eastAsia="Verdana"/>
              </w:rPr>
              <w:t xml:space="preserve">These priorities were clearly reflected in our 2026-31 Customer Outcomes. </w:t>
            </w:r>
          </w:p>
          <w:p w14:paraId="7CAE609B" w14:textId="77777777" w:rsidR="00767B75" w:rsidRPr="00AF2EB2" w:rsidRDefault="00767B75" w:rsidP="003A108A">
            <w:pPr>
              <w:pStyle w:val="Tablebullet"/>
              <w:rPr>
                <w:rFonts w:eastAsia="Verdana"/>
              </w:rPr>
            </w:pPr>
            <w:r w:rsidRPr="00AF2EB2">
              <w:rPr>
                <w:rFonts w:eastAsia="Verdana"/>
              </w:rPr>
              <w:t xml:space="preserve">Water services were the most prioritised by end-use customers. However, customers prioritised sewerage services differently depending on their knowledge of Victoria’s water system. </w:t>
            </w:r>
          </w:p>
          <w:p w14:paraId="48BD0C63" w14:textId="77777777" w:rsidR="00767B75" w:rsidRPr="00AF2EB2" w:rsidRDefault="00767B75" w:rsidP="003A108A">
            <w:pPr>
              <w:pStyle w:val="Tablebullet"/>
              <w:rPr>
                <w:rFonts w:eastAsia="Verdana"/>
                <w:szCs w:val="20"/>
                <w:lang w:val="en-GB"/>
              </w:rPr>
            </w:pPr>
            <w:r w:rsidRPr="00AF2EB2">
              <w:rPr>
                <w:rFonts w:eastAsia="Verdana"/>
              </w:rPr>
              <w:t>To further reflect the significant priority placed on water services, we developed a water quality GSL in consultation with the water corporations.</w:t>
            </w:r>
          </w:p>
        </w:tc>
      </w:tr>
      <w:tr w:rsidR="00055179" w:rsidRPr="00DE108C" w14:paraId="3E6CB270" w14:textId="77777777" w:rsidTr="00AF2EB2">
        <w:trPr>
          <w:cnfStyle w:val="000000010000" w:firstRow="0" w:lastRow="0" w:firstColumn="0" w:lastColumn="0" w:oddVBand="0" w:evenVBand="0" w:oddHBand="0" w:evenHBand="1" w:firstRowFirstColumn="0" w:firstRowLastColumn="0" w:lastRowFirstColumn="0" w:lastRowLastColumn="0"/>
          <w:trHeight w:val="659"/>
        </w:trPr>
        <w:tc>
          <w:tcPr>
            <w:tcW w:w="2969" w:type="dxa"/>
            <w:tcMar>
              <w:top w:w="15" w:type="dxa"/>
              <w:left w:w="75" w:type="dxa"/>
              <w:bottom w:w="15" w:type="dxa"/>
              <w:right w:w="75" w:type="dxa"/>
            </w:tcMar>
          </w:tcPr>
          <w:p w14:paraId="32C96C25" w14:textId="4DBA0A45" w:rsidR="00767B75" w:rsidRPr="00DE108C" w:rsidRDefault="00767B75" w:rsidP="00F71D3F">
            <w:pPr>
              <w:pStyle w:val="TableText"/>
              <w:rPr>
                <w:rFonts w:eastAsia="Verdana"/>
              </w:rPr>
            </w:pPr>
            <w:r w:rsidRPr="00DE108C">
              <w:rPr>
                <w:rFonts w:eastAsia="Verdana"/>
              </w:rPr>
              <w:t>Continue to support and protect waterway health for nature and biodiversity, and with additional benefit of maintaining community health and wellbeing</w:t>
            </w:r>
            <w:r w:rsidR="58B0B31D" w:rsidRPr="14031F0E">
              <w:rPr>
                <w:rFonts w:eastAsia="Verdana"/>
              </w:rPr>
              <w:t>.</w:t>
            </w:r>
            <w:r w:rsidRPr="00DE108C">
              <w:rPr>
                <w:rFonts w:eastAsia="Verdana"/>
              </w:rPr>
              <w:t xml:space="preserve"> </w:t>
            </w:r>
          </w:p>
        </w:tc>
        <w:tc>
          <w:tcPr>
            <w:tcW w:w="6646" w:type="dxa"/>
            <w:tcMar>
              <w:top w:w="15" w:type="dxa"/>
              <w:left w:w="75" w:type="dxa"/>
              <w:bottom w:w="15" w:type="dxa"/>
              <w:right w:w="75" w:type="dxa"/>
            </w:tcMar>
          </w:tcPr>
          <w:p w14:paraId="7446A8C5" w14:textId="77777777" w:rsidR="00767B75" w:rsidRPr="00AF2EB2" w:rsidRDefault="00767B75" w:rsidP="003A108A">
            <w:pPr>
              <w:pStyle w:val="Tablebullet"/>
              <w:rPr>
                <w:rFonts w:eastAsia="Verdana"/>
              </w:rPr>
            </w:pPr>
            <w:r w:rsidRPr="00AF2EB2">
              <w:rPr>
                <w:rFonts w:eastAsia="Verdana"/>
              </w:rPr>
              <w:t>End-use customers had a higher level of influence over our waterways and drainage program.</w:t>
            </w:r>
          </w:p>
          <w:p w14:paraId="55C58BE5" w14:textId="77777777" w:rsidR="00767B75" w:rsidRPr="00AF2EB2" w:rsidRDefault="00767B75" w:rsidP="003A108A">
            <w:pPr>
              <w:pStyle w:val="Tablebullet"/>
              <w:rPr>
                <w:rFonts w:eastAsia="Verdana"/>
                <w:szCs w:val="16"/>
                <w:lang w:val="en-GB"/>
              </w:rPr>
            </w:pPr>
            <w:r w:rsidRPr="00AF2EB2">
              <w:rPr>
                <w:rFonts w:eastAsia="Verdana"/>
              </w:rPr>
              <w:t xml:space="preserve">The priority given to waterway health by customers is directly reflected in Outcome 3. </w:t>
            </w:r>
          </w:p>
          <w:p w14:paraId="1694B3A0" w14:textId="77777777" w:rsidR="00767B75" w:rsidRPr="00AF2EB2" w:rsidRDefault="00767B75" w:rsidP="003A108A">
            <w:pPr>
              <w:pStyle w:val="Tablebullet"/>
              <w:rPr>
                <w:rFonts w:eastAsia="Verdana"/>
                <w:lang w:val="en-GB"/>
              </w:rPr>
            </w:pPr>
            <w:r w:rsidRPr="00AF2EB2">
              <w:rPr>
                <w:rFonts w:eastAsia="Verdana"/>
                <w:lang w:val="en-GB"/>
              </w:rPr>
              <w:t xml:space="preserve">Willingness to pay surveys indicated a preference for a modest increase in service levels. Waterways and drainage specific engagement and social research supported this. </w:t>
            </w:r>
          </w:p>
          <w:p w14:paraId="61BBB606" w14:textId="3BEDCCB7" w:rsidR="00767B75" w:rsidRPr="00AF2EB2" w:rsidRDefault="00767B75" w:rsidP="003A108A">
            <w:pPr>
              <w:pStyle w:val="Tablebullet"/>
              <w:rPr>
                <w:rFonts w:eastAsia="Verdana"/>
                <w:szCs w:val="16"/>
                <w:lang w:val="en-GB"/>
              </w:rPr>
            </w:pPr>
            <w:r w:rsidRPr="00AF2EB2">
              <w:rPr>
                <w:rFonts w:eastAsia="Verdana"/>
                <w:lang w:val="en-GB"/>
              </w:rPr>
              <w:t>To reflect customer priorities for waterway health, we are proposing to continue the programs we uplifted in PS21 in vegetation, waterway condition monitoring and delivering water for the environment</w:t>
            </w:r>
            <w:r w:rsidR="159913AB" w:rsidRPr="00AF2EB2">
              <w:rPr>
                <w:rFonts w:eastAsia="Verdana"/>
                <w:szCs w:val="16"/>
                <w:lang w:val="en-GB"/>
              </w:rPr>
              <w:t>,</w:t>
            </w:r>
            <w:r w:rsidRPr="00AF2EB2">
              <w:rPr>
                <w:rFonts w:eastAsia="Verdana"/>
                <w:szCs w:val="16"/>
                <w:lang w:val="en-GB"/>
              </w:rPr>
              <w:t xml:space="preserve"> which are reflected in our PS26 base year expenditure. We are also providing increased capital investment for projects removing fish barriers and constructing fish passageways.</w:t>
            </w:r>
          </w:p>
          <w:p w14:paraId="7942E728" w14:textId="39106CE3" w:rsidR="00767B75" w:rsidRPr="00AF2EB2" w:rsidRDefault="00767B75" w:rsidP="003A108A">
            <w:pPr>
              <w:pStyle w:val="Tablebullet"/>
              <w:rPr>
                <w:rFonts w:eastAsia="Verdana"/>
                <w:lang w:val="en-GB"/>
              </w:rPr>
            </w:pPr>
            <w:r w:rsidRPr="00AF2EB2">
              <w:rPr>
                <w:rFonts w:eastAsia="Verdana"/>
                <w:lang w:val="en-GB"/>
              </w:rPr>
              <w:t xml:space="preserve">We will continue to support customer’s priority for more natural waterways to enjoy and use safely through our ongoing programs for riparian vegetation management and maintenance, managing land near waterways, pollution and litter management. We will significantly invest in three </w:t>
            </w:r>
            <w:r w:rsidRPr="00AF2EB2">
              <w:rPr>
                <w:rFonts w:eastAsia="Verdana"/>
                <w:lang w:val="en-GB"/>
              </w:rPr>
              <w:lastRenderedPageBreak/>
              <w:t xml:space="preserve">waterway projects to remove concrete and make waterways more natural in communities and locations that need it and have the partners willing to work with us for delivery and shared benefits. </w:t>
            </w:r>
          </w:p>
          <w:p w14:paraId="16AAE7B7" w14:textId="77777777" w:rsidR="00767B75" w:rsidRPr="00AF2EB2" w:rsidRDefault="00767B75" w:rsidP="003A108A">
            <w:pPr>
              <w:pStyle w:val="Tablebullet"/>
              <w:rPr>
                <w:rFonts w:eastAsia="Verdana"/>
                <w:lang w:val="en-GB"/>
              </w:rPr>
            </w:pPr>
            <w:r w:rsidRPr="00AF2EB2">
              <w:rPr>
                <w:rFonts w:eastAsia="Verdana"/>
                <w:lang w:val="en-GB"/>
              </w:rPr>
              <w:t>Feedback on large-scale projects that provide community access to waterways for recreation was mixed. Results of our willingness-to-pay survey indicated preference for a slight increase in service, something that was reflected in the forum and some focus groups.</w:t>
            </w:r>
          </w:p>
          <w:p w14:paraId="35880676" w14:textId="77777777" w:rsidR="00767B75" w:rsidRPr="00AF2EB2" w:rsidRDefault="00767B75" w:rsidP="003A108A">
            <w:pPr>
              <w:pStyle w:val="Tablebullet"/>
              <w:rPr>
                <w:rFonts w:eastAsia="Verdana"/>
                <w:lang w:val="en-GB"/>
              </w:rPr>
            </w:pPr>
            <w:r w:rsidRPr="00AF2EB2">
              <w:rPr>
                <w:rFonts w:eastAsia="Verdana"/>
              </w:rPr>
              <w:t xml:space="preserve">We will continue to partner with community groups to monitor and improve waterway health across the region, for example the frog census. This will see a continuation of the current program. We understand community partners can help us mature our vegetation establishment and other programs. </w:t>
            </w:r>
          </w:p>
        </w:tc>
      </w:tr>
      <w:tr w:rsidR="00767B75" w:rsidRPr="00DE108C" w14:paraId="594E271E" w14:textId="77777777" w:rsidTr="00283FCE">
        <w:trPr>
          <w:trHeight w:val="4628"/>
        </w:trPr>
        <w:tc>
          <w:tcPr>
            <w:tcW w:w="2969" w:type="dxa"/>
            <w:tcMar>
              <w:top w:w="15" w:type="dxa"/>
              <w:left w:w="75" w:type="dxa"/>
              <w:bottom w:w="15" w:type="dxa"/>
              <w:right w:w="75" w:type="dxa"/>
            </w:tcMar>
          </w:tcPr>
          <w:p w14:paraId="6B0636CC" w14:textId="5164DAB7" w:rsidR="00767B75" w:rsidRPr="00DE108C" w:rsidRDefault="00767B75" w:rsidP="00F71D3F">
            <w:pPr>
              <w:pStyle w:val="TableText"/>
              <w:rPr>
                <w:rFonts w:eastAsia="Verdana"/>
              </w:rPr>
            </w:pPr>
            <w:r w:rsidRPr="00DE108C">
              <w:rPr>
                <w:rFonts w:eastAsia="Verdana"/>
              </w:rPr>
              <w:lastRenderedPageBreak/>
              <w:t>Keeping bills as low as possible but also invest in reliable services</w:t>
            </w:r>
            <w:r w:rsidR="35A55D61" w:rsidRPr="14031F0E">
              <w:rPr>
                <w:rFonts w:eastAsia="Verdana"/>
              </w:rPr>
              <w:t>.</w:t>
            </w:r>
            <w:r w:rsidRPr="00DE108C">
              <w:rPr>
                <w:rFonts w:eastAsia="Verdana"/>
              </w:rPr>
              <w:t xml:space="preserve"> </w:t>
            </w:r>
          </w:p>
        </w:tc>
        <w:tc>
          <w:tcPr>
            <w:tcW w:w="6646" w:type="dxa"/>
            <w:tcMar>
              <w:top w:w="15" w:type="dxa"/>
              <w:left w:w="75" w:type="dxa"/>
              <w:bottom w:w="15" w:type="dxa"/>
              <w:right w:w="75" w:type="dxa"/>
            </w:tcMar>
          </w:tcPr>
          <w:p w14:paraId="68710E38" w14:textId="77777777" w:rsidR="00767B75" w:rsidRPr="00AF2EB2" w:rsidRDefault="00767B75" w:rsidP="003A108A">
            <w:pPr>
              <w:pStyle w:val="Tablebullet"/>
              <w:rPr>
                <w:rFonts w:eastAsia="Verdana"/>
              </w:rPr>
            </w:pPr>
            <w:r w:rsidRPr="00AF2EB2">
              <w:rPr>
                <w:rFonts w:eastAsia="Verdana"/>
              </w:rPr>
              <w:t>Affordability remains a core focus of our submission – continuing the theme from our PS21 Outcomes.</w:t>
            </w:r>
          </w:p>
          <w:p w14:paraId="543B5994" w14:textId="17A2D844" w:rsidR="00767B75" w:rsidRPr="00AF2EB2" w:rsidRDefault="00767B75" w:rsidP="003A108A">
            <w:pPr>
              <w:pStyle w:val="Tablebullet"/>
              <w:rPr>
                <w:rFonts w:eastAsia="Verdana"/>
                <w:szCs w:val="16"/>
              </w:rPr>
            </w:pPr>
            <w:r w:rsidRPr="00AF2EB2">
              <w:rPr>
                <w:rFonts w:eastAsia="Verdana"/>
              </w:rPr>
              <w:t>All customers</w:t>
            </w:r>
            <w:r w:rsidR="09E98543" w:rsidRPr="00AF2EB2">
              <w:rPr>
                <w:rFonts w:eastAsia="Verdana"/>
                <w:szCs w:val="16"/>
              </w:rPr>
              <w:t>,</w:t>
            </w:r>
            <w:r w:rsidRPr="00AF2EB2">
              <w:rPr>
                <w:rFonts w:eastAsia="Verdana"/>
                <w:szCs w:val="16"/>
              </w:rPr>
              <w:t xml:space="preserve"> including the community sector</w:t>
            </w:r>
            <w:r w:rsidR="472ACA7B" w:rsidRPr="00AF2EB2">
              <w:rPr>
                <w:rFonts w:eastAsia="Verdana"/>
                <w:szCs w:val="16"/>
              </w:rPr>
              <w:t>,</w:t>
            </w:r>
            <w:r w:rsidRPr="00AF2EB2">
              <w:rPr>
                <w:rFonts w:eastAsia="Verdana"/>
                <w:szCs w:val="16"/>
              </w:rPr>
              <w:t xml:space="preserve"> stated the best thing we can do to assist costumers is man</w:t>
            </w:r>
            <w:r w:rsidR="5F1A8FB9" w:rsidRPr="00AF2EB2">
              <w:rPr>
                <w:rFonts w:eastAsia="Verdana"/>
                <w:szCs w:val="16"/>
              </w:rPr>
              <w:t>a</w:t>
            </w:r>
            <w:r w:rsidRPr="00AF2EB2">
              <w:rPr>
                <w:rFonts w:eastAsia="Verdana"/>
                <w:szCs w:val="16"/>
              </w:rPr>
              <w:t xml:space="preserve">ge our costs effectively. </w:t>
            </w:r>
          </w:p>
          <w:p w14:paraId="03E85770" w14:textId="702D0598" w:rsidR="00767B75" w:rsidRPr="00AF2EB2" w:rsidRDefault="00767B75" w:rsidP="003A108A">
            <w:pPr>
              <w:pStyle w:val="Tablebullet"/>
              <w:rPr>
                <w:rFonts w:eastAsia="Verdana"/>
              </w:rPr>
            </w:pPr>
            <w:r w:rsidRPr="00AF2EB2">
              <w:rPr>
                <w:rFonts w:eastAsia="Verdana"/>
              </w:rPr>
              <w:t xml:space="preserve">Re-testing and re-prioritising work done with the Waterways and Drainage Customer Forum and the deliberative community panel to understand where customers see opportunities to re-prioritise spend. </w:t>
            </w:r>
          </w:p>
          <w:p w14:paraId="036F20E8" w14:textId="77777777" w:rsidR="00767B75" w:rsidRPr="00AF2EB2" w:rsidRDefault="00767B75" w:rsidP="003A108A">
            <w:pPr>
              <w:pStyle w:val="Tablebullet"/>
              <w:rPr>
                <w:rFonts w:eastAsia="Verdana"/>
              </w:rPr>
            </w:pPr>
            <w:r w:rsidRPr="00AF2EB2">
              <w:rPr>
                <w:rFonts w:eastAsia="Verdana"/>
              </w:rPr>
              <w:t xml:space="preserve">Early feedback from our Values and Priorities Stage found that affordability was ranked slightly lower than reliable water and sewerage services and healthy waterways. However, affordability was prioritised more strongly through Playback. This shift was expected, with customers seeing the ‘cost’ of the overall proposal (rather than the more general ‘values’), and the increased cost-of-living pressures that occurred over the year. In response, we reviewed our program of work, continuing to refine programs (including our proposed hardship program) to limit the bill increase experienced by customers. </w:t>
            </w:r>
          </w:p>
        </w:tc>
      </w:tr>
      <w:tr w:rsidR="00055179" w:rsidRPr="00DE108C" w14:paraId="4CB138CD" w14:textId="77777777" w:rsidTr="00283FCE">
        <w:trPr>
          <w:cnfStyle w:val="000000010000" w:firstRow="0" w:lastRow="0" w:firstColumn="0" w:lastColumn="0" w:oddVBand="0" w:evenVBand="0" w:oddHBand="0" w:evenHBand="1" w:firstRowFirstColumn="0" w:firstRowLastColumn="0" w:lastRowFirstColumn="0" w:lastRowLastColumn="0"/>
          <w:trHeight w:val="300"/>
        </w:trPr>
        <w:tc>
          <w:tcPr>
            <w:tcW w:w="2969" w:type="dxa"/>
            <w:tcMar>
              <w:top w:w="15" w:type="dxa"/>
              <w:left w:w="75" w:type="dxa"/>
              <w:bottom w:w="15" w:type="dxa"/>
              <w:right w:w="75" w:type="dxa"/>
            </w:tcMar>
          </w:tcPr>
          <w:p w14:paraId="263F84A3" w14:textId="760B6E47" w:rsidR="00767B75" w:rsidRPr="00DE108C" w:rsidRDefault="00767B75" w:rsidP="00F71D3F">
            <w:pPr>
              <w:pStyle w:val="TableText"/>
              <w:rPr>
                <w:rFonts w:eastAsia="Verdana"/>
              </w:rPr>
            </w:pPr>
            <w:r w:rsidRPr="00DE108C">
              <w:rPr>
                <w:rFonts w:eastAsia="Verdana"/>
              </w:rPr>
              <w:t>Supporting customers who experience vulnerability is important, but this needs to be done fairly and the financial burden on the broader customer group must be limited</w:t>
            </w:r>
            <w:r w:rsidR="74B91DB5" w:rsidRPr="14031F0E">
              <w:rPr>
                <w:rFonts w:eastAsia="Verdana"/>
              </w:rPr>
              <w:t>.</w:t>
            </w:r>
          </w:p>
        </w:tc>
        <w:tc>
          <w:tcPr>
            <w:tcW w:w="6646" w:type="dxa"/>
            <w:tcMar>
              <w:top w:w="15" w:type="dxa"/>
              <w:left w:w="75" w:type="dxa"/>
              <w:bottom w:w="15" w:type="dxa"/>
              <w:right w:w="75" w:type="dxa"/>
            </w:tcMar>
          </w:tcPr>
          <w:p w14:paraId="6DD039C7" w14:textId="67CA40F5" w:rsidR="00767B75" w:rsidRPr="00AF2EB2" w:rsidRDefault="00767B75" w:rsidP="003A108A">
            <w:pPr>
              <w:pStyle w:val="Tablebullet"/>
              <w:rPr>
                <w:rFonts w:eastAsia="Verdana"/>
                <w:szCs w:val="16"/>
              </w:rPr>
            </w:pPr>
            <w:r w:rsidRPr="00AF2EB2">
              <w:rPr>
                <w:rFonts w:eastAsia="Verdana"/>
              </w:rPr>
              <w:t xml:space="preserve">Following direction from the water corporations, </w:t>
            </w:r>
            <w:r w:rsidR="005131D2" w:rsidRPr="00AF2EB2">
              <w:rPr>
                <w:rFonts w:eastAsia="Verdana"/>
                <w:szCs w:val="16"/>
              </w:rPr>
              <w:t>Melbourne Water’s</w:t>
            </w:r>
            <w:r w:rsidRPr="00AF2EB2">
              <w:rPr>
                <w:rFonts w:eastAsia="Verdana"/>
                <w:szCs w:val="16"/>
              </w:rPr>
              <w:t xml:space="preserve"> work in supporting customers was tested with our deliberative community panel and re-tested with the panel and the broader community through our playback engagement.</w:t>
            </w:r>
          </w:p>
          <w:p w14:paraId="68457BF4" w14:textId="0C214FA8" w:rsidR="00767B75" w:rsidRPr="00AF2EB2" w:rsidRDefault="00767B75" w:rsidP="003A108A">
            <w:pPr>
              <w:pStyle w:val="Tablebullet"/>
              <w:rPr>
                <w:rFonts w:eastAsia="Verdana"/>
              </w:rPr>
            </w:pPr>
            <w:r w:rsidRPr="00AF2EB2">
              <w:rPr>
                <w:rFonts w:eastAsia="Verdana"/>
              </w:rPr>
              <w:t xml:space="preserve">In response to this, we reviewed the program, bringing the overall cost of the program down. However, in consultation with water corporations and community sector organisations, this change is limited as – for </w:t>
            </w:r>
            <w:r w:rsidR="00BF36A1" w:rsidRPr="00AF2EB2">
              <w:rPr>
                <w:rFonts w:eastAsia="Verdana"/>
              </w:rPr>
              <w:t>Melbourne Water</w:t>
            </w:r>
            <w:r w:rsidRPr="00AF2EB2">
              <w:rPr>
                <w:rFonts w:eastAsia="Verdana"/>
              </w:rPr>
              <w:t xml:space="preserve"> to have the intended impact as supported by customers – an expenditure of $6.9 million is proposed. </w:t>
            </w:r>
          </w:p>
        </w:tc>
      </w:tr>
      <w:tr w:rsidR="00767B75" w:rsidRPr="00DE108C" w14:paraId="2F9A1EC5" w14:textId="77777777" w:rsidTr="00283FCE">
        <w:trPr>
          <w:trHeight w:val="300"/>
        </w:trPr>
        <w:tc>
          <w:tcPr>
            <w:tcW w:w="2969" w:type="dxa"/>
            <w:tcMar>
              <w:top w:w="15" w:type="dxa"/>
              <w:left w:w="75" w:type="dxa"/>
              <w:bottom w:w="15" w:type="dxa"/>
              <w:right w:w="75" w:type="dxa"/>
            </w:tcMar>
          </w:tcPr>
          <w:p w14:paraId="45DCDF4C" w14:textId="5B63667A" w:rsidR="00767B75" w:rsidRPr="00DE108C" w:rsidRDefault="00767B75" w:rsidP="00F71D3F">
            <w:pPr>
              <w:pStyle w:val="TableText"/>
              <w:rPr>
                <w:rFonts w:eastAsia="Verdana"/>
              </w:rPr>
            </w:pPr>
            <w:r w:rsidRPr="00DE108C">
              <w:rPr>
                <w:rFonts w:eastAsia="Verdana"/>
              </w:rPr>
              <w:t>Provide more clarity and transparency on how Melbourne Water delivers against its performance targets, spends customer money and provides value</w:t>
            </w:r>
            <w:r w:rsidR="7F5776BC" w:rsidRPr="14031F0E">
              <w:rPr>
                <w:rFonts w:eastAsia="Verdana"/>
              </w:rPr>
              <w:t>.</w:t>
            </w:r>
          </w:p>
        </w:tc>
        <w:tc>
          <w:tcPr>
            <w:tcW w:w="6646" w:type="dxa"/>
            <w:tcMar>
              <w:top w:w="15" w:type="dxa"/>
              <w:left w:w="75" w:type="dxa"/>
              <w:bottom w:w="15" w:type="dxa"/>
              <w:right w:w="75" w:type="dxa"/>
            </w:tcMar>
          </w:tcPr>
          <w:p w14:paraId="456F43BF" w14:textId="50A4F956" w:rsidR="00767B75" w:rsidRPr="00AF2EB2" w:rsidRDefault="00767B75" w:rsidP="003A108A">
            <w:pPr>
              <w:pStyle w:val="Tablebullet"/>
              <w:rPr>
                <w:rFonts w:eastAsia="Verdana"/>
              </w:rPr>
            </w:pPr>
            <w:r w:rsidRPr="00AF2EB2">
              <w:rPr>
                <w:rFonts w:eastAsia="Verdana"/>
              </w:rPr>
              <w:t xml:space="preserve">Our Playback engagement period and documentation publicly promoted our planned investments and decisions and asked for broad community feedback on the level of investment. </w:t>
            </w:r>
          </w:p>
          <w:p w14:paraId="5886C7C2" w14:textId="77777777" w:rsidR="00767B75" w:rsidRPr="00AF2EB2" w:rsidRDefault="00767B75" w:rsidP="003A108A">
            <w:pPr>
              <w:pStyle w:val="Tablebullet"/>
              <w:rPr>
                <w:rFonts w:eastAsia="Verdana"/>
              </w:rPr>
            </w:pPr>
            <w:r w:rsidRPr="00AF2EB2">
              <w:rPr>
                <w:rFonts w:eastAsia="Verdana"/>
              </w:rPr>
              <w:t xml:space="preserve">To reflect this, we are committing to more regular reporting against our Customer Outcomes and will be taking our annual performance report to the water corporations and our ongoing customer forum for feedback prior to submission to the ESC. </w:t>
            </w:r>
          </w:p>
          <w:p w14:paraId="45AA415B" w14:textId="63A5236E" w:rsidR="00767B75" w:rsidRPr="00AF2EB2" w:rsidRDefault="00767B75" w:rsidP="003A108A">
            <w:pPr>
              <w:pStyle w:val="Tablebullet"/>
              <w:rPr>
                <w:rFonts w:eastAsia="Verdana"/>
                <w:lang w:val="en-GB"/>
              </w:rPr>
            </w:pPr>
            <w:r w:rsidRPr="00AF2EB2">
              <w:rPr>
                <w:rFonts w:eastAsia="Verdana"/>
              </w:rPr>
              <w:t xml:space="preserve">We have provided customer-friendly, non-technical documents with the release of our </w:t>
            </w:r>
            <w:r w:rsidR="4F0CCB2B" w:rsidRPr="00AF2EB2">
              <w:rPr>
                <w:rFonts w:eastAsia="Verdana"/>
                <w:szCs w:val="20"/>
              </w:rPr>
              <w:t>P</w:t>
            </w:r>
            <w:r w:rsidRPr="00AF2EB2">
              <w:rPr>
                <w:rFonts w:eastAsia="Verdana"/>
                <w:szCs w:val="20"/>
              </w:rPr>
              <w:t xml:space="preserve">rice </w:t>
            </w:r>
            <w:r w:rsidR="1CCA31A4" w:rsidRPr="00AF2EB2">
              <w:rPr>
                <w:rFonts w:eastAsia="Verdana"/>
                <w:szCs w:val="20"/>
              </w:rPr>
              <w:t>S</w:t>
            </w:r>
            <w:r w:rsidRPr="00AF2EB2">
              <w:rPr>
                <w:rFonts w:eastAsia="Verdana"/>
                <w:szCs w:val="20"/>
              </w:rPr>
              <w:t>ubmission</w:t>
            </w:r>
            <w:r w:rsidRPr="00AF2EB2">
              <w:rPr>
                <w:rFonts w:eastAsia="Verdana"/>
              </w:rPr>
              <w:t xml:space="preserve"> that outlines how our submission supports </w:t>
            </w:r>
            <w:r w:rsidRPr="00AF2EB2">
              <w:rPr>
                <w:rFonts w:eastAsia="Verdana"/>
              </w:rPr>
              <w:lastRenderedPageBreak/>
              <w:t>the water services of metropolitan water corporations, regional water corporations, and provides services for our direct service customers.</w:t>
            </w:r>
          </w:p>
        </w:tc>
      </w:tr>
      <w:tr w:rsidR="00055179" w:rsidRPr="00DE108C" w14:paraId="6C25AC74" w14:textId="77777777" w:rsidTr="00283FCE">
        <w:trPr>
          <w:cnfStyle w:val="000000010000" w:firstRow="0" w:lastRow="0" w:firstColumn="0" w:lastColumn="0" w:oddVBand="0" w:evenVBand="0" w:oddHBand="0" w:evenHBand="1" w:firstRowFirstColumn="0" w:firstRowLastColumn="0" w:lastRowFirstColumn="0" w:lastRowLastColumn="0"/>
          <w:trHeight w:val="300"/>
        </w:trPr>
        <w:tc>
          <w:tcPr>
            <w:tcW w:w="2969" w:type="dxa"/>
            <w:tcMar>
              <w:top w:w="15" w:type="dxa"/>
              <w:left w:w="75" w:type="dxa"/>
              <w:bottom w:w="15" w:type="dxa"/>
              <w:right w:w="75" w:type="dxa"/>
            </w:tcMar>
          </w:tcPr>
          <w:p w14:paraId="469B35D2" w14:textId="22D9051F" w:rsidR="00767B75" w:rsidRPr="00DE108C" w:rsidRDefault="00767B75" w:rsidP="00F71D3F">
            <w:pPr>
              <w:pStyle w:val="TableText"/>
              <w:rPr>
                <w:rFonts w:eastAsia="Verdana"/>
              </w:rPr>
            </w:pPr>
            <w:r w:rsidRPr="00DE108C">
              <w:rPr>
                <w:rFonts w:eastAsia="Verdana"/>
              </w:rPr>
              <w:lastRenderedPageBreak/>
              <w:t>After a first year of 0</w:t>
            </w:r>
            <w:r w:rsidR="0030061C">
              <w:rPr>
                <w:rFonts w:eastAsia="Verdana"/>
              </w:rPr>
              <w:t xml:space="preserve"> per cent</w:t>
            </w:r>
            <w:r w:rsidRPr="00DE108C">
              <w:rPr>
                <w:rFonts w:eastAsia="Verdana"/>
              </w:rPr>
              <w:t xml:space="preserve"> real increase (rather than a step increase price path), end-use customer preference is for smooth bill increases and for Melbourne Water to consider of their local </w:t>
            </w:r>
            <w:r w:rsidR="00E7119E">
              <w:rPr>
                <w:rFonts w:eastAsia="Verdana"/>
              </w:rPr>
              <w:t>metropolitan water corporation</w:t>
            </w:r>
            <w:r w:rsidRPr="00DE108C">
              <w:rPr>
                <w:rFonts w:eastAsia="Verdana"/>
              </w:rPr>
              <w:t xml:space="preserve"> future price paths when setting our own.</w:t>
            </w:r>
          </w:p>
        </w:tc>
        <w:tc>
          <w:tcPr>
            <w:tcW w:w="6646" w:type="dxa"/>
            <w:tcMar>
              <w:top w:w="15" w:type="dxa"/>
              <w:left w:w="75" w:type="dxa"/>
              <w:bottom w:w="15" w:type="dxa"/>
              <w:right w:w="75" w:type="dxa"/>
            </w:tcMar>
          </w:tcPr>
          <w:p w14:paraId="4B6C935A" w14:textId="47DEB93E" w:rsidR="00767B75" w:rsidRPr="00AF2EB2" w:rsidRDefault="00767B75" w:rsidP="003A108A">
            <w:pPr>
              <w:pStyle w:val="Tablebullet"/>
              <w:rPr>
                <w:rFonts w:eastAsia="Verdana"/>
                <w:szCs w:val="16"/>
              </w:rPr>
            </w:pPr>
            <w:r w:rsidRPr="00AF2EB2">
              <w:rPr>
                <w:rFonts w:eastAsia="Verdana"/>
              </w:rPr>
              <w:t>We proposed a 0</w:t>
            </w:r>
            <w:r w:rsidR="0030061C">
              <w:rPr>
                <w:rFonts w:eastAsia="Verdana"/>
                <w:szCs w:val="16"/>
              </w:rPr>
              <w:t xml:space="preserve"> per cent</w:t>
            </w:r>
            <w:r w:rsidRPr="00AF2EB2">
              <w:rPr>
                <w:rFonts w:eastAsia="Verdana"/>
                <w:szCs w:val="16"/>
              </w:rPr>
              <w:t xml:space="preserve"> real bill increase in Year 1 of the next period, acknowledging cost of living pressures.</w:t>
            </w:r>
          </w:p>
          <w:p w14:paraId="1F5DCA46" w14:textId="08D76359" w:rsidR="00767B75" w:rsidRPr="00AF2EB2" w:rsidRDefault="00767B75" w:rsidP="003A108A">
            <w:pPr>
              <w:pStyle w:val="Tablebullet"/>
              <w:rPr>
                <w:rFonts w:eastAsia="Verdana"/>
              </w:rPr>
            </w:pPr>
            <w:r w:rsidRPr="00AF2EB2">
              <w:rPr>
                <w:rFonts w:eastAsia="Verdana"/>
              </w:rPr>
              <w:t>Reflecting end-use customer and water corporation feedback, we are proposing to profile our bill increases to account for water corporations’ 2028 Price Submission bill impacts. This has the practical effect of increasing bills in 2027-28</w:t>
            </w:r>
            <w:r w:rsidR="65FD5381" w:rsidRPr="00AF2EB2">
              <w:rPr>
                <w:rFonts w:eastAsia="Verdana"/>
              </w:rPr>
              <w:t>,</w:t>
            </w:r>
            <w:r w:rsidRPr="00AF2EB2">
              <w:rPr>
                <w:rFonts w:eastAsia="Verdana"/>
              </w:rPr>
              <w:t xml:space="preserve"> more than in subsequent years of the period but allows for a smoother price path for end-use customers. We heard clearly through our deliberative panel that customers want us to work with the water corporations to prevent bill shock</w:t>
            </w:r>
            <w:r w:rsidR="008F609D">
              <w:rPr>
                <w:rFonts w:eastAsia="Verdana"/>
              </w:rPr>
              <w:t xml:space="preserve"> and </w:t>
            </w:r>
            <w:r w:rsidRPr="00AF2EB2">
              <w:rPr>
                <w:rFonts w:eastAsia="Verdana"/>
              </w:rPr>
              <w:t xml:space="preserve">keep prices smooth over different regulatory periods. </w:t>
            </w:r>
          </w:p>
        </w:tc>
      </w:tr>
      <w:tr w:rsidR="00767B75" w:rsidRPr="00DE108C" w14:paraId="5CA4C0B1" w14:textId="77777777" w:rsidTr="00283FCE">
        <w:trPr>
          <w:trHeight w:val="300"/>
        </w:trPr>
        <w:tc>
          <w:tcPr>
            <w:tcW w:w="2969" w:type="dxa"/>
            <w:tcMar>
              <w:top w:w="15" w:type="dxa"/>
              <w:left w:w="75" w:type="dxa"/>
              <w:bottom w:w="15" w:type="dxa"/>
              <w:right w:w="75" w:type="dxa"/>
            </w:tcMar>
          </w:tcPr>
          <w:p w14:paraId="7C55D3DA" w14:textId="29E2A598" w:rsidR="00767B75" w:rsidRPr="00DE108C" w:rsidRDefault="00767B75" w:rsidP="00F71D3F">
            <w:pPr>
              <w:pStyle w:val="TableText"/>
              <w:rPr>
                <w:rFonts w:eastAsia="Verdana"/>
              </w:rPr>
            </w:pPr>
            <w:r w:rsidRPr="00DE108C">
              <w:rPr>
                <w:rFonts w:eastAsia="Verdana"/>
              </w:rPr>
              <w:t>Proactive investment where possible is preferred to avoid delays and increased future costs</w:t>
            </w:r>
            <w:r w:rsidR="2139A764" w:rsidRPr="14031F0E">
              <w:rPr>
                <w:rFonts w:eastAsia="Verdana"/>
              </w:rPr>
              <w:t>.</w:t>
            </w:r>
            <w:r w:rsidRPr="00DE108C">
              <w:rPr>
                <w:rFonts w:eastAsia="Verdana"/>
              </w:rPr>
              <w:t xml:space="preserve"> </w:t>
            </w:r>
          </w:p>
        </w:tc>
        <w:tc>
          <w:tcPr>
            <w:tcW w:w="6646" w:type="dxa"/>
            <w:tcMar>
              <w:top w:w="15" w:type="dxa"/>
              <w:left w:w="75" w:type="dxa"/>
              <w:bottom w:w="15" w:type="dxa"/>
              <w:right w:w="75" w:type="dxa"/>
            </w:tcMar>
          </w:tcPr>
          <w:p w14:paraId="03AD39D3" w14:textId="712CBBF5" w:rsidR="00767B75" w:rsidRPr="00044094" w:rsidRDefault="00767B75" w:rsidP="003A108A">
            <w:pPr>
              <w:pStyle w:val="Tablebullet"/>
              <w:rPr>
                <w:rFonts w:eastAsia="Verdana"/>
                <w:szCs w:val="16"/>
              </w:rPr>
            </w:pPr>
            <w:r w:rsidRPr="00AF2EB2">
              <w:rPr>
                <w:rFonts w:eastAsia="Verdana"/>
              </w:rPr>
              <w:t>We are proactively investing in our water and sewerage systems to meet</w:t>
            </w:r>
            <w:r w:rsidR="00044094">
              <w:rPr>
                <w:rFonts w:eastAsia="Verdana"/>
                <w:szCs w:val="16"/>
              </w:rPr>
              <w:t xml:space="preserve"> </w:t>
            </w:r>
            <w:r w:rsidRPr="00AF2EB2">
              <w:rPr>
                <w:rFonts w:eastAsia="Verdana"/>
                <w:szCs w:val="16"/>
              </w:rPr>
              <w:t>growing demand and address ag</w:t>
            </w:r>
            <w:r w:rsidR="0047708D" w:rsidRPr="00AF2EB2">
              <w:rPr>
                <w:rFonts w:eastAsia="Verdana"/>
                <w:szCs w:val="16"/>
              </w:rPr>
              <w:t>e</w:t>
            </w:r>
            <w:r w:rsidRPr="00AF2EB2">
              <w:rPr>
                <w:rFonts w:eastAsia="Verdana"/>
                <w:szCs w:val="16"/>
              </w:rPr>
              <w:t xml:space="preserve">ing infrastructure. </w:t>
            </w:r>
          </w:p>
          <w:p w14:paraId="30B4C147" w14:textId="56B4124C" w:rsidR="00767B75" w:rsidRPr="00AF2EB2" w:rsidRDefault="00767B75" w:rsidP="003A108A">
            <w:pPr>
              <w:pStyle w:val="Tablebullet"/>
              <w:rPr>
                <w:rFonts w:eastAsia="Verdana"/>
                <w:szCs w:val="16"/>
                <w:lang w:val="en-GB"/>
              </w:rPr>
            </w:pPr>
            <w:r w:rsidRPr="00AF2EB2">
              <w:rPr>
                <w:rFonts w:eastAsia="Verdana"/>
              </w:rPr>
              <w:t>We face several challenges that impact infrastructure needs over coming</w:t>
            </w:r>
            <w:r w:rsidR="00AF2EB2" w:rsidRPr="00DE108C">
              <w:rPr>
                <w:rFonts w:eastAsia="Verdana"/>
                <w:szCs w:val="16"/>
              </w:rPr>
              <w:t xml:space="preserve"> </w:t>
            </w:r>
            <w:r w:rsidR="00AF2EB2">
              <w:rPr>
                <w:rFonts w:eastAsia="Verdana"/>
                <w:szCs w:val="20"/>
              </w:rPr>
              <w:t>d</w:t>
            </w:r>
            <w:r w:rsidRPr="00AF2EB2">
              <w:rPr>
                <w:rFonts w:eastAsia="Verdana"/>
                <w:szCs w:val="20"/>
              </w:rPr>
              <w:t>ecades</w:t>
            </w:r>
            <w:r w:rsidR="3DCCE7BE" w:rsidRPr="00AF2EB2">
              <w:rPr>
                <w:rFonts w:eastAsia="Verdana"/>
                <w:szCs w:val="16"/>
              </w:rPr>
              <w:t xml:space="preserve">, including </w:t>
            </w:r>
            <w:r w:rsidRPr="00AF2EB2">
              <w:rPr>
                <w:rFonts w:eastAsia="Verdana"/>
                <w:szCs w:val="16"/>
              </w:rPr>
              <w:t>a growing population and more variable climate.</w:t>
            </w:r>
          </w:p>
          <w:p w14:paraId="27900F39" w14:textId="2B344791" w:rsidR="00767B75" w:rsidRPr="00AF2EB2" w:rsidRDefault="00767B75" w:rsidP="003A108A">
            <w:pPr>
              <w:pStyle w:val="Tablebullet"/>
              <w:rPr>
                <w:rFonts w:eastAsia="Verdana"/>
                <w:lang w:val="en-GB"/>
              </w:rPr>
            </w:pPr>
            <w:r w:rsidRPr="00AF2EB2">
              <w:rPr>
                <w:rFonts w:eastAsia="Verdana"/>
              </w:rPr>
              <w:t xml:space="preserve">However, we will ensure that our expenditure proposal only includes the cost of projects and programs that we are confident can be delivered in the regulatory period. This allows us to proactively invest to meet changing needs, while ensuring customers do not wear the costs of more uncertain projects. </w:t>
            </w:r>
          </w:p>
        </w:tc>
      </w:tr>
      <w:tr w:rsidR="00055179" w:rsidRPr="00DE108C" w14:paraId="7B977B04" w14:textId="77777777" w:rsidTr="00283FCE">
        <w:trPr>
          <w:cnfStyle w:val="000000010000" w:firstRow="0" w:lastRow="0" w:firstColumn="0" w:lastColumn="0" w:oddVBand="0" w:evenVBand="0" w:oddHBand="0" w:evenHBand="1" w:firstRowFirstColumn="0" w:firstRowLastColumn="0" w:lastRowFirstColumn="0" w:lastRowLastColumn="0"/>
          <w:trHeight w:val="300"/>
        </w:trPr>
        <w:tc>
          <w:tcPr>
            <w:tcW w:w="2969" w:type="dxa"/>
            <w:tcMar>
              <w:top w:w="15" w:type="dxa"/>
              <w:left w:w="75" w:type="dxa"/>
              <w:bottom w:w="15" w:type="dxa"/>
              <w:right w:w="75" w:type="dxa"/>
            </w:tcMar>
          </w:tcPr>
          <w:p w14:paraId="37812EFA" w14:textId="256A6773" w:rsidR="00767B75" w:rsidRPr="00DE108C" w:rsidRDefault="00767B75" w:rsidP="00F71D3F">
            <w:pPr>
              <w:pStyle w:val="TableText"/>
              <w:rPr>
                <w:rFonts w:eastAsia="Verdana"/>
              </w:rPr>
            </w:pPr>
            <w:r w:rsidRPr="00DE108C">
              <w:rPr>
                <w:rFonts w:eastAsia="Verdana"/>
              </w:rPr>
              <w:t>Collaboration with community and partners is important to deliver services that are of value for all customers</w:t>
            </w:r>
            <w:r w:rsidR="2AABBACE" w:rsidRPr="14031F0E">
              <w:rPr>
                <w:rFonts w:eastAsia="Verdana"/>
              </w:rPr>
              <w:t>.</w:t>
            </w:r>
          </w:p>
        </w:tc>
        <w:tc>
          <w:tcPr>
            <w:tcW w:w="6646" w:type="dxa"/>
            <w:tcMar>
              <w:top w:w="15" w:type="dxa"/>
              <w:left w:w="75" w:type="dxa"/>
              <w:bottom w:w="15" w:type="dxa"/>
              <w:right w:w="75" w:type="dxa"/>
            </w:tcMar>
          </w:tcPr>
          <w:p w14:paraId="71F3FD24" w14:textId="6C2B6F9E" w:rsidR="00767B75" w:rsidRPr="00AF2EB2" w:rsidRDefault="00767B75" w:rsidP="003A108A">
            <w:pPr>
              <w:pStyle w:val="Tablebullet"/>
              <w:rPr>
                <w:rFonts w:eastAsia="Verdana"/>
                <w:szCs w:val="16"/>
              </w:rPr>
            </w:pPr>
            <w:r w:rsidRPr="00AF2EB2">
              <w:rPr>
                <w:rFonts w:eastAsia="Verdana"/>
              </w:rPr>
              <w:t>Reflecting both Traditional Owner and end-use customer feedback, we are</w:t>
            </w:r>
            <w:r w:rsidR="00044094" w:rsidRPr="00044094">
              <w:rPr>
                <w:rFonts w:eastAsia="Verdana"/>
                <w:szCs w:val="16"/>
              </w:rPr>
              <w:t xml:space="preserve"> </w:t>
            </w:r>
            <w:r w:rsidRPr="00AF2EB2">
              <w:rPr>
                <w:rFonts w:eastAsia="Verdana"/>
                <w:szCs w:val="16"/>
              </w:rPr>
              <w:t xml:space="preserve">increasing our funding of our partnerships to support Traditional Owner corporations’ self-determined programs and projects. </w:t>
            </w:r>
          </w:p>
          <w:p w14:paraId="3843437E" w14:textId="120E2F7B" w:rsidR="00767B75" w:rsidRPr="00AF2EB2" w:rsidRDefault="00767B75" w:rsidP="003A108A">
            <w:pPr>
              <w:pStyle w:val="Tablebullet"/>
              <w:rPr>
                <w:rFonts w:eastAsia="Verdana"/>
                <w:szCs w:val="16"/>
                <w:lang w:val="en-GB"/>
              </w:rPr>
            </w:pPr>
            <w:r w:rsidRPr="00AF2EB2">
              <w:rPr>
                <w:rFonts w:eastAsia="Verdana"/>
              </w:rPr>
              <w:t>We will continue with a range of co-delivery programs with local community</w:t>
            </w:r>
            <w:r w:rsidR="00044094" w:rsidRPr="00044094">
              <w:rPr>
                <w:rFonts w:eastAsia="Verdana"/>
                <w:szCs w:val="16"/>
              </w:rPr>
              <w:t xml:space="preserve"> </w:t>
            </w:r>
            <w:r w:rsidRPr="00AF2EB2">
              <w:rPr>
                <w:rFonts w:eastAsia="Verdana"/>
                <w:szCs w:val="16"/>
              </w:rPr>
              <w:t xml:space="preserve">and partners in council, State and Federal Governments. </w:t>
            </w:r>
          </w:p>
          <w:p w14:paraId="07810488" w14:textId="1C970363" w:rsidR="00767B75" w:rsidRPr="00AF2EB2" w:rsidRDefault="00767B75" w:rsidP="003A108A">
            <w:pPr>
              <w:pStyle w:val="Tablebullet"/>
              <w:rPr>
                <w:rFonts w:eastAsia="Verdana"/>
                <w:lang w:val="en-GB"/>
              </w:rPr>
            </w:pPr>
            <w:r w:rsidRPr="00AF2EB2">
              <w:rPr>
                <w:rFonts w:eastAsia="Verdana"/>
              </w:rPr>
              <w:t>We will continue to work with community environmental groups to support waterway health.</w:t>
            </w:r>
          </w:p>
        </w:tc>
      </w:tr>
    </w:tbl>
    <w:p w14:paraId="7C2CCCEF" w14:textId="77777777" w:rsidR="00767B75" w:rsidRPr="00DE108C" w:rsidRDefault="00767B75"/>
    <w:p w14:paraId="5DBEE53C" w14:textId="560D0165" w:rsidR="00767B75" w:rsidRPr="00DE108C" w:rsidRDefault="00767B75">
      <w:pPr>
        <w:pStyle w:val="Heading2"/>
      </w:pPr>
      <w:bookmarkStart w:id="275" w:name="_Toc196745206"/>
      <w:bookmarkStart w:id="276" w:name="_Toc207892890"/>
      <w:bookmarkStart w:id="277" w:name="_Toc207853383"/>
      <w:r w:rsidRPr="00DE108C">
        <w:t>3.</w:t>
      </w:r>
      <w:r w:rsidR="00A52361" w:rsidRPr="00DE108C">
        <w:t>5</w:t>
      </w:r>
      <w:r w:rsidRPr="00DE108C">
        <w:t xml:space="preserve"> PREMO assessment – Engagement</w:t>
      </w:r>
      <w:bookmarkEnd w:id="275"/>
      <w:bookmarkEnd w:id="276"/>
      <w:bookmarkEnd w:id="277"/>
    </w:p>
    <w:p w14:paraId="7F6D04BC" w14:textId="4BDE527D" w:rsidR="00767B75" w:rsidRPr="00DE108C" w:rsidRDefault="00767B75" w:rsidP="00746E53">
      <w:r w:rsidRPr="00DE108C">
        <w:t>For the Engagement component of PREMO, we have assessed ourselves as ‘</w:t>
      </w:r>
      <w:r w:rsidRPr="00044094">
        <w:rPr>
          <w:i/>
        </w:rPr>
        <w:t>Standard’</w:t>
      </w:r>
      <w:r w:rsidRPr="00DE108C">
        <w:t>. Our assessment and rationale are summarised in Table 3.</w:t>
      </w:r>
      <w:r w:rsidR="00617CBB" w:rsidRPr="00DE108C">
        <w:t>9</w:t>
      </w:r>
      <w:r w:rsidRPr="00DE108C">
        <w:t xml:space="preserve">. </w:t>
      </w:r>
    </w:p>
    <w:p w14:paraId="145BAD9D" w14:textId="61ABB201" w:rsidR="00767B75" w:rsidRPr="00DE108C" w:rsidRDefault="00767B75" w:rsidP="00746E53">
      <w:pPr>
        <w:pStyle w:val="Caption"/>
      </w:pPr>
      <w:bookmarkStart w:id="278" w:name="_Ref192515414"/>
      <w:bookmarkStart w:id="279" w:name="_Toc207893001"/>
      <w:bookmarkStart w:id="280" w:name="_Toc208490524"/>
      <w:bookmarkStart w:id="281" w:name="_Toc208490862"/>
      <w:bookmarkStart w:id="282" w:name="_Toc208911020"/>
      <w:bookmarkStart w:id="283" w:name="_Toc210051327"/>
      <w:r w:rsidRPr="00DE108C">
        <w:lastRenderedPageBreak/>
        <w:t>Table 3.</w:t>
      </w:r>
      <w:bookmarkEnd w:id="278"/>
      <w:r w:rsidR="000A35A2" w:rsidRPr="00DE108C">
        <w:t>9</w:t>
      </w:r>
      <w:r w:rsidRPr="00DE108C">
        <w:t>: PREMO Assessment – Engagement</w:t>
      </w:r>
      <w:bookmarkEnd w:id="279"/>
      <w:bookmarkEnd w:id="280"/>
      <w:bookmarkEnd w:id="281"/>
      <w:bookmarkEnd w:id="282"/>
      <w:bookmarkEnd w:id="283"/>
      <w:r w:rsidRPr="00DE108C">
        <w:t xml:space="preserve"> </w:t>
      </w:r>
    </w:p>
    <w:tbl>
      <w:tblPr>
        <w:tblStyle w:val="MWTableGrid"/>
        <w:tblW w:w="5000" w:type="pct"/>
        <w:tblLook w:val="0420" w:firstRow="1" w:lastRow="0" w:firstColumn="0" w:lastColumn="0" w:noHBand="0" w:noVBand="1"/>
      </w:tblPr>
      <w:tblGrid>
        <w:gridCol w:w="2831"/>
        <w:gridCol w:w="6797"/>
      </w:tblGrid>
      <w:tr w:rsidR="00A5757A" w:rsidRPr="00DE108C" w14:paraId="3893055E" w14:textId="77777777" w:rsidTr="00617CBB">
        <w:trPr>
          <w:cnfStyle w:val="100000000000" w:firstRow="1" w:lastRow="0" w:firstColumn="0" w:lastColumn="0" w:oddVBand="0" w:evenVBand="0" w:oddHBand="0" w:evenHBand="0" w:firstRowFirstColumn="0" w:firstRowLastColumn="0" w:lastRowFirstColumn="0" w:lastRowLastColumn="0"/>
        </w:trPr>
        <w:tc>
          <w:tcPr>
            <w:tcW w:w="1470" w:type="pct"/>
          </w:tcPr>
          <w:p w14:paraId="1C2029B1" w14:textId="77777777" w:rsidR="00767B75" w:rsidRPr="00DE108C" w:rsidRDefault="00767B75" w:rsidP="00A52361">
            <w:pPr>
              <w:pStyle w:val="TableHeading"/>
            </w:pPr>
            <w:r w:rsidRPr="00DE108C">
              <w:t>Guiding Question</w:t>
            </w:r>
          </w:p>
        </w:tc>
        <w:tc>
          <w:tcPr>
            <w:tcW w:w="3530" w:type="pct"/>
          </w:tcPr>
          <w:p w14:paraId="18EC33FC" w14:textId="77777777" w:rsidR="00767B75" w:rsidRPr="00DE108C" w:rsidRDefault="00767B75" w:rsidP="00A52361">
            <w:pPr>
              <w:pStyle w:val="TableHeading"/>
            </w:pPr>
            <w:r w:rsidRPr="00DE108C">
              <w:t>Comment</w:t>
            </w:r>
          </w:p>
        </w:tc>
      </w:tr>
      <w:tr w:rsidR="00767B75" w:rsidRPr="00DE108C" w14:paraId="4D7F1F8B" w14:textId="77777777" w:rsidTr="00617CBB">
        <w:trPr>
          <w:trHeight w:val="5610"/>
        </w:trPr>
        <w:tc>
          <w:tcPr>
            <w:tcW w:w="1470" w:type="pct"/>
          </w:tcPr>
          <w:p w14:paraId="7B41B12D" w14:textId="77777777" w:rsidR="00767B75" w:rsidRPr="00DE108C" w:rsidRDefault="00767B75">
            <w:pPr>
              <w:pStyle w:val="TableText"/>
              <w:rPr>
                <w:rFonts w:ascii="Verdana" w:hAnsi="Verdana"/>
              </w:rPr>
            </w:pPr>
            <w:r w:rsidRPr="00DE108C">
              <w:rPr>
                <w:rFonts w:ascii="Verdana" w:eastAsia="Verdana" w:hAnsi="Verdana" w:cs="Verdana"/>
              </w:rPr>
              <w:t>To what extent has Melbourne Water justified how the form of engagement suits the content of consultation, as well as the circumstances of its customers and other key stakeholders?</w:t>
            </w:r>
          </w:p>
          <w:p w14:paraId="2236F6DF" w14:textId="77777777" w:rsidR="00767B75" w:rsidRPr="00DE108C" w:rsidRDefault="00767B75">
            <w:pPr>
              <w:pStyle w:val="TableText"/>
              <w:rPr>
                <w:rFonts w:ascii="Verdana" w:hAnsi="Verdana"/>
              </w:rPr>
            </w:pPr>
          </w:p>
        </w:tc>
        <w:tc>
          <w:tcPr>
            <w:tcW w:w="3530" w:type="pct"/>
          </w:tcPr>
          <w:p w14:paraId="31A995AA" w14:textId="4F60139F" w:rsidR="00767B75" w:rsidRPr="00AD432B" w:rsidRDefault="00767B75" w:rsidP="00B420F6">
            <w:pPr>
              <w:pStyle w:val="TableText"/>
              <w:rPr>
                <w:rFonts w:ascii="Verdana" w:eastAsia="Verdana" w:hAnsi="Verdana"/>
              </w:rPr>
            </w:pPr>
            <w:r w:rsidRPr="00AD432B">
              <w:rPr>
                <w:rFonts w:ascii="Verdana" w:eastAsia="Verdana" w:hAnsi="Verdana"/>
              </w:rPr>
              <w:t xml:space="preserve">Our engagement program was developed in collaboration with our customers after completing an initial environmental scan of water corporations </w:t>
            </w:r>
            <w:r w:rsidR="004D2DCA" w:rsidRPr="00AD432B">
              <w:rPr>
                <w:rFonts w:ascii="Verdana" w:eastAsia="Verdana" w:hAnsi="Verdana"/>
              </w:rPr>
              <w:t>P</w:t>
            </w:r>
            <w:r w:rsidRPr="00AD432B">
              <w:rPr>
                <w:rFonts w:ascii="Verdana" w:eastAsia="Verdana" w:hAnsi="Verdana"/>
              </w:rPr>
              <w:t xml:space="preserve">rice </w:t>
            </w:r>
            <w:r w:rsidR="004D2DCA" w:rsidRPr="00AD432B">
              <w:rPr>
                <w:rFonts w:ascii="Verdana" w:eastAsia="Verdana" w:hAnsi="Verdana"/>
              </w:rPr>
              <w:t>S</w:t>
            </w:r>
            <w:r w:rsidRPr="00AD432B">
              <w:rPr>
                <w:rFonts w:ascii="Verdana" w:eastAsia="Verdana" w:hAnsi="Verdana"/>
              </w:rPr>
              <w:t xml:space="preserve">ubmission findings and customer engagement. </w:t>
            </w:r>
          </w:p>
          <w:p w14:paraId="51DF6DA1" w14:textId="63591E61" w:rsidR="00767B75" w:rsidRPr="00DE108C" w:rsidRDefault="00767B75">
            <w:pPr>
              <w:rPr>
                <w:rFonts w:ascii="Verdana" w:eastAsia="Verdana" w:hAnsi="Verdana" w:cs="Verdana"/>
                <w:sz w:val="16"/>
                <w:szCs w:val="16"/>
              </w:rPr>
            </w:pPr>
            <w:r w:rsidRPr="14031F0E">
              <w:rPr>
                <w:rFonts w:ascii="Verdana" w:eastAsia="Verdana" w:hAnsi="Verdana" w:cs="Verdana"/>
                <w:sz w:val="16"/>
                <w:szCs w:val="16"/>
              </w:rPr>
              <w:t xml:space="preserve">The early engagement program we developed with water corporations identified key strategic challenges for Melbourne Water to address, which helped focus engagement on our </w:t>
            </w:r>
            <w:r w:rsidR="56FDE66F" w:rsidRPr="14031F0E">
              <w:rPr>
                <w:rFonts w:ascii="Verdana" w:eastAsia="Verdana" w:hAnsi="Verdana" w:cs="Verdana"/>
                <w:sz w:val="16"/>
                <w:szCs w:val="16"/>
              </w:rPr>
              <w:t>2026 P</w:t>
            </w:r>
            <w:r w:rsidRPr="14031F0E">
              <w:rPr>
                <w:rFonts w:ascii="Verdana" w:eastAsia="Verdana" w:hAnsi="Verdana" w:cs="Verdana"/>
                <w:sz w:val="16"/>
                <w:szCs w:val="16"/>
              </w:rPr>
              <w:t xml:space="preserve">rice </w:t>
            </w:r>
            <w:r w:rsidR="28F8AC30" w:rsidRPr="14031F0E">
              <w:rPr>
                <w:rFonts w:ascii="Verdana" w:eastAsia="Verdana" w:hAnsi="Verdana" w:cs="Verdana"/>
                <w:sz w:val="16"/>
                <w:szCs w:val="16"/>
              </w:rPr>
              <w:t>S</w:t>
            </w:r>
            <w:r w:rsidRPr="14031F0E">
              <w:rPr>
                <w:rFonts w:ascii="Verdana" w:eastAsia="Verdana" w:hAnsi="Verdana" w:cs="Verdana"/>
                <w:sz w:val="16"/>
                <w:szCs w:val="16"/>
              </w:rPr>
              <w:t>ubmission</w:t>
            </w:r>
            <w:r w:rsidR="348BE4E6" w:rsidRPr="14031F0E">
              <w:rPr>
                <w:rFonts w:ascii="Verdana" w:eastAsia="Verdana" w:hAnsi="Verdana" w:cs="Verdana"/>
                <w:sz w:val="16"/>
                <w:szCs w:val="16"/>
              </w:rPr>
              <w:t>.</w:t>
            </w:r>
          </w:p>
          <w:p w14:paraId="037D8F49" w14:textId="77777777" w:rsidR="00767B75" w:rsidRPr="00DE108C" w:rsidRDefault="00767B75">
            <w:pPr>
              <w:rPr>
                <w:rFonts w:ascii="Verdana" w:eastAsia="Verdana" w:hAnsi="Verdana" w:cs="Verdana"/>
                <w:sz w:val="16"/>
                <w:szCs w:val="20"/>
              </w:rPr>
            </w:pPr>
            <w:r w:rsidRPr="00DE108C">
              <w:rPr>
                <w:rFonts w:ascii="Verdana" w:eastAsia="Verdana" w:hAnsi="Verdana" w:cs="Verdana"/>
                <w:sz w:val="16"/>
                <w:szCs w:val="20"/>
              </w:rPr>
              <w:t xml:space="preserve">More specifically engagement with water businesses was developed in consultation, including: </w:t>
            </w:r>
          </w:p>
          <w:p w14:paraId="02EE962D" w14:textId="77777777" w:rsidR="00767B75" w:rsidRPr="00DE108C" w:rsidRDefault="00767B75" w:rsidP="003A108A">
            <w:pPr>
              <w:pStyle w:val="Tablebullet"/>
              <w:rPr>
                <w:rFonts w:eastAsia="Verdana"/>
                <w:szCs w:val="16"/>
              </w:rPr>
            </w:pPr>
            <w:r w:rsidRPr="14031F0E">
              <w:rPr>
                <w:rFonts w:eastAsia="Verdana"/>
              </w:rPr>
              <w:t>regular Water Corporation Forum meetings</w:t>
            </w:r>
          </w:p>
          <w:p w14:paraId="1603E7BC" w14:textId="77777777" w:rsidR="00767B75" w:rsidRPr="00DE108C" w:rsidRDefault="00767B75" w:rsidP="003A108A">
            <w:pPr>
              <w:pStyle w:val="Tablebullet"/>
              <w:rPr>
                <w:rFonts w:eastAsia="Verdana"/>
                <w:szCs w:val="16"/>
              </w:rPr>
            </w:pPr>
            <w:r w:rsidRPr="14031F0E">
              <w:rPr>
                <w:rFonts w:eastAsia="Verdana"/>
              </w:rPr>
              <w:t>one-to-one planning and bulk supply meetings</w:t>
            </w:r>
          </w:p>
          <w:p w14:paraId="2EDDD14C" w14:textId="77777777" w:rsidR="00767B75" w:rsidRPr="00DE108C" w:rsidRDefault="00767B75" w:rsidP="003A108A">
            <w:pPr>
              <w:pStyle w:val="Tablebullet"/>
              <w:rPr>
                <w:rFonts w:eastAsia="Verdana"/>
                <w:szCs w:val="16"/>
              </w:rPr>
            </w:pPr>
            <w:r w:rsidRPr="14031F0E">
              <w:rPr>
                <w:rFonts w:eastAsia="Verdana"/>
              </w:rPr>
              <w:t xml:space="preserve">a series of regulation-specific meetings. </w:t>
            </w:r>
          </w:p>
          <w:p w14:paraId="0EB30B5B" w14:textId="585275D4" w:rsidR="00767B75" w:rsidRPr="00DE108C" w:rsidRDefault="00767B75">
            <w:pPr>
              <w:rPr>
                <w:rFonts w:ascii="Verdana" w:eastAsia="Verdana" w:hAnsi="Verdana" w:cs="Verdana"/>
                <w:sz w:val="16"/>
                <w:szCs w:val="16"/>
              </w:rPr>
            </w:pPr>
            <w:r w:rsidRPr="14031F0E">
              <w:rPr>
                <w:rFonts w:ascii="Verdana" w:eastAsia="Verdana" w:hAnsi="Verdana" w:cs="Verdana"/>
                <w:sz w:val="16"/>
                <w:szCs w:val="16"/>
              </w:rPr>
              <w:t>This allowed us to work directly with water corporations on the topics of most relevance and influence to them, including how we can align and support their outcomes.</w:t>
            </w:r>
          </w:p>
          <w:p w14:paraId="05C76520" w14:textId="77777777" w:rsidR="00767B75" w:rsidRPr="00DE108C" w:rsidRDefault="00767B75">
            <w:pPr>
              <w:rPr>
                <w:rFonts w:ascii="Verdana" w:eastAsia="Verdana" w:hAnsi="Verdana" w:cs="Verdana"/>
              </w:rPr>
            </w:pPr>
            <w:r w:rsidRPr="00DE108C">
              <w:rPr>
                <w:rFonts w:ascii="Verdana" w:eastAsia="Verdana" w:hAnsi="Verdana" w:cs="Verdana"/>
                <w:sz w:val="16"/>
                <w:szCs w:val="20"/>
              </w:rPr>
              <w:t>Overall, we have targeted our engagement and the form of engagement to each of our customer groups – bulk customers, waterways and drainage customers, recycled water customers, and end-users.</w:t>
            </w:r>
          </w:p>
        </w:tc>
      </w:tr>
      <w:tr w:rsidR="00A5757A" w:rsidRPr="00DE108C" w14:paraId="08EBF8A7" w14:textId="77777777" w:rsidTr="00617CBB">
        <w:trPr>
          <w:cnfStyle w:val="000000010000" w:firstRow="0" w:lastRow="0" w:firstColumn="0" w:lastColumn="0" w:oddVBand="0" w:evenVBand="0" w:oddHBand="0" w:evenHBand="1" w:firstRowFirstColumn="0" w:firstRowLastColumn="0" w:lastRowFirstColumn="0" w:lastRowLastColumn="0"/>
        </w:trPr>
        <w:tc>
          <w:tcPr>
            <w:tcW w:w="1470" w:type="pct"/>
          </w:tcPr>
          <w:p w14:paraId="20E9E3B3" w14:textId="77777777" w:rsidR="00767B75" w:rsidRPr="00DE108C" w:rsidRDefault="00767B75" w:rsidP="00CC0A2D">
            <w:pPr>
              <w:pStyle w:val="TableText"/>
            </w:pPr>
            <w:r w:rsidRPr="00DE108C">
              <w:rPr>
                <w:rFonts w:eastAsia="Verdana"/>
              </w:rPr>
              <w:t>To what extent has Melbourne Water demonstrated that it provided appropriate instruction and information to participants about the purpose, form and content of the customer engagement?</w:t>
            </w:r>
          </w:p>
          <w:p w14:paraId="47D11974" w14:textId="77777777" w:rsidR="00767B75" w:rsidRPr="00DE108C" w:rsidRDefault="00767B75" w:rsidP="00CC0A2D">
            <w:pPr>
              <w:pStyle w:val="TableText"/>
            </w:pPr>
          </w:p>
        </w:tc>
        <w:tc>
          <w:tcPr>
            <w:tcW w:w="3530" w:type="pct"/>
          </w:tcPr>
          <w:p w14:paraId="3BCA3F4C" w14:textId="582CFFA0" w:rsidR="00767B75" w:rsidRPr="00DE108C" w:rsidRDefault="00767B75" w:rsidP="00CC0A2D">
            <w:pPr>
              <w:pStyle w:val="TableText"/>
              <w:rPr>
                <w:szCs w:val="16"/>
              </w:rPr>
            </w:pPr>
            <w:r w:rsidRPr="14031F0E">
              <w:rPr>
                <w:szCs w:val="16"/>
              </w:rPr>
              <w:t xml:space="preserve">We are committed to ongoing engagement with both bulk and end-use customers across all aspects of our business. This has meant the complexity provided in our engagement materials has been tailored to each of our customer cohorts. </w:t>
            </w:r>
          </w:p>
          <w:p w14:paraId="58EB1D60" w14:textId="3873DBC4" w:rsidR="00767B75" w:rsidRPr="00DE108C" w:rsidRDefault="00767B75" w:rsidP="00CC0A2D">
            <w:pPr>
              <w:pStyle w:val="TableText"/>
              <w:rPr>
                <w:szCs w:val="16"/>
              </w:rPr>
            </w:pPr>
            <w:r w:rsidRPr="14031F0E">
              <w:rPr>
                <w:szCs w:val="16"/>
              </w:rPr>
              <w:t xml:space="preserve">Our end-use customers received foundational, in-depth and targeted engagement activities, whereas our bulk customers were involved in more complex discussions on asset function, form and operations and this was reflected in the materials provided. For example, we offered the community deliberative forum pre-briefings in advance of every full day session and took and answered their questions. </w:t>
            </w:r>
          </w:p>
          <w:p w14:paraId="4ED2D2C0" w14:textId="77777777" w:rsidR="00767B75" w:rsidRPr="00DE108C" w:rsidRDefault="00767B75" w:rsidP="00CC0A2D">
            <w:pPr>
              <w:pStyle w:val="TableText"/>
              <w:rPr>
                <w:szCs w:val="20"/>
              </w:rPr>
            </w:pPr>
            <w:r w:rsidRPr="00DE108C">
              <w:rPr>
                <w:szCs w:val="20"/>
              </w:rPr>
              <w:t xml:space="preserve">During our engagement process we received positive feedback from all our customers who participated that the material was sufficient for them to provide meaningful contribution. </w:t>
            </w:r>
          </w:p>
        </w:tc>
      </w:tr>
      <w:tr w:rsidR="00767B75" w:rsidRPr="00DE108C" w14:paraId="533AA1FE" w14:textId="77777777" w:rsidTr="00617CBB">
        <w:tc>
          <w:tcPr>
            <w:tcW w:w="1470" w:type="pct"/>
          </w:tcPr>
          <w:p w14:paraId="5FAEDD88" w14:textId="77777777" w:rsidR="00767B75" w:rsidRPr="00DE108C" w:rsidRDefault="00767B75" w:rsidP="00CC0A2D">
            <w:pPr>
              <w:pStyle w:val="TableText"/>
            </w:pPr>
            <w:r w:rsidRPr="00DE108C">
              <w:rPr>
                <w:rFonts w:eastAsia="Verdana"/>
              </w:rPr>
              <w:t>To what extent has Melbourne Water demonstrated that the matters it has engaged on are those that have the most influence on the services provided to customers and prices charged?</w:t>
            </w:r>
          </w:p>
          <w:p w14:paraId="52759374" w14:textId="77777777" w:rsidR="00767B75" w:rsidRPr="00DE108C" w:rsidRDefault="00767B75" w:rsidP="00CC0A2D">
            <w:pPr>
              <w:pStyle w:val="TableText"/>
            </w:pPr>
          </w:p>
        </w:tc>
        <w:tc>
          <w:tcPr>
            <w:tcW w:w="3530" w:type="pct"/>
          </w:tcPr>
          <w:p w14:paraId="03A6BC4F" w14:textId="65C0835A" w:rsidR="00767B75" w:rsidRPr="00DE108C" w:rsidRDefault="00767B75" w:rsidP="00CC0A2D">
            <w:pPr>
              <w:pStyle w:val="TableText"/>
              <w:rPr>
                <w:rFonts w:eastAsia="Verdana"/>
              </w:rPr>
            </w:pPr>
            <w:r w:rsidRPr="00DE108C">
              <w:rPr>
                <w:rFonts w:eastAsia="Verdana"/>
              </w:rPr>
              <w:t xml:space="preserve">Our different customer </w:t>
            </w:r>
            <w:r w:rsidRPr="14031F0E">
              <w:rPr>
                <w:rFonts w:eastAsia="Verdana"/>
              </w:rPr>
              <w:t>cohort</w:t>
            </w:r>
            <w:r w:rsidR="67DDCEA5" w:rsidRPr="14031F0E">
              <w:rPr>
                <w:rFonts w:eastAsia="Verdana"/>
              </w:rPr>
              <w:t>s</w:t>
            </w:r>
            <w:r w:rsidRPr="00DE108C">
              <w:rPr>
                <w:rFonts w:eastAsia="Verdana"/>
              </w:rPr>
              <w:t xml:space="preserve"> have different needs and knowledge o</w:t>
            </w:r>
            <w:r w:rsidR="00355C22">
              <w:rPr>
                <w:rFonts w:eastAsia="Verdana"/>
              </w:rPr>
              <w:t>f</w:t>
            </w:r>
            <w:r w:rsidRPr="00DE108C">
              <w:rPr>
                <w:rFonts w:eastAsia="Verdana"/>
              </w:rPr>
              <w:t xml:space="preserve"> Melbourne Water. To engage effectively, we tailored engagements and levels of influence accordingly. To do this, we identified the level of influence the customer segment had (how much/little they used the service and how much/little/directly they are impacted by it) and balanced that with their level of interest identified through early prioritisation surveys and conversations. </w:t>
            </w:r>
          </w:p>
          <w:p w14:paraId="2E92DD25" w14:textId="0E67A524" w:rsidR="00767B75" w:rsidRPr="00DE108C" w:rsidRDefault="00767B75" w:rsidP="00CC0A2D">
            <w:pPr>
              <w:pStyle w:val="TableText"/>
              <w:rPr>
                <w:rFonts w:eastAsia="Verdana"/>
              </w:rPr>
            </w:pPr>
            <w:r w:rsidRPr="00DE108C">
              <w:rPr>
                <w:rFonts w:eastAsia="Verdana"/>
              </w:rPr>
              <w:t>An example of this is where water corporations had higher levels of influence on water and sewer</w:t>
            </w:r>
            <w:r w:rsidR="003C5406" w:rsidRPr="00DE108C">
              <w:rPr>
                <w:rFonts w:eastAsia="Verdana"/>
              </w:rPr>
              <w:t>age</w:t>
            </w:r>
            <w:r w:rsidRPr="00DE108C">
              <w:rPr>
                <w:rFonts w:eastAsia="Verdana"/>
              </w:rPr>
              <w:t xml:space="preserve"> services in comparison to end-use customers and other customer groups. Whereas end-use customers had higher levels of influence on waterways and drainage topics. Reflecting this, we provided more detail</w:t>
            </w:r>
            <w:r w:rsidR="6773C1B4" w:rsidRPr="14031F0E">
              <w:rPr>
                <w:rFonts w:eastAsia="Verdana"/>
              </w:rPr>
              <w:t xml:space="preserve"> and </w:t>
            </w:r>
            <w:r w:rsidRPr="00DE108C">
              <w:rPr>
                <w:rFonts w:eastAsia="Verdana"/>
              </w:rPr>
              <w:t xml:space="preserve">more opportunities to provide feedback in these areas of higher influence. </w:t>
            </w:r>
          </w:p>
        </w:tc>
      </w:tr>
      <w:tr w:rsidR="00A5757A" w:rsidRPr="00DE108C" w14:paraId="0C4573F3" w14:textId="77777777" w:rsidTr="00617CBB">
        <w:trPr>
          <w:cnfStyle w:val="000000010000" w:firstRow="0" w:lastRow="0" w:firstColumn="0" w:lastColumn="0" w:oddVBand="0" w:evenVBand="0" w:oddHBand="0" w:evenHBand="1" w:firstRowFirstColumn="0" w:firstRowLastColumn="0" w:lastRowFirstColumn="0" w:lastRowLastColumn="0"/>
          <w:trHeight w:val="300"/>
        </w:trPr>
        <w:tc>
          <w:tcPr>
            <w:tcW w:w="1470" w:type="pct"/>
          </w:tcPr>
          <w:p w14:paraId="0B65670B" w14:textId="77777777" w:rsidR="00767B75" w:rsidRPr="00DE108C" w:rsidRDefault="00767B75" w:rsidP="00CC0A2D">
            <w:pPr>
              <w:pStyle w:val="TableText"/>
              <w:rPr>
                <w:rFonts w:eastAsia="Verdana"/>
              </w:rPr>
            </w:pPr>
            <w:r w:rsidRPr="00DE108C">
              <w:rPr>
                <w:rFonts w:eastAsia="Verdana"/>
              </w:rPr>
              <w:lastRenderedPageBreak/>
              <w:t>To what extent has Melbourne Water explained how it decided when to carry out its engagement?</w:t>
            </w:r>
          </w:p>
          <w:p w14:paraId="4C2EB556" w14:textId="77777777" w:rsidR="00767B75" w:rsidRPr="00DE108C" w:rsidRDefault="00767B75" w:rsidP="00CC0A2D">
            <w:pPr>
              <w:pStyle w:val="TableText"/>
              <w:rPr>
                <w:rFonts w:eastAsia="Verdana"/>
              </w:rPr>
            </w:pPr>
          </w:p>
        </w:tc>
        <w:tc>
          <w:tcPr>
            <w:tcW w:w="3530" w:type="pct"/>
          </w:tcPr>
          <w:p w14:paraId="36EF81C1" w14:textId="77777777" w:rsidR="00767B75" w:rsidRPr="00DE108C" w:rsidRDefault="00767B75" w:rsidP="00CC0A2D">
            <w:pPr>
              <w:pStyle w:val="TableText"/>
              <w:rPr>
                <w:rFonts w:eastAsia="Verdana"/>
              </w:rPr>
            </w:pPr>
            <w:r w:rsidRPr="00DE108C">
              <w:rPr>
                <w:rFonts w:eastAsia="Verdana"/>
              </w:rPr>
              <w:t xml:space="preserve">We began our engagement program in June 2023 with environmental scans and interviews with key engagement leads from the water corporations on their programs to understand how and when to deliver our work. </w:t>
            </w:r>
          </w:p>
          <w:p w14:paraId="1D5196F7" w14:textId="2B6D3B99" w:rsidR="00767B75" w:rsidRPr="00DE108C" w:rsidRDefault="00767B75" w:rsidP="00CC0A2D">
            <w:pPr>
              <w:pStyle w:val="TableText"/>
              <w:rPr>
                <w:rFonts w:eastAsia="Verdana"/>
              </w:rPr>
            </w:pPr>
            <w:r w:rsidRPr="00DE108C">
              <w:rPr>
                <w:rFonts w:eastAsia="Verdana"/>
              </w:rPr>
              <w:t xml:space="preserve">Once work began on the submission in earnest, we set up the Water Corporation Forum and the deliberative panel, </w:t>
            </w:r>
            <w:r w:rsidR="44E097B6" w:rsidRPr="14031F0E">
              <w:rPr>
                <w:rFonts w:eastAsia="Verdana"/>
              </w:rPr>
              <w:t>which both</w:t>
            </w:r>
            <w:r w:rsidRPr="00DE108C">
              <w:rPr>
                <w:rFonts w:eastAsia="Verdana"/>
              </w:rPr>
              <w:t xml:space="preserve"> met throughout the development of the submission. Feeding into these ongoing forums were key activities, such as community surveys and one-to-one engagement with corporations. This allowed us to build on standalone findings in continuous forums. </w:t>
            </w:r>
          </w:p>
          <w:p w14:paraId="5E195101" w14:textId="77777777" w:rsidR="00767B75" w:rsidRPr="00DE108C" w:rsidRDefault="00767B75" w:rsidP="00CC0A2D">
            <w:pPr>
              <w:pStyle w:val="TableText"/>
              <w:rPr>
                <w:rFonts w:eastAsia="Verdana"/>
              </w:rPr>
            </w:pPr>
            <w:r w:rsidRPr="00DE108C">
              <w:rPr>
                <w:rFonts w:eastAsia="Verdana"/>
              </w:rPr>
              <w:t xml:space="preserve">Our engagement strategy itself was intended to build on previous stages, with initial assessment and values and priorities providing the foundations for following phases. </w:t>
            </w:r>
          </w:p>
        </w:tc>
      </w:tr>
      <w:tr w:rsidR="00767B75" w:rsidRPr="00DE108C" w14:paraId="1725838B" w14:textId="77777777" w:rsidTr="00617CBB">
        <w:tc>
          <w:tcPr>
            <w:tcW w:w="1470" w:type="pct"/>
          </w:tcPr>
          <w:p w14:paraId="5F7DE9EC" w14:textId="77777777" w:rsidR="00767B75" w:rsidRPr="00DE108C" w:rsidRDefault="00767B75" w:rsidP="00CC0A2D">
            <w:pPr>
              <w:pStyle w:val="TableText"/>
              <w:rPr>
                <w:rFonts w:eastAsia="Verdana"/>
              </w:rPr>
            </w:pPr>
            <w:r w:rsidRPr="00DE108C">
              <w:rPr>
                <w:rFonts w:eastAsia="Verdana"/>
              </w:rPr>
              <w:t>To what extent has Melbourne Water demonstrated how its engagement has influenced its submission?</w:t>
            </w:r>
          </w:p>
          <w:p w14:paraId="7C83E8DC" w14:textId="77777777" w:rsidR="00767B75" w:rsidRPr="00DE108C" w:rsidRDefault="00767B75" w:rsidP="00CC0A2D">
            <w:pPr>
              <w:pStyle w:val="TableText"/>
            </w:pPr>
          </w:p>
        </w:tc>
        <w:tc>
          <w:tcPr>
            <w:tcW w:w="3530" w:type="pct"/>
          </w:tcPr>
          <w:p w14:paraId="6B892FDD" w14:textId="77777777" w:rsidR="00767B75" w:rsidRPr="00DE108C" w:rsidRDefault="00767B75" w:rsidP="00CC0A2D">
            <w:pPr>
              <w:pStyle w:val="TableText"/>
            </w:pPr>
            <w:r w:rsidRPr="00DE108C">
              <w:t xml:space="preserve">PS26 is built on the extensive customer engagement insights gathered throughout 2023-25. </w:t>
            </w:r>
          </w:p>
          <w:p w14:paraId="08FE1984" w14:textId="4DBC923E" w:rsidR="00767B75" w:rsidRPr="00DE108C" w:rsidRDefault="00767B75" w:rsidP="00CC0A2D">
            <w:pPr>
              <w:pStyle w:val="TableText"/>
            </w:pPr>
            <w:r w:rsidRPr="00DE108C">
              <w:t xml:space="preserve">We worked closely with our bulk customers through the Water Corporation Forum and our end-use customers in the Waterways and Drainage customer forum and </w:t>
            </w:r>
            <w:r w:rsidR="00355C22">
              <w:t>d</w:t>
            </w:r>
            <w:r w:rsidRPr="00DE108C">
              <w:t xml:space="preserve">eliberative </w:t>
            </w:r>
            <w:r w:rsidR="00355C22">
              <w:t>p</w:t>
            </w:r>
            <w:r w:rsidRPr="00DE108C">
              <w:t xml:space="preserve">anel, to ensure our proposals reflected their preferences and needs. Key areas of influence </w:t>
            </w:r>
            <w:r>
              <w:t>include</w:t>
            </w:r>
            <w:r w:rsidR="37B1C1F2">
              <w:t xml:space="preserve">d </w:t>
            </w:r>
            <w:r w:rsidR="1E68ACDE">
              <w:t>c</w:t>
            </w:r>
            <w:r>
              <w:t>ustomer</w:t>
            </w:r>
            <w:r w:rsidRPr="00DE108C">
              <w:t xml:space="preserve"> Outcomes, areas of investment, risk and risk appetite (water corporations), proposed vulnerability program</w:t>
            </w:r>
            <w:r w:rsidR="79D48027">
              <w:t xml:space="preserve"> and GSLs. </w:t>
            </w:r>
          </w:p>
        </w:tc>
      </w:tr>
      <w:tr w:rsidR="00A5757A" w:rsidRPr="00DE108C" w14:paraId="585B0460" w14:textId="77777777" w:rsidTr="00617CBB">
        <w:trPr>
          <w:cnfStyle w:val="000000010000" w:firstRow="0" w:lastRow="0" w:firstColumn="0" w:lastColumn="0" w:oddVBand="0" w:evenVBand="0" w:oddHBand="0" w:evenHBand="1" w:firstRowFirstColumn="0" w:firstRowLastColumn="0" w:lastRowFirstColumn="0" w:lastRowLastColumn="0"/>
        </w:trPr>
        <w:tc>
          <w:tcPr>
            <w:tcW w:w="1470" w:type="pct"/>
          </w:tcPr>
          <w:p w14:paraId="153433E1" w14:textId="77777777" w:rsidR="00767B75" w:rsidRPr="00DE108C" w:rsidRDefault="00767B75" w:rsidP="00CC0A2D">
            <w:pPr>
              <w:pStyle w:val="TableText"/>
              <w:rPr>
                <w:rFonts w:eastAsia="Verdana"/>
              </w:rPr>
            </w:pPr>
            <w:r w:rsidRPr="00DE108C">
              <w:rPr>
                <w:rFonts w:eastAsia="Verdana"/>
              </w:rPr>
              <w:t>To what extent has Melbourne Water demonstrated that its engagement was inclusive of consumers experiencing vulnerability?</w:t>
            </w:r>
          </w:p>
          <w:p w14:paraId="0EB7040D" w14:textId="77777777" w:rsidR="00767B75" w:rsidRPr="00DE108C" w:rsidRDefault="00767B75" w:rsidP="00CC0A2D">
            <w:pPr>
              <w:pStyle w:val="TableText"/>
            </w:pPr>
          </w:p>
        </w:tc>
        <w:tc>
          <w:tcPr>
            <w:tcW w:w="3530" w:type="pct"/>
          </w:tcPr>
          <w:p w14:paraId="1E231AE0" w14:textId="77777777" w:rsidR="00767B75" w:rsidRPr="00DE108C" w:rsidRDefault="00767B75" w:rsidP="00CC0A2D">
            <w:pPr>
              <w:pStyle w:val="TableText"/>
            </w:pPr>
            <w:r w:rsidRPr="00DE108C">
              <w:t xml:space="preserve">Inclusive and accessible engagement is vital for any engagement program. </w:t>
            </w:r>
          </w:p>
          <w:p w14:paraId="43CAC709" w14:textId="77777777" w:rsidR="00767B75" w:rsidRPr="00DE108C" w:rsidRDefault="00767B75" w:rsidP="00CC0A2D">
            <w:pPr>
              <w:pStyle w:val="TableText"/>
            </w:pPr>
            <w:r w:rsidRPr="00DE108C">
              <w:t xml:space="preserve">Ensuring a representative voice of customers experiencing vulnerability was included in our forums, panels and focus groups was critical. Along with the financial reimbursement for participants in our work, we offered participants who were carers extra support, online support for those uncomfortable with online forums, and ensured we provided for any accessibility requirements (including catering for sensory needs). </w:t>
            </w:r>
          </w:p>
          <w:p w14:paraId="55427EEF" w14:textId="6FF4E701" w:rsidR="00767B75" w:rsidRPr="00DE108C" w:rsidRDefault="00767B75" w:rsidP="00CC0A2D">
            <w:pPr>
              <w:pStyle w:val="TableText"/>
            </w:pPr>
            <w:r w:rsidRPr="00DE108C">
              <w:t>Accessible information was developed throughout our engagement program</w:t>
            </w:r>
            <w:r w:rsidR="2CEC37B5">
              <w:t>,</w:t>
            </w:r>
            <w:r w:rsidRPr="00DE108C">
              <w:t xml:space="preserve"> including explainer videos for our willingness to pay survey and material that could be read in other languages. These helped ensure the participant had the right information to make an informed decision</w:t>
            </w:r>
            <w:r w:rsidR="10F8992D">
              <w:t xml:space="preserve"> and </w:t>
            </w:r>
            <w:r w:rsidRPr="00DE108C">
              <w:t xml:space="preserve">that the information was presented in an accessible and inclusive manner. Transcripts were provided for customers who were unable to view the video to ensure anyone who wanted to complete the survey could (such as customers who may not be as digitally literate or had poorer connections). To ensure our </w:t>
            </w:r>
            <w:r w:rsidR="118B7468">
              <w:t>P</w:t>
            </w:r>
            <w:r w:rsidRPr="00DE108C">
              <w:t>layback engagement was as accessible as possible for end-use customers, we translated key documents into five languages (representing most spoken languages in our service region) and utilised easy to understand videos to support knowledge</w:t>
            </w:r>
            <w:r w:rsidR="0931A9AD">
              <w:t xml:space="preserve"> and </w:t>
            </w:r>
            <w:r w:rsidRPr="00DE108C">
              <w:t xml:space="preserve">decision making. </w:t>
            </w:r>
          </w:p>
          <w:p w14:paraId="730C686B" w14:textId="77777777" w:rsidR="00767B75" w:rsidRPr="00DE108C" w:rsidRDefault="00767B75" w:rsidP="00CC0A2D">
            <w:pPr>
              <w:pStyle w:val="TableText"/>
            </w:pPr>
            <w:r w:rsidRPr="00DE108C">
              <w:t xml:space="preserve">We also partnered with the Victorian Council for Social Service to help recruit customers who may experience financial hardship – in acknowledgement that this customer group are unlikely to be recruited through traditional recruitment means. </w:t>
            </w:r>
          </w:p>
          <w:p w14:paraId="3E0EC9A8" w14:textId="7A6C7C21" w:rsidR="00767B75" w:rsidRPr="00DE108C" w:rsidRDefault="00767B75" w:rsidP="00CC0A2D">
            <w:pPr>
              <w:pStyle w:val="TableText"/>
              <w:rPr>
                <w:rFonts w:eastAsia="Verdana"/>
              </w:rPr>
            </w:pPr>
            <w:r w:rsidRPr="00DE108C">
              <w:t xml:space="preserve">In developing our first vulnerability program, we worked with community support organisations to ensure the program was developed with a customer-first mindset. </w:t>
            </w:r>
          </w:p>
        </w:tc>
      </w:tr>
      <w:tr w:rsidR="00767B75" w:rsidRPr="00DE108C" w14:paraId="111C5195" w14:textId="77777777" w:rsidTr="00617CBB">
        <w:trPr>
          <w:trHeight w:val="49"/>
        </w:trPr>
        <w:tc>
          <w:tcPr>
            <w:tcW w:w="1470" w:type="pct"/>
          </w:tcPr>
          <w:p w14:paraId="36C3C89E" w14:textId="77777777" w:rsidR="00767B75" w:rsidRPr="00DE108C" w:rsidRDefault="00767B75" w:rsidP="00CC0A2D">
            <w:pPr>
              <w:pStyle w:val="TableText"/>
            </w:pPr>
            <w:r w:rsidRPr="00DE108C">
              <w:rPr>
                <w:rFonts w:eastAsia="Verdana"/>
              </w:rPr>
              <w:lastRenderedPageBreak/>
              <w:t>To what extent has Melbourne Water demonstrated that its engagement was inclusive of First Nations people and relevant Traditional Owner groups?</w:t>
            </w:r>
          </w:p>
          <w:p w14:paraId="0FF424E7" w14:textId="77777777" w:rsidR="00767B75" w:rsidRPr="00DE108C" w:rsidRDefault="00767B75" w:rsidP="00CC0A2D">
            <w:pPr>
              <w:pStyle w:val="TableText"/>
            </w:pPr>
          </w:p>
        </w:tc>
        <w:tc>
          <w:tcPr>
            <w:tcW w:w="3530" w:type="pct"/>
          </w:tcPr>
          <w:p w14:paraId="24385AAE" w14:textId="77777777" w:rsidR="00767B75" w:rsidRPr="00DE108C" w:rsidRDefault="00767B75" w:rsidP="00CC0A2D">
            <w:pPr>
              <w:pStyle w:val="TableText"/>
            </w:pPr>
            <w:r w:rsidRPr="00DE108C">
              <w:t xml:space="preserve">We are learning from Traditional Owners about how we can partner with them to apply a Caring for Country approach to the land and waterways that we manage and use. </w:t>
            </w:r>
          </w:p>
          <w:p w14:paraId="20FB97DC" w14:textId="25782222" w:rsidR="00767B75" w:rsidRPr="00DE108C" w:rsidRDefault="00767B75" w:rsidP="00CC0A2D">
            <w:pPr>
              <w:pStyle w:val="TableText"/>
            </w:pPr>
            <w:r w:rsidRPr="00DE108C">
              <w:t xml:space="preserve">We have been working with our Traditional Owner partners to understand </w:t>
            </w:r>
            <w:r w:rsidR="31CD0E33">
              <w:t>the</w:t>
            </w:r>
            <w:r w:rsidRPr="00DE108C">
              <w:t xml:space="preserve"> role we can play in their journey to self-determination. </w:t>
            </w:r>
          </w:p>
          <w:p w14:paraId="6EFD93CF" w14:textId="253DA180" w:rsidR="00767B75" w:rsidRPr="00DE108C" w:rsidRDefault="00767B75" w:rsidP="00CC0A2D">
            <w:pPr>
              <w:pStyle w:val="TableText"/>
            </w:pPr>
            <w:r w:rsidRPr="00DE108C">
              <w:t xml:space="preserve">In recruiting for our deliberative community panel and customer forum, we ensured there were participants who identified as Aboriginal and/or Torres Strait Islander. </w:t>
            </w:r>
            <w:r w:rsidR="0A0FC976">
              <w:t>How</w:t>
            </w:r>
            <w:r w:rsidR="66B5B9CC">
              <w:t>e</w:t>
            </w:r>
            <w:r w:rsidR="0A0FC976">
              <w:t xml:space="preserve">ver, </w:t>
            </w:r>
            <w:r w:rsidR="0CCEC4E7">
              <w:t>t</w:t>
            </w:r>
            <w:r>
              <w:t>hese</w:t>
            </w:r>
            <w:r w:rsidRPr="00DE108C">
              <w:t xml:space="preserve"> participants were not expected to represent First Nations peoples, but only themselves and their experiences of water services. This was intended to prevent cultural burden being placed on individuals. Our work with Traditional Owner partners is intended to ensure we reflect First Nations voices in our decision making, programs, and investments.</w:t>
            </w:r>
          </w:p>
        </w:tc>
      </w:tr>
      <w:tr w:rsidR="00A5757A" w:rsidRPr="00DE108C" w14:paraId="5EDF12E9" w14:textId="77777777" w:rsidTr="00617CBB">
        <w:trPr>
          <w:cnfStyle w:val="000000010000" w:firstRow="0" w:lastRow="0" w:firstColumn="0" w:lastColumn="0" w:oddVBand="0" w:evenVBand="0" w:oddHBand="0" w:evenHBand="1" w:firstRowFirstColumn="0" w:firstRowLastColumn="0" w:lastRowFirstColumn="0" w:lastRowLastColumn="0"/>
        </w:trPr>
        <w:tc>
          <w:tcPr>
            <w:tcW w:w="1470" w:type="pct"/>
          </w:tcPr>
          <w:p w14:paraId="06726B78" w14:textId="77777777" w:rsidR="00767B75" w:rsidRPr="00DE108C" w:rsidRDefault="00767B75" w:rsidP="00C73091">
            <w:pPr>
              <w:pStyle w:val="TableText"/>
              <w:rPr>
                <w:b/>
                <w:bCs/>
              </w:rPr>
            </w:pPr>
            <w:r w:rsidRPr="00DE108C">
              <w:rPr>
                <w:b/>
                <w:bCs/>
              </w:rPr>
              <w:t>Rating</w:t>
            </w:r>
          </w:p>
        </w:tc>
        <w:tc>
          <w:tcPr>
            <w:tcW w:w="3530" w:type="pct"/>
          </w:tcPr>
          <w:p w14:paraId="6E917FC1" w14:textId="77777777" w:rsidR="00767B75" w:rsidRPr="00DE108C" w:rsidRDefault="00767B75" w:rsidP="00C73091">
            <w:pPr>
              <w:pStyle w:val="TableText"/>
              <w:rPr>
                <w:b/>
                <w:bCs/>
              </w:rPr>
            </w:pPr>
            <w:r w:rsidRPr="00DE108C">
              <w:rPr>
                <w:b/>
                <w:bCs/>
              </w:rPr>
              <w:t xml:space="preserve">Confident the engagement undertaken and its influence on our submission is </w:t>
            </w:r>
            <w:r w:rsidRPr="00423F03">
              <w:rPr>
                <w:b/>
                <w:i/>
              </w:rPr>
              <w:t>‘Standard’</w:t>
            </w:r>
            <w:r w:rsidRPr="00DE108C">
              <w:rPr>
                <w:b/>
                <w:bCs/>
              </w:rPr>
              <w:t>.</w:t>
            </w:r>
          </w:p>
        </w:tc>
      </w:tr>
    </w:tbl>
    <w:p w14:paraId="2EE561F7" w14:textId="77777777" w:rsidR="00767B75" w:rsidRPr="00DE108C" w:rsidRDefault="00767B75"/>
    <w:p w14:paraId="42909B91" w14:textId="77777777" w:rsidR="00767B75" w:rsidRPr="00DE108C" w:rsidRDefault="00767B75">
      <w:r w:rsidRPr="00DE108C">
        <w:br w:type="page"/>
      </w:r>
    </w:p>
    <w:bookmarkStart w:id="284" w:name="_Toc207892891"/>
    <w:bookmarkStart w:id="285" w:name="_Toc207853384"/>
    <w:bookmarkStart w:id="286" w:name="_Toc210229036"/>
    <w:bookmarkStart w:id="287" w:name="_Toc183369872"/>
    <w:bookmarkStart w:id="288" w:name="_Ref183442184"/>
    <w:bookmarkStart w:id="289" w:name="_Toc183623977"/>
    <w:bookmarkStart w:id="290" w:name="_Toc190876139"/>
    <w:bookmarkStart w:id="291" w:name="_Ref192494522"/>
    <w:bookmarkStart w:id="292" w:name="_Ref192494524"/>
    <w:bookmarkStart w:id="293" w:name="_Toc196745207"/>
    <w:bookmarkStart w:id="294" w:name="_Toc199757800"/>
    <w:p w14:paraId="40ACCED6" w14:textId="7F331B55" w:rsidR="00767B75" w:rsidRPr="00DE108C" w:rsidRDefault="00043980" w:rsidP="5F013AD7">
      <w:pPr>
        <w:pStyle w:val="Heading1"/>
        <w:rPr>
          <w:b w:val="0"/>
          <w:sz w:val="76"/>
          <w:szCs w:val="76"/>
        </w:rPr>
      </w:pPr>
      <w:r>
        <w:rPr>
          <w:noProof/>
        </w:rPr>
        <w:lastRenderedPageBreak/>
        <mc:AlternateContent>
          <mc:Choice Requires="wps">
            <w:drawing>
              <wp:anchor distT="45720" distB="45720" distL="114300" distR="114300" simplePos="0" relativeHeight="251658261" behindDoc="0" locked="0" layoutInCell="1" allowOverlap="1" wp14:anchorId="75F69CD3" wp14:editId="08BE18D5">
                <wp:simplePos x="0" y="0"/>
                <wp:positionH relativeFrom="margin">
                  <wp:posOffset>0</wp:posOffset>
                </wp:positionH>
                <wp:positionV relativeFrom="margin">
                  <wp:posOffset>0</wp:posOffset>
                </wp:positionV>
                <wp:extent cx="4122000" cy="907200"/>
                <wp:effectExtent l="0" t="0" r="0" b="0"/>
                <wp:wrapSquare wrapText="bothSides"/>
                <wp:docPr id="868182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000" cy="907200"/>
                        </a:xfrm>
                        <a:prstGeom prst="rect">
                          <a:avLst/>
                        </a:prstGeom>
                        <a:noFill/>
                        <a:ln w="9525">
                          <a:noFill/>
                          <a:miter lim="800000"/>
                          <a:headEnd/>
                          <a:tailEnd/>
                        </a:ln>
                      </wps:spPr>
                      <wps:txbx>
                        <w:txbxContent>
                          <w:p w14:paraId="0C22EB28" w14:textId="2CA4BE63" w:rsidR="00043980" w:rsidRPr="00FA4200" w:rsidRDefault="00043980" w:rsidP="00043980">
                            <w:pPr>
                              <w:rPr>
                                <w:color w:val="FFFFFF" w:themeColor="background1"/>
                                <w:sz w:val="80"/>
                                <w:szCs w:val="80"/>
                              </w:rPr>
                            </w:pPr>
                            <w:r>
                              <w:rPr>
                                <w:color w:val="FFFFFF" w:themeColor="background1"/>
                                <w:sz w:val="80"/>
                                <w:szCs w:val="80"/>
                              </w:rPr>
                              <w:t>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69CD3" id="_x0000_s1045" type="#_x0000_t202" style="position:absolute;margin-left:0;margin-top:0;width:324.55pt;height:71.4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" filled="f" stroked="f">
                <v:textbox>
                  <w:txbxContent>
                    <w:p w14:paraId="0C22EB28" w14:textId="2CA4BE63" w:rsidR="00043980" w:rsidRPr="00FA4200" w:rsidRDefault="00043980" w:rsidP="00043980">
                      <w:pPr>
                        <w:rPr>
                          <w:color w:val="FFFFFF" w:themeColor="background1"/>
                          <w:sz w:val="80"/>
                          <w:szCs w:val="80"/>
                        </w:rPr>
                      </w:pPr>
                      <w:r>
                        <w:rPr>
                          <w:color w:val="FFFFFF" w:themeColor="background1"/>
                          <w:sz w:val="80"/>
                          <w:szCs w:val="80"/>
                        </w:rPr>
                        <w:t>Outcomes</w:t>
                      </w:r>
                    </w:p>
                  </w:txbxContent>
                </v:textbox>
                <w10:wrap type="square" anchorx="margin" anchory="margin"/>
              </v:shape>
            </w:pict>
          </mc:Fallback>
        </mc:AlternateContent>
      </w:r>
      <w:r w:rsidR="00A46BD0" w:rsidRPr="00DE108C">
        <w:rPr>
          <w:b w:val="0"/>
          <w:bCs w:val="0"/>
          <w:noProof/>
          <w:color w:val="FFFFFF" w:themeColor="background1"/>
          <w:sz w:val="76"/>
          <w:szCs w:val="76"/>
        </w:rPr>
        <w:drawing>
          <wp:anchor distT="0" distB="0" distL="114300" distR="114300" simplePos="0" relativeHeight="251658259" behindDoc="0" locked="1" layoutInCell="1" allowOverlap="1" wp14:anchorId="6EB88FA9" wp14:editId="102F92E4">
            <wp:simplePos x="0" y="0"/>
            <wp:positionH relativeFrom="page">
              <wp:align>left</wp:align>
            </wp:positionH>
            <wp:positionV relativeFrom="page">
              <wp:align>bottom</wp:align>
            </wp:positionV>
            <wp:extent cx="7559675" cy="10684510"/>
            <wp:effectExtent l="0" t="0" r="3175" b="2540"/>
            <wp:wrapNone/>
            <wp:docPr id="8714567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56772" name="Picture 8">
                      <a:extLst>
                        <a:ext uri="{C183D7F6-B498-43B3-948B-1728B52AA6E4}">
                          <adec:decorative xmlns:adec="http://schemas.microsoft.com/office/drawing/2017/decorative" val="1"/>
                        </a:ext>
                      </a:extLst>
                    </pic:cNvPr>
                    <pic:cNvPicPr/>
                  </pic:nvPicPr>
                  <pic:blipFill>
                    <a:blip r:embed="rId61" cstate="email">
                      <a:extLst>
                        <a:ext uri="{28A0092B-C50C-407E-A947-70E740481C1C}">
                          <a14:useLocalDpi xmlns:a14="http://schemas.microsoft.com/office/drawing/2010/main"/>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r w:rsidR="00767B75" w:rsidRPr="00DE108C">
        <w:rPr>
          <w:b w:val="0"/>
          <w:color w:val="FFFFFF" w:themeColor="background1"/>
          <w:sz w:val="76"/>
          <w:szCs w:val="76"/>
        </w:rPr>
        <w:t>4. Outcomes</w:t>
      </w:r>
      <w:bookmarkEnd w:id="284"/>
      <w:bookmarkEnd w:id="285"/>
      <w:bookmarkEnd w:id="286"/>
      <w:r w:rsidR="00767B75" w:rsidRPr="00DE108C">
        <w:rPr>
          <w:b w:val="0"/>
          <w:color w:val="FFFFFF" w:themeColor="background1"/>
          <w:sz w:val="76"/>
          <w:szCs w:val="76"/>
        </w:rPr>
        <w:t xml:space="preserve"> </w:t>
      </w:r>
      <w:bookmarkEnd w:id="287"/>
      <w:bookmarkEnd w:id="288"/>
      <w:bookmarkEnd w:id="289"/>
      <w:bookmarkEnd w:id="290"/>
      <w:bookmarkEnd w:id="291"/>
      <w:bookmarkEnd w:id="292"/>
      <w:bookmarkEnd w:id="293"/>
      <w:bookmarkEnd w:id="294"/>
    </w:p>
    <w:p w14:paraId="4F62DC72" w14:textId="37D030E0" w:rsidR="5F013AD7" w:rsidRPr="00DE108C" w:rsidRDefault="5F013AD7">
      <w:r w:rsidRPr="00DE108C">
        <w:br w:type="page"/>
      </w:r>
    </w:p>
    <w:p w14:paraId="4087B452" w14:textId="77777777" w:rsidR="00767B75" w:rsidRPr="00DE108C" w:rsidRDefault="00767B75" w:rsidP="00CC2561">
      <w:pPr>
        <w:pStyle w:val="HighlightBoxHeading"/>
        <w:rPr>
          <w:b w:val="0"/>
        </w:rPr>
      </w:pPr>
      <w:r w:rsidRPr="00DE108C">
        <w:lastRenderedPageBreak/>
        <w:t xml:space="preserve">In Summary </w:t>
      </w:r>
    </w:p>
    <w:p w14:paraId="311D79B1" w14:textId="77777777" w:rsidR="00767B75" w:rsidRPr="00DE108C" w:rsidRDefault="00767B75" w:rsidP="00CC2561">
      <w:pPr>
        <w:pStyle w:val="HighlightBoxBullet"/>
      </w:pPr>
      <w:r w:rsidRPr="00DE108C">
        <w:t>Customer focus is at the heart of our corporate strategy and this submission.</w:t>
      </w:r>
    </w:p>
    <w:p w14:paraId="52D25537" w14:textId="77777777" w:rsidR="00767B75" w:rsidRDefault="00767B75" w:rsidP="00CC2561">
      <w:pPr>
        <w:pStyle w:val="HighlightBoxBullet"/>
      </w:pPr>
      <w:r w:rsidRPr="00DE108C">
        <w:t>We have co-created five Outcomes and 19 measures that focus our efforts on providing genuine value for our customers, which remains our guiding principle. </w:t>
      </w:r>
    </w:p>
    <w:p w14:paraId="2BE67330" w14:textId="0702AFA0" w:rsidR="000C304B" w:rsidRPr="00DE108C" w:rsidRDefault="00C46D21" w:rsidP="00C46D21">
      <w:pPr>
        <w:pStyle w:val="HighlightBoxBullet"/>
      </w:pPr>
      <w:r w:rsidRPr="00C46D21">
        <w:t xml:space="preserve">We heard our outcomes could be simpler and have re-positioned them around our four core services – bulk water, bulk sewerage, waterways and drainage. We have a fifth outcome that relates to how we are a valued partner in the industry. </w:t>
      </w:r>
    </w:p>
    <w:p w14:paraId="541E23D9" w14:textId="3F1939B2" w:rsidR="00767B75" w:rsidRPr="00DE108C" w:rsidRDefault="00767B75" w:rsidP="00CC2561">
      <w:pPr>
        <w:pStyle w:val="HighlightBoxBullet"/>
      </w:pPr>
      <w:r w:rsidRPr="00DE108C">
        <w:t>Our pricing approach balances short-term impacts on customers with long-term benefits of reliable and resilient systems</w:t>
      </w:r>
      <w:r w:rsidR="48E0D305" w:rsidRPr="00DE108C">
        <w:t>.</w:t>
      </w:r>
    </w:p>
    <w:p w14:paraId="700E8F72" w14:textId="2B5A321B" w:rsidR="00767B75" w:rsidRPr="00DE108C" w:rsidRDefault="530F2BCA" w:rsidP="00CC2561">
      <w:pPr>
        <w:pStyle w:val="HighlightBoxBullet"/>
      </w:pPr>
      <w:r w:rsidRPr="00DE108C">
        <w:t>Customers can expect enduring value from services that support Melbourne’s health, economy and environment.</w:t>
      </w:r>
    </w:p>
    <w:p w14:paraId="6A1BF79E" w14:textId="4FCEABDB" w:rsidR="00767B75" w:rsidRPr="00DE108C" w:rsidRDefault="48E0D305" w:rsidP="00CC2561">
      <w:pPr>
        <w:pStyle w:val="HighlightBoxBullet"/>
      </w:pPr>
      <w:r w:rsidRPr="00DE108C">
        <w:t>We maintain our strong focus on affordability</w:t>
      </w:r>
      <w:r w:rsidR="00767B75" w:rsidRPr="00DE108C">
        <w:t xml:space="preserve"> and </w:t>
      </w:r>
      <w:r w:rsidR="4D9D217A" w:rsidRPr="00DE108C">
        <w:t xml:space="preserve">propose to </w:t>
      </w:r>
      <w:r w:rsidR="00767B75" w:rsidRPr="00DE108C">
        <w:t xml:space="preserve">provide targeted support for customers experiencing </w:t>
      </w:r>
      <w:r w:rsidR="0E0523E2" w:rsidRPr="00DE108C">
        <w:t xml:space="preserve">financial </w:t>
      </w:r>
      <w:r w:rsidR="00767B75" w:rsidRPr="00DE108C">
        <w:t>vulnerability.</w:t>
      </w:r>
    </w:p>
    <w:p w14:paraId="26C55582" w14:textId="34438023" w:rsidR="00767B75" w:rsidRPr="00DE108C" w:rsidRDefault="00767B75" w:rsidP="00CC2561">
      <w:pPr>
        <w:pStyle w:val="HighlightBoxBullet"/>
      </w:pPr>
      <w:r w:rsidRPr="00DE108C">
        <w:t>Our Outcomes reflect comprehensive engagement with our customers and community. From the 2,0</w:t>
      </w:r>
      <w:r w:rsidR="006C0399" w:rsidRPr="00DE108C">
        <w:t>85</w:t>
      </w:r>
      <w:r w:rsidRPr="00DE108C">
        <w:t xml:space="preserve"> customers surveyed in May 2025 (Stage 5 - Playback engagement), 78 per cent said they are comfortable with the Outcomes we propose to deliver, and 57 per cent of respondents confirmed they support our investment proposals against our Outcomes.</w:t>
      </w:r>
    </w:p>
    <w:p w14:paraId="7B6E2474" w14:textId="77777777" w:rsidR="00767B75" w:rsidRPr="00DE108C" w:rsidRDefault="00767B75" w:rsidP="00CC2561">
      <w:pPr>
        <w:pStyle w:val="HighlightBoxBullet"/>
      </w:pPr>
      <w:r w:rsidRPr="00DE108C">
        <w:t xml:space="preserve">Our PREMO self-assessment rating for Outcomes is </w:t>
      </w:r>
      <w:r w:rsidRPr="00017348">
        <w:rPr>
          <w:i/>
        </w:rPr>
        <w:t>‘Standard’</w:t>
      </w:r>
      <w:r w:rsidRPr="00DE108C">
        <w:t>.</w:t>
      </w:r>
    </w:p>
    <w:p w14:paraId="4B797A3D" w14:textId="77777777" w:rsidR="00767B75" w:rsidRPr="00DE108C" w:rsidRDefault="00767B75" w:rsidP="00C73091">
      <w:r w:rsidRPr="00DE108C">
        <w:rPr>
          <w:rFonts w:eastAsia="Verdana"/>
        </w:rPr>
        <w:t>Chapter 4 provides information to support the Outcomes assessment, including:</w:t>
      </w:r>
    </w:p>
    <w:p w14:paraId="0E5358FE" w14:textId="77777777" w:rsidR="00767B75" w:rsidRPr="00DE108C" w:rsidRDefault="00767B75" w:rsidP="008C46DF">
      <w:pPr>
        <w:pStyle w:val="ListBullet"/>
        <w:rPr>
          <w:rFonts w:eastAsia="Verdana"/>
        </w:rPr>
      </w:pPr>
      <w:r w:rsidRPr="00DE108C">
        <w:rPr>
          <w:rFonts w:eastAsia="Verdana"/>
        </w:rPr>
        <w:t xml:space="preserve">how we developed our Outcomes considering our diverse customers views and priorities, and building on PS21 Outcomes </w:t>
      </w:r>
    </w:p>
    <w:p w14:paraId="2E89D227" w14:textId="77777777" w:rsidR="00767B75" w:rsidRPr="00DE108C" w:rsidRDefault="00767B75" w:rsidP="008C46DF">
      <w:pPr>
        <w:pStyle w:val="ListBullet"/>
        <w:rPr>
          <w:rFonts w:eastAsia="Verdana"/>
        </w:rPr>
      </w:pPr>
      <w:r w:rsidRPr="00DE108C">
        <w:rPr>
          <w:rFonts w:eastAsia="Verdana"/>
        </w:rPr>
        <w:t>an overview of each Outcome, including what it means for our customers, what we heard, our commitments, key outputs and measures</w:t>
      </w:r>
    </w:p>
    <w:p w14:paraId="784FFFC0" w14:textId="77777777" w:rsidR="00767B75" w:rsidRPr="00DE108C" w:rsidRDefault="00767B75" w:rsidP="008C46DF">
      <w:pPr>
        <w:pStyle w:val="ListBullet"/>
        <w:rPr>
          <w:rFonts w:eastAsia="Verdana"/>
        </w:rPr>
      </w:pPr>
      <w:r w:rsidRPr="00DE108C">
        <w:rPr>
          <w:rFonts w:eastAsia="Verdana"/>
        </w:rPr>
        <w:t>the commitments we are making and how we will report progress</w:t>
      </w:r>
    </w:p>
    <w:p w14:paraId="54A1222F" w14:textId="7B7F7FEB" w:rsidR="007528B1" w:rsidRPr="000A51A0" w:rsidRDefault="00767B75" w:rsidP="000A51A0">
      <w:pPr>
        <w:pStyle w:val="ListBullet"/>
      </w:pPr>
      <w:r w:rsidRPr="00DE108C">
        <w:rPr>
          <w:rFonts w:eastAsia="Verdana"/>
        </w:rPr>
        <w:t>our Outcomes self-assessment rating.</w:t>
      </w:r>
    </w:p>
    <w:p w14:paraId="1F2C61C8" w14:textId="77777777" w:rsidR="00767B75" w:rsidRPr="00DE108C" w:rsidRDefault="00767B75">
      <w:pPr>
        <w:pStyle w:val="Heading2"/>
      </w:pPr>
      <w:bookmarkStart w:id="295" w:name="_Toc196745208"/>
      <w:bookmarkStart w:id="296" w:name="_Toc207892892"/>
      <w:bookmarkStart w:id="297" w:name="_Toc207853385"/>
      <w:r w:rsidRPr="00DE108C">
        <w:t>4.1 How we developed our Outcomes</w:t>
      </w:r>
      <w:bookmarkEnd w:id="295"/>
      <w:bookmarkEnd w:id="296"/>
      <w:bookmarkEnd w:id="297"/>
    </w:p>
    <w:p w14:paraId="04AFEAEF" w14:textId="77777777" w:rsidR="00767B75" w:rsidRPr="00DE108C" w:rsidRDefault="00767B75" w:rsidP="00C73091">
      <w:r w:rsidRPr="00DE108C">
        <w:t>One of the key outputs of our engagement program is a renewed set of Outcomes for the 2026 regulatory period.</w:t>
      </w:r>
    </w:p>
    <w:p w14:paraId="54089FF2" w14:textId="77A43AE7" w:rsidR="00767B75" w:rsidRPr="00DE108C" w:rsidRDefault="00767B75">
      <w:r w:rsidRPr="00DE108C">
        <w:t>Over our six-stage engagement program, we progressively refined and collaboratively developed our proposed Outcomes and measures to reflect what we learnt was most important to our water corporations, communities, and customers. We describe this process below.</w:t>
      </w:r>
    </w:p>
    <w:p w14:paraId="69ECDE34" w14:textId="316A95AD" w:rsidR="00767B75" w:rsidRPr="00DE108C" w:rsidRDefault="00767B75">
      <w:pPr>
        <w:pStyle w:val="Heading3"/>
      </w:pPr>
      <w:r w:rsidRPr="00DE108C">
        <w:t xml:space="preserve">4.1.1 Stage 1 - Initial </w:t>
      </w:r>
      <w:r w:rsidR="007528B1" w:rsidRPr="00DE108C">
        <w:t>a</w:t>
      </w:r>
      <w:r w:rsidRPr="00DE108C">
        <w:t>ssessment</w:t>
      </w:r>
    </w:p>
    <w:p w14:paraId="3F15622F" w14:textId="6FB86339" w:rsidR="00767B75" w:rsidRPr="00DE108C" w:rsidRDefault="00767B75" w:rsidP="00C73091">
      <w:r w:rsidRPr="00DE108C">
        <w:t xml:space="preserve">Our process started with a review of PS21 customer Outcomes, </w:t>
      </w:r>
      <w:r w:rsidR="50A12A79" w:rsidRPr="00DE108C">
        <w:t xml:space="preserve">an </w:t>
      </w:r>
      <w:r w:rsidRPr="00DE108C">
        <w:t xml:space="preserve">environment scan and review of engagement activities to date to identify the list of values and priorities we wanted to re-test with our communities and customers. </w:t>
      </w:r>
    </w:p>
    <w:p w14:paraId="32647121" w14:textId="77777777" w:rsidR="00767B75" w:rsidRPr="00DE108C" w:rsidRDefault="00767B75">
      <w:pPr>
        <w:pStyle w:val="Heading3"/>
      </w:pPr>
      <w:r w:rsidRPr="00DE108C">
        <w:lastRenderedPageBreak/>
        <w:t>4.1.2 Stage 2 - Values and priorities</w:t>
      </w:r>
    </w:p>
    <w:p w14:paraId="5254C07A" w14:textId="77777777" w:rsidR="00767B75" w:rsidRPr="00DE108C" w:rsidRDefault="00767B75" w:rsidP="00C73091">
      <w:r w:rsidRPr="00DE108C">
        <w:t xml:space="preserve">We tested the list of values and priorities with our communities and waterways and drainage customers through surveys. We asked respondents to rank what mattered most to them, which allowed us to group values most important to our customers into broad outcomes for PS26. We also asked the water corporations for an assessment of our existing PS21 customer Outcomes to understand similarities and differences with their own set of Outcomes. From this stage, we narrowed down our focus on priorities for PS26 and gained an early sense of Outcome groupings. </w:t>
      </w:r>
    </w:p>
    <w:p w14:paraId="094EE0DD" w14:textId="77777777" w:rsidR="00767B75" w:rsidRPr="00DE108C" w:rsidRDefault="00767B75">
      <w:pPr>
        <w:pStyle w:val="Heading3"/>
      </w:pPr>
      <w:r w:rsidRPr="00DE108C">
        <w:t>4.1.3 Stage 3 - Valuation</w:t>
      </w:r>
    </w:p>
    <w:p w14:paraId="321545D8" w14:textId="0A881F51" w:rsidR="00767B75" w:rsidRPr="00DE108C" w:rsidRDefault="00767B75" w:rsidP="00190C97">
      <w:r w:rsidRPr="00DE108C">
        <w:t>With a clearer understanding of what matters to our communities and water corporations, we undertook a willingness-to-pay survey with our end</w:t>
      </w:r>
      <w:r w:rsidR="00947D34" w:rsidRPr="00DE108C">
        <w:t>-</w:t>
      </w:r>
      <w:r w:rsidRPr="00DE108C">
        <w:t xml:space="preserve">use customers, ran a deliberative panel and presented our capital plan to water corporations. We also surveyed direct service customers, interviewed diverters and ran waterways and drainage focus groups. </w:t>
      </w:r>
    </w:p>
    <w:p w14:paraId="2F6970AE" w14:textId="58DFC909" w:rsidR="00767B75" w:rsidRPr="00DE108C" w:rsidRDefault="00767B75" w:rsidP="00190C97">
      <w:r w:rsidRPr="00DE108C">
        <w:t xml:space="preserve">The insights from this stage directly influenced the themes and measures in our proposed Outcomes relating to waterways and drainage and developers. These findings helped us refine the values that mattered and structure the groupings into clear Outcomes. </w:t>
      </w:r>
    </w:p>
    <w:p w14:paraId="7B1482D2" w14:textId="5F125C16" w:rsidR="00767B75" w:rsidRPr="00DE108C" w:rsidRDefault="00767B75">
      <w:pPr>
        <w:pStyle w:val="Heading3"/>
      </w:pPr>
      <w:r w:rsidRPr="00DE108C">
        <w:t xml:space="preserve">4.1.4 Stage 4 - Outcomes </w:t>
      </w:r>
      <w:r w:rsidR="007528B1" w:rsidRPr="00DE108C">
        <w:t>t</w:t>
      </w:r>
      <w:r w:rsidRPr="00DE108C">
        <w:t>esting</w:t>
      </w:r>
    </w:p>
    <w:p w14:paraId="5CEBBAA8" w14:textId="595CBF8C" w:rsidR="00767B75" w:rsidRPr="00DE108C" w:rsidRDefault="00767B75" w:rsidP="003F2BA8">
      <w:r w:rsidRPr="00DE108C">
        <w:t xml:space="preserve">We received feedback from </w:t>
      </w:r>
      <w:r w:rsidR="08CAA420" w:rsidRPr="00DE108C">
        <w:t xml:space="preserve">the </w:t>
      </w:r>
      <w:r w:rsidRPr="00DE108C">
        <w:t>water corporations</w:t>
      </w:r>
      <w:r w:rsidR="46CB772D" w:rsidRPr="00DE108C">
        <w:t xml:space="preserve"> that we should</w:t>
      </w:r>
      <w:r w:rsidRPr="00DE108C">
        <w:t xml:space="preserve">: </w:t>
      </w:r>
    </w:p>
    <w:p w14:paraId="5A64AF59" w14:textId="251B16F9" w:rsidR="00767B75" w:rsidRPr="00DE108C" w:rsidRDefault="004E0D8B" w:rsidP="00FE4581">
      <w:pPr>
        <w:pStyle w:val="ListBullet"/>
      </w:pPr>
      <w:r>
        <w:t>S</w:t>
      </w:r>
      <w:r w:rsidR="00767B75" w:rsidRPr="00DE108C">
        <w:t>implify the Outcomes language to focus on individual services to improve clarity on what will be delivered under each Outcome and to better track our performance</w:t>
      </w:r>
      <w:r>
        <w:t>.</w:t>
      </w:r>
    </w:p>
    <w:p w14:paraId="63A7CDE2" w14:textId="3086C306" w:rsidR="00767B75" w:rsidRPr="00DE108C" w:rsidRDefault="004E0D8B" w:rsidP="00FE4581">
      <w:pPr>
        <w:pStyle w:val="ListBullet"/>
      </w:pPr>
      <w:r>
        <w:t>A</w:t>
      </w:r>
      <w:r w:rsidR="00767B75" w:rsidRPr="00DE108C">
        <w:t>dd more specificity to Outcomes related to ‘future proofing’ (for example, by focusing on water security and innovative adaptation and addressing emerging issues in housing supply, climate adaptation and flooding)</w:t>
      </w:r>
      <w:r>
        <w:t>.</w:t>
      </w:r>
    </w:p>
    <w:p w14:paraId="37924E2A" w14:textId="56A6BD1D" w:rsidR="00767B75" w:rsidRPr="00DE108C" w:rsidRDefault="004E0D8B" w:rsidP="00FE4581">
      <w:pPr>
        <w:pStyle w:val="ListBullet"/>
      </w:pPr>
      <w:r>
        <w:t>C</w:t>
      </w:r>
      <w:r w:rsidR="00767B75" w:rsidRPr="00DE108C">
        <w:t>larify the distinction between waterway health and general environmental Outcomes, such as biodiversity and climate resilience</w:t>
      </w:r>
      <w:r>
        <w:t>.</w:t>
      </w:r>
    </w:p>
    <w:p w14:paraId="02CD6CCA" w14:textId="53E7EE22" w:rsidR="00767B75" w:rsidRPr="00DE108C" w:rsidRDefault="004E0D8B" w:rsidP="00FE4581">
      <w:pPr>
        <w:pStyle w:val="ListBullet"/>
      </w:pPr>
      <w:r>
        <w:t>De</w:t>
      </w:r>
      <w:r w:rsidR="00767B75" w:rsidRPr="00DE108C">
        <w:t>velop meaningful metrics across Outcomes, such as community engagement and supporting vulnerable customers, complaint handling, customer satisfaction, infrastructure planning and education program participation rates</w:t>
      </w:r>
      <w:r>
        <w:t>.</w:t>
      </w:r>
    </w:p>
    <w:p w14:paraId="1DD33875" w14:textId="1347E696" w:rsidR="00767B75" w:rsidRPr="00DE108C" w:rsidRDefault="004E0D8B" w:rsidP="00FE4581">
      <w:pPr>
        <w:pStyle w:val="ListBullet"/>
      </w:pPr>
      <w:r>
        <w:t>T</w:t>
      </w:r>
      <w:r w:rsidR="00767B75" w:rsidRPr="00DE108C">
        <w:t xml:space="preserve">he importance of partnerships and collaboration in the sector, including the importance of industry-wide working groups to address common pressures and challenges. These include the provision of infrastructure to support new housing development, operational and planning, including via the development of </w:t>
      </w:r>
      <w:r w:rsidR="070F79C0">
        <w:t>P</w:t>
      </w:r>
      <w:r w:rsidR="00767B75">
        <w:t xml:space="preserve">rice </w:t>
      </w:r>
      <w:r w:rsidR="176F7FF8">
        <w:t>S</w:t>
      </w:r>
      <w:r w:rsidR="00767B75">
        <w:t>ubmissions</w:t>
      </w:r>
      <w:r w:rsidR="00767B75" w:rsidRPr="00DE108C">
        <w:t>, and bulk water supply asset ownership</w:t>
      </w:r>
      <w:r>
        <w:t>.</w:t>
      </w:r>
    </w:p>
    <w:p w14:paraId="4B29A763" w14:textId="5C0A4FFF" w:rsidR="00767B75" w:rsidRPr="00DE108C" w:rsidRDefault="004E0D8B" w:rsidP="00FE4581">
      <w:pPr>
        <w:pStyle w:val="ListBullet"/>
      </w:pPr>
      <w:r>
        <w:t>I</w:t>
      </w:r>
      <w:r w:rsidR="00767B75" w:rsidRPr="00DE108C">
        <w:t xml:space="preserve">ntegrate targets for key priorities across the businesses, such as net zero emissions by 2050, circular economy initiatives, and addressing scope 3 emissions. Collaborative efforts should focus on reducing sewer spills, minimising environmental discharges, and achieving combined biosolids and purified recycled water goals, while aligning with the </w:t>
      </w:r>
      <w:r w:rsidR="00767B75" w:rsidRPr="00DE108C">
        <w:rPr>
          <w:i/>
          <w:iCs/>
        </w:rPr>
        <w:t>Healthy Waterways Strategy</w:t>
      </w:r>
      <w:r w:rsidR="00767B75" w:rsidRPr="00DE108C">
        <w:t>, Nature Positive measures, and broader environmental frameworks, such as water for the environment.</w:t>
      </w:r>
    </w:p>
    <w:p w14:paraId="18076B5E" w14:textId="56B33568" w:rsidR="00767B75" w:rsidRPr="00DE108C" w:rsidRDefault="00767B75" w:rsidP="002B62A1">
      <w:r w:rsidRPr="00DE108C">
        <w:t xml:space="preserve">This feedback and engagement with water corporations resulted in a useful development and re-structuring of the proposed Outcomes and values groupings. </w:t>
      </w:r>
    </w:p>
    <w:p w14:paraId="6FAEA5ED" w14:textId="16D0C793" w:rsidR="00767B75" w:rsidRPr="00DE108C" w:rsidRDefault="00767B75" w:rsidP="002B62A1">
      <w:r w:rsidRPr="00DE108C">
        <w:t xml:space="preserve">We revised our Outcome groupings to reflect the four services we provide - </w:t>
      </w:r>
      <w:r w:rsidRPr="00DE108C">
        <w:rPr>
          <w:b/>
          <w:bCs/>
        </w:rPr>
        <w:t>safe and secure bulk water</w:t>
      </w:r>
      <w:r w:rsidRPr="00DE108C">
        <w:t xml:space="preserve">, </w:t>
      </w:r>
      <w:r w:rsidRPr="00DE108C">
        <w:rPr>
          <w:b/>
          <w:bCs/>
        </w:rPr>
        <w:t>sustainable bulk sewerage</w:t>
      </w:r>
      <w:r w:rsidRPr="00DE108C">
        <w:t xml:space="preserve">, </w:t>
      </w:r>
      <w:r w:rsidRPr="00DE108C">
        <w:rPr>
          <w:b/>
          <w:bCs/>
        </w:rPr>
        <w:t>healthy and resilient waterways</w:t>
      </w:r>
      <w:r w:rsidRPr="00DE108C">
        <w:t xml:space="preserve">, and </w:t>
      </w:r>
      <w:r w:rsidRPr="00DE108C">
        <w:rPr>
          <w:b/>
          <w:bCs/>
        </w:rPr>
        <w:t>urban drainage and flood management</w:t>
      </w:r>
      <w:r w:rsidRPr="00DE108C">
        <w:t>. This provided</w:t>
      </w:r>
      <w:r w:rsidR="713E6C5A">
        <w:t xml:space="preserve"> </w:t>
      </w:r>
      <w:r w:rsidR="5EB74D04">
        <w:t>a</w:t>
      </w:r>
      <w:r w:rsidRPr="00DE108C">
        <w:t xml:space="preserve"> focus on each service and highlighted the importance of each one individually, a sentiment that has been echoed by our engagement.</w:t>
      </w:r>
    </w:p>
    <w:p w14:paraId="65EE2E95" w14:textId="1C682415" w:rsidR="00767B75" w:rsidRPr="00DE108C" w:rsidRDefault="00767B75" w:rsidP="007528B1">
      <w:r w:rsidRPr="00DE108C">
        <w:lastRenderedPageBreak/>
        <w:t xml:space="preserve">Our commitment to being a </w:t>
      </w:r>
      <w:r w:rsidRPr="00C9060E">
        <w:rPr>
          <w:b/>
        </w:rPr>
        <w:t>valued partner in the water sector</w:t>
      </w:r>
      <w:r w:rsidRPr="00DE108C">
        <w:t xml:space="preserve"> was then elevated for its own Outcome. This sentiment was previously distributed across multiple Outcomes in PS21 and prior draft Outcomes</w:t>
      </w:r>
      <w:r w:rsidR="7C950A1F">
        <w:t xml:space="preserve">. Its </w:t>
      </w:r>
      <w:r w:rsidRPr="00DE108C">
        <w:t>promotion reflects the dependence on and the importance of effective partnerships to deliver effectively on our Outcomes.</w:t>
      </w:r>
    </w:p>
    <w:p w14:paraId="7D7DFF2A" w14:textId="77777777" w:rsidR="00767B75" w:rsidRPr="00DE108C" w:rsidRDefault="00767B75">
      <w:pPr>
        <w:pStyle w:val="Heading3"/>
      </w:pPr>
      <w:r w:rsidRPr="00DE108C">
        <w:t>4.1.5 Stage 5 - Playback</w:t>
      </w:r>
    </w:p>
    <w:p w14:paraId="65B2E3D1" w14:textId="5E354606" w:rsidR="00767B75" w:rsidRPr="00DE108C" w:rsidRDefault="00767B75" w:rsidP="002B62A1">
      <w:r w:rsidRPr="00DE108C">
        <w:t xml:space="preserve">Prior to validating our re-structured Outcomes, we undertook a scan of the measures we currently track and potential new measures to include in our Outcomes. We asked senior leaders across Melbourne Water </w:t>
      </w:r>
      <w:r w:rsidR="10BE694C">
        <w:t>about</w:t>
      </w:r>
      <w:r w:rsidRPr="00DE108C">
        <w:t xml:space="preserve"> existing measures and how we could improve them. We then went back to our communities and water corporations with a revised set of Outcomes reflecting the core services we provide and tested a refined set of measures to track our performance.</w:t>
      </w:r>
    </w:p>
    <w:p w14:paraId="1ADAC8FB" w14:textId="3A1CC04E" w:rsidR="00767B75" w:rsidRPr="00DE108C" w:rsidRDefault="00767B75" w:rsidP="002B62A1">
      <w:r w:rsidRPr="00DE108C">
        <w:t xml:space="preserve">Through the Playback engagement, we heard that customers valued increased communications and transparency from Melbourne Water. Therefore, we expanded the customer priority list and committed to reporting on our performance twice annually and developing customer-facing </w:t>
      </w:r>
      <w:r w:rsidR="42CD542F">
        <w:t>P</w:t>
      </w:r>
      <w:r w:rsidR="713E6C5A">
        <w:t xml:space="preserve">rice </w:t>
      </w:r>
      <w:r w:rsidR="6AF83D27">
        <w:t>S</w:t>
      </w:r>
      <w:r w:rsidRPr="00DE108C">
        <w:t xml:space="preserve">ubmission summaries. </w:t>
      </w:r>
    </w:p>
    <w:p w14:paraId="4A2C0101" w14:textId="3EDA1EC6" w:rsidR="00767B75" w:rsidRPr="00DE108C" w:rsidRDefault="00767B75" w:rsidP="007528B1">
      <w:r w:rsidRPr="00DE108C">
        <w:t>We received minor feedback regarding the wording of themes and proposed measures, which we further refined into the next stage. By the end of Stage 5</w:t>
      </w:r>
      <w:r w:rsidR="001C5C67">
        <w:t xml:space="preserve"> engagement</w:t>
      </w:r>
      <w:r w:rsidR="527B8CB7">
        <w:t>,</w:t>
      </w:r>
      <w:r w:rsidRPr="00DE108C">
        <w:t xml:space="preserve"> our Outcomes and themes were almost set</w:t>
      </w:r>
      <w:r w:rsidR="008759A4">
        <w:t>,</w:t>
      </w:r>
      <w:r w:rsidRPr="00DE108C">
        <w:t xml:space="preserve"> with measurements still in progress.</w:t>
      </w:r>
    </w:p>
    <w:p w14:paraId="152F50D8" w14:textId="0E1B31C4" w:rsidR="00767B75" w:rsidRPr="00DE108C" w:rsidRDefault="00767B75">
      <w:pPr>
        <w:pStyle w:val="Heading3"/>
      </w:pPr>
      <w:r w:rsidRPr="00DE108C">
        <w:t xml:space="preserve">4.1.6 Stage 6 - Closing the loop to </w:t>
      </w:r>
      <w:r w:rsidR="007528B1" w:rsidRPr="00DE108C">
        <w:t>b</w:t>
      </w:r>
      <w:r w:rsidRPr="00DE108C">
        <w:t xml:space="preserve">usiness as </w:t>
      </w:r>
      <w:r w:rsidR="007528B1" w:rsidRPr="00DE108C">
        <w:t>u</w:t>
      </w:r>
      <w:r w:rsidRPr="00DE108C">
        <w:t>sual</w:t>
      </w:r>
    </w:p>
    <w:p w14:paraId="533D1AE6" w14:textId="77777777" w:rsidR="00767B75" w:rsidRPr="00DE108C" w:rsidRDefault="00767B75" w:rsidP="002B62A1">
      <w:r w:rsidRPr="00DE108C">
        <w:t xml:space="preserve">In Stage 6, we presented our final Outcomes for 2026-31 with our proposed measures and targets to track our performance, reflecting feedback we heard in Stage 5. </w:t>
      </w:r>
    </w:p>
    <w:p w14:paraId="6A3DDEBE" w14:textId="77777777" w:rsidR="00767B75" w:rsidRPr="00DE108C" w:rsidRDefault="00767B75" w:rsidP="002B62A1">
      <w:r w:rsidRPr="00DE108C">
        <w:t>We received broad validation from our communities and water corporations, which reflects the extensive refinement process over the six-stage engagement program.</w:t>
      </w:r>
    </w:p>
    <w:p w14:paraId="6296FC28" w14:textId="77777777" w:rsidR="00767B75" w:rsidRPr="00DE108C" w:rsidRDefault="00767B75">
      <w:pPr>
        <w:pStyle w:val="ListNumber"/>
        <w:ind w:left="360"/>
        <w:sectPr w:rsidR="00767B75" w:rsidRPr="00DE108C" w:rsidSect="00767B75">
          <w:headerReference w:type="even" r:id="rId62"/>
          <w:headerReference w:type="default" r:id="rId63"/>
          <w:footerReference w:type="even" r:id="rId64"/>
          <w:footerReference w:type="default" r:id="rId65"/>
          <w:headerReference w:type="first" r:id="rId66"/>
          <w:footerReference w:type="first" r:id="rId67"/>
          <w:pgSz w:w="11906" w:h="16838" w:code="9"/>
          <w:pgMar w:top="1134" w:right="1134" w:bottom="1134" w:left="1134" w:header="567" w:footer="680" w:gutter="0"/>
          <w:cols w:space="708"/>
          <w:docGrid w:linePitch="360"/>
        </w:sectPr>
      </w:pPr>
    </w:p>
    <w:p w14:paraId="55548244" w14:textId="77777777" w:rsidR="00767B75" w:rsidRPr="00DE108C" w:rsidRDefault="00767B75">
      <w:pPr>
        <w:pStyle w:val="Heading2"/>
      </w:pPr>
      <w:bookmarkStart w:id="298" w:name="_Toc183623979"/>
      <w:bookmarkStart w:id="299" w:name="_Toc190876141"/>
      <w:bookmarkStart w:id="300" w:name="_Toc196745211"/>
      <w:bookmarkStart w:id="301" w:name="_Toc207892893"/>
      <w:bookmarkStart w:id="302" w:name="_Toc207853386"/>
      <w:r w:rsidRPr="00DE108C">
        <w:lastRenderedPageBreak/>
        <w:t>4.2 Outcomes</w:t>
      </w:r>
      <w:bookmarkEnd w:id="298"/>
      <w:bookmarkEnd w:id="299"/>
      <w:bookmarkEnd w:id="300"/>
      <w:bookmarkEnd w:id="301"/>
      <w:bookmarkEnd w:id="302"/>
    </w:p>
    <w:p w14:paraId="26164E96" w14:textId="77777777" w:rsidR="00767B75" w:rsidRPr="00DE108C" w:rsidRDefault="00767B75" w:rsidP="002B62A1">
      <w:r w:rsidRPr="00DE108C">
        <w:t xml:space="preserve">Bringing together both our community panel and Water Corporation Forum preferences, themes and feedback across the six-stage engagement program, we developed the following five proposed Outcomes: </w:t>
      </w:r>
    </w:p>
    <w:p w14:paraId="40D188D7" w14:textId="77777777" w:rsidR="00767B75" w:rsidRPr="00DE108C" w:rsidRDefault="00767B75" w:rsidP="008C46DF">
      <w:pPr>
        <w:pStyle w:val="ListBullet"/>
      </w:pPr>
      <w:r w:rsidRPr="00DE108C">
        <w:rPr>
          <w:b/>
          <w:bCs/>
        </w:rPr>
        <w:t>Outcome 1:</w:t>
      </w:r>
      <w:r w:rsidRPr="00DE108C">
        <w:t xml:space="preserve"> Safe and reliable bulk water supplies for now and the long term</w:t>
      </w:r>
    </w:p>
    <w:p w14:paraId="417B6A5C" w14:textId="77777777" w:rsidR="00767B75" w:rsidRPr="00DE108C" w:rsidRDefault="00767B75" w:rsidP="008C46DF">
      <w:pPr>
        <w:pStyle w:val="ListBullet"/>
      </w:pPr>
      <w:r w:rsidRPr="00DE108C">
        <w:rPr>
          <w:b/>
          <w:bCs/>
        </w:rPr>
        <w:t>Outcome 2:</w:t>
      </w:r>
      <w:r w:rsidRPr="00DE108C">
        <w:t xml:space="preserve"> Environmentally sustainable and reliable bulk sewerage services</w:t>
      </w:r>
    </w:p>
    <w:p w14:paraId="36AC257D" w14:textId="77777777" w:rsidR="00767B75" w:rsidRPr="00DE108C" w:rsidRDefault="00767B75" w:rsidP="008C46DF">
      <w:pPr>
        <w:pStyle w:val="ListBullet"/>
      </w:pPr>
      <w:r w:rsidRPr="00DE108C">
        <w:rPr>
          <w:b/>
          <w:bCs/>
        </w:rPr>
        <w:t>Outcome 3:</w:t>
      </w:r>
      <w:r w:rsidRPr="00DE108C">
        <w:t xml:space="preserve"> Healthy, resilient waterways</w:t>
      </w:r>
    </w:p>
    <w:p w14:paraId="0526ECA1" w14:textId="77777777" w:rsidR="00767B75" w:rsidRPr="00DE108C" w:rsidRDefault="00767B75" w:rsidP="008C46DF">
      <w:pPr>
        <w:pStyle w:val="ListBullet"/>
      </w:pPr>
      <w:bookmarkStart w:id="303" w:name="_Hlk188000190"/>
      <w:r w:rsidRPr="00DE108C">
        <w:rPr>
          <w:b/>
          <w:bCs/>
        </w:rPr>
        <w:t>Outcome 4:</w:t>
      </w:r>
      <w:r w:rsidRPr="00DE108C">
        <w:t xml:space="preserve"> Urban drainage and flood resilience</w:t>
      </w:r>
      <w:bookmarkEnd w:id="303"/>
    </w:p>
    <w:p w14:paraId="41508327" w14:textId="77777777" w:rsidR="00767B75" w:rsidRPr="00DE108C" w:rsidRDefault="00767B75" w:rsidP="008C46DF">
      <w:pPr>
        <w:pStyle w:val="ListBullet"/>
      </w:pPr>
      <w:r w:rsidRPr="00DE108C">
        <w:rPr>
          <w:b/>
          <w:bCs/>
        </w:rPr>
        <w:t>Outcome 5:</w:t>
      </w:r>
      <w:r w:rsidRPr="00DE108C">
        <w:t xml:space="preserve"> A valued partner in water cycle services</w:t>
      </w:r>
    </w:p>
    <w:p w14:paraId="48C43E84" w14:textId="6D744AB6" w:rsidR="00767B75" w:rsidRPr="00DE108C" w:rsidRDefault="00767B75" w:rsidP="002B62A1">
      <w:r w:rsidRPr="00DE108C">
        <w:t xml:space="preserve">These Outcomes are underpinned by clear themes that structure our </w:t>
      </w:r>
      <w:r w:rsidR="7A89CA17" w:rsidRPr="00DE108C">
        <w:t>programs,</w:t>
      </w:r>
      <w:r w:rsidRPr="00DE108C">
        <w:t xml:space="preserve"> our subsequent investment, commitments and measures. </w:t>
      </w:r>
    </w:p>
    <w:p w14:paraId="2B9F3581" w14:textId="1BC6D00D" w:rsidR="00767B75" w:rsidRPr="00DE108C" w:rsidRDefault="00767B75" w:rsidP="002B62A1">
      <w:r w:rsidRPr="00DE108C">
        <w:t>Figure 4.</w:t>
      </w:r>
      <w:r w:rsidR="000A51A0">
        <w:t>1</w:t>
      </w:r>
      <w:r w:rsidRPr="00DE108C">
        <w:t xml:space="preserve"> shows how PS26 Outcomes are supported by our Corporate Strategy.</w:t>
      </w:r>
    </w:p>
    <w:p w14:paraId="15D470C1" w14:textId="77777777" w:rsidR="00767B75" w:rsidRPr="00DE108C" w:rsidRDefault="00767B75" w:rsidP="002B62A1">
      <w:r w:rsidRPr="00DE108C">
        <w:t xml:space="preserve">In addition, we have mapped our proposed 2026 Outcomes to our 2021 Outcomes and set performance metrics and targets underneath each of these Outcomes as shown in Tables 4.1 to 4.5. </w:t>
      </w:r>
    </w:p>
    <w:p w14:paraId="11F65C41" w14:textId="51F13D18" w:rsidR="00767B75" w:rsidRPr="00DE108C" w:rsidRDefault="00767B75" w:rsidP="002B62A1">
      <w:pPr>
        <w:pStyle w:val="Caption"/>
      </w:pPr>
      <w:bookmarkStart w:id="304" w:name="_Toc207893002"/>
      <w:bookmarkStart w:id="305" w:name="_Toc208490526"/>
      <w:bookmarkStart w:id="306" w:name="_Toc208490864"/>
      <w:bookmarkStart w:id="307" w:name="_Toc208911022"/>
      <w:bookmarkStart w:id="308" w:name="_Toc210051328"/>
      <w:r w:rsidRPr="00DE108C">
        <w:t>Figure 4.</w:t>
      </w:r>
      <w:r w:rsidR="000A51A0">
        <w:t>1</w:t>
      </w:r>
      <w:r w:rsidRPr="00DE108C">
        <w:t xml:space="preserve">: Mapping PS21 and PS26 </w:t>
      </w:r>
      <w:r w:rsidR="00C07597" w:rsidRPr="00DE108C">
        <w:t>O</w:t>
      </w:r>
      <w:r w:rsidRPr="00DE108C">
        <w:t xml:space="preserve">utcomes with </w:t>
      </w:r>
      <w:r w:rsidR="00C07597" w:rsidRPr="00DE108C">
        <w:t xml:space="preserve">corporate </w:t>
      </w:r>
      <w:r w:rsidRPr="00DE108C">
        <w:t>strategy</w:t>
      </w:r>
      <w:bookmarkEnd w:id="304"/>
      <w:bookmarkEnd w:id="305"/>
      <w:bookmarkEnd w:id="306"/>
      <w:bookmarkEnd w:id="307"/>
      <w:bookmarkEnd w:id="308"/>
    </w:p>
    <w:p w14:paraId="333DEFAC" w14:textId="3290E0F5" w:rsidR="00767B75" w:rsidRPr="00DE108C" w:rsidRDefault="00F44AC8">
      <w:r>
        <w:rPr>
          <w:noProof/>
        </w:rPr>
        <w:drawing>
          <wp:inline distT="0" distB="0" distL="0" distR="0" wp14:anchorId="38157718" wp14:editId="5DF19254">
            <wp:extent cx="6134791" cy="3924590"/>
            <wp:effectExtent l="0" t="0" r="0" b="0"/>
            <wp:docPr id="484450011" name="Picture 1" descr="A structured diagram presenting the mapping of Melbourne Water's strategy, Outcomes and 2021 price submission Outcomes.&#10;&#10;Vision: &quot;Enhancing life and liveability.&quot;&#10;Mission: &quot;Water is essential to our way of life and so is the work we do. Our work sustains the community, the environment, and the economy now and into the future.&quot;&#10;Strategy:&#10;Resilience: Building resilience and strengthening existing services.&#10;Transition: Transforming systems to manage future demands.&#10;Partnerships: Collaborating with internal and external partners to support a thriving community and country.&#10;&#10;PS26 Customer Outcomes (next section):&#10;&#10;Safe and reliable water supplies for the long term.&#10;Environmentally sustainable bulk sewerage services.&#10;Healthy, resilient waterways.&#10;Urban drainage and flood resilience.&#10;A valued partner in water cycle services.&#10;&#10;PS21 Customer Outcomes:&#10;Access to safe, reliable water and sewerage services.&#10;Melbourne's environment, rivers, creeks and bays are protected and Melbourne Water's greenhouse gas emissions are minimised.&#10;Melburnians are empowered to support the design and delivery of service outcomes.&#10;Melbourne remains liveable as it deals with the impacts of climate change and population growth.&#10;Easy, respectful, responsive, and transparent customer service.&#10;Bills are kept as low a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50011" name="Picture 1" descr="A structured diagram presenting the mapping of Melbourne Water's strategy, Outcomes and 2021 price submission Outcomes.&#10;&#10;Vision: &quot;Enhancing life and liveability.&quot;&#10;Mission: &quot;Water is essential to our way of life and so is the work we do. Our work sustains the community, the environment, and the economy now and into the future.&quot;&#10;Strategy:&#10;Resilience: Building resilience and strengthening existing services.&#10;Transition: Transforming systems to manage future demands.&#10;Partnerships: Collaborating with internal and external partners to support a thriving community and country.&#10;&#10;PS26 Customer Outcomes (next section):&#10;&#10;Safe and reliable water supplies for the long term.&#10;Environmentally sustainable bulk sewerage services.&#10;Healthy, resilient waterways.&#10;Urban drainage and flood resilience.&#10;A valued partner in water cycle services.&#10;&#10;PS21 Customer Outcomes:&#10;Access to safe, reliable water and sewerage services.&#10;Melbourne's environment, rivers, creeks and bays are protected and Melbourne Water's greenhouse gas emissions are minimised.&#10;Melburnians are empowered to support the design and delivery of service outcomes.&#10;Melbourne remains liveable as it deals with the impacts of climate change and population growth.&#10;Easy, respectful, responsive, and transparent customer service.&#10;Bills are kept as low as possible"/>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6148124" cy="3933120"/>
                    </a:xfrm>
                    <a:prstGeom prst="rect">
                      <a:avLst/>
                    </a:prstGeom>
                    <a:noFill/>
                  </pic:spPr>
                </pic:pic>
              </a:graphicData>
            </a:graphic>
          </wp:inline>
        </w:drawing>
      </w:r>
    </w:p>
    <w:p w14:paraId="6A206CF4" w14:textId="77777777" w:rsidR="00767B75" w:rsidRPr="00DE108C" w:rsidRDefault="00767B75">
      <w:pPr>
        <w:pStyle w:val="BodyText"/>
      </w:pPr>
    </w:p>
    <w:p w14:paraId="7900B3D0" w14:textId="1FD59A57" w:rsidR="00767B75" w:rsidRPr="00DE108C" w:rsidRDefault="00767B75">
      <w:pPr>
        <w:spacing w:after="160" w:line="259" w:lineRule="auto"/>
      </w:pPr>
    </w:p>
    <w:p w14:paraId="2AFF3756" w14:textId="77777777" w:rsidR="00767B75" w:rsidRPr="00DE108C" w:rsidRDefault="00767B75">
      <w:pPr>
        <w:sectPr w:rsidR="00767B75" w:rsidRPr="00DE108C" w:rsidSect="00767B75">
          <w:pgSz w:w="11906" w:h="16838" w:code="9"/>
          <w:pgMar w:top="1134" w:right="1134" w:bottom="1134" w:left="1134" w:header="567" w:footer="567" w:gutter="0"/>
          <w:cols w:space="567"/>
          <w:docGrid w:linePitch="272"/>
        </w:sectPr>
      </w:pPr>
    </w:p>
    <w:p w14:paraId="1BFAB2FD" w14:textId="77777777" w:rsidR="00767B75" w:rsidRPr="00DE108C" w:rsidRDefault="00767B75"/>
    <w:p w14:paraId="7BB15817" w14:textId="77777777" w:rsidR="00767B75" w:rsidRPr="00DE108C" w:rsidRDefault="00767B75">
      <w:pPr>
        <w:pStyle w:val="Heading3"/>
      </w:pPr>
      <w:r w:rsidRPr="00DE108C">
        <w:t>4.2.1 Outcome 1 - Safe and reliable bulk water supplies for now and the long term</w:t>
      </w:r>
    </w:p>
    <w:p w14:paraId="5D8D75CC" w14:textId="0E1D0969" w:rsidR="00767B75" w:rsidRPr="00DE108C" w:rsidRDefault="00767B75" w:rsidP="00BC2765">
      <w:pPr>
        <w:pStyle w:val="Caption"/>
      </w:pPr>
      <w:bookmarkStart w:id="309" w:name="_Toc207893003"/>
      <w:bookmarkStart w:id="310" w:name="_Toc208490527"/>
      <w:bookmarkStart w:id="311" w:name="_Toc208490865"/>
      <w:bookmarkStart w:id="312" w:name="_Toc208911023"/>
      <w:bookmarkStart w:id="313" w:name="_Toc210051329"/>
      <w:r w:rsidRPr="00DE108C">
        <w:t>Table 4.1</w:t>
      </w:r>
      <w:r w:rsidR="00F61A9D" w:rsidRPr="00DE108C">
        <w:t>:</w:t>
      </w:r>
      <w:r w:rsidRPr="00DE108C">
        <w:t xml:space="preserve"> Outcome 1 </w:t>
      </w:r>
      <w:r w:rsidR="00BB18FC">
        <w:t xml:space="preserve">- </w:t>
      </w:r>
      <w:r w:rsidRPr="00DE108C">
        <w:t xml:space="preserve">Safe and reliable bulk water supplies </w:t>
      </w:r>
      <w:r w:rsidR="00CD2990">
        <w:t xml:space="preserve">for </w:t>
      </w:r>
      <w:r w:rsidRPr="00DE108C">
        <w:t>now and the long term</w:t>
      </w:r>
      <w:bookmarkEnd w:id="309"/>
      <w:bookmarkEnd w:id="310"/>
      <w:bookmarkEnd w:id="311"/>
      <w:bookmarkEnd w:id="312"/>
      <w:bookmarkEnd w:id="313"/>
    </w:p>
    <w:tbl>
      <w:tblPr>
        <w:tblStyle w:val="TableGrid"/>
        <w:tblW w:w="5000" w:type="pct"/>
        <w:tblLook w:val="04A0" w:firstRow="1" w:lastRow="0" w:firstColumn="1" w:lastColumn="0" w:noHBand="0" w:noVBand="1"/>
      </w:tblPr>
      <w:tblGrid>
        <w:gridCol w:w="1839"/>
        <w:gridCol w:w="19694"/>
      </w:tblGrid>
      <w:tr w:rsidR="00A5757A" w:rsidRPr="00DE108C" w14:paraId="0A0A70B4" w14:textId="77777777">
        <w:trPr>
          <w:cnfStyle w:val="100000000000" w:firstRow="1" w:lastRow="0" w:firstColumn="0" w:lastColumn="0" w:oddVBand="0" w:evenVBand="0" w:oddHBand="0" w:evenHBand="0" w:firstRowFirstColumn="0" w:firstRowLastColumn="0" w:lastRowFirstColumn="0" w:lastRowLastColumn="0"/>
        </w:trPr>
        <w:tc>
          <w:tcPr>
            <w:tcW w:w="427" w:type="pct"/>
          </w:tcPr>
          <w:p w14:paraId="16ECEE4D" w14:textId="77777777" w:rsidR="00767B75" w:rsidRPr="00DE108C" w:rsidRDefault="00767B75" w:rsidP="002B62A1">
            <w:pPr>
              <w:pStyle w:val="TableHeading"/>
            </w:pPr>
            <w:r w:rsidRPr="00DE108C">
              <w:t>OUTCOME 1</w:t>
            </w:r>
          </w:p>
        </w:tc>
        <w:tc>
          <w:tcPr>
            <w:tcW w:w="4573" w:type="pct"/>
          </w:tcPr>
          <w:p w14:paraId="1A7EB5A0" w14:textId="77777777" w:rsidR="00767B75" w:rsidRPr="00DE108C" w:rsidRDefault="00767B75" w:rsidP="002B62A1">
            <w:pPr>
              <w:pStyle w:val="TableHeading"/>
              <w:rPr>
                <w:bCs/>
              </w:rPr>
            </w:pPr>
            <w:r w:rsidRPr="00DE108C">
              <w:rPr>
                <w:bCs/>
              </w:rPr>
              <w:t>Safe and reliable bulk water supplies for now and the long term</w:t>
            </w:r>
          </w:p>
        </w:tc>
      </w:tr>
      <w:tr w:rsidR="00767B75" w:rsidRPr="00DE108C" w14:paraId="486E71E8" w14:textId="77777777">
        <w:tc>
          <w:tcPr>
            <w:tcW w:w="427" w:type="pct"/>
          </w:tcPr>
          <w:p w14:paraId="4D9257FF" w14:textId="77777777" w:rsidR="00767B75" w:rsidRPr="00DE108C" w:rsidRDefault="00767B75" w:rsidP="002B62A1">
            <w:pPr>
              <w:pStyle w:val="TableText"/>
            </w:pPr>
            <w:r w:rsidRPr="00DE108C">
              <w:t>What this means for our customers</w:t>
            </w:r>
          </w:p>
        </w:tc>
        <w:tc>
          <w:tcPr>
            <w:tcW w:w="4573" w:type="pct"/>
          </w:tcPr>
          <w:p w14:paraId="0246AABB" w14:textId="3917B0CE" w:rsidR="00767B75" w:rsidRPr="00DE108C" w:rsidRDefault="00767B75" w:rsidP="002B62A1">
            <w:pPr>
              <w:pStyle w:val="TableText"/>
            </w:pPr>
            <w:r w:rsidRPr="00DE108C">
              <w:t xml:space="preserve">As an essential service provider, we supply bulk water to the Melbourne Water </w:t>
            </w:r>
            <w:r w:rsidR="00E7119E">
              <w:t>metrpolitan</w:t>
            </w:r>
            <w:r w:rsidRPr="00DE108C">
              <w:t xml:space="preserve"> and urban water corporations that serve the neighbouring regions of Geelong, Phillip Island, and Gippsland. We want to ensure that our bulk water supply is safe and reliable now and into the future. This means:</w:t>
            </w:r>
          </w:p>
          <w:p w14:paraId="6C107A48" w14:textId="77777777" w:rsidR="00767B75" w:rsidRPr="00DE108C" w:rsidRDefault="00767B75" w:rsidP="001C5C67">
            <w:pPr>
              <w:pStyle w:val="Tablebullet"/>
            </w:pPr>
            <w:r w:rsidRPr="00DE108C">
              <w:t xml:space="preserve">We provide </w:t>
            </w:r>
            <w:r w:rsidRPr="00DE108C">
              <w:rPr>
                <w:b/>
                <w:bCs/>
              </w:rPr>
              <w:t>safe drinking water</w:t>
            </w:r>
            <w:r w:rsidRPr="00DE108C">
              <w:t xml:space="preserve"> that is accessible to all customers and meets their expectations.</w:t>
            </w:r>
          </w:p>
          <w:p w14:paraId="4F301EC2" w14:textId="77777777" w:rsidR="00767B75" w:rsidRPr="00DE108C" w:rsidRDefault="00767B75" w:rsidP="00112FA8">
            <w:pPr>
              <w:pStyle w:val="Tablebullet"/>
            </w:pPr>
            <w:r w:rsidRPr="00DE108C">
              <w:t xml:space="preserve">Our services are </w:t>
            </w:r>
            <w:r w:rsidRPr="00DE108C">
              <w:rPr>
                <w:b/>
                <w:bCs/>
              </w:rPr>
              <w:t>reliable now</w:t>
            </w:r>
            <w:r w:rsidRPr="00DE108C">
              <w:t xml:space="preserve"> and into the future.</w:t>
            </w:r>
          </w:p>
          <w:p w14:paraId="0418D9F6" w14:textId="739F99E6" w:rsidR="00767B75" w:rsidRPr="00DE108C" w:rsidRDefault="00767B75" w:rsidP="00112FA8">
            <w:pPr>
              <w:pStyle w:val="Tablebullet"/>
            </w:pPr>
            <w:r w:rsidRPr="00DE108C">
              <w:t xml:space="preserve">We provide </w:t>
            </w:r>
            <w:r w:rsidRPr="008E3C07">
              <w:rPr>
                <w:b/>
                <w:bCs/>
              </w:rPr>
              <w:t>l</w:t>
            </w:r>
            <w:r w:rsidRPr="00DE108C">
              <w:rPr>
                <w:b/>
                <w:bCs/>
              </w:rPr>
              <w:t>ong-term water security,</w:t>
            </w:r>
            <w:r w:rsidRPr="00DE108C">
              <w:t xml:space="preserve"> and our sources of supply are resilient to growth in demand and climate change.</w:t>
            </w:r>
          </w:p>
        </w:tc>
      </w:tr>
    </w:tbl>
    <w:tbl>
      <w:tblPr>
        <w:tblStyle w:val="TableGrid"/>
        <w:tblW w:w="21541" w:type="dxa"/>
        <w:tblLayout w:type="fixed"/>
        <w:tblLook w:val="04A0" w:firstRow="1" w:lastRow="0" w:firstColumn="1" w:lastColumn="0" w:noHBand="0" w:noVBand="1"/>
      </w:tblPr>
      <w:tblGrid>
        <w:gridCol w:w="7225"/>
        <w:gridCol w:w="7229"/>
        <w:gridCol w:w="7087"/>
      </w:tblGrid>
      <w:tr w:rsidR="00051542" w:rsidRPr="00DE108C" w14:paraId="629F5335" w14:textId="77777777" w:rsidTr="00B14137">
        <w:trPr>
          <w:cnfStyle w:val="100000000000" w:firstRow="1" w:lastRow="0" w:firstColumn="0" w:lastColumn="0" w:oddVBand="0" w:evenVBand="0" w:oddHBand="0" w:evenHBand="0" w:firstRowFirstColumn="0" w:firstRowLastColumn="0" w:lastRowFirstColumn="0" w:lastRowLastColumn="0"/>
          <w:tblHeader/>
        </w:trPr>
        <w:tc>
          <w:tcPr>
            <w:tcW w:w="7225" w:type="dxa"/>
          </w:tcPr>
          <w:p w14:paraId="5014AC52" w14:textId="77777777" w:rsidR="00441980" w:rsidRPr="00DE108C" w:rsidRDefault="00441980" w:rsidP="002B62A1">
            <w:pPr>
              <w:pStyle w:val="TableHeading"/>
              <w:rPr>
                <w:sz w:val="22"/>
                <w:szCs w:val="22"/>
              </w:rPr>
            </w:pPr>
            <w:r w:rsidRPr="00DE108C">
              <w:t xml:space="preserve">Providing safe drinking water </w:t>
            </w:r>
          </w:p>
        </w:tc>
        <w:tc>
          <w:tcPr>
            <w:tcW w:w="7229" w:type="dxa"/>
          </w:tcPr>
          <w:p w14:paraId="23EC6977" w14:textId="77777777" w:rsidR="00441980" w:rsidRPr="00DE108C" w:rsidRDefault="00441980" w:rsidP="002B62A1">
            <w:pPr>
              <w:pStyle w:val="TableHeading"/>
              <w:rPr>
                <w:sz w:val="22"/>
                <w:szCs w:val="22"/>
              </w:rPr>
            </w:pPr>
            <w:r w:rsidRPr="00DE108C">
              <w:t xml:space="preserve">Improving our water service reliability and resilience </w:t>
            </w:r>
          </w:p>
        </w:tc>
        <w:tc>
          <w:tcPr>
            <w:tcW w:w="7087" w:type="dxa"/>
          </w:tcPr>
          <w:p w14:paraId="177AF1EA" w14:textId="77777777" w:rsidR="00441980" w:rsidRPr="00DE108C" w:rsidRDefault="00441980" w:rsidP="002B62A1">
            <w:pPr>
              <w:pStyle w:val="TableHeading"/>
              <w:rPr>
                <w:sz w:val="22"/>
                <w:szCs w:val="22"/>
              </w:rPr>
            </w:pPr>
            <w:r w:rsidRPr="00DE108C">
              <w:t xml:space="preserve">Improving Melbourne’s water supply security </w:t>
            </w:r>
          </w:p>
        </w:tc>
      </w:tr>
      <w:tr w:rsidR="00441980" w:rsidRPr="00DE108C" w14:paraId="13F921F3" w14:textId="77777777" w:rsidTr="00441980">
        <w:tc>
          <w:tcPr>
            <w:tcW w:w="7225" w:type="dxa"/>
          </w:tcPr>
          <w:p w14:paraId="1547F0BF" w14:textId="77777777" w:rsidR="00441980" w:rsidRPr="00DE108C" w:rsidRDefault="00441980" w:rsidP="002B62A1">
            <w:pPr>
              <w:pStyle w:val="TableText"/>
              <w:rPr>
                <w:b/>
                <w:bCs/>
              </w:rPr>
            </w:pPr>
            <w:r w:rsidRPr="00DE108C">
              <w:rPr>
                <w:b/>
                <w:bCs/>
              </w:rPr>
              <w:t>What we heard:</w:t>
            </w:r>
          </w:p>
          <w:p w14:paraId="03EB96B9" w14:textId="77777777" w:rsidR="00441980" w:rsidRPr="00DE108C" w:rsidRDefault="00441980" w:rsidP="00FE4581">
            <w:pPr>
              <w:pStyle w:val="Tablebullet"/>
              <w:ind w:left="270" w:hanging="270"/>
            </w:pPr>
            <w:r w:rsidRPr="00DE108C">
              <w:t>Customers told us ensuring safe and clean water that is accessible to everyone regardless of their socioeconomic status or where they live was their top priority.</w:t>
            </w:r>
          </w:p>
          <w:p w14:paraId="0001E7B1" w14:textId="77777777" w:rsidR="00441980" w:rsidRPr="00DE108C" w:rsidRDefault="00441980" w:rsidP="00FE4581">
            <w:pPr>
              <w:pStyle w:val="Tablebullet"/>
              <w:ind w:left="270" w:hanging="270"/>
            </w:pPr>
            <w:r w:rsidRPr="00DE108C">
              <w:t>Customers told us they believe that clean and reliable water is non-negotiable and tied to health and quality of life.</w:t>
            </w:r>
          </w:p>
          <w:p w14:paraId="6422126B" w14:textId="161E72B1" w:rsidR="00441980" w:rsidRPr="00DE108C" w:rsidRDefault="00441980" w:rsidP="00FE4581">
            <w:pPr>
              <w:pStyle w:val="Tablebullet"/>
              <w:ind w:left="270" w:hanging="270"/>
            </w:pPr>
            <w:r w:rsidRPr="00DE108C">
              <w:t>Customers believed that we should prioritise consistent water quality and affordab</w:t>
            </w:r>
            <w:r w:rsidR="60FBDF1B" w:rsidRPr="00DE108C">
              <w:t>ility</w:t>
            </w:r>
            <w:r w:rsidR="0240B7A5">
              <w:t>,</w:t>
            </w:r>
            <w:r w:rsidRPr="00DE108C">
              <w:t xml:space="preserve"> while also encouraging water conservation</w:t>
            </w:r>
            <w:r w:rsidR="00D073EC" w:rsidRPr="00DE108C">
              <w:t>.</w:t>
            </w:r>
          </w:p>
          <w:p w14:paraId="0A2977A8" w14:textId="65386CE4" w:rsidR="00441980" w:rsidRPr="00DE108C" w:rsidRDefault="00441980" w:rsidP="00FE4581">
            <w:pPr>
              <w:pStyle w:val="Tablebullet"/>
              <w:ind w:left="270" w:hanging="270"/>
            </w:pPr>
            <w:r w:rsidRPr="00DE108C">
              <w:t xml:space="preserve">Across all our bulk service customers, safe drinking water is the top priority for their customers. </w:t>
            </w:r>
            <w:r w:rsidR="3E14416D">
              <w:t>Therefore</w:t>
            </w:r>
            <w:r w:rsidRPr="00DE108C">
              <w:t>, they requested that Melbourne Water consider implementing a water quality Guaranteed Service Levels (GSLs).</w:t>
            </w:r>
          </w:p>
        </w:tc>
        <w:tc>
          <w:tcPr>
            <w:tcW w:w="7229" w:type="dxa"/>
          </w:tcPr>
          <w:p w14:paraId="75A371E1" w14:textId="77777777" w:rsidR="00441980" w:rsidRPr="00DE108C" w:rsidRDefault="00441980" w:rsidP="002B62A1">
            <w:pPr>
              <w:pStyle w:val="TableText"/>
              <w:rPr>
                <w:b/>
                <w:bCs/>
              </w:rPr>
            </w:pPr>
            <w:r w:rsidRPr="00DE108C">
              <w:rPr>
                <w:b/>
                <w:bCs/>
              </w:rPr>
              <w:t>What we heard:</w:t>
            </w:r>
          </w:p>
          <w:p w14:paraId="1A54CE89" w14:textId="77777777" w:rsidR="00441980" w:rsidRPr="00DE108C" w:rsidRDefault="00441980" w:rsidP="00237259">
            <w:pPr>
              <w:pStyle w:val="Tablebullet"/>
            </w:pPr>
            <w:r w:rsidRPr="00DE108C">
              <w:t>Along with safe drinking water, customers told us that ensuring reliable water supply was a top priority, for example ensuring that services are maintained even during extreme events like bushfires, drought and flooding.</w:t>
            </w:r>
          </w:p>
          <w:p w14:paraId="428412BE" w14:textId="77777777" w:rsidR="00441980" w:rsidRPr="00DE108C" w:rsidRDefault="00441980" w:rsidP="00237259">
            <w:pPr>
              <w:pStyle w:val="Tablebullet"/>
            </w:pPr>
            <w:r w:rsidRPr="00DE108C">
              <w:t>Customers told us they believe efficient infrastructure maintenance supports sustainable water management practices and reduces waste and environmental impact.</w:t>
            </w:r>
          </w:p>
          <w:p w14:paraId="5FCFECF8" w14:textId="77777777" w:rsidR="00441980" w:rsidRPr="00DE108C" w:rsidRDefault="00441980" w:rsidP="00237259">
            <w:pPr>
              <w:pStyle w:val="Tablebullet"/>
            </w:pPr>
            <w:r w:rsidRPr="00DE108C">
              <w:t>Customers supported us planning for population growth and investing in cost-effective technologies that reduce operational cost while benefiting future generations.</w:t>
            </w:r>
          </w:p>
        </w:tc>
        <w:tc>
          <w:tcPr>
            <w:tcW w:w="7087" w:type="dxa"/>
          </w:tcPr>
          <w:p w14:paraId="3D1E0DE3" w14:textId="77777777" w:rsidR="00441980" w:rsidRPr="00DE108C" w:rsidRDefault="00441980" w:rsidP="002B62A1">
            <w:pPr>
              <w:pStyle w:val="TableText"/>
              <w:rPr>
                <w:b/>
                <w:bCs/>
              </w:rPr>
            </w:pPr>
            <w:r w:rsidRPr="00DE108C">
              <w:rPr>
                <w:b/>
                <w:bCs/>
              </w:rPr>
              <w:t>What we heard:</w:t>
            </w:r>
          </w:p>
          <w:p w14:paraId="45078F83" w14:textId="77777777" w:rsidR="00441980" w:rsidRPr="00DE108C" w:rsidRDefault="00441980" w:rsidP="00FE4581">
            <w:pPr>
              <w:pStyle w:val="Tablebullet"/>
              <w:ind w:left="270" w:hanging="270"/>
            </w:pPr>
            <w:r w:rsidRPr="00DE108C">
              <w:t>Customers told us that we should consider all possible water sources when planning for future water supply.</w:t>
            </w:r>
          </w:p>
          <w:p w14:paraId="4E196A75" w14:textId="5D156342" w:rsidR="00441980" w:rsidRPr="00DE108C" w:rsidRDefault="00441980" w:rsidP="40AD8E0A">
            <w:pPr>
              <w:pStyle w:val="Tablebullet"/>
              <w:ind w:left="270" w:hanging="270"/>
            </w:pPr>
            <w:r w:rsidRPr="00DE108C">
              <w:t>Customers believed long-term infrastructure upgrades are important to ensure sustainable water management for the future and to address emerging challenges, such as increased housing demand, climate adaptation and flooding, but that we should also be innovative in our approaches.</w:t>
            </w:r>
          </w:p>
          <w:p w14:paraId="4015EA7D" w14:textId="77777777" w:rsidR="00441980" w:rsidRPr="00DE108C" w:rsidRDefault="00441980" w:rsidP="40AD8E0A">
            <w:pPr>
              <w:pStyle w:val="Tablebullet"/>
              <w:ind w:left="270" w:hanging="270"/>
            </w:pPr>
            <w:r w:rsidRPr="00DE108C">
              <w:t>Customers valued us detecting leaks early to reduce water wastage and supported a focus on water saving technologies.</w:t>
            </w:r>
          </w:p>
          <w:p w14:paraId="23D18B0A" w14:textId="77777777" w:rsidR="00441980" w:rsidRPr="00DE108C" w:rsidRDefault="00441980" w:rsidP="40AD8E0A">
            <w:pPr>
              <w:pStyle w:val="Tablebullet"/>
              <w:ind w:left="270" w:hanging="270"/>
            </w:pPr>
            <w:r w:rsidRPr="00DE108C">
              <w:t>Customers told us to be ready for natural disasters and to put in place effective management plans to handle potential water contamination events, including focusing on protecting our catchment areas.</w:t>
            </w:r>
          </w:p>
          <w:p w14:paraId="38CFB901" w14:textId="77777777" w:rsidR="00441980" w:rsidRPr="00DE108C" w:rsidRDefault="00441980" w:rsidP="40AD8E0A">
            <w:pPr>
              <w:pStyle w:val="Tablebullet"/>
              <w:ind w:left="270" w:hanging="270"/>
            </w:pPr>
            <w:r w:rsidRPr="00DE108C">
              <w:t>Customers said we should be investing in technology to prevent water loss from our networks and reduce evaporation from storages, while also considering the longevity and relevance of such technologies.</w:t>
            </w:r>
          </w:p>
        </w:tc>
      </w:tr>
      <w:tr w:rsidR="00051542" w:rsidRPr="00DE108C" w14:paraId="32B49D41" w14:textId="77777777" w:rsidTr="00441980">
        <w:trPr>
          <w:cnfStyle w:val="000000010000" w:firstRow="0" w:lastRow="0" w:firstColumn="0" w:lastColumn="0" w:oddVBand="0" w:evenVBand="0" w:oddHBand="0" w:evenHBand="1" w:firstRowFirstColumn="0" w:firstRowLastColumn="0" w:lastRowFirstColumn="0" w:lastRowLastColumn="0"/>
        </w:trPr>
        <w:tc>
          <w:tcPr>
            <w:tcW w:w="7225" w:type="dxa"/>
          </w:tcPr>
          <w:p w14:paraId="57981ECC" w14:textId="30F90D46" w:rsidR="00441980" w:rsidRPr="00DE108C" w:rsidRDefault="00441980" w:rsidP="00AB7374">
            <w:pPr>
              <w:pStyle w:val="TableText"/>
              <w:rPr>
                <w:b/>
                <w:bCs/>
              </w:rPr>
            </w:pPr>
            <w:r w:rsidRPr="00DE108C">
              <w:rPr>
                <w:b/>
                <w:bCs/>
              </w:rPr>
              <w:t>Investments we will make:</w:t>
            </w:r>
          </w:p>
          <w:p w14:paraId="01E268CE" w14:textId="7DC0F3CF" w:rsidR="00441980" w:rsidRPr="004B6741" w:rsidRDefault="00441980" w:rsidP="00237259">
            <w:pPr>
              <w:pStyle w:val="Tablebullet"/>
            </w:pPr>
            <w:r w:rsidRPr="004B6741">
              <w:t>We are proposing to invest $542 million to secure our drinking water quality. Our key investments over the next regulatory period are:</w:t>
            </w:r>
          </w:p>
          <w:p w14:paraId="0D81038A" w14:textId="77777777" w:rsidR="001749F8" w:rsidRPr="004B6741" w:rsidRDefault="00441980" w:rsidP="00237259">
            <w:pPr>
              <w:pStyle w:val="Tablebullet2"/>
              <w:rPr>
                <w:szCs w:val="16"/>
              </w:rPr>
            </w:pPr>
            <w:r w:rsidRPr="004B6741">
              <w:t xml:space="preserve">$86 million to refurbish the filters at Winneke Treatment Plant by 2031 to ensure continuous safe drinking water and continue to meet our quality compliance obligations. </w:t>
            </w:r>
          </w:p>
          <w:p w14:paraId="2C387453" w14:textId="77777777" w:rsidR="00441980" w:rsidRPr="001749F8" w:rsidRDefault="00441980" w:rsidP="00237259">
            <w:pPr>
              <w:pStyle w:val="Tablebullet2"/>
            </w:pPr>
            <w:r w:rsidRPr="001749F8">
              <w:t xml:space="preserve">Installing UV disinfection at Monbulk and Kalista ($25 million) and preparing ourselves for upgrades at Silvan and Greenvale in the following regulatory period to ensure continued compliance with drinking water standards. </w:t>
            </w:r>
          </w:p>
          <w:p w14:paraId="0CD35232" w14:textId="51441638" w:rsidR="00441980" w:rsidRPr="001749F8" w:rsidRDefault="00441980" w:rsidP="00237259">
            <w:pPr>
              <w:pStyle w:val="Tablebullet2"/>
              <w:rPr>
                <w:szCs w:val="16"/>
              </w:rPr>
            </w:pPr>
            <w:r w:rsidRPr="001749F8">
              <w:t>$7</w:t>
            </w:r>
            <w:r w:rsidR="00F11A4B" w:rsidRPr="001749F8">
              <w:rPr>
                <w:szCs w:val="16"/>
              </w:rPr>
              <w:t>5</w:t>
            </w:r>
            <w:r w:rsidRPr="001749F8">
              <w:rPr>
                <w:szCs w:val="16"/>
              </w:rPr>
              <w:t xml:space="preserve"> million in securing our catchments at both Silvan and Greenvale </w:t>
            </w:r>
            <w:r w:rsidR="7B2EBCFB" w:rsidRPr="001749F8">
              <w:rPr>
                <w:szCs w:val="16"/>
              </w:rPr>
              <w:t>R</w:t>
            </w:r>
            <w:r w:rsidRPr="001749F8">
              <w:rPr>
                <w:szCs w:val="16"/>
              </w:rPr>
              <w:t xml:space="preserve">eservoirs. This will ensure we can keep our protected catchment sources clean and secure and </w:t>
            </w:r>
            <w:r w:rsidR="003A52B7" w:rsidRPr="001749F8">
              <w:rPr>
                <w:szCs w:val="16"/>
              </w:rPr>
              <w:t>minimise</w:t>
            </w:r>
            <w:r w:rsidRPr="001749F8">
              <w:rPr>
                <w:szCs w:val="16"/>
              </w:rPr>
              <w:t xml:space="preserve"> water treatment plant upgrades</w:t>
            </w:r>
            <w:r w:rsidR="004B6741">
              <w:rPr>
                <w:szCs w:val="16"/>
              </w:rPr>
              <w:t xml:space="preserve"> </w:t>
            </w:r>
            <w:r w:rsidR="1C6C72BB" w:rsidRPr="001749F8">
              <w:rPr>
                <w:szCs w:val="16"/>
              </w:rPr>
              <w:t>for</w:t>
            </w:r>
            <w:r w:rsidRPr="001749F8">
              <w:rPr>
                <w:szCs w:val="16"/>
              </w:rPr>
              <w:t xml:space="preserve"> continued drinking water compliance.</w:t>
            </w:r>
          </w:p>
          <w:p w14:paraId="22050AED" w14:textId="77777777" w:rsidR="00441980" w:rsidRPr="00DE108C" w:rsidRDefault="00441980" w:rsidP="00237259">
            <w:pPr>
              <w:pStyle w:val="Tablebullet"/>
            </w:pPr>
            <w:r w:rsidRPr="40AD8E0A">
              <w:t xml:space="preserve">We are proposing an increase in chemical costs for water treatment for changes in the fluoride contract costs ($10 million over five years). </w:t>
            </w:r>
          </w:p>
        </w:tc>
        <w:tc>
          <w:tcPr>
            <w:tcW w:w="7229" w:type="dxa"/>
          </w:tcPr>
          <w:p w14:paraId="0CFE9657" w14:textId="77777777" w:rsidR="00441980" w:rsidRPr="00DE108C" w:rsidRDefault="00441980" w:rsidP="00AB7374">
            <w:pPr>
              <w:pStyle w:val="TableText"/>
              <w:rPr>
                <w:b/>
                <w:bCs/>
              </w:rPr>
            </w:pPr>
            <w:r w:rsidRPr="00DE108C">
              <w:rPr>
                <w:b/>
                <w:bCs/>
              </w:rPr>
              <w:t>Investments we will make:</w:t>
            </w:r>
          </w:p>
          <w:p w14:paraId="1DDA2F2C" w14:textId="76501A4A" w:rsidR="00441980" w:rsidRPr="00095A2C" w:rsidRDefault="00441980" w:rsidP="00237259">
            <w:pPr>
              <w:pStyle w:val="Tablebullet"/>
              <w:rPr>
                <w:szCs w:val="20"/>
              </w:rPr>
            </w:pPr>
            <w:r w:rsidRPr="00095A2C">
              <w:t>Over the next regulatory period we are proposing to invest $752 million</w:t>
            </w:r>
            <w:r w:rsidR="00095A2C">
              <w:rPr>
                <w:szCs w:val="20"/>
              </w:rPr>
              <w:t xml:space="preserve"> </w:t>
            </w:r>
            <w:r w:rsidR="728E1D1B" w:rsidRPr="00095A2C">
              <w:rPr>
                <w:szCs w:val="20"/>
              </w:rPr>
              <w:t>to</w:t>
            </w:r>
            <w:r w:rsidRPr="00095A2C">
              <w:rPr>
                <w:szCs w:val="20"/>
              </w:rPr>
              <w:t xml:space="preserve"> meet growth across Melbourne and beyond, optimising our networks to improve resilience and renewing our </w:t>
            </w:r>
            <w:r w:rsidR="15C805F6" w:rsidRPr="00095A2C">
              <w:rPr>
                <w:szCs w:val="20"/>
              </w:rPr>
              <w:t>ag</w:t>
            </w:r>
            <w:r w:rsidR="0DF539AF" w:rsidRPr="00095A2C">
              <w:rPr>
                <w:szCs w:val="20"/>
              </w:rPr>
              <w:t>e</w:t>
            </w:r>
            <w:r w:rsidR="15C805F6" w:rsidRPr="00095A2C">
              <w:rPr>
                <w:szCs w:val="20"/>
              </w:rPr>
              <w:t>ing</w:t>
            </w:r>
            <w:r w:rsidRPr="00095A2C">
              <w:rPr>
                <w:szCs w:val="20"/>
              </w:rPr>
              <w:t xml:space="preserve"> assets. The key investments are:</w:t>
            </w:r>
          </w:p>
          <w:p w14:paraId="56505ADD" w14:textId="6F5C8979" w:rsidR="00441980" w:rsidRPr="00095A2C" w:rsidRDefault="00441980" w:rsidP="00237259">
            <w:pPr>
              <w:pStyle w:val="Tablebullet2"/>
              <w:rPr>
                <w:szCs w:val="20"/>
              </w:rPr>
            </w:pPr>
            <w:r w:rsidRPr="00095A2C">
              <w:t>$163 million in securing water transfer reliability from East to West through the Link Main Project. This will increase system reliability and resilience</w:t>
            </w:r>
            <w:r w:rsidR="141E6552" w:rsidRPr="00095A2C">
              <w:rPr>
                <w:szCs w:val="20"/>
              </w:rPr>
              <w:t>,</w:t>
            </w:r>
            <w:r w:rsidRPr="00095A2C">
              <w:rPr>
                <w:szCs w:val="20"/>
              </w:rPr>
              <w:t xml:space="preserve"> as well as contributing to meet growing customer demands. </w:t>
            </w:r>
          </w:p>
          <w:p w14:paraId="63BAACBF" w14:textId="460829B7" w:rsidR="00441980" w:rsidRPr="00095A2C" w:rsidRDefault="00441980" w:rsidP="00237259">
            <w:pPr>
              <w:pStyle w:val="Tablebullet2"/>
              <w:rPr>
                <w:szCs w:val="20"/>
              </w:rPr>
            </w:pPr>
            <w:r w:rsidRPr="00095A2C">
              <w:t>Renewing crucial water mains</w:t>
            </w:r>
            <w:r w:rsidR="010A1FA0" w:rsidRPr="00095A2C">
              <w:rPr>
                <w:szCs w:val="20"/>
              </w:rPr>
              <w:t>,</w:t>
            </w:r>
            <w:r w:rsidRPr="00095A2C">
              <w:rPr>
                <w:szCs w:val="20"/>
              </w:rPr>
              <w:t xml:space="preserve"> including our 90</w:t>
            </w:r>
            <w:r w:rsidR="7580C10E" w:rsidRPr="00095A2C">
              <w:rPr>
                <w:szCs w:val="20"/>
              </w:rPr>
              <w:t xml:space="preserve"> to </w:t>
            </w:r>
            <w:r w:rsidRPr="00095A2C">
              <w:rPr>
                <w:szCs w:val="20"/>
              </w:rPr>
              <w:t xml:space="preserve">110-year </w:t>
            </w:r>
            <w:r w:rsidR="69806B18" w:rsidRPr="00095A2C">
              <w:rPr>
                <w:szCs w:val="20"/>
              </w:rPr>
              <w:t xml:space="preserve">old </w:t>
            </w:r>
            <w:r w:rsidRPr="00095A2C">
              <w:rPr>
                <w:szCs w:val="20"/>
              </w:rPr>
              <w:t>pipes that transfer water from Olinda to Mitcham ($83 million of the $118 million investment).</w:t>
            </w:r>
          </w:p>
          <w:p w14:paraId="0B81FAC6" w14:textId="41BF8331" w:rsidR="00441980" w:rsidRPr="00DE108C" w:rsidRDefault="00441980" w:rsidP="00237259">
            <w:pPr>
              <w:pStyle w:val="Tablebullet2"/>
            </w:pPr>
            <w:r w:rsidRPr="00095A2C">
              <w:t>Significant investment to service the growing west of Melbourne with Holden Mt Cottrell Pipeline Stage 1 and 2</w:t>
            </w:r>
            <w:r w:rsidR="7A1C285F" w:rsidRPr="00095A2C">
              <w:t>,</w:t>
            </w:r>
            <w:r w:rsidRPr="00095A2C">
              <w:t xml:space="preserve"> as well as upgrades at Holden Service Reservoir and M</w:t>
            </w:r>
            <w:r w:rsidR="000D77C4" w:rsidRPr="00095A2C">
              <w:t>t</w:t>
            </w:r>
            <w:r w:rsidRPr="00095A2C">
              <w:t xml:space="preserve"> Cottrell Pump Station.</w:t>
            </w:r>
          </w:p>
        </w:tc>
        <w:tc>
          <w:tcPr>
            <w:tcW w:w="7087" w:type="dxa"/>
          </w:tcPr>
          <w:p w14:paraId="498A8552" w14:textId="77777777" w:rsidR="00441980" w:rsidRPr="00DE108C" w:rsidRDefault="00441980" w:rsidP="00AB7374">
            <w:pPr>
              <w:pStyle w:val="TableText"/>
              <w:rPr>
                <w:b/>
                <w:bCs/>
              </w:rPr>
            </w:pPr>
            <w:r w:rsidRPr="00DE108C">
              <w:rPr>
                <w:b/>
                <w:bCs/>
              </w:rPr>
              <w:t>Investments we will make:</w:t>
            </w:r>
          </w:p>
          <w:p w14:paraId="622984BC" w14:textId="77777777" w:rsidR="00441980" w:rsidRPr="00095A2C" w:rsidRDefault="00441980" w:rsidP="00237259">
            <w:pPr>
              <w:pStyle w:val="Tablebullet"/>
            </w:pPr>
            <w:r w:rsidRPr="00095A2C">
              <w:t>In preparation for the next climate resilient water supply, we are proposing a significant upgrade to our water production and storage assets ($888 million). This will optimise storage capacity and provide for greater water efficiency in water transfer, as well as meet compliance and renewal of our assets at the end of their service life. Our key investments over PS26 will be:</w:t>
            </w:r>
          </w:p>
          <w:p w14:paraId="6DD61A5A" w14:textId="77777777" w:rsidR="00441980" w:rsidRPr="00095A2C" w:rsidRDefault="00441980" w:rsidP="00237259">
            <w:pPr>
              <w:pStyle w:val="Tablebullet2"/>
            </w:pPr>
            <w:r w:rsidRPr="00095A2C">
              <w:t>Undertaking significant dam safety upgrades at Cardinia Reservoir ($191 million) to meet compliance standards and optimise storage capacity.</w:t>
            </w:r>
          </w:p>
          <w:p w14:paraId="49BDEAC7" w14:textId="77777777" w:rsidR="00441980" w:rsidRPr="00095A2C" w:rsidRDefault="00441980" w:rsidP="00237259">
            <w:pPr>
              <w:pStyle w:val="Tablebullet2"/>
            </w:pPr>
            <w:r w:rsidRPr="00095A2C">
              <w:t>Cardinia Reservoir will also have a renewed and upgraded pump station delivered to improve system resilience ($99 million).</w:t>
            </w:r>
          </w:p>
          <w:p w14:paraId="15E4A658" w14:textId="08362C83" w:rsidR="00441980" w:rsidRPr="00095A2C" w:rsidRDefault="00441980" w:rsidP="00237259">
            <w:pPr>
              <w:pStyle w:val="Tablebullet2"/>
              <w:rPr>
                <w:szCs w:val="12"/>
              </w:rPr>
            </w:pPr>
            <w:r w:rsidRPr="00095A2C">
              <w:t xml:space="preserve">Complete the renewal of Maroondah Reservoir Outlet and Aqueduct, </w:t>
            </w:r>
            <w:r w:rsidR="007638E5">
              <w:rPr>
                <w:szCs w:val="12"/>
              </w:rPr>
              <w:t xml:space="preserve">both among our oldest assets, </w:t>
            </w:r>
            <w:r w:rsidRPr="00095A2C">
              <w:rPr>
                <w:szCs w:val="12"/>
              </w:rPr>
              <w:t>improving their safety and enhancing our water capacity ($157 million).</w:t>
            </w:r>
          </w:p>
          <w:p w14:paraId="7FCE2D78" w14:textId="483C1EB8" w:rsidR="00441980" w:rsidRPr="00095A2C" w:rsidRDefault="0083472D" w:rsidP="00237259">
            <w:pPr>
              <w:pStyle w:val="Tablebullet2"/>
              <w:rPr>
                <w:szCs w:val="12"/>
              </w:rPr>
            </w:pPr>
            <w:r>
              <w:t>Consistent</w:t>
            </w:r>
            <w:r>
              <w:rPr>
                <w:szCs w:val="12"/>
              </w:rPr>
              <w:t xml:space="preserve"> with the </w:t>
            </w:r>
            <w:r w:rsidRPr="0083472D">
              <w:rPr>
                <w:i/>
                <w:iCs/>
                <w:szCs w:val="12"/>
              </w:rPr>
              <w:t>Water Security Plan</w:t>
            </w:r>
            <w:r>
              <w:rPr>
                <w:i/>
                <w:iCs/>
                <w:szCs w:val="12"/>
              </w:rPr>
              <w:t xml:space="preserve">, </w:t>
            </w:r>
            <w:r>
              <w:rPr>
                <w:szCs w:val="12"/>
              </w:rPr>
              <w:t>we are i</w:t>
            </w:r>
            <w:r w:rsidR="00441980" w:rsidRPr="00095A2C">
              <w:rPr>
                <w:szCs w:val="12"/>
              </w:rPr>
              <w:t xml:space="preserve">nvesting $250 million in </w:t>
            </w:r>
            <w:r w:rsidR="6A0F4965" w:rsidRPr="00095A2C">
              <w:rPr>
                <w:szCs w:val="12"/>
              </w:rPr>
              <w:t xml:space="preserve">the </w:t>
            </w:r>
            <w:r w:rsidR="723349C1" w:rsidRPr="00095A2C">
              <w:rPr>
                <w:szCs w:val="12"/>
              </w:rPr>
              <w:t xml:space="preserve">development of options for </w:t>
            </w:r>
            <w:r w:rsidR="00441980" w:rsidRPr="00095A2C">
              <w:rPr>
                <w:szCs w:val="12"/>
              </w:rPr>
              <w:t>manufactured and new water sources</w:t>
            </w:r>
            <w:r w:rsidR="55433E89" w:rsidRPr="00095A2C">
              <w:rPr>
                <w:szCs w:val="12"/>
              </w:rPr>
              <w:t xml:space="preserve"> </w:t>
            </w:r>
            <w:r w:rsidR="00441980" w:rsidRPr="00095A2C">
              <w:rPr>
                <w:szCs w:val="12"/>
              </w:rPr>
              <w:t xml:space="preserve">detailed investigations and preliminary work in the next regulatory period, </w:t>
            </w:r>
            <w:r w:rsidR="00441980" w:rsidRPr="00095A2C">
              <w:rPr>
                <w:szCs w:val="12"/>
              </w:rPr>
              <w:lastRenderedPageBreak/>
              <w:t>including readying our transfer networks for the future needs of Melbourne’s West and Geelong.</w:t>
            </w:r>
          </w:p>
          <w:p w14:paraId="23B35AF1" w14:textId="3EC53049" w:rsidR="00441980" w:rsidRPr="00DE108C" w:rsidRDefault="00441980" w:rsidP="00237259">
            <w:pPr>
              <w:pStyle w:val="Tablebullet"/>
            </w:pPr>
            <w:r w:rsidRPr="00095A2C">
              <w:t xml:space="preserve">We are also proposing an increase in opex ($5 million over five years) to open Tarago Reservoir to recreational </w:t>
            </w:r>
            <w:r w:rsidR="5F79ED6C" w:rsidRPr="00095A2C">
              <w:t>access</w:t>
            </w:r>
            <w:r w:rsidRPr="00095A2C">
              <w:t>.</w:t>
            </w:r>
          </w:p>
        </w:tc>
      </w:tr>
      <w:tr w:rsidR="00441980" w:rsidRPr="00DE108C" w14:paraId="666B3DBA" w14:textId="77777777" w:rsidTr="00441980">
        <w:tc>
          <w:tcPr>
            <w:tcW w:w="7225" w:type="dxa"/>
          </w:tcPr>
          <w:p w14:paraId="560187F3" w14:textId="77777777" w:rsidR="00441980" w:rsidRPr="00DE108C" w:rsidRDefault="00441980">
            <w:pPr>
              <w:rPr>
                <w:b/>
                <w:sz w:val="16"/>
                <w:szCs w:val="16"/>
              </w:rPr>
            </w:pPr>
            <w:r w:rsidRPr="00DE108C">
              <w:rPr>
                <w:b/>
                <w:sz w:val="16"/>
                <w:szCs w:val="16"/>
              </w:rPr>
              <w:lastRenderedPageBreak/>
              <w:t>Actions and commitments we will make:</w:t>
            </w:r>
          </w:p>
          <w:p w14:paraId="13C95E1B" w14:textId="77777777" w:rsidR="00441980" w:rsidRPr="00DE108C" w:rsidRDefault="00441980" w:rsidP="00237259">
            <w:pPr>
              <w:pStyle w:val="Tablebullet"/>
            </w:pPr>
            <w:r w:rsidRPr="00095A2C">
              <w:t>We will implement and apply our updated water quality GSL to events that affect our customers.</w:t>
            </w:r>
          </w:p>
        </w:tc>
        <w:tc>
          <w:tcPr>
            <w:tcW w:w="7229" w:type="dxa"/>
          </w:tcPr>
          <w:p w14:paraId="42B18B90" w14:textId="77777777" w:rsidR="00441980" w:rsidRPr="00DE108C" w:rsidRDefault="00441980">
            <w:pPr>
              <w:rPr>
                <w:b/>
                <w:bCs/>
                <w:sz w:val="16"/>
                <w:szCs w:val="16"/>
              </w:rPr>
            </w:pPr>
            <w:r w:rsidRPr="00DE108C">
              <w:rPr>
                <w:b/>
                <w:bCs/>
                <w:sz w:val="16"/>
                <w:szCs w:val="16"/>
              </w:rPr>
              <w:t>Actions and commitments we will make:</w:t>
            </w:r>
          </w:p>
          <w:p w14:paraId="3043DFBE" w14:textId="77777777" w:rsidR="00441980" w:rsidRPr="00DE108C" w:rsidRDefault="00441980" w:rsidP="00237259">
            <w:pPr>
              <w:pStyle w:val="Tablebullet"/>
              <w:rPr>
                <w:b/>
                <w:bCs/>
              </w:rPr>
            </w:pPr>
            <w:r w:rsidRPr="00095A2C">
              <w:t>We will collaborate with our bulk service customers to prepare a long-term adaptive network plan, including regional-based solutions and plans for our bulk transfer network.</w:t>
            </w:r>
          </w:p>
        </w:tc>
        <w:tc>
          <w:tcPr>
            <w:tcW w:w="7087" w:type="dxa"/>
          </w:tcPr>
          <w:p w14:paraId="791C8110" w14:textId="77777777" w:rsidR="00441980" w:rsidRPr="00DE108C" w:rsidRDefault="00441980">
            <w:pPr>
              <w:rPr>
                <w:b/>
                <w:bCs/>
                <w:sz w:val="16"/>
                <w:szCs w:val="16"/>
              </w:rPr>
            </w:pPr>
            <w:r w:rsidRPr="00DE108C">
              <w:rPr>
                <w:b/>
                <w:bCs/>
                <w:sz w:val="16"/>
                <w:szCs w:val="16"/>
              </w:rPr>
              <w:t>Actions and commitments we will make:</w:t>
            </w:r>
          </w:p>
          <w:p w14:paraId="55904111" w14:textId="150DEE23" w:rsidR="00441980" w:rsidRPr="00095A2C" w:rsidRDefault="00441980" w:rsidP="00237259">
            <w:pPr>
              <w:pStyle w:val="Tablebullet"/>
              <w:rPr>
                <w:szCs w:val="20"/>
              </w:rPr>
            </w:pPr>
            <w:r w:rsidRPr="00095A2C" w:rsidDel="006D435C">
              <w:t xml:space="preserve">We will work closely with our metropolitan bulk water customers </w:t>
            </w:r>
            <w:r w:rsidRPr="00095A2C">
              <w:rPr>
                <w:szCs w:val="20"/>
              </w:rPr>
              <w:t>to implement the</w:t>
            </w:r>
            <w:r w:rsidRPr="00095A2C">
              <w:rPr>
                <w:i/>
                <w:iCs/>
                <w:szCs w:val="20"/>
              </w:rPr>
              <w:t xml:space="preserve"> </w:t>
            </w:r>
            <w:r w:rsidRPr="00095A2C">
              <w:rPr>
                <w:i/>
                <w:iCs/>
                <w:kern w:val="24"/>
                <w:szCs w:val="20"/>
              </w:rPr>
              <w:t>Greater Melbourne Urban Water and System Strategy: Water for Lif</w:t>
            </w:r>
            <w:r w:rsidRPr="00095A2C">
              <w:rPr>
                <w:i/>
                <w:color w:val="auto"/>
                <w:kern w:val="24"/>
                <w:szCs w:val="20"/>
              </w:rPr>
              <w:t>e</w:t>
            </w:r>
            <w:r w:rsidR="37342256" w:rsidRPr="00CF64CB">
              <w:rPr>
                <w:color w:val="auto"/>
                <w:kern w:val="24"/>
                <w:szCs w:val="20"/>
              </w:rPr>
              <w:t xml:space="preserve"> (GMUWSS)</w:t>
            </w:r>
            <w:r w:rsidR="15C805F6" w:rsidRPr="00095A2C">
              <w:rPr>
                <w:rFonts w:eastAsiaTheme="minorEastAsia" w:hAnsi="Verdana" w:cstheme="minorBidi"/>
                <w:color w:val="auto"/>
                <w:szCs w:val="20"/>
              </w:rPr>
              <w:t>,</w:t>
            </w:r>
            <w:r w:rsidRPr="00095A2C">
              <w:rPr>
                <w:color w:val="auto"/>
                <w:szCs w:val="20"/>
              </w:rPr>
              <w:t xml:space="preserve"> </w:t>
            </w:r>
            <w:r w:rsidRPr="00095A2C">
              <w:rPr>
                <w:szCs w:val="20"/>
              </w:rPr>
              <w:t xml:space="preserve">deliver a </w:t>
            </w:r>
            <w:r w:rsidRPr="00095A2C">
              <w:rPr>
                <w:i/>
                <w:szCs w:val="20"/>
              </w:rPr>
              <w:t>Melbourne Water</w:t>
            </w:r>
            <w:r w:rsidRPr="00095A2C" w:rsidDel="006D435C">
              <w:rPr>
                <w:i/>
                <w:szCs w:val="20"/>
              </w:rPr>
              <w:t xml:space="preserve"> System Strategy </w:t>
            </w:r>
            <w:r w:rsidR="009D5F90">
              <w:rPr>
                <w:iCs/>
                <w:szCs w:val="20"/>
              </w:rPr>
              <w:t xml:space="preserve">and support development of </w:t>
            </w:r>
            <w:r w:rsidR="009D5F90" w:rsidRPr="009D5F90">
              <w:rPr>
                <w:i/>
                <w:szCs w:val="20"/>
              </w:rPr>
              <w:t>Urban Water Strategies</w:t>
            </w:r>
            <w:r w:rsidR="009D5F90">
              <w:rPr>
                <w:iCs/>
                <w:szCs w:val="20"/>
              </w:rPr>
              <w:t xml:space="preserve"> </w:t>
            </w:r>
            <w:r w:rsidRPr="00095A2C" w:rsidDel="006D435C">
              <w:rPr>
                <w:szCs w:val="20"/>
              </w:rPr>
              <w:t>in 2027 and</w:t>
            </w:r>
            <w:r w:rsidR="009D5F90">
              <w:rPr>
                <w:szCs w:val="20"/>
              </w:rPr>
              <w:t xml:space="preserve"> </w:t>
            </w:r>
            <w:r w:rsidRPr="00095A2C" w:rsidDel="006D435C">
              <w:rPr>
                <w:szCs w:val="20"/>
              </w:rPr>
              <w:t>implementing State Government</w:t>
            </w:r>
            <w:r w:rsidRPr="00095A2C">
              <w:rPr>
                <w:szCs w:val="20"/>
              </w:rPr>
              <w:t xml:space="preserve"> Reforms to water entitlements.</w:t>
            </w:r>
            <w:r w:rsidR="008C46DF">
              <w:rPr>
                <w:szCs w:val="20"/>
              </w:rPr>
              <w:t xml:space="preserve"> </w:t>
            </w:r>
          </w:p>
          <w:p w14:paraId="1A1D0591" w14:textId="62D9B390" w:rsidR="00441980" w:rsidRPr="00DE108C" w:rsidRDefault="00441980" w:rsidP="00237259">
            <w:pPr>
              <w:pStyle w:val="Tablebullet"/>
            </w:pPr>
            <w:r w:rsidRPr="00095A2C">
              <w:t xml:space="preserve">We will conduct detailed investigations and development activities for the next </w:t>
            </w:r>
            <w:r w:rsidR="007D52EE" w:rsidRPr="00095A2C">
              <w:t>large-scale</w:t>
            </w:r>
            <w:r w:rsidRPr="00095A2C">
              <w:t xml:space="preserve"> water supply for the connected Melbourne system</w:t>
            </w:r>
            <w:r w:rsidRPr="00DE108C">
              <w:t>.</w:t>
            </w:r>
          </w:p>
        </w:tc>
      </w:tr>
      <w:tr w:rsidR="00051542" w:rsidRPr="00DE108C" w14:paraId="22EA9BB8" w14:textId="77777777" w:rsidTr="00441980">
        <w:trPr>
          <w:cnfStyle w:val="000000010000" w:firstRow="0" w:lastRow="0" w:firstColumn="0" w:lastColumn="0" w:oddVBand="0" w:evenVBand="0" w:oddHBand="0" w:evenHBand="1" w:firstRowFirstColumn="0" w:firstRowLastColumn="0" w:lastRowFirstColumn="0" w:lastRowLastColumn="0"/>
        </w:trPr>
        <w:tc>
          <w:tcPr>
            <w:tcW w:w="7225" w:type="dxa"/>
          </w:tcPr>
          <w:p w14:paraId="3B2BEF4C" w14:textId="77777777" w:rsidR="00441980" w:rsidRPr="00DE108C" w:rsidRDefault="00441980">
            <w:pPr>
              <w:rPr>
                <w:b/>
                <w:bCs/>
                <w:sz w:val="16"/>
                <w:szCs w:val="16"/>
              </w:rPr>
            </w:pPr>
            <w:r w:rsidRPr="00DE108C">
              <w:rPr>
                <w:b/>
                <w:bCs/>
                <w:sz w:val="16"/>
                <w:szCs w:val="16"/>
              </w:rPr>
              <w:t>How we will keep ourselves accountable (measures):</w:t>
            </w:r>
          </w:p>
          <w:p w14:paraId="1F881193" w14:textId="77777777" w:rsidR="00441980" w:rsidRPr="00DE108C" w:rsidRDefault="00441980" w:rsidP="00237259">
            <w:pPr>
              <w:pStyle w:val="Tablebullet"/>
            </w:pPr>
            <w:r w:rsidRPr="00095A2C">
              <w:t xml:space="preserve">Number of </w:t>
            </w:r>
            <w:r w:rsidRPr="00095A2C">
              <w:rPr>
                <w:i/>
              </w:rPr>
              <w:t>Safe Drinking Water Act</w:t>
            </w:r>
            <w:r w:rsidRPr="00095A2C">
              <w:t xml:space="preserve"> non-compliances (water sampling and audit).</w:t>
            </w:r>
          </w:p>
        </w:tc>
        <w:tc>
          <w:tcPr>
            <w:tcW w:w="7229" w:type="dxa"/>
          </w:tcPr>
          <w:p w14:paraId="06BB9288" w14:textId="77777777" w:rsidR="00441980" w:rsidRPr="00DE108C" w:rsidRDefault="00441980">
            <w:pPr>
              <w:rPr>
                <w:b/>
                <w:bCs/>
                <w:sz w:val="16"/>
                <w:szCs w:val="16"/>
              </w:rPr>
            </w:pPr>
            <w:r w:rsidRPr="00DE108C">
              <w:rPr>
                <w:b/>
                <w:bCs/>
                <w:sz w:val="16"/>
                <w:szCs w:val="16"/>
              </w:rPr>
              <w:t>How we will keep ourselves accountable (measures):</w:t>
            </w:r>
          </w:p>
          <w:p w14:paraId="64F118E3" w14:textId="77936F27" w:rsidR="00441980" w:rsidRPr="00DE108C" w:rsidRDefault="00441980" w:rsidP="00237259">
            <w:pPr>
              <w:pStyle w:val="Tablebullet"/>
            </w:pPr>
            <w:r w:rsidRPr="00095A2C">
              <w:t xml:space="preserve">Percentage of time compliant with water </w:t>
            </w:r>
            <w:r w:rsidR="00A95844">
              <w:t>corporation</w:t>
            </w:r>
            <w:r w:rsidRPr="00095A2C">
              <w:t xml:space="preserve"> pressure requirements (cumulative across the year). </w:t>
            </w:r>
          </w:p>
        </w:tc>
        <w:tc>
          <w:tcPr>
            <w:tcW w:w="7087" w:type="dxa"/>
          </w:tcPr>
          <w:p w14:paraId="198F8F12" w14:textId="77777777" w:rsidR="00441980" w:rsidRPr="00DE108C" w:rsidRDefault="00441980">
            <w:pPr>
              <w:rPr>
                <w:b/>
                <w:bCs/>
                <w:sz w:val="16"/>
                <w:szCs w:val="16"/>
              </w:rPr>
            </w:pPr>
            <w:r w:rsidRPr="00DE108C">
              <w:rPr>
                <w:b/>
                <w:bCs/>
                <w:sz w:val="16"/>
                <w:szCs w:val="16"/>
              </w:rPr>
              <w:t>How we will keep ourselves accountable (measures):</w:t>
            </w:r>
          </w:p>
          <w:p w14:paraId="337055CB" w14:textId="77777777" w:rsidR="00441980" w:rsidRPr="00095A2C" w:rsidRDefault="00441980" w:rsidP="00237259">
            <w:pPr>
              <w:pStyle w:val="Tablebullet"/>
            </w:pPr>
            <w:r w:rsidRPr="00095A2C">
              <w:t>Conduct detailed investigations to progress the critical path for new large-scale water infrastructure.</w:t>
            </w:r>
          </w:p>
          <w:p w14:paraId="779825AF" w14:textId="235A30E4" w:rsidR="00441980" w:rsidRPr="00DE108C" w:rsidRDefault="00441980" w:rsidP="00237259">
            <w:pPr>
              <w:pStyle w:val="Tablebullet"/>
            </w:pPr>
            <w:r w:rsidRPr="00095A2C">
              <w:t xml:space="preserve">Percentage of transfer system losses as a percentage of water supplied to </w:t>
            </w:r>
            <w:r w:rsidR="00A95844">
              <w:t>water corporations</w:t>
            </w:r>
            <w:r w:rsidRPr="00095A2C">
              <w:t>.</w:t>
            </w:r>
          </w:p>
        </w:tc>
      </w:tr>
    </w:tbl>
    <w:p w14:paraId="434B1C20" w14:textId="77777777" w:rsidR="00441980" w:rsidRPr="00DE108C" w:rsidRDefault="00441980" w:rsidP="00441980"/>
    <w:p w14:paraId="1A55E91C" w14:textId="532165CC" w:rsidR="00441980" w:rsidRPr="00DE108C" w:rsidRDefault="00441980" w:rsidP="00441980">
      <w:r w:rsidRPr="00DE108C">
        <w:br w:type="page"/>
      </w:r>
    </w:p>
    <w:p w14:paraId="1D64A01D" w14:textId="5E5C29C1" w:rsidR="00767B75" w:rsidRPr="00DE108C" w:rsidRDefault="00767B75">
      <w:pPr>
        <w:pStyle w:val="Heading3"/>
      </w:pPr>
      <w:r w:rsidRPr="00DE108C">
        <w:lastRenderedPageBreak/>
        <w:t>4.2.2 Outcome 2</w:t>
      </w:r>
      <w:r w:rsidR="02E405EC" w:rsidRPr="00DE108C">
        <w:t xml:space="preserve"> -</w:t>
      </w:r>
      <w:r w:rsidRPr="00DE108C">
        <w:t xml:space="preserve"> Environmentally sustainable and reliable bulk sewerage services</w:t>
      </w:r>
    </w:p>
    <w:p w14:paraId="385F29D7" w14:textId="6A8BF09A" w:rsidR="00767B75" w:rsidRPr="00DE108C" w:rsidRDefault="00767B75" w:rsidP="00BC2765">
      <w:pPr>
        <w:pStyle w:val="Caption"/>
      </w:pPr>
      <w:bookmarkStart w:id="314" w:name="_Toc207893004"/>
      <w:bookmarkStart w:id="315" w:name="_Toc208490528"/>
      <w:bookmarkStart w:id="316" w:name="_Toc208490866"/>
      <w:bookmarkStart w:id="317" w:name="_Toc208911024"/>
      <w:bookmarkStart w:id="318" w:name="_Toc210051330"/>
      <w:r w:rsidRPr="00DE108C">
        <w:t xml:space="preserve">Table 4.2: Outcome 2 </w:t>
      </w:r>
      <w:r w:rsidR="00BB18FC">
        <w:t xml:space="preserve">- </w:t>
      </w:r>
      <w:r w:rsidRPr="00DE108C">
        <w:t>Environmentally sustainable</w:t>
      </w:r>
      <w:r w:rsidR="00BC249A" w:rsidRPr="00DE108C">
        <w:t xml:space="preserve"> and reliable</w:t>
      </w:r>
      <w:r w:rsidRPr="00DE108C">
        <w:t xml:space="preserve"> bulk sewerage services</w:t>
      </w:r>
      <w:bookmarkEnd w:id="314"/>
      <w:bookmarkEnd w:id="315"/>
      <w:bookmarkEnd w:id="316"/>
      <w:bookmarkEnd w:id="317"/>
      <w:bookmarkEnd w:id="318"/>
    </w:p>
    <w:tbl>
      <w:tblPr>
        <w:tblStyle w:val="TableGrid"/>
        <w:tblW w:w="5000" w:type="pct"/>
        <w:tblLook w:val="04A0" w:firstRow="1" w:lastRow="0" w:firstColumn="1" w:lastColumn="0" w:noHBand="0" w:noVBand="1"/>
      </w:tblPr>
      <w:tblGrid>
        <w:gridCol w:w="1839"/>
        <w:gridCol w:w="19694"/>
      </w:tblGrid>
      <w:tr w:rsidR="00A5757A" w:rsidRPr="00DE108C" w14:paraId="553F59C7" w14:textId="77777777">
        <w:trPr>
          <w:cnfStyle w:val="100000000000" w:firstRow="1" w:lastRow="0" w:firstColumn="0" w:lastColumn="0" w:oddVBand="0" w:evenVBand="0" w:oddHBand="0" w:evenHBand="0" w:firstRowFirstColumn="0" w:firstRowLastColumn="0" w:lastRowFirstColumn="0" w:lastRowLastColumn="0"/>
        </w:trPr>
        <w:tc>
          <w:tcPr>
            <w:tcW w:w="427" w:type="pct"/>
          </w:tcPr>
          <w:p w14:paraId="35D4E483" w14:textId="77777777" w:rsidR="00767B75" w:rsidRPr="00DE108C" w:rsidRDefault="00767B75" w:rsidP="00441980">
            <w:pPr>
              <w:pStyle w:val="TableHeading"/>
            </w:pPr>
            <w:r w:rsidRPr="00DE108C">
              <w:t>OUTCOME 2</w:t>
            </w:r>
          </w:p>
        </w:tc>
        <w:tc>
          <w:tcPr>
            <w:tcW w:w="4573" w:type="pct"/>
          </w:tcPr>
          <w:p w14:paraId="434F5366" w14:textId="77777777" w:rsidR="00767B75" w:rsidRPr="00DE108C" w:rsidRDefault="00767B75" w:rsidP="00441980">
            <w:pPr>
              <w:pStyle w:val="TableHeading"/>
              <w:rPr>
                <w:bCs/>
              </w:rPr>
            </w:pPr>
            <w:r w:rsidRPr="00DE108C">
              <w:rPr>
                <w:bCs/>
              </w:rPr>
              <w:t>Environmentally sustainable and reliable bulk sewerage services</w:t>
            </w:r>
          </w:p>
        </w:tc>
      </w:tr>
      <w:tr w:rsidR="00767B75" w:rsidRPr="00DE108C" w14:paraId="04D63BF0" w14:textId="77777777">
        <w:tc>
          <w:tcPr>
            <w:tcW w:w="427" w:type="pct"/>
          </w:tcPr>
          <w:p w14:paraId="7A640C71" w14:textId="77777777" w:rsidR="00767B75" w:rsidRPr="00DE108C" w:rsidRDefault="00767B75" w:rsidP="00441980">
            <w:pPr>
              <w:pStyle w:val="TableText"/>
            </w:pPr>
            <w:r w:rsidRPr="00DE108C">
              <w:t>What this means for our customers</w:t>
            </w:r>
          </w:p>
        </w:tc>
        <w:tc>
          <w:tcPr>
            <w:tcW w:w="4573" w:type="pct"/>
          </w:tcPr>
          <w:p w14:paraId="6B3E537E" w14:textId="6CE8221A" w:rsidR="00767B75" w:rsidRPr="00DE108C" w:rsidRDefault="00767B75" w:rsidP="00441980">
            <w:pPr>
              <w:pStyle w:val="TableText"/>
            </w:pPr>
            <w:r w:rsidRPr="00DE108C">
              <w:t xml:space="preserve">As an essential service provider, we provide bulk sewerage services to Melbourne’s water corporations, collecting bulk sewage in our bulk transfer networks and then treating it at our two treatment plants – the Eastern Treatment Plant </w:t>
            </w:r>
            <w:r w:rsidR="755DE158">
              <w:t xml:space="preserve">(ETP) </w:t>
            </w:r>
            <w:r w:rsidRPr="00DE108C">
              <w:t>and the Western Treatment Plant</w:t>
            </w:r>
            <w:r w:rsidR="0C7361C9">
              <w:t xml:space="preserve"> (WTP)</w:t>
            </w:r>
            <w:r w:rsidR="713E6C5A">
              <w:t>.</w:t>
            </w:r>
            <w:r w:rsidRPr="00DE108C">
              <w:t xml:space="preserve"> We want to ensure these services are environmentally sustainable. This means:  </w:t>
            </w:r>
          </w:p>
          <w:p w14:paraId="51160022" w14:textId="416B2A5C" w:rsidR="00767B75" w:rsidRPr="00CF64CB" w:rsidRDefault="00767B75" w:rsidP="00B14137">
            <w:pPr>
              <w:pStyle w:val="Tablebullet"/>
            </w:pPr>
            <w:r w:rsidRPr="00CF64CB">
              <w:t xml:space="preserve">Our </w:t>
            </w:r>
            <w:r w:rsidRPr="00CF64CB">
              <w:rPr>
                <w:b/>
              </w:rPr>
              <w:t xml:space="preserve">treatment </w:t>
            </w:r>
            <w:r w:rsidRPr="00CF64CB">
              <w:rPr>
                <w:b/>
                <w:szCs w:val="20"/>
              </w:rPr>
              <w:t>plant</w:t>
            </w:r>
            <w:r w:rsidRPr="00CF64CB">
              <w:rPr>
                <w:b/>
              </w:rPr>
              <w:t xml:space="preserve"> processes are sustainable</w:t>
            </w:r>
            <w:r w:rsidRPr="00CF64CB">
              <w:t>, comply with regulatory requirements, and we plan and invest for the future to ensure they remain resilient to population growth and climate change, including investments towards our net zero target by 2030.</w:t>
            </w:r>
          </w:p>
          <w:p w14:paraId="540FFFD4" w14:textId="77777777" w:rsidR="00767B75" w:rsidRPr="00DE108C" w:rsidRDefault="00767B75" w:rsidP="00B14137">
            <w:pPr>
              <w:pStyle w:val="Tablebullet"/>
            </w:pPr>
            <w:r w:rsidRPr="00CF64CB">
              <w:t xml:space="preserve">Our </w:t>
            </w:r>
            <w:r w:rsidRPr="00CF64CB">
              <w:rPr>
                <w:b/>
              </w:rPr>
              <w:t>transfer system is reliable</w:t>
            </w:r>
            <w:r w:rsidRPr="00CF64CB">
              <w:t xml:space="preserve"> and remains resilient to climate change.</w:t>
            </w:r>
          </w:p>
        </w:tc>
      </w:tr>
    </w:tbl>
    <w:tbl>
      <w:tblPr>
        <w:tblStyle w:val="TableGrid"/>
        <w:tblW w:w="21541" w:type="dxa"/>
        <w:tblLayout w:type="fixed"/>
        <w:tblLook w:val="04A0" w:firstRow="1" w:lastRow="0" w:firstColumn="1" w:lastColumn="0" w:noHBand="0" w:noVBand="1"/>
      </w:tblPr>
      <w:tblGrid>
        <w:gridCol w:w="7225"/>
        <w:gridCol w:w="7654"/>
        <w:gridCol w:w="6662"/>
      </w:tblGrid>
      <w:tr w:rsidR="00051542" w:rsidRPr="00DE108C" w14:paraId="79A11A80" w14:textId="77777777" w:rsidTr="00B97C64">
        <w:trPr>
          <w:cnfStyle w:val="100000000000" w:firstRow="1" w:lastRow="0" w:firstColumn="0" w:lastColumn="0" w:oddVBand="0" w:evenVBand="0" w:oddHBand="0" w:evenHBand="0" w:firstRowFirstColumn="0" w:firstRowLastColumn="0" w:lastRowFirstColumn="0" w:lastRowLastColumn="0"/>
          <w:trHeight w:val="300"/>
          <w:tblHeader/>
        </w:trPr>
        <w:tc>
          <w:tcPr>
            <w:tcW w:w="7225" w:type="dxa"/>
          </w:tcPr>
          <w:p w14:paraId="29C62A73" w14:textId="77777777" w:rsidR="00441980" w:rsidRPr="00DE108C" w:rsidRDefault="00441980" w:rsidP="00441980">
            <w:pPr>
              <w:pStyle w:val="TableHeading"/>
              <w:rPr>
                <w:sz w:val="22"/>
                <w:szCs w:val="22"/>
              </w:rPr>
            </w:pPr>
            <w:r w:rsidRPr="00DE108C">
              <w:t>Augmenting our Eastern Treatment Plant to meet growth and improve system resilience</w:t>
            </w:r>
          </w:p>
        </w:tc>
        <w:tc>
          <w:tcPr>
            <w:tcW w:w="7654" w:type="dxa"/>
          </w:tcPr>
          <w:p w14:paraId="6CFCB956" w14:textId="76B7C7DC" w:rsidR="00441980" w:rsidRPr="00DE108C" w:rsidRDefault="00441980" w:rsidP="00441980">
            <w:pPr>
              <w:pStyle w:val="TableHeading"/>
              <w:rPr>
                <w:sz w:val="22"/>
                <w:szCs w:val="22"/>
              </w:rPr>
            </w:pPr>
            <w:r w:rsidRPr="00DE108C">
              <w:t>Transitioning our Western Treatment Plant to meet growth and limit impacts</w:t>
            </w:r>
          </w:p>
        </w:tc>
        <w:tc>
          <w:tcPr>
            <w:tcW w:w="6662" w:type="dxa"/>
          </w:tcPr>
          <w:p w14:paraId="365F1B25" w14:textId="77777777" w:rsidR="00441980" w:rsidRPr="00DE108C" w:rsidRDefault="00441980" w:rsidP="00441980">
            <w:pPr>
              <w:pStyle w:val="TableHeading"/>
              <w:rPr>
                <w:sz w:val="22"/>
                <w:szCs w:val="22"/>
              </w:rPr>
            </w:pPr>
            <w:r w:rsidRPr="00DE108C">
              <w:t>Improving the reliability and resilience of our sewerage transfer network</w:t>
            </w:r>
          </w:p>
        </w:tc>
      </w:tr>
      <w:tr w:rsidR="00441980" w:rsidRPr="00DE108C" w14:paraId="266DFBFB" w14:textId="77777777" w:rsidTr="00441980">
        <w:trPr>
          <w:trHeight w:val="300"/>
        </w:trPr>
        <w:tc>
          <w:tcPr>
            <w:tcW w:w="7225" w:type="dxa"/>
          </w:tcPr>
          <w:p w14:paraId="3482AC51" w14:textId="77777777" w:rsidR="00441980" w:rsidRPr="00DE108C" w:rsidRDefault="00441980" w:rsidP="00441980">
            <w:pPr>
              <w:pStyle w:val="TableText"/>
              <w:rPr>
                <w:b/>
                <w:bCs/>
              </w:rPr>
            </w:pPr>
            <w:r w:rsidRPr="00DE108C">
              <w:rPr>
                <w:b/>
                <w:bCs/>
              </w:rPr>
              <w:t>What we heard:</w:t>
            </w:r>
          </w:p>
          <w:p w14:paraId="1419772B" w14:textId="77777777" w:rsidR="00441980" w:rsidRPr="00CF64CB" w:rsidRDefault="00441980" w:rsidP="00136016">
            <w:pPr>
              <w:pStyle w:val="Tablebullet"/>
            </w:pPr>
            <w:r w:rsidRPr="00CF64CB">
              <w:t>Customers told us ensuring reliable services even during extreme events like flooding was one of their top priorities.</w:t>
            </w:r>
          </w:p>
          <w:p w14:paraId="2FFD7AFF" w14:textId="77777777" w:rsidR="00441980" w:rsidRPr="00CF64CB" w:rsidRDefault="00441980" w:rsidP="00136016">
            <w:pPr>
              <w:pStyle w:val="Tablebullet"/>
            </w:pPr>
            <w:r w:rsidRPr="00CF64CB">
              <w:t xml:space="preserve">Our bulk service customers and end-use customers stressed the importance of foresight in planning for future growth needs, investing proactively to prevent service delays and ensuring timely upgrades of equipment, and maintaining the sewerage system to prevent failures and assure safety. </w:t>
            </w:r>
          </w:p>
          <w:p w14:paraId="23694465" w14:textId="77777777" w:rsidR="00441980" w:rsidRPr="00CF64CB" w:rsidRDefault="00441980" w:rsidP="00136016">
            <w:pPr>
              <w:pStyle w:val="Tablebullet"/>
              <w:rPr>
                <w:szCs w:val="20"/>
              </w:rPr>
            </w:pPr>
            <w:r w:rsidRPr="00CF64CB">
              <w:t>Customers expected that we mitigate the impacts of climate change and ensure Melbourne remains liveable through our practices.</w:t>
            </w:r>
          </w:p>
          <w:p w14:paraId="2A646254" w14:textId="18719183" w:rsidR="00441980" w:rsidRPr="00DE108C" w:rsidRDefault="001327C7" w:rsidP="00136016">
            <w:pPr>
              <w:pStyle w:val="Tablebullet"/>
            </w:pPr>
            <w:r w:rsidRPr="00CF64CB">
              <w:t>Customers believed that collecting biogas as an alternative energy source to reduce reliance on external power networks and improving the use of recycled water was a priority.</w:t>
            </w:r>
          </w:p>
        </w:tc>
        <w:tc>
          <w:tcPr>
            <w:tcW w:w="7654" w:type="dxa"/>
          </w:tcPr>
          <w:p w14:paraId="39D31CE2" w14:textId="77777777" w:rsidR="00441980" w:rsidRPr="00DE108C" w:rsidRDefault="00441980" w:rsidP="00441980">
            <w:pPr>
              <w:pStyle w:val="TableText"/>
              <w:rPr>
                <w:b/>
                <w:bCs/>
              </w:rPr>
            </w:pPr>
            <w:r w:rsidRPr="00DE108C">
              <w:rPr>
                <w:b/>
                <w:bCs/>
              </w:rPr>
              <w:t>What we heard:</w:t>
            </w:r>
          </w:p>
          <w:p w14:paraId="7307D793" w14:textId="77777777" w:rsidR="00441980" w:rsidRPr="00CF64CB" w:rsidRDefault="00441980" w:rsidP="00136016">
            <w:pPr>
              <w:pStyle w:val="Tablebullet"/>
            </w:pPr>
            <w:r w:rsidRPr="00CF64CB">
              <w:t>Customers told us ensuring reliable services, even during extreme events like bushfires, drought and flooding, was one of their top priorities.</w:t>
            </w:r>
          </w:p>
          <w:p w14:paraId="0EE61B91" w14:textId="5BEB33DC" w:rsidR="00441980" w:rsidRPr="00CF64CB" w:rsidRDefault="00441980" w:rsidP="00136016">
            <w:pPr>
              <w:pStyle w:val="Tablebullet"/>
              <w:rPr>
                <w:szCs w:val="16"/>
              </w:rPr>
            </w:pPr>
            <w:r w:rsidRPr="00CF64CB">
              <w:rPr>
                <w:szCs w:val="16"/>
              </w:rPr>
              <w:t xml:space="preserve">Our bulk service customers and end-use customers stressed the importance of foresight in planning for future growth needs, </w:t>
            </w:r>
            <w:r w:rsidR="15C805F6" w:rsidRPr="00CF64CB">
              <w:rPr>
                <w:szCs w:val="16"/>
              </w:rPr>
              <w:t>invest</w:t>
            </w:r>
            <w:r w:rsidR="7470F3E4" w:rsidRPr="00CF64CB">
              <w:rPr>
                <w:szCs w:val="16"/>
              </w:rPr>
              <w:t>ing</w:t>
            </w:r>
            <w:r w:rsidRPr="00CF64CB">
              <w:rPr>
                <w:szCs w:val="16"/>
              </w:rPr>
              <w:t xml:space="preserve"> proactively to prevent service delays and </w:t>
            </w:r>
            <w:r w:rsidR="15C805F6" w:rsidRPr="00CF64CB">
              <w:rPr>
                <w:szCs w:val="12"/>
              </w:rPr>
              <w:t>ensur</w:t>
            </w:r>
            <w:r w:rsidR="39FAD627" w:rsidRPr="00CF64CB">
              <w:rPr>
                <w:szCs w:val="12"/>
              </w:rPr>
              <w:t>ing</w:t>
            </w:r>
            <w:r w:rsidRPr="00CF64CB">
              <w:rPr>
                <w:szCs w:val="16"/>
              </w:rPr>
              <w:t xml:space="preserve"> timely upgrades of equipment and maintaining the sewerage system to prevent failures and assure safety. </w:t>
            </w:r>
          </w:p>
          <w:p w14:paraId="2CBC3237" w14:textId="77777777" w:rsidR="00441980" w:rsidRPr="00CF64CB" w:rsidRDefault="00441980" w:rsidP="00136016">
            <w:pPr>
              <w:pStyle w:val="Tablebullet"/>
            </w:pPr>
            <w:r w:rsidRPr="00CF64CB">
              <w:t>Customers expected that we mitigate the impacts of climate change and ensure Melbourne remains liveable through our practices.</w:t>
            </w:r>
          </w:p>
          <w:p w14:paraId="4ADF25B9" w14:textId="19EAB1D9" w:rsidR="00441980" w:rsidRPr="00DE108C" w:rsidRDefault="00441980" w:rsidP="00136016">
            <w:pPr>
              <w:pStyle w:val="Tablebullet"/>
            </w:pPr>
            <w:r w:rsidRPr="00CF64CB">
              <w:t xml:space="preserve">Customers believed that collecting biogas as an alternative energy source to reduce reliance on external power networks </w:t>
            </w:r>
            <w:r w:rsidR="00F03EE1" w:rsidRPr="00CF64CB">
              <w:t xml:space="preserve">and improving the use of recycled water </w:t>
            </w:r>
            <w:r w:rsidRPr="00CF64CB">
              <w:t>was a priority.</w:t>
            </w:r>
          </w:p>
        </w:tc>
        <w:tc>
          <w:tcPr>
            <w:tcW w:w="6662" w:type="dxa"/>
            <w:tcBorders>
              <w:top w:val="nil"/>
              <w:bottom w:val="single" w:sz="4" w:space="0" w:color="auto"/>
            </w:tcBorders>
          </w:tcPr>
          <w:p w14:paraId="22BA9A95" w14:textId="77777777" w:rsidR="00441980" w:rsidRPr="00DE108C" w:rsidRDefault="00441980" w:rsidP="00441980">
            <w:pPr>
              <w:pStyle w:val="TableText"/>
              <w:rPr>
                <w:b/>
                <w:bCs/>
              </w:rPr>
            </w:pPr>
            <w:r w:rsidRPr="00DE108C">
              <w:rPr>
                <w:b/>
                <w:bCs/>
              </w:rPr>
              <w:t>What we heard:</w:t>
            </w:r>
          </w:p>
          <w:p w14:paraId="6BC90391" w14:textId="77777777" w:rsidR="00441980" w:rsidRPr="00CF64CB" w:rsidRDefault="00441980" w:rsidP="00136016">
            <w:pPr>
              <w:pStyle w:val="Tablebullet"/>
            </w:pPr>
            <w:r w:rsidRPr="00CF64CB">
              <w:t>Customers told us ensuring reliable services even during extreme events like bushfires, drought and flooding was one of their top priorities.</w:t>
            </w:r>
          </w:p>
          <w:p w14:paraId="199ACFC8" w14:textId="77777777" w:rsidR="00441980" w:rsidRPr="00CF64CB" w:rsidRDefault="00441980" w:rsidP="00136016">
            <w:pPr>
              <w:pStyle w:val="Tablebullet"/>
            </w:pPr>
            <w:r w:rsidRPr="00CF64CB">
              <w:t>Our bulk service customers identified that network reliability was important and that sewerage spills and their effect, impact overall community amenity, making it important to consider collective environmental and social effects.</w:t>
            </w:r>
          </w:p>
          <w:p w14:paraId="6DB6F775" w14:textId="6321FA1B" w:rsidR="00441980" w:rsidRPr="00DE108C" w:rsidRDefault="00441980" w:rsidP="00136016">
            <w:pPr>
              <w:pStyle w:val="Tablebullet"/>
            </w:pPr>
            <w:r w:rsidRPr="00CF64CB">
              <w:t>The community, via our deliberative panel, identified the need to proactively manage pollutants entering the sewer system.</w:t>
            </w:r>
          </w:p>
        </w:tc>
      </w:tr>
      <w:tr w:rsidR="0059333C" w:rsidRPr="00DE108C" w14:paraId="6981EE65" w14:textId="77777777" w:rsidTr="00441980">
        <w:trPr>
          <w:cnfStyle w:val="000000010000" w:firstRow="0" w:lastRow="0" w:firstColumn="0" w:lastColumn="0" w:oddVBand="0" w:evenVBand="0" w:oddHBand="0" w:evenHBand="1" w:firstRowFirstColumn="0" w:firstRowLastColumn="0" w:lastRowFirstColumn="0" w:lastRowLastColumn="0"/>
          <w:trHeight w:val="300"/>
        </w:trPr>
        <w:tc>
          <w:tcPr>
            <w:tcW w:w="7225" w:type="dxa"/>
          </w:tcPr>
          <w:p w14:paraId="64689623" w14:textId="77777777" w:rsidR="00441980" w:rsidRPr="00DE108C" w:rsidRDefault="00441980" w:rsidP="00441980">
            <w:pPr>
              <w:pStyle w:val="TableText"/>
              <w:rPr>
                <w:b/>
                <w:bCs/>
              </w:rPr>
            </w:pPr>
            <w:r w:rsidRPr="00DE108C">
              <w:rPr>
                <w:b/>
                <w:bCs/>
              </w:rPr>
              <w:t>Investments we will make:</w:t>
            </w:r>
          </w:p>
          <w:p w14:paraId="1B54A145" w14:textId="61FC2BD3" w:rsidR="00441980" w:rsidRPr="00CF64CB" w:rsidRDefault="00441980" w:rsidP="00136016">
            <w:pPr>
              <w:pStyle w:val="Tablebullet"/>
            </w:pPr>
            <w:r w:rsidRPr="00CF64CB">
              <w:t>We are investing $964 million in PS26 as part of a long-term program to optimise the capacity and performance of the existing process, as well as upgrading our ag</w:t>
            </w:r>
            <w:r w:rsidR="00ED094E" w:rsidRPr="00CF64CB">
              <w:t>e</w:t>
            </w:r>
            <w:r w:rsidRPr="00CF64CB">
              <w:t xml:space="preserve">ing assets, to meet growth and maintain compliance. Key projects to be delivered across PS26 are: </w:t>
            </w:r>
          </w:p>
          <w:p w14:paraId="18BBA4C4" w14:textId="77777777" w:rsidR="00441980" w:rsidRPr="00DE108C" w:rsidRDefault="00441980" w:rsidP="00136016">
            <w:pPr>
              <w:pStyle w:val="Tablebullet2"/>
            </w:pPr>
            <w:r w:rsidRPr="40AD8E0A">
              <w:t>Primary Sludge Tanks and Grit tanks augmentation ($178 million), Sludge Dewatering Upgrade ($177 million) and Sludge digestion capacity to meet growth occurring in the east.</w:t>
            </w:r>
          </w:p>
          <w:p w14:paraId="0B1DE95F" w14:textId="557DBF7D" w:rsidR="00441980" w:rsidRPr="00DE108C" w:rsidRDefault="00441980" w:rsidP="00136016">
            <w:pPr>
              <w:pStyle w:val="Tablebullet2"/>
            </w:pPr>
            <w:r w:rsidRPr="40AD8E0A">
              <w:t>Increasing our compliance with our regulatory obligations by investing in influent screening and processing upgrades and chlorine renewal risk reduction.</w:t>
            </w:r>
          </w:p>
        </w:tc>
        <w:tc>
          <w:tcPr>
            <w:tcW w:w="7654" w:type="dxa"/>
          </w:tcPr>
          <w:p w14:paraId="1CE1DDF6" w14:textId="77777777" w:rsidR="00441980" w:rsidRPr="00DE108C" w:rsidRDefault="00441980" w:rsidP="00441980">
            <w:pPr>
              <w:pStyle w:val="TableText"/>
              <w:rPr>
                <w:b/>
                <w:bCs/>
              </w:rPr>
            </w:pPr>
            <w:r w:rsidRPr="00DE108C">
              <w:rPr>
                <w:b/>
                <w:bCs/>
              </w:rPr>
              <w:t>Investments we will make:</w:t>
            </w:r>
          </w:p>
          <w:p w14:paraId="200CDC18" w14:textId="2E421493" w:rsidR="00441980" w:rsidRPr="00CF64CB" w:rsidRDefault="00441980" w:rsidP="00136016">
            <w:pPr>
              <w:pStyle w:val="Tablebullet"/>
            </w:pPr>
            <w:r w:rsidRPr="00CF64CB">
              <w:t xml:space="preserve">We are investing in a series of no-regrets decisions to enable realisation of adaptive planning pathways at </w:t>
            </w:r>
            <w:r w:rsidR="5A812386" w:rsidRPr="00CF64CB">
              <w:rPr>
                <w:szCs w:val="20"/>
              </w:rPr>
              <w:t>WTP</w:t>
            </w:r>
            <w:r w:rsidRPr="00CF64CB">
              <w:t xml:space="preserve"> as part of our $912 million investment over PS26. This will ensure the asset will continue to treat waste in a sustainable manner. The key projects to be delivered across PS26 are:</w:t>
            </w:r>
          </w:p>
          <w:p w14:paraId="28644143" w14:textId="77777777" w:rsidR="00441980" w:rsidRPr="00DE108C" w:rsidRDefault="00441980" w:rsidP="00136016">
            <w:pPr>
              <w:pStyle w:val="Tablebullet2"/>
            </w:pPr>
            <w:r w:rsidRPr="40AD8E0A">
              <w:t>Primary treatment capacity augmentation ($114 million) to meet our growing customer base in the west.</w:t>
            </w:r>
          </w:p>
          <w:p w14:paraId="29287830" w14:textId="7440D3BD" w:rsidR="00441980" w:rsidRPr="00DE108C" w:rsidRDefault="00441980" w:rsidP="00136016">
            <w:pPr>
              <w:pStyle w:val="Tablebullet2"/>
            </w:pPr>
            <w:r w:rsidRPr="40AD8E0A">
              <w:t xml:space="preserve">Full preliminary treatment augmentation ($291 million) to ensure continued compliance with our </w:t>
            </w:r>
            <w:r w:rsidR="00E77577" w:rsidRPr="40AD8E0A">
              <w:t xml:space="preserve">EPA Victoria </w:t>
            </w:r>
            <w:r w:rsidRPr="40AD8E0A">
              <w:t xml:space="preserve">licence obligations and that we cause no harm to the environment. </w:t>
            </w:r>
          </w:p>
          <w:p w14:paraId="1097A2E8" w14:textId="31C0AAC8" w:rsidR="00441980" w:rsidRPr="00DE108C" w:rsidRDefault="00441980" w:rsidP="00136016">
            <w:pPr>
              <w:pStyle w:val="Tablebullet2"/>
            </w:pPr>
            <w:r w:rsidRPr="40AD8E0A">
              <w:t xml:space="preserve">Renewing the Gas Plant as part of our pathway to meet net zero obligations. </w:t>
            </w:r>
          </w:p>
        </w:tc>
        <w:tc>
          <w:tcPr>
            <w:tcW w:w="6662" w:type="dxa"/>
            <w:tcBorders>
              <w:top w:val="single" w:sz="4" w:space="0" w:color="auto"/>
              <w:bottom w:val="single" w:sz="4" w:space="0" w:color="auto"/>
            </w:tcBorders>
          </w:tcPr>
          <w:p w14:paraId="2984BE78" w14:textId="77777777" w:rsidR="00441980" w:rsidRPr="00DE108C" w:rsidRDefault="00441980" w:rsidP="00441980">
            <w:pPr>
              <w:pStyle w:val="TableText"/>
              <w:rPr>
                <w:b/>
                <w:bCs/>
              </w:rPr>
            </w:pPr>
            <w:r w:rsidRPr="00DE108C">
              <w:rPr>
                <w:b/>
                <w:bCs/>
              </w:rPr>
              <w:t>Investments we will make:</w:t>
            </w:r>
          </w:p>
          <w:p w14:paraId="648BC135" w14:textId="77777777" w:rsidR="00441980" w:rsidRPr="00CF64CB" w:rsidRDefault="00441980" w:rsidP="00136016">
            <w:pPr>
              <w:pStyle w:val="Tablebullet"/>
            </w:pPr>
            <w:r w:rsidRPr="00CF64CB">
              <w:t>We are investing $741 million in our sewage transfer system over the PS26 period. This will ensure that our critical end of life transfer assets are renewed, meet our growing customer base and ensure we remain compliant. Key projects to be delivered over the PS26 period are:</w:t>
            </w:r>
          </w:p>
          <w:p w14:paraId="607FF042" w14:textId="01064485" w:rsidR="00441980" w:rsidRPr="00DE108C" w:rsidRDefault="00441980" w:rsidP="00136016">
            <w:pPr>
              <w:pStyle w:val="Tablebullet2"/>
            </w:pPr>
            <w:r w:rsidRPr="40AD8E0A">
              <w:t>Renewing part of the Western Trunk Sewer (the Shallow Conduit</w:t>
            </w:r>
            <w:r w:rsidR="00BA31A9">
              <w:t xml:space="preserve">, </w:t>
            </w:r>
            <w:r w:rsidRPr="40AD8E0A">
              <w:t xml:space="preserve">$204 million), a critical asset that transfers all flow to </w:t>
            </w:r>
            <w:r w:rsidR="4F70912F" w:rsidRPr="425138B5">
              <w:t>WTP</w:t>
            </w:r>
            <w:r w:rsidRPr="40AD8E0A">
              <w:t>.</w:t>
            </w:r>
          </w:p>
          <w:p w14:paraId="2731044C" w14:textId="77777777" w:rsidR="00441980" w:rsidRPr="00DE108C" w:rsidRDefault="00441980" w:rsidP="00136016">
            <w:pPr>
              <w:pStyle w:val="Tablebullet2"/>
            </w:pPr>
            <w:r w:rsidRPr="40AD8E0A">
              <w:t>Investing in augmenting key sewerage transfer assets to ensure compliance (such as Hoppers Crossing Pump Station Emergency Power Supply, Ringwood South Branch Augmentation, and Maribyrnong Main Sewer Augmentation).</w:t>
            </w:r>
          </w:p>
          <w:p w14:paraId="24514D1D" w14:textId="1E7E95CD" w:rsidR="00441980" w:rsidRPr="00DE108C" w:rsidRDefault="00441980" w:rsidP="00136016">
            <w:pPr>
              <w:pStyle w:val="Tablebullet"/>
            </w:pPr>
            <w:r w:rsidRPr="00CF64CB">
              <w:t>Preparing for key growth assets, including the Darebin Intercepting Sewer to be delivered during PS31 or earlier if growth requires.</w:t>
            </w:r>
          </w:p>
        </w:tc>
      </w:tr>
      <w:tr w:rsidR="00441980" w:rsidRPr="00DE108C" w14:paraId="0C708AD5" w14:textId="77777777" w:rsidTr="00441980">
        <w:trPr>
          <w:trHeight w:val="300"/>
        </w:trPr>
        <w:tc>
          <w:tcPr>
            <w:tcW w:w="7225" w:type="dxa"/>
          </w:tcPr>
          <w:p w14:paraId="38A37F92" w14:textId="77777777" w:rsidR="00441980" w:rsidRPr="00DE108C" w:rsidRDefault="00441980" w:rsidP="00EF4115">
            <w:pPr>
              <w:pStyle w:val="TableText"/>
              <w:rPr>
                <w:b/>
                <w:bCs/>
              </w:rPr>
            </w:pPr>
            <w:r w:rsidRPr="00DE108C">
              <w:rPr>
                <w:b/>
                <w:bCs/>
              </w:rPr>
              <w:t>Actions and commitments we will make:</w:t>
            </w:r>
          </w:p>
          <w:p w14:paraId="7361C693" w14:textId="7420F1AA" w:rsidR="00441980" w:rsidRPr="00CF64CB" w:rsidRDefault="00441980" w:rsidP="00136016">
            <w:pPr>
              <w:pStyle w:val="Tablebullet"/>
            </w:pPr>
            <w:r w:rsidRPr="00CF64CB">
              <w:t xml:space="preserve">We will collaboratively plan with our bulk customers for the next upgrades at </w:t>
            </w:r>
            <w:r w:rsidR="6B8735A2" w:rsidRPr="00CF64CB">
              <w:rPr>
                <w:szCs w:val="20"/>
              </w:rPr>
              <w:t>ETP</w:t>
            </w:r>
            <w:r w:rsidRPr="00CF64CB">
              <w:t xml:space="preserve"> to meet growth and the needs of our community, including the role and the quality of recycled water the plant produces. </w:t>
            </w:r>
          </w:p>
          <w:p w14:paraId="090BDAA2" w14:textId="77777777" w:rsidR="00441980" w:rsidRPr="00DE108C" w:rsidRDefault="00441980" w:rsidP="00EF4115">
            <w:pPr>
              <w:pStyle w:val="TableText"/>
            </w:pPr>
          </w:p>
        </w:tc>
        <w:tc>
          <w:tcPr>
            <w:tcW w:w="7654" w:type="dxa"/>
          </w:tcPr>
          <w:p w14:paraId="772EC9CD" w14:textId="77777777" w:rsidR="00441980" w:rsidRPr="00DE108C" w:rsidRDefault="00441980" w:rsidP="00EF4115">
            <w:pPr>
              <w:pStyle w:val="TableText"/>
              <w:rPr>
                <w:b/>
                <w:bCs/>
              </w:rPr>
            </w:pPr>
            <w:r w:rsidRPr="00DE108C">
              <w:rPr>
                <w:b/>
                <w:bCs/>
              </w:rPr>
              <w:t>Actions and commitments we will make:</w:t>
            </w:r>
          </w:p>
          <w:p w14:paraId="5900C085" w14:textId="18017BD0" w:rsidR="00441980" w:rsidRPr="00CF64CB" w:rsidRDefault="00441980" w:rsidP="00136016">
            <w:pPr>
              <w:pStyle w:val="Tablebullet"/>
            </w:pPr>
            <w:r w:rsidRPr="00CF64CB">
              <w:t xml:space="preserve">We will work with local communities to manage odour when we deliver capital works at </w:t>
            </w:r>
            <w:r w:rsidR="04A0D2F5" w:rsidRPr="00CF64CB">
              <w:rPr>
                <w:szCs w:val="20"/>
              </w:rPr>
              <w:t>WTP</w:t>
            </w:r>
            <w:r w:rsidRPr="00CF64CB">
              <w:t xml:space="preserve"> and develop a long-term plan to reduce odour. </w:t>
            </w:r>
          </w:p>
          <w:p w14:paraId="0CE6A2AF" w14:textId="77777777" w:rsidR="00441980" w:rsidRPr="00CF64CB" w:rsidRDefault="00441980" w:rsidP="00136016">
            <w:pPr>
              <w:pStyle w:val="Tablebullet"/>
              <w:rPr>
                <w:szCs w:val="20"/>
              </w:rPr>
            </w:pPr>
            <w:r w:rsidRPr="00CF64CB">
              <w:rPr>
                <w:szCs w:val="20"/>
              </w:rPr>
              <w:t xml:space="preserve">We will work closely with our recycled water partners on the investment required to meet expectations in a cost-effective manner. </w:t>
            </w:r>
          </w:p>
          <w:p w14:paraId="06FBCA6D" w14:textId="171263FD" w:rsidR="00441980" w:rsidRPr="00DE108C" w:rsidRDefault="00441980" w:rsidP="00136016">
            <w:pPr>
              <w:pStyle w:val="Tablebullet"/>
            </w:pPr>
            <w:r w:rsidRPr="00CF64CB">
              <w:rPr>
                <w:rFonts w:eastAsia="Verdana"/>
              </w:rPr>
              <w:t xml:space="preserve">We </w:t>
            </w:r>
            <w:r w:rsidRPr="00CF64CB">
              <w:t>will</w:t>
            </w:r>
            <w:r w:rsidRPr="00CF64CB">
              <w:rPr>
                <w:rFonts w:eastAsia="Verdana"/>
              </w:rPr>
              <w:t xml:space="preserve"> collaboratively plan with our bulk customers for the next upgrades at</w:t>
            </w:r>
            <w:r w:rsidR="00CF64CB" w:rsidRPr="425138B5">
              <w:rPr>
                <w:rFonts w:eastAsia="Verdana"/>
              </w:rPr>
              <w:t xml:space="preserve"> </w:t>
            </w:r>
            <w:r w:rsidR="4A1325D5" w:rsidRPr="00CF64CB">
              <w:rPr>
                <w:rFonts w:eastAsia="Verdana"/>
              </w:rPr>
              <w:t xml:space="preserve">WTP </w:t>
            </w:r>
            <w:r w:rsidRPr="00CF64CB">
              <w:rPr>
                <w:rFonts w:eastAsia="Verdana"/>
              </w:rPr>
              <w:t>to meet growth and the needs of our community.</w:t>
            </w:r>
          </w:p>
        </w:tc>
        <w:tc>
          <w:tcPr>
            <w:tcW w:w="6662" w:type="dxa"/>
            <w:tcBorders>
              <w:top w:val="single" w:sz="4" w:space="0" w:color="auto"/>
              <w:bottom w:val="single" w:sz="4" w:space="0" w:color="auto"/>
            </w:tcBorders>
          </w:tcPr>
          <w:p w14:paraId="7945AA2B" w14:textId="77777777" w:rsidR="00441980" w:rsidRPr="00DE108C" w:rsidRDefault="00441980" w:rsidP="00EF4115">
            <w:pPr>
              <w:pStyle w:val="TableText"/>
              <w:rPr>
                <w:b/>
                <w:bCs/>
              </w:rPr>
            </w:pPr>
            <w:r w:rsidRPr="00DE108C">
              <w:rPr>
                <w:b/>
                <w:bCs/>
              </w:rPr>
              <w:t>Actions and commitments we will make:</w:t>
            </w:r>
          </w:p>
          <w:p w14:paraId="009E2584" w14:textId="21315EB6" w:rsidR="00441980" w:rsidRPr="00CF64CB" w:rsidRDefault="00441980" w:rsidP="00136016">
            <w:pPr>
              <w:pStyle w:val="Tablebullet"/>
            </w:pPr>
            <w:r w:rsidRPr="00CF64CB">
              <w:t xml:space="preserve">We will work collaboratively with </w:t>
            </w:r>
            <w:r w:rsidR="007A54D8">
              <w:t>water corporations</w:t>
            </w:r>
            <w:r w:rsidRPr="00CF64CB">
              <w:t xml:space="preserve"> to prepare long-term adaptive plans to solve whole of system and transfer capacity constraints to deliver the lowest community cost outcome to customers over the long term. </w:t>
            </w:r>
          </w:p>
          <w:p w14:paraId="04916994" w14:textId="4E11F006" w:rsidR="00441980" w:rsidRPr="00DE108C" w:rsidRDefault="00441980" w:rsidP="00136016">
            <w:pPr>
              <w:pStyle w:val="Tablebullet"/>
            </w:pPr>
            <w:r w:rsidRPr="00CF64CB">
              <w:t>We will work with our bulk sewerage customers to develop sewer network collaborative plans.</w:t>
            </w:r>
          </w:p>
        </w:tc>
      </w:tr>
      <w:tr w:rsidR="0059333C" w:rsidRPr="00DE108C" w14:paraId="1C0417CA" w14:textId="77777777" w:rsidTr="00441980">
        <w:trPr>
          <w:cnfStyle w:val="000000010000" w:firstRow="0" w:lastRow="0" w:firstColumn="0" w:lastColumn="0" w:oddVBand="0" w:evenVBand="0" w:oddHBand="0" w:evenHBand="1" w:firstRowFirstColumn="0" w:firstRowLastColumn="0" w:lastRowFirstColumn="0" w:lastRowLastColumn="0"/>
          <w:trHeight w:val="300"/>
        </w:trPr>
        <w:tc>
          <w:tcPr>
            <w:tcW w:w="7225" w:type="dxa"/>
          </w:tcPr>
          <w:p w14:paraId="548ACF8A" w14:textId="77777777" w:rsidR="00441980" w:rsidRPr="00DE108C" w:rsidRDefault="00441980" w:rsidP="00EF4115">
            <w:pPr>
              <w:pStyle w:val="TableText"/>
              <w:rPr>
                <w:b/>
                <w:bCs/>
              </w:rPr>
            </w:pPr>
            <w:r w:rsidRPr="00DE108C">
              <w:rPr>
                <w:b/>
                <w:bCs/>
              </w:rPr>
              <w:lastRenderedPageBreak/>
              <w:t>How we will keep ourselves accountable (measures):</w:t>
            </w:r>
          </w:p>
          <w:p w14:paraId="6C48C9E1" w14:textId="49601C8C" w:rsidR="00441980" w:rsidRPr="00CF64CB" w:rsidRDefault="00441980" w:rsidP="00136016">
            <w:pPr>
              <w:pStyle w:val="Tablebullet"/>
            </w:pPr>
            <w:r w:rsidRPr="00CF64CB">
              <w:t xml:space="preserve">Non-compliances with our </w:t>
            </w:r>
            <w:r w:rsidR="15C805F6" w:rsidRPr="00CF64CB">
              <w:t>E</w:t>
            </w:r>
            <w:r w:rsidR="64DBBA1E" w:rsidRPr="00CF64CB">
              <w:t xml:space="preserve">nvironment </w:t>
            </w:r>
            <w:r w:rsidR="15C805F6" w:rsidRPr="00CF64CB">
              <w:t>P</w:t>
            </w:r>
            <w:r w:rsidR="7B718C56" w:rsidRPr="00CF64CB">
              <w:t xml:space="preserve">rotection </w:t>
            </w:r>
            <w:r w:rsidR="15C805F6" w:rsidRPr="00CF64CB">
              <w:t>A</w:t>
            </w:r>
            <w:r w:rsidR="5A66CE1D" w:rsidRPr="00CF64CB">
              <w:t>gency</w:t>
            </w:r>
            <w:r w:rsidR="15C805F6" w:rsidRPr="00CF64CB">
              <w:t xml:space="preserve"> Victoria </w:t>
            </w:r>
            <w:r w:rsidR="4E69B0C3" w:rsidRPr="00CF64CB">
              <w:t>(</w:t>
            </w:r>
            <w:r w:rsidRPr="00CF64CB">
              <w:t>EPA Victoria</w:t>
            </w:r>
            <w:r w:rsidR="4E69B0C3" w:rsidRPr="00CF64CB">
              <w:t>)</w:t>
            </w:r>
            <w:r w:rsidRPr="00CF64CB">
              <w:t xml:space="preserve"> licence conditions for all effluent discharge limits at </w:t>
            </w:r>
            <w:r w:rsidR="56B183C8" w:rsidRPr="00CF64CB">
              <w:rPr>
                <w:szCs w:val="20"/>
              </w:rPr>
              <w:t>ETP</w:t>
            </w:r>
            <w:r w:rsidRPr="00CF64CB">
              <w:t>.</w:t>
            </w:r>
          </w:p>
          <w:p w14:paraId="3F75BA65" w14:textId="72BDB12B" w:rsidR="00441980" w:rsidRPr="00DE108C" w:rsidRDefault="00441980" w:rsidP="00136016">
            <w:pPr>
              <w:pStyle w:val="Tablebullet"/>
            </w:pPr>
            <w:r w:rsidRPr="00CF64CB">
              <w:t>Net amount of greenhouse gas emissions (CO</w:t>
            </w:r>
            <w:r w:rsidRPr="00CF64CB">
              <w:rPr>
                <w:vertAlign w:val="subscript"/>
              </w:rPr>
              <w:t>2</w:t>
            </w:r>
            <w:r w:rsidRPr="00CF64CB">
              <w:t>-e) (all our services).</w:t>
            </w:r>
          </w:p>
        </w:tc>
        <w:tc>
          <w:tcPr>
            <w:tcW w:w="7654" w:type="dxa"/>
          </w:tcPr>
          <w:p w14:paraId="1D3BA2B0" w14:textId="77777777" w:rsidR="00441980" w:rsidRPr="00DE108C" w:rsidRDefault="00441980" w:rsidP="00EF4115">
            <w:pPr>
              <w:pStyle w:val="TableText"/>
              <w:rPr>
                <w:b/>
                <w:bCs/>
              </w:rPr>
            </w:pPr>
            <w:r w:rsidRPr="00DE108C">
              <w:rPr>
                <w:b/>
                <w:bCs/>
              </w:rPr>
              <w:t>How we will keep ourselves accountable (measures):</w:t>
            </w:r>
          </w:p>
          <w:p w14:paraId="13DCF74F" w14:textId="7EB6E64F" w:rsidR="00441980" w:rsidRPr="00CF64CB" w:rsidRDefault="00441980" w:rsidP="00136016">
            <w:pPr>
              <w:pStyle w:val="Tablebullet"/>
            </w:pPr>
            <w:r w:rsidRPr="00CF64CB">
              <w:t xml:space="preserve">Non-compliances with our EPA Victoria licence conditions for all effluent discharge limits at </w:t>
            </w:r>
            <w:r w:rsidR="429B4396" w:rsidRPr="00CF64CB">
              <w:rPr>
                <w:szCs w:val="20"/>
              </w:rPr>
              <w:t>WTP</w:t>
            </w:r>
            <w:r w:rsidRPr="00CF64CB">
              <w:t xml:space="preserve">. </w:t>
            </w:r>
          </w:p>
          <w:p w14:paraId="1F083C1C" w14:textId="0209FB88" w:rsidR="00441980" w:rsidRPr="00DE108C" w:rsidRDefault="00441980" w:rsidP="00136016">
            <w:pPr>
              <w:pStyle w:val="Tablebullet"/>
            </w:pPr>
            <w:r w:rsidRPr="00CF64CB">
              <w:t>Net amount of greenhouse gas emissions (CO</w:t>
            </w:r>
            <w:r w:rsidRPr="00CF64CB">
              <w:rPr>
                <w:vertAlign w:val="subscript"/>
              </w:rPr>
              <w:t>2</w:t>
            </w:r>
            <w:r w:rsidRPr="00CF64CB">
              <w:t>-e) (all our services).</w:t>
            </w:r>
          </w:p>
        </w:tc>
        <w:tc>
          <w:tcPr>
            <w:tcW w:w="6662" w:type="dxa"/>
            <w:tcBorders>
              <w:top w:val="single" w:sz="4" w:space="0" w:color="auto"/>
              <w:bottom w:val="single" w:sz="4" w:space="0" w:color="auto"/>
            </w:tcBorders>
          </w:tcPr>
          <w:p w14:paraId="2132036E" w14:textId="77777777" w:rsidR="00441980" w:rsidRPr="00DE108C" w:rsidRDefault="00441980" w:rsidP="00EF4115">
            <w:pPr>
              <w:pStyle w:val="TableText"/>
              <w:rPr>
                <w:b/>
                <w:bCs/>
              </w:rPr>
            </w:pPr>
            <w:r w:rsidRPr="00DE108C">
              <w:rPr>
                <w:b/>
                <w:bCs/>
              </w:rPr>
              <w:t>How we will keep ourselves accountable (measures):</w:t>
            </w:r>
          </w:p>
          <w:p w14:paraId="19F6D0AC" w14:textId="16BA4B76" w:rsidR="00441980" w:rsidRPr="00DE108C" w:rsidRDefault="00441980" w:rsidP="00136016">
            <w:pPr>
              <w:pStyle w:val="Tablebullet"/>
            </w:pPr>
            <w:r w:rsidRPr="00CF64CB">
              <w:t>Number and volume of sewer spills across our transfer network due to system failure.</w:t>
            </w:r>
          </w:p>
        </w:tc>
      </w:tr>
    </w:tbl>
    <w:p w14:paraId="64116C22" w14:textId="77777777" w:rsidR="00767B75" w:rsidRPr="00DE108C" w:rsidRDefault="00767B75"/>
    <w:p w14:paraId="11F2E8C2" w14:textId="77777777" w:rsidR="00EF4115" w:rsidRPr="00DE108C" w:rsidRDefault="00EF4115">
      <w:pPr>
        <w:spacing w:before="0" w:after="0" w:line="320" w:lineRule="atLeast"/>
        <w:rPr>
          <w:rFonts w:asciiTheme="majorHAnsi" w:eastAsiaTheme="majorEastAsia" w:hAnsiTheme="majorHAnsi" w:cstheme="majorBidi"/>
          <w:b/>
          <w:bCs/>
          <w:sz w:val="24"/>
        </w:rPr>
      </w:pPr>
      <w:r w:rsidRPr="00DE108C">
        <w:br w:type="page"/>
      </w:r>
    </w:p>
    <w:p w14:paraId="0B6E46B2" w14:textId="77777777" w:rsidR="00767B75" w:rsidRPr="00DE108C" w:rsidRDefault="00767B75">
      <w:pPr>
        <w:pStyle w:val="Heading3"/>
      </w:pPr>
      <w:r w:rsidRPr="00DE108C">
        <w:lastRenderedPageBreak/>
        <w:t>4.2.3 Outcome 3 - Healthy, resilient waterways</w:t>
      </w:r>
    </w:p>
    <w:p w14:paraId="209AD52F" w14:textId="568C21A3" w:rsidR="00767B75" w:rsidRPr="00DE108C" w:rsidRDefault="00767B75" w:rsidP="00BC2765">
      <w:pPr>
        <w:pStyle w:val="Caption"/>
      </w:pPr>
      <w:bookmarkStart w:id="319" w:name="_Toc207893005"/>
      <w:bookmarkStart w:id="320" w:name="_Toc208490529"/>
      <w:bookmarkStart w:id="321" w:name="_Toc208490867"/>
      <w:bookmarkStart w:id="322" w:name="_Toc208911025"/>
      <w:bookmarkStart w:id="323" w:name="_Toc210051331"/>
      <w:r w:rsidRPr="00DE108C">
        <w:t xml:space="preserve">Table 4.3 Outcome 3 </w:t>
      </w:r>
      <w:r w:rsidR="00BB18FC">
        <w:t xml:space="preserve">- </w:t>
      </w:r>
      <w:r w:rsidRPr="00DE108C">
        <w:t>Healthy, resilient waterways</w:t>
      </w:r>
      <w:bookmarkEnd w:id="319"/>
      <w:bookmarkEnd w:id="320"/>
      <w:bookmarkEnd w:id="321"/>
      <w:bookmarkEnd w:id="322"/>
      <w:bookmarkEnd w:id="323"/>
    </w:p>
    <w:tbl>
      <w:tblPr>
        <w:tblStyle w:val="TableGrid"/>
        <w:tblW w:w="0" w:type="auto"/>
        <w:tblLook w:val="04A0" w:firstRow="1" w:lastRow="0" w:firstColumn="1" w:lastColumn="0" w:noHBand="0" w:noVBand="1"/>
      </w:tblPr>
      <w:tblGrid>
        <w:gridCol w:w="1837"/>
        <w:gridCol w:w="19421"/>
      </w:tblGrid>
      <w:tr w:rsidR="00A5757A" w:rsidRPr="00DE108C" w14:paraId="37F0D570" w14:textId="77777777" w:rsidTr="006A0F06">
        <w:trPr>
          <w:cnfStyle w:val="100000000000" w:firstRow="1" w:lastRow="0" w:firstColumn="0" w:lastColumn="0" w:oddVBand="0" w:evenVBand="0" w:oddHBand="0" w:evenHBand="0" w:firstRowFirstColumn="0" w:firstRowLastColumn="0" w:lastRowFirstColumn="0" w:lastRowLastColumn="0"/>
        </w:trPr>
        <w:tc>
          <w:tcPr>
            <w:tcW w:w="1837" w:type="dxa"/>
          </w:tcPr>
          <w:p w14:paraId="6EF14097" w14:textId="77777777" w:rsidR="00767B75" w:rsidRPr="00DE108C" w:rsidRDefault="00767B75" w:rsidP="00EF4115">
            <w:pPr>
              <w:pStyle w:val="TableHeading"/>
            </w:pPr>
            <w:r w:rsidRPr="00DE108C">
              <w:t>OUTCOME 3</w:t>
            </w:r>
          </w:p>
        </w:tc>
        <w:tc>
          <w:tcPr>
            <w:tcW w:w="19421" w:type="dxa"/>
          </w:tcPr>
          <w:p w14:paraId="3847DCDD" w14:textId="77777777" w:rsidR="00767B75" w:rsidRPr="00DE108C" w:rsidRDefault="00767B75" w:rsidP="00EF4115">
            <w:pPr>
              <w:pStyle w:val="TableHeading"/>
              <w:rPr>
                <w:bCs/>
              </w:rPr>
            </w:pPr>
            <w:r w:rsidRPr="00DE108C">
              <w:rPr>
                <w:bCs/>
              </w:rPr>
              <w:t>Healthy, resilient waterways</w:t>
            </w:r>
          </w:p>
        </w:tc>
      </w:tr>
      <w:tr w:rsidR="00767B75" w:rsidRPr="00DE108C" w14:paraId="4E5B7B5A" w14:textId="77777777" w:rsidTr="006A0F06">
        <w:tc>
          <w:tcPr>
            <w:tcW w:w="1837" w:type="dxa"/>
          </w:tcPr>
          <w:p w14:paraId="2D390AA5" w14:textId="77777777" w:rsidR="00767B75" w:rsidRPr="00DE108C" w:rsidRDefault="00767B75" w:rsidP="00EF4115">
            <w:pPr>
              <w:pStyle w:val="TableText"/>
            </w:pPr>
            <w:r w:rsidRPr="00DE108C">
              <w:t>What this means for our customers</w:t>
            </w:r>
          </w:p>
        </w:tc>
        <w:tc>
          <w:tcPr>
            <w:tcW w:w="19421" w:type="dxa"/>
          </w:tcPr>
          <w:p w14:paraId="005A376F" w14:textId="0F912D60" w:rsidR="00767B75" w:rsidRPr="00DE108C" w:rsidRDefault="00767B75" w:rsidP="00EF4115">
            <w:pPr>
              <w:pStyle w:val="TableText"/>
            </w:pPr>
            <w:r w:rsidRPr="00DE108C">
              <w:t xml:space="preserve">We are the custodian of </w:t>
            </w:r>
            <w:r w:rsidR="748440CD">
              <w:t>G</w:t>
            </w:r>
            <w:r w:rsidR="713E6C5A">
              <w:t>reater</w:t>
            </w:r>
            <w:r w:rsidRPr="00DE108C">
              <w:t xml:space="preserve"> Melbourne’s waterways, managing a complex network of interconnected and interdependent rivers, wetlands and estuaries, which collectively gather rainwater, stormwater and groundwater from the landscape (the catchments), ultimately carrying this water to the bays and ocean. We want to ensure that our waterways remain healthy and resilient to change, including the impacts of urbanisation and climate change. This means:</w:t>
            </w:r>
          </w:p>
          <w:p w14:paraId="200D487C" w14:textId="77777777" w:rsidR="00767B75" w:rsidRPr="00DE108C" w:rsidRDefault="00767B75" w:rsidP="00C966ED">
            <w:pPr>
              <w:pStyle w:val="Tablebullet"/>
              <w:rPr>
                <w:szCs w:val="20"/>
              </w:rPr>
            </w:pPr>
            <w:r w:rsidRPr="00DE108C">
              <w:t xml:space="preserve">We </w:t>
            </w:r>
            <w:r w:rsidRPr="00DE108C">
              <w:rPr>
                <w:b/>
                <w:bCs/>
                <w:szCs w:val="20"/>
              </w:rPr>
              <w:t>protect and enhance land along our waterways so that people and nature can thrive</w:t>
            </w:r>
            <w:r w:rsidRPr="00DE108C">
              <w:rPr>
                <w:szCs w:val="20"/>
              </w:rPr>
              <w:t>. This includes managing vegetation along our rivers, wetlands and estuaries so that biodiversity can thrive.</w:t>
            </w:r>
          </w:p>
          <w:p w14:paraId="38A28880" w14:textId="22C88570" w:rsidR="00767B75" w:rsidRPr="00DE108C" w:rsidRDefault="00767B75" w:rsidP="00C966ED">
            <w:pPr>
              <w:pStyle w:val="Tablebullet"/>
            </w:pPr>
            <w:r w:rsidRPr="00DE108C">
              <w:t xml:space="preserve">We maintain healthy waterways by </w:t>
            </w:r>
            <w:r w:rsidRPr="00DE108C">
              <w:rPr>
                <w:b/>
              </w:rPr>
              <w:t>sustainably managing water quality and availability</w:t>
            </w:r>
            <w:r w:rsidRPr="00DE108C">
              <w:t xml:space="preserve"> for environmental flows and reduce and prevent pollution and </w:t>
            </w:r>
            <w:r w:rsidR="00C356BF">
              <w:rPr>
                <w:szCs w:val="20"/>
              </w:rPr>
              <w:t>litter</w:t>
            </w:r>
            <w:r w:rsidR="00C356BF" w:rsidRPr="00DE108C">
              <w:t xml:space="preserve"> </w:t>
            </w:r>
            <w:r w:rsidRPr="00DE108C">
              <w:t>in our waterways.</w:t>
            </w:r>
          </w:p>
        </w:tc>
      </w:tr>
    </w:tbl>
    <w:tbl>
      <w:tblPr>
        <w:tblStyle w:val="TableGrid"/>
        <w:tblW w:w="21258" w:type="dxa"/>
        <w:tblLayout w:type="fixed"/>
        <w:tblLook w:val="04A0" w:firstRow="1" w:lastRow="0" w:firstColumn="1" w:lastColumn="0" w:noHBand="0" w:noVBand="1"/>
      </w:tblPr>
      <w:tblGrid>
        <w:gridCol w:w="11052"/>
        <w:gridCol w:w="10206"/>
      </w:tblGrid>
      <w:tr w:rsidR="00A5757A" w:rsidRPr="00DE108C" w14:paraId="0FE9B1F9" w14:textId="77777777" w:rsidTr="001C5C67">
        <w:trPr>
          <w:cnfStyle w:val="100000000000" w:firstRow="1" w:lastRow="0" w:firstColumn="0" w:lastColumn="0" w:oddVBand="0" w:evenVBand="0" w:oddHBand="0" w:evenHBand="0" w:firstRowFirstColumn="0" w:firstRowLastColumn="0" w:lastRowFirstColumn="0" w:lastRowLastColumn="0"/>
          <w:tblHeader/>
        </w:trPr>
        <w:tc>
          <w:tcPr>
            <w:tcW w:w="11052" w:type="dxa"/>
          </w:tcPr>
          <w:p w14:paraId="26981845" w14:textId="77777777" w:rsidR="00441980" w:rsidRPr="00DE108C" w:rsidRDefault="00441980" w:rsidP="00EF4115">
            <w:pPr>
              <w:pStyle w:val="TableHeading"/>
            </w:pPr>
            <w:r w:rsidRPr="00DE108C">
              <w:t>Protecting and enhancing nature along our waterways and land so nature can thrive</w:t>
            </w:r>
          </w:p>
        </w:tc>
        <w:tc>
          <w:tcPr>
            <w:tcW w:w="10206" w:type="dxa"/>
          </w:tcPr>
          <w:p w14:paraId="5E41731B" w14:textId="77777777" w:rsidR="00441980" w:rsidRPr="00DE108C" w:rsidRDefault="00441980" w:rsidP="00EF4115">
            <w:pPr>
              <w:pStyle w:val="TableHeading"/>
            </w:pPr>
            <w:r w:rsidRPr="00DE108C">
              <w:t>Sustainably managing water quality and availability</w:t>
            </w:r>
          </w:p>
        </w:tc>
      </w:tr>
      <w:tr w:rsidR="00441980" w:rsidRPr="00DE108C" w14:paraId="0C46C690" w14:textId="77777777" w:rsidTr="001C5C67">
        <w:trPr>
          <w:trHeight w:val="300"/>
        </w:trPr>
        <w:tc>
          <w:tcPr>
            <w:tcW w:w="11052" w:type="dxa"/>
          </w:tcPr>
          <w:p w14:paraId="135D44CC" w14:textId="77777777" w:rsidR="00441980" w:rsidRPr="00DE108C" w:rsidRDefault="00441980" w:rsidP="00EF4115">
            <w:pPr>
              <w:pStyle w:val="TableText"/>
              <w:rPr>
                <w:b/>
                <w:bCs/>
              </w:rPr>
            </w:pPr>
            <w:r w:rsidRPr="00DE108C">
              <w:rPr>
                <w:b/>
                <w:bCs/>
              </w:rPr>
              <w:t>What we heard:</w:t>
            </w:r>
          </w:p>
          <w:p w14:paraId="7C250772" w14:textId="77777777" w:rsidR="00441980" w:rsidRPr="005A5B97" w:rsidRDefault="00441980" w:rsidP="00C966ED">
            <w:pPr>
              <w:pStyle w:val="Tablebullet"/>
            </w:pPr>
            <w:r w:rsidRPr="005A5B97">
              <w:t>In our waterways and drainage customer forum, protecting wildlife and biodiversity so that flora and fauna can flourish, was the top priority among the nine priorities tested.</w:t>
            </w:r>
          </w:p>
          <w:p w14:paraId="339B893D" w14:textId="77777777" w:rsidR="00441980" w:rsidRPr="005A5B97" w:rsidRDefault="00441980" w:rsidP="00C966ED">
            <w:pPr>
              <w:pStyle w:val="Tablebullet"/>
            </w:pPr>
            <w:r w:rsidRPr="005A5B97">
              <w:t>Customers told us they expected us to maintain a healthy environment for current and future generations, protect and expand green areas, such as catchments along waterways, preserve and protect natural biodiversity and wildlife habitats.</w:t>
            </w:r>
          </w:p>
          <w:p w14:paraId="70ECC77E" w14:textId="77777777" w:rsidR="00441980" w:rsidRPr="005A5B97" w:rsidRDefault="00441980" w:rsidP="00C966ED">
            <w:pPr>
              <w:pStyle w:val="Tablebullet"/>
            </w:pPr>
            <w:r w:rsidRPr="005A5B97">
              <w:t xml:space="preserve">Customers were willing to pay more than the bill impact to establish significantly more vegetation and weed removal along our rivers and creeks through direct investment and through partnerships with other water corporations and local government. </w:t>
            </w:r>
          </w:p>
          <w:p w14:paraId="46AE20EA" w14:textId="77777777" w:rsidR="00441980" w:rsidRPr="005A5B97" w:rsidRDefault="00441980" w:rsidP="00C966ED">
            <w:pPr>
              <w:pStyle w:val="Tablebullet"/>
            </w:pPr>
            <w:r w:rsidRPr="005A5B97">
              <w:t xml:space="preserve">Customers demonstrated strong support for litter management, fostering community participation in cleanup efforts. When combined with vegetation and maintenance, they were willing to pay more than the bill impact for additional catchment scale litter collaboration. </w:t>
            </w:r>
          </w:p>
          <w:p w14:paraId="21317977" w14:textId="77777777" w:rsidR="00441980" w:rsidRPr="00DE108C" w:rsidRDefault="00441980" w:rsidP="00C966ED">
            <w:pPr>
              <w:pStyle w:val="Tablebullet"/>
            </w:pPr>
            <w:r w:rsidRPr="005A5B97">
              <w:t>Our community panel highlighted the need for us to involve First Nations communities in preserving waterways and providing incentives for businesses to adopt environmentally friendly practices.</w:t>
            </w:r>
          </w:p>
        </w:tc>
        <w:tc>
          <w:tcPr>
            <w:tcW w:w="10206" w:type="dxa"/>
          </w:tcPr>
          <w:p w14:paraId="5E53CF9E" w14:textId="77777777" w:rsidR="00441980" w:rsidRPr="00DE108C" w:rsidRDefault="00441980" w:rsidP="00EF4115">
            <w:pPr>
              <w:pStyle w:val="TableText"/>
              <w:rPr>
                <w:b/>
                <w:bCs/>
              </w:rPr>
            </w:pPr>
            <w:r w:rsidRPr="00DE108C">
              <w:rPr>
                <w:b/>
                <w:bCs/>
              </w:rPr>
              <w:t>What we heard:</w:t>
            </w:r>
          </w:p>
          <w:p w14:paraId="5050CACC" w14:textId="77777777" w:rsidR="00441980" w:rsidRPr="005A5B97" w:rsidRDefault="00441980" w:rsidP="00C966ED">
            <w:pPr>
              <w:pStyle w:val="Tablebullet"/>
            </w:pPr>
            <w:r w:rsidRPr="005A5B97">
              <w:t xml:space="preserve">Customers across different segments ranked maintaining healthy waterways into the future as a top priority. </w:t>
            </w:r>
          </w:p>
          <w:p w14:paraId="4680E241" w14:textId="77777777" w:rsidR="00441980" w:rsidRPr="005A5B97" w:rsidRDefault="00441980" w:rsidP="00C966ED">
            <w:pPr>
              <w:pStyle w:val="Tablebullet"/>
            </w:pPr>
            <w:r w:rsidRPr="005A5B97">
              <w:t>Customers also expected us to maintain healthy waterways for cultural and social wellbeing, providing spaces for recreation and connection with nature.</w:t>
            </w:r>
          </w:p>
          <w:p w14:paraId="5974B1E7" w14:textId="77777777" w:rsidR="00441980" w:rsidRPr="005A5B97" w:rsidRDefault="00441980" w:rsidP="00C966ED">
            <w:pPr>
              <w:pStyle w:val="Tablebullet"/>
            </w:pPr>
            <w:r w:rsidRPr="005A5B97">
              <w:t>Customers told us across the engagement program that local community participation in waterway health activities, increased investment in education about waterway conservation and pollution prevention was a key solution to healthy and resilient waterways.</w:t>
            </w:r>
          </w:p>
          <w:p w14:paraId="6CD9C009" w14:textId="63F4D665" w:rsidR="00441980" w:rsidRPr="005A5B97" w:rsidRDefault="00441980" w:rsidP="00C966ED">
            <w:pPr>
              <w:pStyle w:val="Tablebullet"/>
              <w:rPr>
                <w:szCs w:val="16"/>
              </w:rPr>
            </w:pPr>
            <w:r w:rsidRPr="005A5B97">
              <w:rPr>
                <w:szCs w:val="16"/>
              </w:rPr>
              <w:t xml:space="preserve">Our waterways and drainage community panel were supportive of increasing initiatives with partnerships and direct investments </w:t>
            </w:r>
            <w:r w:rsidR="5DCDEDC7" w:rsidRPr="005A5B97">
              <w:rPr>
                <w:szCs w:val="12"/>
              </w:rPr>
              <w:t>in</w:t>
            </w:r>
            <w:r w:rsidRPr="005A5B97">
              <w:rPr>
                <w:szCs w:val="16"/>
              </w:rPr>
              <w:t xml:space="preserve"> stormwater harvesting and infiltration.</w:t>
            </w:r>
          </w:p>
          <w:p w14:paraId="78A9004B" w14:textId="77777777" w:rsidR="00441980" w:rsidRPr="005A5B97" w:rsidRDefault="00441980" w:rsidP="00C966ED">
            <w:pPr>
              <w:pStyle w:val="Tablebullet"/>
            </w:pPr>
            <w:r w:rsidRPr="005A5B97">
              <w:t>Our bulk service customers told us that the benefits of using manufactured water for environmental flows should be recognised in its role in healthy and resilient waterways.</w:t>
            </w:r>
          </w:p>
          <w:p w14:paraId="067D3429" w14:textId="77777777" w:rsidR="00441980" w:rsidRPr="00DE108C" w:rsidRDefault="00441980" w:rsidP="00C966ED">
            <w:pPr>
              <w:pStyle w:val="Tablebullet"/>
            </w:pPr>
            <w:r w:rsidRPr="005A5B97">
              <w:t>Customers were willing to pay for additional manufactured water to return 11 GL of water to the Yarra River for environmental benefit. We will explore the feasibility of this option in future strategies.</w:t>
            </w:r>
          </w:p>
        </w:tc>
      </w:tr>
      <w:tr w:rsidR="00A5757A" w:rsidRPr="00DE108C" w14:paraId="31F2C71F" w14:textId="77777777" w:rsidTr="001C5C67">
        <w:trPr>
          <w:cnfStyle w:val="000000010000" w:firstRow="0" w:lastRow="0" w:firstColumn="0" w:lastColumn="0" w:oddVBand="0" w:evenVBand="0" w:oddHBand="0" w:evenHBand="1" w:firstRowFirstColumn="0" w:firstRowLastColumn="0" w:lastRowFirstColumn="0" w:lastRowLastColumn="0"/>
          <w:trHeight w:val="469"/>
        </w:trPr>
        <w:tc>
          <w:tcPr>
            <w:tcW w:w="11052" w:type="dxa"/>
          </w:tcPr>
          <w:p w14:paraId="123C4899" w14:textId="77777777" w:rsidR="00441980" w:rsidRPr="00DE108C" w:rsidRDefault="00441980" w:rsidP="00EF4115">
            <w:pPr>
              <w:pStyle w:val="TableText"/>
              <w:rPr>
                <w:b/>
              </w:rPr>
            </w:pPr>
            <w:r w:rsidRPr="00DE108C">
              <w:rPr>
                <w:b/>
              </w:rPr>
              <w:t>Investments we will make:</w:t>
            </w:r>
          </w:p>
          <w:p w14:paraId="2DB9D798" w14:textId="6B62FD0C" w:rsidR="00441980" w:rsidRPr="005A5B97" w:rsidRDefault="00441980" w:rsidP="00C966ED">
            <w:pPr>
              <w:pStyle w:val="Tablebullet"/>
              <w:rPr>
                <w:szCs w:val="16"/>
              </w:rPr>
            </w:pPr>
            <w:r w:rsidRPr="005A5B97">
              <w:t xml:space="preserve">Undertake $144 million in waterways management to improve vegetation condition and natural wetlands. This includes $1.9 million in </w:t>
            </w:r>
            <w:r w:rsidRPr="005A5B97">
              <w:rPr>
                <w:szCs w:val="20"/>
              </w:rPr>
              <w:t>diversion</w:t>
            </w:r>
            <w:r w:rsidRPr="005A5B97">
              <w:rPr>
                <w:szCs w:val="16"/>
              </w:rPr>
              <w:t xml:space="preserve"> meters renewal program. </w:t>
            </w:r>
          </w:p>
          <w:p w14:paraId="4D90BD08" w14:textId="2E96FDFE" w:rsidR="00441980" w:rsidRPr="005A5B97" w:rsidRDefault="00441980" w:rsidP="00C966ED">
            <w:pPr>
              <w:pStyle w:val="Tablebullet"/>
              <w:rPr>
                <w:szCs w:val="16"/>
              </w:rPr>
            </w:pPr>
            <w:r w:rsidRPr="005A5B97">
              <w:t xml:space="preserve">Proposing $92 million in community access and recreation capital investments, including continuing with our community support </w:t>
            </w:r>
            <w:r w:rsidR="70B803A9" w:rsidRPr="005A5B97">
              <w:rPr>
                <w:szCs w:val="16"/>
              </w:rPr>
              <w:t>of the</w:t>
            </w:r>
            <w:r w:rsidR="15C805F6" w:rsidRPr="005A5B97">
              <w:rPr>
                <w:szCs w:val="16"/>
              </w:rPr>
              <w:t xml:space="preserve"> </w:t>
            </w:r>
            <w:r w:rsidRPr="005A5B97">
              <w:rPr>
                <w:szCs w:val="16"/>
              </w:rPr>
              <w:t>Reimagining Your Creek Program with Tarralla Stage 2 ($31 million) and Eumemmerring ($27 million).</w:t>
            </w:r>
          </w:p>
          <w:p w14:paraId="44B0BB71" w14:textId="77777777" w:rsidR="00441980" w:rsidRPr="005A5B97" w:rsidRDefault="00441980" w:rsidP="00C966ED">
            <w:pPr>
              <w:pStyle w:val="Tablebullet"/>
            </w:pPr>
            <w:r w:rsidRPr="005A5B97">
              <w:t>Proposing to invest $15 million in land and biodiversity management.</w:t>
            </w:r>
          </w:p>
          <w:p w14:paraId="4B13A83B" w14:textId="42D22540" w:rsidR="00441980" w:rsidRPr="00DE108C" w:rsidRDefault="00441980" w:rsidP="00C966ED">
            <w:pPr>
              <w:pStyle w:val="Tablebullet"/>
            </w:pPr>
            <w:r w:rsidRPr="005A5B97">
              <w:t xml:space="preserve">Proposing $6 million over five years in additional </w:t>
            </w:r>
            <w:r w:rsidR="69E8E175" w:rsidRPr="005A5B97">
              <w:rPr>
                <w:szCs w:val="20"/>
              </w:rPr>
              <w:t>opex</w:t>
            </w:r>
            <w:r w:rsidRPr="005A5B97">
              <w:t xml:space="preserve"> funding for waterway vegetation, including grants.</w:t>
            </w:r>
          </w:p>
        </w:tc>
        <w:tc>
          <w:tcPr>
            <w:tcW w:w="10206" w:type="dxa"/>
          </w:tcPr>
          <w:p w14:paraId="76B2CFBD" w14:textId="77777777" w:rsidR="00441980" w:rsidRPr="00DE108C" w:rsidRDefault="00441980" w:rsidP="00EF4115">
            <w:pPr>
              <w:pStyle w:val="TableText"/>
              <w:rPr>
                <w:b/>
              </w:rPr>
            </w:pPr>
            <w:r w:rsidRPr="00DE108C">
              <w:rPr>
                <w:b/>
              </w:rPr>
              <w:t>Investments we will make:</w:t>
            </w:r>
          </w:p>
          <w:p w14:paraId="44D878AD" w14:textId="77777777" w:rsidR="00441980" w:rsidRPr="005A5B97" w:rsidRDefault="00441980" w:rsidP="00C966ED">
            <w:pPr>
              <w:pStyle w:val="Tablebullet"/>
            </w:pPr>
            <w:r w:rsidRPr="005A5B97">
              <w:t xml:space="preserve">We are proposing $98 million of capital investments in stormwater management. The investments will renew many of our ageing constructed wetlands and support stormwater harvesting and infiltration systems. </w:t>
            </w:r>
          </w:p>
          <w:p w14:paraId="3F9A57CB" w14:textId="77777777" w:rsidR="00441980" w:rsidRPr="005A5B97" w:rsidRDefault="00441980" w:rsidP="00C966ED">
            <w:pPr>
              <w:pStyle w:val="Tablebullet"/>
            </w:pPr>
            <w:r w:rsidRPr="005A5B97">
              <w:t xml:space="preserve">We are also proposing an additional $13 million in opex over the five years for desilting and stormwater management. </w:t>
            </w:r>
          </w:p>
          <w:p w14:paraId="1F26E382" w14:textId="77777777" w:rsidR="00441980" w:rsidRPr="00DE108C" w:rsidRDefault="00441980" w:rsidP="00C966ED">
            <w:pPr>
              <w:pStyle w:val="Tablebullet"/>
            </w:pPr>
            <w:r w:rsidRPr="005A5B97">
              <w:t xml:space="preserve">We are also increasing our maintenance program for habitat wetland systems ($1 million over the five years). </w:t>
            </w:r>
          </w:p>
        </w:tc>
      </w:tr>
      <w:tr w:rsidR="00441980" w:rsidRPr="00DE108C" w14:paraId="25CC7EF5" w14:textId="77777777" w:rsidTr="001C5C67">
        <w:tc>
          <w:tcPr>
            <w:tcW w:w="11052" w:type="dxa"/>
          </w:tcPr>
          <w:p w14:paraId="49CDC262" w14:textId="77777777" w:rsidR="00441980" w:rsidRPr="00DE108C" w:rsidRDefault="00441980" w:rsidP="00EF4115">
            <w:pPr>
              <w:pStyle w:val="TableText"/>
              <w:rPr>
                <w:b/>
              </w:rPr>
            </w:pPr>
            <w:r w:rsidRPr="00DE108C">
              <w:rPr>
                <w:b/>
              </w:rPr>
              <w:t>Actions and commitments we will make:</w:t>
            </w:r>
          </w:p>
          <w:p w14:paraId="75A7066F" w14:textId="77777777" w:rsidR="00441980" w:rsidRPr="005A5B97" w:rsidRDefault="00441980" w:rsidP="00C966ED">
            <w:pPr>
              <w:pStyle w:val="Tablebullet"/>
              <w:rPr>
                <w:szCs w:val="16"/>
              </w:rPr>
            </w:pPr>
            <w:r w:rsidRPr="005A5B97">
              <w:t xml:space="preserve">Continue to support the co-delivery of the </w:t>
            </w:r>
            <w:r w:rsidRPr="005A5B97">
              <w:rPr>
                <w:i/>
                <w:szCs w:val="16"/>
              </w:rPr>
              <w:t>Regional Catchment Strategy (2021-2027)</w:t>
            </w:r>
            <w:r w:rsidRPr="005A5B97">
              <w:rPr>
                <w:szCs w:val="16"/>
              </w:rPr>
              <w:t xml:space="preserve"> and </w:t>
            </w:r>
            <w:r w:rsidRPr="005A5B97">
              <w:rPr>
                <w:i/>
                <w:szCs w:val="16"/>
              </w:rPr>
              <w:t>Healthy Waterways Strategy (2018-2028)</w:t>
            </w:r>
            <w:r w:rsidRPr="005A5B97">
              <w:rPr>
                <w:szCs w:val="16"/>
              </w:rPr>
              <w:t xml:space="preserve"> through implementation of our waterway programs with our partners and community.</w:t>
            </w:r>
          </w:p>
          <w:p w14:paraId="23AED28D" w14:textId="284E9960" w:rsidR="00441980" w:rsidRPr="005A5B97" w:rsidRDefault="00441980" w:rsidP="00C966ED">
            <w:pPr>
              <w:pStyle w:val="Tablebullet"/>
              <w:rPr>
                <w:szCs w:val="16"/>
              </w:rPr>
            </w:pPr>
            <w:r w:rsidRPr="005A5B97">
              <w:t xml:space="preserve">Develop our next </w:t>
            </w:r>
            <w:r w:rsidRPr="005A5B97">
              <w:rPr>
                <w:i/>
                <w:szCs w:val="16"/>
              </w:rPr>
              <w:t>Healthy Waterways Strategy</w:t>
            </w:r>
            <w:r w:rsidRPr="005A5B97">
              <w:rPr>
                <w:szCs w:val="16"/>
              </w:rPr>
              <w:t xml:space="preserve"> for release in 2028. The strategy will outline catchment-specific visions, goals, long-term targets (10-50 years) and short-term performance objectives (10</w:t>
            </w:r>
            <w:r w:rsidR="0058438A" w:rsidRPr="005A5B97">
              <w:rPr>
                <w:szCs w:val="16"/>
              </w:rPr>
              <w:t xml:space="preserve"> </w:t>
            </w:r>
            <w:r w:rsidRPr="005A5B97">
              <w:rPr>
                <w:szCs w:val="16"/>
              </w:rPr>
              <w:t>years).</w:t>
            </w:r>
          </w:p>
          <w:p w14:paraId="04D03960" w14:textId="77777777" w:rsidR="00441980" w:rsidRPr="005A5B97" w:rsidRDefault="00441980" w:rsidP="00C966ED">
            <w:pPr>
              <w:pStyle w:val="Tablebullet"/>
            </w:pPr>
            <w:r w:rsidRPr="005A5B97">
              <w:t>Develop our next Waterways and Drainage Investment Plan (WDIP) for release in 2026. This plan details our responsibilities, goals and service levels for our waterway management and drainage services.</w:t>
            </w:r>
          </w:p>
          <w:p w14:paraId="4335DCA9" w14:textId="4184771D" w:rsidR="00441980" w:rsidRPr="005A5B97" w:rsidRDefault="00441980" w:rsidP="00C966ED">
            <w:pPr>
              <w:pStyle w:val="Tablebullet"/>
              <w:rPr>
                <w:szCs w:val="16"/>
              </w:rPr>
            </w:pPr>
            <w:r w:rsidRPr="005A5B97">
              <w:t xml:space="preserve">Continue to </w:t>
            </w:r>
            <w:r w:rsidR="27F174F5" w:rsidRPr="005A5B97">
              <w:rPr>
                <w:szCs w:val="20"/>
              </w:rPr>
              <w:t>i</w:t>
            </w:r>
            <w:r w:rsidRPr="005A5B97">
              <w:rPr>
                <w:szCs w:val="20"/>
              </w:rPr>
              <w:t>mplement</w:t>
            </w:r>
            <w:r w:rsidRPr="005A5B97">
              <w:rPr>
                <w:szCs w:val="16"/>
              </w:rPr>
              <w:t xml:space="preserve"> our Lower Werribee Waterway Amenity Action Plan 2022, which articulates a 10-year vision for improved amenity, cultural values, community access and visitor experience along the Wirribi Yaluk (Werribee River) corridor.</w:t>
            </w:r>
          </w:p>
          <w:p w14:paraId="045F0F7F" w14:textId="77777777" w:rsidR="00441980" w:rsidRPr="00DE108C" w:rsidRDefault="00441980" w:rsidP="00C966ED">
            <w:pPr>
              <w:pStyle w:val="Tablebullet"/>
            </w:pPr>
            <w:r w:rsidRPr="005A5B97">
              <w:t>Implement our Lower Dandenong Creek Litter Action Plan 2024 to effectively manage litter across the catchment and reduce volumes of litter entering waterways and reaching the bay.</w:t>
            </w:r>
          </w:p>
        </w:tc>
        <w:tc>
          <w:tcPr>
            <w:tcW w:w="10206" w:type="dxa"/>
          </w:tcPr>
          <w:p w14:paraId="7A22E332" w14:textId="77777777" w:rsidR="00441980" w:rsidRPr="00DE108C" w:rsidRDefault="00441980" w:rsidP="00EF4115">
            <w:pPr>
              <w:pStyle w:val="TableText"/>
              <w:rPr>
                <w:b/>
              </w:rPr>
            </w:pPr>
            <w:r w:rsidRPr="00DE108C">
              <w:rPr>
                <w:b/>
              </w:rPr>
              <w:t>Actions and commitments we will make:</w:t>
            </w:r>
          </w:p>
          <w:p w14:paraId="2772DF6A" w14:textId="77777777" w:rsidR="00441980" w:rsidRPr="005A5B97" w:rsidRDefault="00441980" w:rsidP="00C966ED">
            <w:pPr>
              <w:pStyle w:val="Tablebullet"/>
            </w:pPr>
            <w:r w:rsidRPr="005A5B97">
              <w:t xml:space="preserve">Work closely with the Victorian Environmental Water Holder in our catchment on how to meet the obligations of returning water to the environment. </w:t>
            </w:r>
          </w:p>
          <w:p w14:paraId="7CF1AEDC" w14:textId="7D4AB8C5" w:rsidR="00441980" w:rsidRPr="005A5B97" w:rsidRDefault="00441980" w:rsidP="00C966ED">
            <w:pPr>
              <w:pStyle w:val="Tablebullet"/>
              <w:rPr>
                <w:szCs w:val="16"/>
              </w:rPr>
            </w:pPr>
            <w:r w:rsidRPr="005A5B97">
              <w:t xml:space="preserve">Work closely with our metropolitan bulk water customers to implement </w:t>
            </w:r>
            <w:r w:rsidR="176F8B98" w:rsidRPr="005A5B97">
              <w:rPr>
                <w:szCs w:val="20"/>
              </w:rPr>
              <w:t>GMUWSS</w:t>
            </w:r>
            <w:r w:rsidRPr="005A5B97">
              <w:rPr>
                <w:szCs w:val="16"/>
              </w:rPr>
              <w:t>, including exploring the feasibility of additional manufactured water to return 11 GL of water to the Yarra River for environmental benefit.</w:t>
            </w:r>
          </w:p>
          <w:p w14:paraId="5ECE2774" w14:textId="7998A7D5" w:rsidR="00441980" w:rsidRPr="00DE108C" w:rsidRDefault="00441980" w:rsidP="00C966ED">
            <w:pPr>
              <w:pStyle w:val="Tablebullet"/>
            </w:pPr>
            <w:r w:rsidRPr="005A5B97">
              <w:t xml:space="preserve">Receive increasing numbers of developer-delivered assets, including wetland systems, and improve our systems and processes to forecast future maintenance requirements. </w:t>
            </w:r>
          </w:p>
        </w:tc>
      </w:tr>
      <w:tr w:rsidR="00A5757A" w:rsidRPr="00DE108C" w14:paraId="5EDA3D5D" w14:textId="77777777" w:rsidTr="001C5C67">
        <w:trPr>
          <w:cnfStyle w:val="000000010000" w:firstRow="0" w:lastRow="0" w:firstColumn="0" w:lastColumn="0" w:oddVBand="0" w:evenVBand="0" w:oddHBand="0" w:evenHBand="1" w:firstRowFirstColumn="0" w:firstRowLastColumn="0" w:lastRowFirstColumn="0" w:lastRowLastColumn="0"/>
          <w:cantSplit/>
        </w:trPr>
        <w:tc>
          <w:tcPr>
            <w:tcW w:w="11052" w:type="dxa"/>
          </w:tcPr>
          <w:p w14:paraId="312F5379" w14:textId="77777777" w:rsidR="00441980" w:rsidRPr="00DE108C" w:rsidRDefault="00441980" w:rsidP="00EF4115">
            <w:pPr>
              <w:pStyle w:val="TableText"/>
              <w:rPr>
                <w:b/>
              </w:rPr>
            </w:pPr>
            <w:r w:rsidRPr="00DE108C">
              <w:rPr>
                <w:b/>
              </w:rPr>
              <w:lastRenderedPageBreak/>
              <w:t>How we will keep ourselves accountable (measures):</w:t>
            </w:r>
          </w:p>
          <w:p w14:paraId="7FA213F5" w14:textId="77777777" w:rsidR="00441980" w:rsidRPr="005A5B97" w:rsidRDefault="00441980" w:rsidP="00C2594A">
            <w:pPr>
              <w:pStyle w:val="Tablebullet"/>
            </w:pPr>
            <w:r w:rsidRPr="005A5B97">
              <w:t>Length (kms) along waterways managed for ecological benefit (including where fish passage is enabled, on ground works of vegetation established, and protected by Stormwater Quality Wetland Systems).</w:t>
            </w:r>
          </w:p>
          <w:p w14:paraId="07E49764" w14:textId="77777777" w:rsidR="00441980" w:rsidRPr="00DE108C" w:rsidRDefault="00441980" w:rsidP="00C2594A">
            <w:pPr>
              <w:pStyle w:val="Tablebullet"/>
            </w:pPr>
            <w:r w:rsidRPr="005A5B97">
              <w:t>Number of projects funded within the waterways and drainage incentives program.</w:t>
            </w:r>
          </w:p>
        </w:tc>
        <w:tc>
          <w:tcPr>
            <w:tcW w:w="10206" w:type="dxa"/>
          </w:tcPr>
          <w:p w14:paraId="30A54170" w14:textId="77777777" w:rsidR="00441980" w:rsidRPr="00DE108C" w:rsidRDefault="00441980" w:rsidP="00EF4115">
            <w:pPr>
              <w:pStyle w:val="TableText"/>
              <w:rPr>
                <w:b/>
              </w:rPr>
            </w:pPr>
            <w:r w:rsidRPr="00DE108C">
              <w:rPr>
                <w:b/>
              </w:rPr>
              <w:t>How we will keep ourselves accountable (measures):</w:t>
            </w:r>
          </w:p>
          <w:p w14:paraId="50DD8F96" w14:textId="56DF6343" w:rsidR="00441980" w:rsidRPr="00DE108C" w:rsidRDefault="00441980" w:rsidP="00C2594A">
            <w:pPr>
              <w:pStyle w:val="Tablebullet"/>
            </w:pPr>
            <w:r w:rsidRPr="005A5B97">
              <w:t>Overall satisfaction with our Waterways Service</w:t>
            </w:r>
            <w:r w:rsidR="00475387" w:rsidRPr="005A5B97">
              <w:t>.</w:t>
            </w:r>
            <w:r w:rsidRPr="005A5B97">
              <w:rPr>
                <w:rStyle w:val="FootnoteReference"/>
                <w:rFonts w:eastAsiaTheme="minorEastAsia"/>
                <w:sz w:val="12"/>
                <w:szCs w:val="12"/>
              </w:rPr>
              <w:footnoteReference w:id="6"/>
            </w:r>
          </w:p>
        </w:tc>
      </w:tr>
    </w:tbl>
    <w:p w14:paraId="0F3D662D" w14:textId="77777777" w:rsidR="00EF4115" w:rsidRPr="00DE108C" w:rsidRDefault="00EF4115" w:rsidP="00EF4115"/>
    <w:p w14:paraId="3ADBA3EF" w14:textId="77777777" w:rsidR="00EF4115" w:rsidRPr="00DE108C" w:rsidRDefault="00EF4115">
      <w:pPr>
        <w:spacing w:before="0" w:after="0" w:line="320" w:lineRule="atLeast"/>
        <w:rPr>
          <w:rFonts w:asciiTheme="majorHAnsi" w:eastAsiaTheme="majorEastAsia" w:hAnsiTheme="majorHAnsi" w:cstheme="majorBidi"/>
          <w:b/>
          <w:bCs/>
          <w:sz w:val="24"/>
        </w:rPr>
      </w:pPr>
      <w:r w:rsidRPr="00DE108C">
        <w:br w:type="page"/>
      </w:r>
    </w:p>
    <w:p w14:paraId="75710AC0" w14:textId="77777777" w:rsidR="00767B75" w:rsidRPr="00DE108C" w:rsidRDefault="00767B75">
      <w:pPr>
        <w:pStyle w:val="Heading3"/>
      </w:pPr>
      <w:r w:rsidRPr="00DE108C">
        <w:lastRenderedPageBreak/>
        <w:t>4.2.4 Outcome 4 - Urban drainage and flood resilience</w:t>
      </w:r>
    </w:p>
    <w:p w14:paraId="0CB64C28" w14:textId="07921E3F" w:rsidR="00767B75" w:rsidRPr="00DE108C" w:rsidRDefault="00767B75" w:rsidP="00BC2765">
      <w:pPr>
        <w:pStyle w:val="Caption"/>
      </w:pPr>
      <w:bookmarkStart w:id="324" w:name="_Toc207893006"/>
      <w:bookmarkStart w:id="325" w:name="_Toc208490530"/>
      <w:bookmarkStart w:id="326" w:name="_Toc208490868"/>
      <w:bookmarkStart w:id="327" w:name="_Toc208911026"/>
      <w:bookmarkStart w:id="328" w:name="_Toc210051332"/>
      <w:r w:rsidRPr="00DE108C">
        <w:t xml:space="preserve">Table 4.4: Outcome 4 </w:t>
      </w:r>
      <w:r w:rsidR="00BB18FC">
        <w:t xml:space="preserve">- </w:t>
      </w:r>
      <w:r w:rsidRPr="00DE108C">
        <w:t>Urban drainage and flood resilience</w:t>
      </w:r>
      <w:bookmarkEnd w:id="324"/>
      <w:bookmarkEnd w:id="325"/>
      <w:bookmarkEnd w:id="326"/>
      <w:bookmarkEnd w:id="327"/>
      <w:bookmarkEnd w:id="328"/>
    </w:p>
    <w:tbl>
      <w:tblPr>
        <w:tblStyle w:val="TableGrid"/>
        <w:tblW w:w="0" w:type="auto"/>
        <w:tblLook w:val="04A0" w:firstRow="1" w:lastRow="0" w:firstColumn="1" w:lastColumn="0" w:noHBand="0" w:noVBand="1"/>
      </w:tblPr>
      <w:tblGrid>
        <w:gridCol w:w="1837"/>
        <w:gridCol w:w="19421"/>
      </w:tblGrid>
      <w:tr w:rsidR="00A5757A" w:rsidRPr="00DE108C" w14:paraId="6D77A823" w14:textId="77777777" w:rsidTr="00ED1D1F">
        <w:trPr>
          <w:cnfStyle w:val="100000000000" w:firstRow="1" w:lastRow="0" w:firstColumn="0" w:lastColumn="0" w:oddVBand="0" w:evenVBand="0" w:oddHBand="0" w:evenHBand="0" w:firstRowFirstColumn="0" w:firstRowLastColumn="0" w:lastRowFirstColumn="0" w:lastRowLastColumn="0"/>
        </w:trPr>
        <w:tc>
          <w:tcPr>
            <w:tcW w:w="1837" w:type="dxa"/>
          </w:tcPr>
          <w:p w14:paraId="48945D4B" w14:textId="77777777" w:rsidR="00767B75" w:rsidRPr="00DE108C" w:rsidRDefault="00767B75" w:rsidP="00803258">
            <w:pPr>
              <w:pStyle w:val="TableHeading"/>
              <w:rPr>
                <w:b w:val="0"/>
                <w:color w:val="FFFFFF" w:themeColor="background1"/>
                <w:sz w:val="22"/>
                <w:szCs w:val="22"/>
              </w:rPr>
            </w:pPr>
            <w:r w:rsidRPr="00DE108C">
              <w:t>OUTCOME 4</w:t>
            </w:r>
          </w:p>
        </w:tc>
        <w:tc>
          <w:tcPr>
            <w:tcW w:w="19421" w:type="dxa"/>
          </w:tcPr>
          <w:p w14:paraId="7ECBDA03" w14:textId="77777777" w:rsidR="00767B75" w:rsidRPr="00DE108C" w:rsidRDefault="00767B75" w:rsidP="00803258">
            <w:pPr>
              <w:pStyle w:val="TableHeading"/>
              <w:rPr>
                <w:b w:val="0"/>
                <w:color w:val="FFFFFF" w:themeColor="background1"/>
                <w:sz w:val="22"/>
                <w:szCs w:val="22"/>
              </w:rPr>
            </w:pPr>
            <w:r w:rsidRPr="00DE108C">
              <w:t>Urban drainage and flood resilience</w:t>
            </w:r>
          </w:p>
        </w:tc>
      </w:tr>
      <w:tr w:rsidR="00767B75" w:rsidRPr="00DE108C" w14:paraId="3F982575" w14:textId="77777777" w:rsidTr="00ED1D1F">
        <w:tc>
          <w:tcPr>
            <w:tcW w:w="1837" w:type="dxa"/>
          </w:tcPr>
          <w:p w14:paraId="227A3B15" w14:textId="77777777" w:rsidR="00767B75" w:rsidRPr="00DE108C" w:rsidRDefault="00767B75" w:rsidP="00803258">
            <w:pPr>
              <w:pStyle w:val="TableText"/>
            </w:pPr>
            <w:r w:rsidRPr="00DE108C">
              <w:t>What this means for our customers</w:t>
            </w:r>
          </w:p>
        </w:tc>
        <w:tc>
          <w:tcPr>
            <w:tcW w:w="19421" w:type="dxa"/>
          </w:tcPr>
          <w:p w14:paraId="46394B8D" w14:textId="766FCE55" w:rsidR="00767B75" w:rsidRPr="00DE108C" w:rsidRDefault="00767B75" w:rsidP="00803258">
            <w:pPr>
              <w:pStyle w:val="TableText"/>
            </w:pPr>
            <w:r w:rsidRPr="00DE108C">
              <w:t xml:space="preserve">As an essential service provider, we plan and manage a complex waterway and drainage system across </w:t>
            </w:r>
            <w:r w:rsidRPr="00DE108C">
              <w:rPr>
                <w:rFonts w:eastAsia="Aptos" w:cs="Aptos"/>
              </w:rPr>
              <w:t>the Port Phillip and Western</w:t>
            </w:r>
            <w:r w:rsidR="00F166DF">
              <w:rPr>
                <w:rFonts w:eastAsia="Aptos" w:cs="Aptos"/>
              </w:rPr>
              <w:t xml:space="preserve"> P</w:t>
            </w:r>
            <w:r w:rsidRPr="00DE108C">
              <w:rPr>
                <w:rFonts w:eastAsia="Aptos" w:cs="Aptos"/>
              </w:rPr>
              <w:t>ort catchments</w:t>
            </w:r>
            <w:r w:rsidRPr="00DE108C">
              <w:t xml:space="preserve"> and facilitate sustainable urban development and renewal. We want to ensure that flows are managed to improve our resilience to flooding and minimise risk to people, property and public places. This means: </w:t>
            </w:r>
          </w:p>
          <w:p w14:paraId="1F143F89" w14:textId="77777777" w:rsidR="00767B75" w:rsidRPr="005A5B97" w:rsidRDefault="00767B75" w:rsidP="00C2594A">
            <w:pPr>
              <w:pStyle w:val="Tablebullet"/>
            </w:pPr>
            <w:r w:rsidRPr="005A5B97">
              <w:t xml:space="preserve">We plan for, capture and manage the release of excess stormwater in the catchment to </w:t>
            </w:r>
            <w:r w:rsidRPr="005A5B97">
              <w:rPr>
                <w:b/>
              </w:rPr>
              <w:t>improve our flood resilience</w:t>
            </w:r>
            <w:r w:rsidRPr="005A5B97">
              <w:t xml:space="preserve"> and community protection and safety and reduce the risks of flooding and its impacts.</w:t>
            </w:r>
          </w:p>
          <w:p w14:paraId="66D6200B" w14:textId="5B7928E6" w:rsidR="00767B75" w:rsidRPr="00DE108C" w:rsidRDefault="00767B75" w:rsidP="00C2594A">
            <w:pPr>
              <w:pStyle w:val="Tablebullet"/>
            </w:pPr>
            <w:r w:rsidRPr="005A5B97">
              <w:t xml:space="preserve">We improve our internal planning systems and processes so that we can </w:t>
            </w:r>
            <w:r w:rsidRPr="005A5B97">
              <w:rPr>
                <w:b/>
              </w:rPr>
              <w:t xml:space="preserve">support developers </w:t>
            </w:r>
            <w:r w:rsidR="5EECE57A" w:rsidRPr="005A5B97">
              <w:rPr>
                <w:b/>
              </w:rPr>
              <w:t xml:space="preserve">to </w:t>
            </w:r>
            <w:r w:rsidRPr="005A5B97">
              <w:rPr>
                <w:b/>
              </w:rPr>
              <w:t>respond to the challenges of urbanisation</w:t>
            </w:r>
            <w:r w:rsidRPr="005A5B97">
              <w:t xml:space="preserve"> and growing Melbourne.</w:t>
            </w:r>
          </w:p>
        </w:tc>
      </w:tr>
    </w:tbl>
    <w:tbl>
      <w:tblPr>
        <w:tblStyle w:val="TableGrid"/>
        <w:tblW w:w="21258" w:type="dxa"/>
        <w:tblLayout w:type="fixed"/>
        <w:tblLook w:val="04A0" w:firstRow="1" w:lastRow="0" w:firstColumn="1" w:lastColumn="0" w:noHBand="0" w:noVBand="1"/>
      </w:tblPr>
      <w:tblGrid>
        <w:gridCol w:w="10627"/>
        <w:gridCol w:w="10631"/>
      </w:tblGrid>
      <w:tr w:rsidR="00A5757A" w:rsidRPr="00DE108C" w14:paraId="27347F16" w14:textId="77777777" w:rsidTr="004275A6">
        <w:trPr>
          <w:cnfStyle w:val="100000000000" w:firstRow="1" w:lastRow="0" w:firstColumn="0" w:lastColumn="0" w:oddVBand="0" w:evenVBand="0" w:oddHBand="0" w:evenHBand="0" w:firstRowFirstColumn="0" w:firstRowLastColumn="0" w:lastRowFirstColumn="0" w:lastRowLastColumn="0"/>
          <w:tblHeader/>
        </w:trPr>
        <w:tc>
          <w:tcPr>
            <w:tcW w:w="10627" w:type="dxa"/>
          </w:tcPr>
          <w:p w14:paraId="4AE1BCB7" w14:textId="33BC9695" w:rsidR="00441980" w:rsidRPr="00DE108C" w:rsidRDefault="00441980" w:rsidP="00803258">
            <w:pPr>
              <w:pStyle w:val="TableHeading"/>
              <w:rPr>
                <w:sz w:val="22"/>
                <w:szCs w:val="22"/>
              </w:rPr>
            </w:pPr>
            <w:r w:rsidRPr="00DE108C">
              <w:t xml:space="preserve">Improving Melbourne’s flood resilience through effective planning and </w:t>
            </w:r>
            <w:r w:rsidR="005A5B97">
              <w:t>management</w:t>
            </w:r>
            <w:r w:rsidRPr="00DE108C">
              <w:t xml:space="preserve"> of our urban drainage system</w:t>
            </w:r>
          </w:p>
        </w:tc>
        <w:tc>
          <w:tcPr>
            <w:tcW w:w="10631" w:type="dxa"/>
          </w:tcPr>
          <w:p w14:paraId="29C289FD" w14:textId="77777777" w:rsidR="00441980" w:rsidRPr="00DE108C" w:rsidRDefault="00441980" w:rsidP="00803258">
            <w:pPr>
              <w:pStyle w:val="TableHeading"/>
              <w:rPr>
                <w:sz w:val="22"/>
                <w:szCs w:val="22"/>
              </w:rPr>
            </w:pPr>
            <w:r w:rsidRPr="00DE108C">
              <w:t>Improving our processes to support urbanisation and a growing Melbourne</w:t>
            </w:r>
          </w:p>
        </w:tc>
      </w:tr>
      <w:tr w:rsidR="00441980" w:rsidRPr="00DE108C" w14:paraId="628EF054" w14:textId="77777777" w:rsidTr="00441980">
        <w:tc>
          <w:tcPr>
            <w:tcW w:w="10627" w:type="dxa"/>
          </w:tcPr>
          <w:p w14:paraId="23FC301B" w14:textId="77777777" w:rsidR="00441980" w:rsidRPr="00DE108C" w:rsidRDefault="00441980" w:rsidP="00803258">
            <w:pPr>
              <w:pStyle w:val="TableText"/>
              <w:rPr>
                <w:b/>
                <w:bCs/>
              </w:rPr>
            </w:pPr>
            <w:r w:rsidRPr="00DE108C">
              <w:rPr>
                <w:b/>
                <w:bCs/>
              </w:rPr>
              <w:t>What we heard:</w:t>
            </w:r>
          </w:p>
          <w:p w14:paraId="1CCE4FBB" w14:textId="77777777" w:rsidR="00441980" w:rsidRPr="005A5B97" w:rsidRDefault="00441980" w:rsidP="00C2594A">
            <w:pPr>
              <w:pStyle w:val="Tablebullet"/>
            </w:pPr>
            <w:r w:rsidRPr="005A5B97">
              <w:t xml:space="preserve">Our community panel expected that all customers, regardless of location, are safe in flood scenarios. They highlighted the importance of flood resilience and safety measures. </w:t>
            </w:r>
          </w:p>
          <w:p w14:paraId="31D57D32" w14:textId="77777777" w:rsidR="00441980" w:rsidRPr="005A5B97" w:rsidRDefault="00441980" w:rsidP="00C2594A">
            <w:pPr>
              <w:pStyle w:val="Tablebullet"/>
            </w:pPr>
            <w:r w:rsidRPr="005A5B97">
              <w:t>Our customers highlighted that rising flood insurance costs are a common concern, with many seeing drainage and mitigation investment as a solution to ease the burden.</w:t>
            </w:r>
          </w:p>
          <w:p w14:paraId="6630ACD8" w14:textId="77777777" w:rsidR="00441980" w:rsidRPr="005A5B97" w:rsidRDefault="00441980" w:rsidP="00C2594A">
            <w:pPr>
              <w:pStyle w:val="Tablebullet"/>
            </w:pPr>
            <w:r w:rsidRPr="005A5B97">
              <w:t>Our community panel identified a preference for investing in prevention and research (pro-active management) over reactive flood mitigation strategies and drawing from interjurisdictional experiences across Australia.</w:t>
            </w:r>
          </w:p>
          <w:p w14:paraId="7463D7D2" w14:textId="77777777" w:rsidR="00441980" w:rsidRPr="00DE108C" w:rsidRDefault="00441980" w:rsidP="00C2594A">
            <w:pPr>
              <w:pStyle w:val="Tablebullet"/>
            </w:pPr>
            <w:r w:rsidRPr="005A5B97">
              <w:t>Customers were willing to pay to target in person engagement with 2,000 at-risk households per year through digital campaigns targeted to all flood risk areas.</w:t>
            </w:r>
          </w:p>
        </w:tc>
        <w:tc>
          <w:tcPr>
            <w:tcW w:w="10631" w:type="dxa"/>
          </w:tcPr>
          <w:p w14:paraId="148C8214" w14:textId="77777777" w:rsidR="00441980" w:rsidRPr="00DE108C" w:rsidRDefault="00441980" w:rsidP="00803258">
            <w:pPr>
              <w:pStyle w:val="TableText"/>
              <w:rPr>
                <w:b/>
                <w:bCs/>
              </w:rPr>
            </w:pPr>
            <w:r w:rsidRPr="00DE108C">
              <w:rPr>
                <w:b/>
                <w:bCs/>
              </w:rPr>
              <w:t>What we heard:</w:t>
            </w:r>
          </w:p>
          <w:p w14:paraId="6D66F940" w14:textId="77777777" w:rsidR="00441980" w:rsidRPr="005A5B97" w:rsidRDefault="00441980" w:rsidP="00C2594A">
            <w:pPr>
              <w:pStyle w:val="Tablebullet"/>
            </w:pPr>
            <w:r w:rsidRPr="005A5B97">
              <w:t xml:space="preserve">Customers expected Melbourne Water should support housing growth and ensure that drainage planning meets these needs. </w:t>
            </w:r>
          </w:p>
          <w:p w14:paraId="2275111A" w14:textId="77777777" w:rsidR="00441980" w:rsidRPr="005A5B97" w:rsidRDefault="00441980" w:rsidP="00C2594A">
            <w:pPr>
              <w:pStyle w:val="Tablebullet"/>
            </w:pPr>
            <w:r w:rsidRPr="005A5B97">
              <w:t>Our bulk water and sewerage customers expected that we have clear commitments on how we support housing growth.</w:t>
            </w:r>
          </w:p>
          <w:p w14:paraId="001DC7E0" w14:textId="645B6C0E" w:rsidR="00441980" w:rsidRPr="005A5B97" w:rsidRDefault="00441980" w:rsidP="00C2594A">
            <w:pPr>
              <w:pStyle w:val="Tablebullet"/>
              <w:rPr>
                <w:szCs w:val="16"/>
              </w:rPr>
            </w:pPr>
            <w:r w:rsidRPr="005A5B97">
              <w:rPr>
                <w:szCs w:val="16"/>
              </w:rPr>
              <w:t>Developers wanted commitments to application turnaround times and wanted access to and timely response from Melbourne Water staff to support their applications</w:t>
            </w:r>
            <w:r w:rsidR="051BB77C" w:rsidRPr="005A5B97">
              <w:rPr>
                <w:szCs w:val="16"/>
              </w:rPr>
              <w:t>.</w:t>
            </w:r>
          </w:p>
          <w:p w14:paraId="11897D0C" w14:textId="1B63854F" w:rsidR="00441980" w:rsidRPr="00DE108C" w:rsidRDefault="00441980" w:rsidP="00C2594A">
            <w:pPr>
              <w:pStyle w:val="Tablebullet"/>
            </w:pPr>
            <w:r w:rsidRPr="005A5B97">
              <w:t xml:space="preserve">Developers want greater transparency in how </w:t>
            </w:r>
            <w:r w:rsidR="003A389F">
              <w:t>Development Services Schemes</w:t>
            </w:r>
            <w:r w:rsidRPr="005A5B97">
              <w:t xml:space="preserve"> are set and the costs that contribute to fees.</w:t>
            </w:r>
          </w:p>
        </w:tc>
      </w:tr>
      <w:tr w:rsidR="00A5757A" w:rsidRPr="00DE108C" w14:paraId="6DABCFD7" w14:textId="77777777" w:rsidTr="00441980">
        <w:trPr>
          <w:cnfStyle w:val="000000010000" w:firstRow="0" w:lastRow="0" w:firstColumn="0" w:lastColumn="0" w:oddVBand="0" w:evenVBand="0" w:oddHBand="0" w:evenHBand="1" w:firstRowFirstColumn="0" w:firstRowLastColumn="0" w:lastRowFirstColumn="0" w:lastRowLastColumn="0"/>
        </w:trPr>
        <w:tc>
          <w:tcPr>
            <w:tcW w:w="10627" w:type="dxa"/>
          </w:tcPr>
          <w:p w14:paraId="20A6ACDA" w14:textId="77777777" w:rsidR="00441980" w:rsidRPr="00DE108C" w:rsidRDefault="00441980" w:rsidP="00803258">
            <w:pPr>
              <w:pStyle w:val="TableText"/>
              <w:rPr>
                <w:b/>
                <w:bCs/>
              </w:rPr>
            </w:pPr>
            <w:r w:rsidRPr="00DE108C">
              <w:rPr>
                <w:b/>
                <w:bCs/>
              </w:rPr>
              <w:t>Investments we will make:</w:t>
            </w:r>
          </w:p>
          <w:p w14:paraId="3541E72F" w14:textId="77777777" w:rsidR="00441980" w:rsidRPr="005A5B97" w:rsidRDefault="00441980" w:rsidP="00C2594A">
            <w:pPr>
              <w:pStyle w:val="Tablebullet"/>
            </w:pPr>
            <w:r w:rsidRPr="005A5B97">
              <w:t>We are proposing to invest $305 million of capital investments into assets that will minimise flood impacts to people and property. Key projects to be delivered across PS26 include:</w:t>
            </w:r>
          </w:p>
          <w:p w14:paraId="3C4ED48F" w14:textId="6F07E81B" w:rsidR="00441980" w:rsidRPr="00DE108C" w:rsidRDefault="00441980" w:rsidP="00C2594A">
            <w:pPr>
              <w:pStyle w:val="Tablebullet2"/>
            </w:pPr>
            <w:r w:rsidRPr="00DE108C">
              <w:t xml:space="preserve">Elsternwick Creek and Elwood </w:t>
            </w:r>
            <w:r w:rsidR="374D78B7" w:rsidRPr="00DE108C">
              <w:t>M</w:t>
            </w:r>
            <w:r w:rsidR="47351C87" w:rsidRPr="00DE108C">
              <w:t xml:space="preserve">ain </w:t>
            </w:r>
            <w:r w:rsidR="374D78B7" w:rsidRPr="00DE108C">
              <w:t>D</w:t>
            </w:r>
            <w:r w:rsidR="1598DF98" w:rsidRPr="00DE108C">
              <w:t>rain</w:t>
            </w:r>
            <w:r w:rsidRPr="00DE108C">
              <w:t xml:space="preserve"> Flood Mitigation Works to improve compliance requirements of the assets to manage and drain the catchment under a changing climate ($69 million). </w:t>
            </w:r>
          </w:p>
          <w:p w14:paraId="373D4DAA" w14:textId="77777777" w:rsidR="00441980" w:rsidRPr="00DE108C" w:rsidRDefault="00441980" w:rsidP="00C2594A">
            <w:pPr>
              <w:pStyle w:val="Tablebullet2"/>
            </w:pPr>
            <w:r w:rsidRPr="00DE108C">
              <w:t>Renewal of the Cardinia Creek Drop Structure Retarding Basin to avoid complete failure of the asset ($39 million).</w:t>
            </w:r>
          </w:p>
          <w:p w14:paraId="45D932D2" w14:textId="77777777" w:rsidR="00441980" w:rsidRPr="00DE108C" w:rsidRDefault="00441980" w:rsidP="00C2594A">
            <w:pPr>
              <w:pStyle w:val="Tablebullet2"/>
            </w:pPr>
            <w:r w:rsidRPr="00DE108C">
              <w:t xml:space="preserve">Elwood Diversion Drain outfall renewal of $27 million over the regulatory period. </w:t>
            </w:r>
          </w:p>
          <w:p w14:paraId="387F87BE" w14:textId="77777777" w:rsidR="00441980" w:rsidRPr="00DE108C" w:rsidRDefault="00441980" w:rsidP="00C2594A">
            <w:pPr>
              <w:pStyle w:val="Tablebullet2"/>
            </w:pPr>
            <w:r w:rsidRPr="00DE108C">
              <w:t xml:space="preserve">Flood modelling and publication of flood maps over the regulatory period ($42 million in capital works) to ensure that flood overlays are up to date and help us and councils target investment. This will be in addition to the proposed $41 million of flood mitigation works over the five-year period. </w:t>
            </w:r>
          </w:p>
          <w:p w14:paraId="0F875B9E" w14:textId="35956891" w:rsidR="00441980" w:rsidRPr="00DE108C" w:rsidRDefault="00441980" w:rsidP="00C2594A">
            <w:pPr>
              <w:pStyle w:val="Tablebullet"/>
            </w:pPr>
            <w:r w:rsidRPr="005A5B97">
              <w:t>We are also proposing a five-year increase in operating expenditure of $7.3 million in flood management, modelling and awareness programs across the regulatory period.</w:t>
            </w:r>
          </w:p>
        </w:tc>
        <w:tc>
          <w:tcPr>
            <w:tcW w:w="10631" w:type="dxa"/>
          </w:tcPr>
          <w:p w14:paraId="640BFFAC" w14:textId="77777777" w:rsidR="00441980" w:rsidRPr="00DE108C" w:rsidRDefault="00441980" w:rsidP="00803258">
            <w:pPr>
              <w:pStyle w:val="TableText"/>
              <w:rPr>
                <w:b/>
                <w:bCs/>
              </w:rPr>
            </w:pPr>
            <w:r w:rsidRPr="00DE108C">
              <w:rPr>
                <w:b/>
                <w:bCs/>
              </w:rPr>
              <w:t>Investments we will make:</w:t>
            </w:r>
          </w:p>
          <w:p w14:paraId="3B5C52D6" w14:textId="4318A19E" w:rsidR="00441980" w:rsidRPr="005A5B97" w:rsidRDefault="00441980" w:rsidP="00C2594A">
            <w:pPr>
              <w:pStyle w:val="Tablebullet"/>
            </w:pPr>
            <w:r w:rsidRPr="005A5B97">
              <w:t>We are proposing to deliver $1,</w:t>
            </w:r>
            <w:r w:rsidR="522D62A0" w:rsidRPr="005A5B97">
              <w:t>4</w:t>
            </w:r>
            <w:r w:rsidR="0986315F" w:rsidRPr="005A5B97">
              <w:t>95</w:t>
            </w:r>
            <w:r w:rsidR="522D62A0" w:rsidRPr="005A5B97">
              <w:t xml:space="preserve"> </w:t>
            </w:r>
            <w:r w:rsidRPr="005A5B97">
              <w:t>million of investments to support a growing Melbourne. Key programs are:</w:t>
            </w:r>
          </w:p>
          <w:p w14:paraId="5FE29E0D" w14:textId="639A516A" w:rsidR="00441980" w:rsidRPr="00DE108C" w:rsidRDefault="00441980" w:rsidP="00C2594A">
            <w:pPr>
              <w:pStyle w:val="Tablebullet2"/>
            </w:pPr>
            <w:r w:rsidRPr="00DE108C">
              <w:t>$1,</w:t>
            </w:r>
            <w:r w:rsidR="396ADCEE" w:rsidRPr="00DE108C">
              <w:t>400</w:t>
            </w:r>
            <w:r w:rsidRPr="00DE108C">
              <w:t xml:space="preserve"> million in land development expenditure in </w:t>
            </w:r>
            <w:r w:rsidR="003D5932">
              <w:t>Development Services S</w:t>
            </w:r>
            <w:r w:rsidRPr="00DE108C">
              <w:t>chemes that will be mostly offset by customer contributions</w:t>
            </w:r>
            <w:r w:rsidR="2EE5B50B" w:rsidRPr="40AD8E0A">
              <w:t>.</w:t>
            </w:r>
            <w:r w:rsidRPr="00DE108C">
              <w:t xml:space="preserve"> </w:t>
            </w:r>
          </w:p>
          <w:p w14:paraId="13D64F69" w14:textId="542322A3" w:rsidR="00441980" w:rsidRPr="00DE108C" w:rsidRDefault="00441980" w:rsidP="00C2594A">
            <w:pPr>
              <w:pStyle w:val="Tablebullet2"/>
            </w:pPr>
            <w:r w:rsidRPr="40AD8E0A">
              <w:t xml:space="preserve">Significant investment in Arden Macauly and Fishermans Bend urban redevelopment projects. These are partially offset by contributions </w:t>
            </w:r>
            <w:r w:rsidR="7B5AEECF" w:rsidRPr="40AD8E0A">
              <w:t>from</w:t>
            </w:r>
            <w:r w:rsidRPr="40AD8E0A">
              <w:t xml:space="preserve"> developers. </w:t>
            </w:r>
          </w:p>
          <w:p w14:paraId="4A80EAEC" w14:textId="77777777" w:rsidR="00441980" w:rsidRDefault="00441980" w:rsidP="00C2594A">
            <w:pPr>
              <w:pStyle w:val="Tablebullet2"/>
            </w:pPr>
            <w:r w:rsidRPr="40AD8E0A">
              <w:t xml:space="preserve">Continuing to invest in developer funded stormwater quality offsets over the regulatory period. </w:t>
            </w:r>
          </w:p>
          <w:p w14:paraId="1FB13E32" w14:textId="7922813A" w:rsidR="002B3DF0" w:rsidRPr="00DE108C" w:rsidRDefault="00C065EC" w:rsidP="008A6538">
            <w:pPr>
              <w:pStyle w:val="Tablebullet"/>
            </w:pPr>
            <w:r>
              <w:t xml:space="preserve">We will continue to resource </w:t>
            </w:r>
            <w:r w:rsidR="00185A6B">
              <w:t xml:space="preserve">our urban development function to maintain </w:t>
            </w:r>
            <w:r w:rsidR="005D505C">
              <w:t>timely response to development applications and referrals.</w:t>
            </w:r>
          </w:p>
        </w:tc>
      </w:tr>
      <w:tr w:rsidR="00441980" w:rsidRPr="00DE108C" w14:paraId="3E8EC2D1" w14:textId="77777777" w:rsidTr="00441980">
        <w:tc>
          <w:tcPr>
            <w:tcW w:w="10627" w:type="dxa"/>
          </w:tcPr>
          <w:p w14:paraId="7351567A" w14:textId="77777777" w:rsidR="00441980" w:rsidRPr="00DE108C" w:rsidRDefault="00441980" w:rsidP="00DA4FBD">
            <w:pPr>
              <w:pStyle w:val="TableText"/>
              <w:rPr>
                <w:b/>
                <w:bCs/>
              </w:rPr>
            </w:pPr>
            <w:r w:rsidRPr="00DE108C">
              <w:rPr>
                <w:b/>
                <w:bCs/>
              </w:rPr>
              <w:t>Actions and commitments we will make:</w:t>
            </w:r>
          </w:p>
          <w:p w14:paraId="126F6B67" w14:textId="77777777" w:rsidR="00441980" w:rsidRPr="009838E1" w:rsidRDefault="00441980" w:rsidP="00C2594A">
            <w:pPr>
              <w:pStyle w:val="Tablebullet"/>
            </w:pPr>
            <w:r w:rsidRPr="009838E1">
              <w:t xml:space="preserve">Continue to implement our 10-year </w:t>
            </w:r>
            <w:r w:rsidRPr="00FA4628">
              <w:rPr>
                <w:i/>
              </w:rPr>
              <w:t>Flood Management Strategy for Port Phillip and Westernport</w:t>
            </w:r>
            <w:r w:rsidRPr="009838E1">
              <w:t xml:space="preserve"> (2021-31). Key activities in PS26 include:</w:t>
            </w:r>
          </w:p>
          <w:p w14:paraId="5778033E" w14:textId="77777777" w:rsidR="00441980" w:rsidRPr="00DE108C" w:rsidRDefault="00441980" w:rsidP="00C2594A">
            <w:pPr>
              <w:pStyle w:val="Tablebullet2"/>
            </w:pPr>
            <w:r w:rsidRPr="40AD8E0A">
              <w:t>Continuing to deliver our flood modelling program to ensure we have the most up to date and appropriate flood information available to provide emergency planning development advice and to inform mitigation strategies. This includes our measure to update flood information for up to half our 106 catchments across our region in the 2026 regulatory period.</w:t>
            </w:r>
          </w:p>
          <w:p w14:paraId="32213D89" w14:textId="77777777" w:rsidR="00441980" w:rsidRPr="00DE108C" w:rsidRDefault="00441980" w:rsidP="00C2594A">
            <w:pPr>
              <w:pStyle w:val="Tablebullet2"/>
            </w:pPr>
            <w:r w:rsidRPr="40AD8E0A">
              <w:t>Empowering communities by raising awareness of flooding through initiatives and in-person events, targeting communities with the highest risk of flooding.</w:t>
            </w:r>
          </w:p>
          <w:p w14:paraId="40428CB5" w14:textId="77777777" w:rsidR="00441980" w:rsidRPr="00DE108C" w:rsidRDefault="00441980" w:rsidP="00C2594A">
            <w:pPr>
              <w:pStyle w:val="Tablebullet2"/>
            </w:pPr>
            <w:r w:rsidRPr="40AD8E0A">
              <w:t xml:space="preserve">Continuing to monitor and improve our flash flooding, storm surge and flood warning system. </w:t>
            </w:r>
          </w:p>
          <w:p w14:paraId="541CD0B9" w14:textId="77777777" w:rsidR="00441980" w:rsidRPr="00DE108C" w:rsidRDefault="00441980" w:rsidP="00C2594A">
            <w:pPr>
              <w:pStyle w:val="Tablebullet2"/>
            </w:pPr>
            <w:r w:rsidRPr="40AD8E0A">
              <w:lastRenderedPageBreak/>
              <w:t>Continuing to transition the riverine flood warning to the Bureau of Meteorology in 2026, bringing it in line with the national framework. Integrating our flash flood data into the Emergency Management Common Operating Platform in partnership with Emergency Management Victoria and Victoria State Emergency Service.</w:t>
            </w:r>
          </w:p>
        </w:tc>
        <w:tc>
          <w:tcPr>
            <w:tcW w:w="10631" w:type="dxa"/>
          </w:tcPr>
          <w:p w14:paraId="7EB09652" w14:textId="77777777" w:rsidR="00441980" w:rsidRPr="00DE108C" w:rsidRDefault="00441980" w:rsidP="00DA4FBD">
            <w:pPr>
              <w:pStyle w:val="TableText"/>
              <w:rPr>
                <w:b/>
                <w:bCs/>
              </w:rPr>
            </w:pPr>
            <w:r w:rsidRPr="00DE108C">
              <w:rPr>
                <w:b/>
                <w:bCs/>
              </w:rPr>
              <w:lastRenderedPageBreak/>
              <w:t>Actions and commitments we will make:</w:t>
            </w:r>
          </w:p>
          <w:p w14:paraId="5783CA63" w14:textId="77777777" w:rsidR="00441980" w:rsidRPr="009838E1" w:rsidRDefault="00441980" w:rsidP="00C2594A">
            <w:pPr>
              <w:pStyle w:val="Tablebullet"/>
            </w:pPr>
            <w:r w:rsidRPr="009838E1">
              <w:t>We will continue to consult with and update the development industry, including through Melbourne Water’s Urban Planning and Development Strategic Consultation Group (UPDSCG) on service standards and ways to improve our processes.</w:t>
            </w:r>
          </w:p>
          <w:p w14:paraId="75F828E1" w14:textId="05DD2464" w:rsidR="00441980" w:rsidRPr="009838E1" w:rsidRDefault="00441980" w:rsidP="00C2594A">
            <w:pPr>
              <w:pStyle w:val="Tablebullet"/>
              <w:rPr>
                <w:szCs w:val="16"/>
              </w:rPr>
            </w:pPr>
            <w:r w:rsidRPr="009838E1">
              <w:rPr>
                <w:szCs w:val="16"/>
              </w:rPr>
              <w:t xml:space="preserve">We will review the principles for establishing a </w:t>
            </w:r>
            <w:r w:rsidR="00FB4197">
              <w:rPr>
                <w:szCs w:val="16"/>
              </w:rPr>
              <w:t>Develop</w:t>
            </w:r>
            <w:r w:rsidR="00336397">
              <w:rPr>
                <w:szCs w:val="16"/>
              </w:rPr>
              <w:t>ment</w:t>
            </w:r>
            <w:r w:rsidRPr="009838E1">
              <w:rPr>
                <w:szCs w:val="16"/>
              </w:rPr>
              <w:t xml:space="preserve"> Services Scheme with representatives </w:t>
            </w:r>
            <w:r w:rsidR="15C805F6" w:rsidRPr="009838E1">
              <w:rPr>
                <w:szCs w:val="16"/>
              </w:rPr>
              <w:t>f</w:t>
            </w:r>
            <w:r w:rsidR="246B6B9A" w:rsidRPr="009838E1">
              <w:rPr>
                <w:szCs w:val="16"/>
              </w:rPr>
              <w:t>rom</w:t>
            </w:r>
            <w:r w:rsidRPr="009838E1">
              <w:rPr>
                <w:szCs w:val="16"/>
              </w:rPr>
              <w:t xml:space="preserve"> the development industry</w:t>
            </w:r>
            <w:r w:rsidR="190DEADD" w:rsidRPr="009838E1">
              <w:rPr>
                <w:szCs w:val="16"/>
              </w:rPr>
              <w:t>.</w:t>
            </w:r>
          </w:p>
          <w:p w14:paraId="4C4535AD" w14:textId="475D40A0" w:rsidR="00441980" w:rsidRPr="009838E1" w:rsidRDefault="00441980" w:rsidP="00C2594A">
            <w:pPr>
              <w:pStyle w:val="Tablebullet"/>
              <w:rPr>
                <w:szCs w:val="16"/>
              </w:rPr>
            </w:pPr>
            <w:r w:rsidRPr="009838E1">
              <w:rPr>
                <w:szCs w:val="16"/>
              </w:rPr>
              <w:t xml:space="preserve">We will continue to support housing growth through our planning and development services </w:t>
            </w:r>
            <w:r w:rsidR="008979E0">
              <w:rPr>
                <w:szCs w:val="16"/>
              </w:rPr>
              <w:t>so</w:t>
            </w:r>
            <w:r w:rsidRPr="009838E1">
              <w:rPr>
                <w:szCs w:val="16"/>
              </w:rPr>
              <w:t xml:space="preserve"> that new development </w:t>
            </w:r>
            <w:r w:rsidR="008979E0">
              <w:rPr>
                <w:szCs w:val="16"/>
              </w:rPr>
              <w:t>has adequate drainage</w:t>
            </w:r>
            <w:r w:rsidRPr="009838E1">
              <w:rPr>
                <w:szCs w:val="16"/>
              </w:rPr>
              <w:t xml:space="preserve"> and </w:t>
            </w:r>
            <w:r w:rsidR="008979E0">
              <w:rPr>
                <w:szCs w:val="16"/>
              </w:rPr>
              <w:t>flood protection,</w:t>
            </w:r>
            <w:r w:rsidRPr="009838E1">
              <w:rPr>
                <w:szCs w:val="16"/>
              </w:rPr>
              <w:t xml:space="preserve"> </w:t>
            </w:r>
            <w:r w:rsidR="008979E0">
              <w:rPr>
                <w:szCs w:val="16"/>
              </w:rPr>
              <w:t>without</w:t>
            </w:r>
            <w:r w:rsidRPr="009838E1">
              <w:rPr>
                <w:szCs w:val="16"/>
              </w:rPr>
              <w:t xml:space="preserve"> adversely impact neighbouring properties or waterways.</w:t>
            </w:r>
          </w:p>
          <w:p w14:paraId="16290418" w14:textId="484CCBBB" w:rsidR="00441980" w:rsidRPr="00DE108C" w:rsidRDefault="00441980" w:rsidP="00C2594A">
            <w:pPr>
              <w:pStyle w:val="Tablebullet"/>
            </w:pPr>
            <w:r w:rsidRPr="009838E1">
              <w:rPr>
                <w:szCs w:val="16"/>
              </w:rPr>
              <w:t xml:space="preserve">Continue to enable innovative solutions in new precincts (for example, </w:t>
            </w:r>
            <w:r w:rsidR="5F944B5C" w:rsidRPr="009838E1">
              <w:rPr>
                <w:szCs w:val="16"/>
              </w:rPr>
              <w:t>Fishermans</w:t>
            </w:r>
            <w:r w:rsidRPr="009838E1">
              <w:rPr>
                <w:szCs w:val="16"/>
              </w:rPr>
              <w:t xml:space="preserve"> Bend) to achieve multiple benefits, including flood infrastructure and stormwater harvesting.</w:t>
            </w:r>
          </w:p>
        </w:tc>
      </w:tr>
      <w:tr w:rsidR="00A5757A" w:rsidRPr="00DE108C" w14:paraId="6C113ECB" w14:textId="77777777" w:rsidTr="00441980">
        <w:trPr>
          <w:cnfStyle w:val="000000010000" w:firstRow="0" w:lastRow="0" w:firstColumn="0" w:lastColumn="0" w:oddVBand="0" w:evenVBand="0" w:oddHBand="0" w:evenHBand="1" w:firstRowFirstColumn="0" w:firstRowLastColumn="0" w:lastRowFirstColumn="0" w:lastRowLastColumn="0"/>
        </w:trPr>
        <w:tc>
          <w:tcPr>
            <w:tcW w:w="10627" w:type="dxa"/>
          </w:tcPr>
          <w:p w14:paraId="05D4AB50" w14:textId="77777777" w:rsidR="00441980" w:rsidRPr="00DE108C" w:rsidRDefault="00441980" w:rsidP="00344FAF">
            <w:pPr>
              <w:pStyle w:val="TableText"/>
              <w:rPr>
                <w:b/>
                <w:bCs/>
              </w:rPr>
            </w:pPr>
            <w:r w:rsidRPr="00DE108C">
              <w:rPr>
                <w:b/>
                <w:bCs/>
              </w:rPr>
              <w:t>How we will keep ourselves accountable (measures):</w:t>
            </w:r>
          </w:p>
          <w:p w14:paraId="4ABCD84E" w14:textId="77777777" w:rsidR="00441980" w:rsidRPr="009838E1" w:rsidRDefault="00441980" w:rsidP="004275A6">
            <w:pPr>
              <w:pStyle w:val="Tablebullet"/>
            </w:pPr>
            <w:r w:rsidRPr="009838E1">
              <w:t>Average estimated flood damages reduced as a result of our programs.</w:t>
            </w:r>
          </w:p>
          <w:p w14:paraId="49C303AC" w14:textId="77777777" w:rsidR="00441980" w:rsidRPr="00DE108C" w:rsidRDefault="00441980" w:rsidP="004275A6">
            <w:pPr>
              <w:pStyle w:val="Tablebullet"/>
            </w:pPr>
            <w:r w:rsidRPr="009838E1">
              <w:t>Number of secondary catchments where new flood information is completed.</w:t>
            </w:r>
          </w:p>
        </w:tc>
        <w:tc>
          <w:tcPr>
            <w:tcW w:w="10631" w:type="dxa"/>
          </w:tcPr>
          <w:p w14:paraId="569FC105" w14:textId="77777777" w:rsidR="00441980" w:rsidRPr="00DE108C" w:rsidRDefault="00441980" w:rsidP="00344FAF">
            <w:pPr>
              <w:pStyle w:val="TableText"/>
              <w:rPr>
                <w:b/>
                <w:bCs/>
              </w:rPr>
            </w:pPr>
            <w:r w:rsidRPr="00DE108C">
              <w:rPr>
                <w:b/>
                <w:bCs/>
              </w:rPr>
              <w:t>How we will keep ourselves accountable (measures):</w:t>
            </w:r>
          </w:p>
          <w:p w14:paraId="49BCB289" w14:textId="77777777" w:rsidR="00441980" w:rsidRPr="009838E1" w:rsidRDefault="00441980" w:rsidP="004275A6">
            <w:pPr>
              <w:pStyle w:val="Tablebullet"/>
            </w:pPr>
            <w:r w:rsidRPr="009838E1">
              <w:t xml:space="preserve">Responses to our urban planning and development statutory and non-statutory applications are completed within the agreed timeline. </w:t>
            </w:r>
          </w:p>
          <w:p w14:paraId="671A03D0" w14:textId="77777777" w:rsidR="00441980" w:rsidRPr="00DE108C" w:rsidRDefault="00441980" w:rsidP="004275A6">
            <w:pPr>
              <w:pStyle w:val="Tablebullet"/>
            </w:pPr>
            <w:r w:rsidRPr="009838E1">
              <w:t>Developer application satisfaction score.</w:t>
            </w:r>
          </w:p>
        </w:tc>
      </w:tr>
    </w:tbl>
    <w:p w14:paraId="6CA2D1BA" w14:textId="77777777" w:rsidR="00767B75" w:rsidRPr="00DE108C" w:rsidRDefault="00767B75"/>
    <w:p w14:paraId="3107DADA" w14:textId="77777777" w:rsidR="00EF4115" w:rsidRPr="00DE108C" w:rsidRDefault="00EF4115">
      <w:pPr>
        <w:spacing w:before="0" w:after="0" w:line="320" w:lineRule="atLeast"/>
        <w:rPr>
          <w:rFonts w:asciiTheme="majorHAnsi" w:eastAsiaTheme="majorEastAsia" w:hAnsiTheme="majorHAnsi" w:cstheme="majorBidi"/>
          <w:b/>
          <w:bCs/>
          <w:sz w:val="24"/>
        </w:rPr>
      </w:pPr>
      <w:r w:rsidRPr="00DE108C">
        <w:br w:type="page"/>
      </w:r>
    </w:p>
    <w:p w14:paraId="3D54C0A2" w14:textId="77777777" w:rsidR="00767B75" w:rsidRPr="00DE108C" w:rsidRDefault="00767B75">
      <w:pPr>
        <w:pStyle w:val="Heading3"/>
      </w:pPr>
      <w:r w:rsidRPr="00DE108C">
        <w:lastRenderedPageBreak/>
        <w:t>4.2.5 Outcome 5 - A valued partner in water cycle services</w:t>
      </w:r>
    </w:p>
    <w:p w14:paraId="776EEEA0" w14:textId="6E4BBC90" w:rsidR="00767B75" w:rsidRPr="00DE108C" w:rsidRDefault="00767B75" w:rsidP="00BC2765">
      <w:pPr>
        <w:pStyle w:val="Caption"/>
      </w:pPr>
      <w:bookmarkStart w:id="329" w:name="_Toc207893007"/>
      <w:bookmarkStart w:id="330" w:name="_Toc208490531"/>
      <w:bookmarkStart w:id="331" w:name="_Toc208490869"/>
      <w:bookmarkStart w:id="332" w:name="_Toc208911027"/>
      <w:bookmarkStart w:id="333" w:name="_Toc210051333"/>
      <w:r w:rsidRPr="00DE108C">
        <w:t>Table 4.5</w:t>
      </w:r>
      <w:r w:rsidR="00BB18FC">
        <w:t>:</w:t>
      </w:r>
      <w:r w:rsidRPr="00DE108C">
        <w:t xml:space="preserve"> Outcome 5 </w:t>
      </w:r>
      <w:r w:rsidR="00BB18FC">
        <w:t xml:space="preserve">- </w:t>
      </w:r>
      <w:r w:rsidRPr="00DE108C">
        <w:t>A valued partner in water cycle services</w:t>
      </w:r>
      <w:bookmarkEnd w:id="329"/>
      <w:bookmarkEnd w:id="330"/>
      <w:bookmarkEnd w:id="331"/>
      <w:bookmarkEnd w:id="332"/>
      <w:bookmarkEnd w:id="333"/>
    </w:p>
    <w:tbl>
      <w:tblPr>
        <w:tblStyle w:val="TableGrid"/>
        <w:tblW w:w="21258" w:type="dxa"/>
        <w:tblLook w:val="04A0" w:firstRow="1" w:lastRow="0" w:firstColumn="1" w:lastColumn="0" w:noHBand="0" w:noVBand="1"/>
      </w:tblPr>
      <w:tblGrid>
        <w:gridCol w:w="1950"/>
        <w:gridCol w:w="19308"/>
      </w:tblGrid>
      <w:tr w:rsidR="00A5757A" w:rsidRPr="00DE108C" w14:paraId="2E372CD9" w14:textId="77777777" w:rsidTr="00ED1D1F">
        <w:trPr>
          <w:cnfStyle w:val="100000000000" w:firstRow="1" w:lastRow="0" w:firstColumn="0" w:lastColumn="0" w:oddVBand="0" w:evenVBand="0" w:oddHBand="0" w:evenHBand="0" w:firstRowFirstColumn="0" w:firstRowLastColumn="0" w:lastRowFirstColumn="0" w:lastRowLastColumn="0"/>
        </w:trPr>
        <w:tc>
          <w:tcPr>
            <w:tcW w:w="1950" w:type="dxa"/>
          </w:tcPr>
          <w:p w14:paraId="75C55FEA" w14:textId="77777777" w:rsidR="00767B75" w:rsidRPr="00DE108C" w:rsidRDefault="00767B75" w:rsidP="002E5AFE">
            <w:pPr>
              <w:pStyle w:val="TableHeading"/>
              <w:rPr>
                <w:b w:val="0"/>
                <w:color w:val="FFFFFF" w:themeColor="background1"/>
                <w:sz w:val="22"/>
                <w:szCs w:val="22"/>
              </w:rPr>
            </w:pPr>
            <w:r w:rsidRPr="00DE108C">
              <w:t>OUTCOME 5</w:t>
            </w:r>
          </w:p>
        </w:tc>
        <w:tc>
          <w:tcPr>
            <w:tcW w:w="19308" w:type="dxa"/>
          </w:tcPr>
          <w:p w14:paraId="2FFD9483" w14:textId="77777777" w:rsidR="00767B75" w:rsidRPr="00DE108C" w:rsidRDefault="00767B75" w:rsidP="002E5AFE">
            <w:pPr>
              <w:pStyle w:val="TableHeading"/>
              <w:rPr>
                <w:b w:val="0"/>
                <w:color w:val="FFFFFF" w:themeColor="background1"/>
                <w:sz w:val="22"/>
                <w:szCs w:val="22"/>
              </w:rPr>
            </w:pPr>
            <w:r w:rsidRPr="00DE108C">
              <w:rPr>
                <w:bCs/>
              </w:rPr>
              <w:t>A valued partner in water cycle services</w:t>
            </w:r>
          </w:p>
        </w:tc>
      </w:tr>
      <w:tr w:rsidR="00767B75" w:rsidRPr="00DE108C" w14:paraId="20C9A50C" w14:textId="77777777" w:rsidTr="00ED1D1F">
        <w:tc>
          <w:tcPr>
            <w:tcW w:w="1950" w:type="dxa"/>
          </w:tcPr>
          <w:p w14:paraId="15C050B5" w14:textId="77777777" w:rsidR="00767B75" w:rsidRPr="00DE108C" w:rsidRDefault="00767B75" w:rsidP="002E5AFE">
            <w:pPr>
              <w:pStyle w:val="TableText"/>
            </w:pPr>
            <w:r w:rsidRPr="00DE108C">
              <w:t>What this means for our customers</w:t>
            </w:r>
          </w:p>
        </w:tc>
        <w:tc>
          <w:tcPr>
            <w:tcW w:w="19308" w:type="dxa"/>
          </w:tcPr>
          <w:p w14:paraId="0DE4FB5C" w14:textId="0651E40A" w:rsidR="00767B75" w:rsidRPr="00DE108C" w:rsidRDefault="00767B75" w:rsidP="002E5AFE">
            <w:pPr>
              <w:pStyle w:val="TableText"/>
            </w:pPr>
            <w:r w:rsidRPr="00DE108C">
              <w:t xml:space="preserve"> Customer Outcomes 1 to 4 require us to work in partnership with diverse organisations across the water sector</w:t>
            </w:r>
            <w:r w:rsidR="39D60605">
              <w:t xml:space="preserve"> </w:t>
            </w:r>
            <w:r w:rsidR="401B3ACF">
              <w:t>t</w:t>
            </w:r>
            <w:r w:rsidR="713E6C5A">
              <w:t>o</w:t>
            </w:r>
            <w:r w:rsidRPr="00DE108C">
              <w:t xml:space="preserve"> deliver value and to be as effective </w:t>
            </w:r>
            <w:r w:rsidR="230C208B" w:rsidRPr="00DE108C">
              <w:t xml:space="preserve">and as </w:t>
            </w:r>
            <w:r w:rsidR="00663389" w:rsidRPr="00DE108C">
              <w:t>affordable</w:t>
            </w:r>
            <w:r w:rsidR="230C208B" w:rsidRPr="00DE108C">
              <w:t xml:space="preserve"> </w:t>
            </w:r>
            <w:r w:rsidRPr="00DE108C">
              <w:t xml:space="preserve">as possible. This means: </w:t>
            </w:r>
          </w:p>
          <w:p w14:paraId="248BB677" w14:textId="77777777" w:rsidR="00767B75" w:rsidRPr="009838E1" w:rsidRDefault="00767B75" w:rsidP="004275A6">
            <w:pPr>
              <w:pStyle w:val="Tablebullet"/>
              <w:rPr>
                <w:szCs w:val="20"/>
              </w:rPr>
            </w:pPr>
            <w:r w:rsidRPr="009838E1">
              <w:t xml:space="preserve">We </w:t>
            </w:r>
            <w:r w:rsidRPr="009838E1">
              <w:rPr>
                <w:b/>
                <w:bCs/>
                <w:szCs w:val="20"/>
              </w:rPr>
              <w:t>collaborate and co-create plans</w:t>
            </w:r>
            <w:r w:rsidRPr="009838E1">
              <w:rPr>
                <w:szCs w:val="20"/>
              </w:rPr>
              <w:t xml:space="preserve"> with the water sector and play a key role in delivering solutions that addresses the challenges posed by population growth and climate change.</w:t>
            </w:r>
          </w:p>
          <w:p w14:paraId="1EE3B5FE" w14:textId="77777777" w:rsidR="00767B75" w:rsidRPr="00DE108C" w:rsidRDefault="00767B75" w:rsidP="004275A6">
            <w:pPr>
              <w:pStyle w:val="Tablebullet"/>
            </w:pPr>
            <w:r w:rsidRPr="009838E1">
              <w:t xml:space="preserve">We </w:t>
            </w:r>
            <w:r w:rsidRPr="009838E1">
              <w:rPr>
                <w:b/>
              </w:rPr>
              <w:t xml:space="preserve">seek out new partnerships and leverage existing relationships. </w:t>
            </w:r>
            <w:r w:rsidRPr="009838E1">
              <w:t>For example, with Traditional Owners, and relationships with local councils, industry and organisations to deliver community educational awareness programs, address environmental priorities and improve water management processes.</w:t>
            </w:r>
          </w:p>
        </w:tc>
      </w:tr>
    </w:tbl>
    <w:tbl>
      <w:tblPr>
        <w:tblStyle w:val="TableGrid"/>
        <w:tblW w:w="21258" w:type="dxa"/>
        <w:tblLayout w:type="fixed"/>
        <w:tblLook w:val="04A0" w:firstRow="1" w:lastRow="0" w:firstColumn="1" w:lastColumn="0" w:noHBand="0" w:noVBand="1"/>
      </w:tblPr>
      <w:tblGrid>
        <w:gridCol w:w="10485"/>
        <w:gridCol w:w="10773"/>
      </w:tblGrid>
      <w:tr w:rsidR="00A5757A" w:rsidRPr="00DE108C" w14:paraId="1A0D877D" w14:textId="77777777" w:rsidTr="00441980">
        <w:trPr>
          <w:cnfStyle w:val="100000000000" w:firstRow="1" w:lastRow="0" w:firstColumn="0" w:lastColumn="0" w:oddVBand="0" w:evenVBand="0" w:oddHBand="0" w:evenHBand="0" w:firstRowFirstColumn="0" w:firstRowLastColumn="0" w:lastRowFirstColumn="0" w:lastRowLastColumn="0"/>
        </w:trPr>
        <w:tc>
          <w:tcPr>
            <w:tcW w:w="10485" w:type="dxa"/>
          </w:tcPr>
          <w:p w14:paraId="72CD73AE" w14:textId="77777777" w:rsidR="00441980" w:rsidRPr="00DE108C" w:rsidRDefault="00441980" w:rsidP="002E5AFE">
            <w:pPr>
              <w:pStyle w:val="TableHeading"/>
            </w:pPr>
            <w:r w:rsidRPr="00DE108C">
              <w:t>Collaborating and co-create plans with our stakeholders</w:t>
            </w:r>
          </w:p>
        </w:tc>
        <w:tc>
          <w:tcPr>
            <w:tcW w:w="10773" w:type="dxa"/>
          </w:tcPr>
          <w:p w14:paraId="618DDABE" w14:textId="77777777" w:rsidR="00441980" w:rsidRPr="00DE108C" w:rsidRDefault="00441980" w:rsidP="002E5AFE">
            <w:pPr>
              <w:pStyle w:val="TableHeading"/>
            </w:pPr>
            <w:r w:rsidRPr="00DE108C">
              <w:t>Leveraging new and existing relationships to benefit our communities</w:t>
            </w:r>
          </w:p>
        </w:tc>
      </w:tr>
      <w:tr w:rsidR="00441980" w:rsidRPr="00DE108C" w14:paraId="2FA2F341" w14:textId="77777777" w:rsidTr="00441980">
        <w:tc>
          <w:tcPr>
            <w:tcW w:w="10485" w:type="dxa"/>
          </w:tcPr>
          <w:p w14:paraId="14137F6F" w14:textId="77777777" w:rsidR="00441980" w:rsidRPr="00DE108C" w:rsidRDefault="00441980" w:rsidP="00AF77F2">
            <w:pPr>
              <w:pStyle w:val="TableText"/>
              <w:rPr>
                <w:b/>
                <w:bCs/>
              </w:rPr>
            </w:pPr>
            <w:r w:rsidRPr="00DE108C">
              <w:rPr>
                <w:b/>
                <w:bCs/>
              </w:rPr>
              <w:t>What we heard</w:t>
            </w:r>
          </w:p>
          <w:p w14:paraId="4B0C8191" w14:textId="2307E846" w:rsidR="00441980" w:rsidRPr="009838E1" w:rsidRDefault="00441980" w:rsidP="004275A6">
            <w:pPr>
              <w:pStyle w:val="Tablebullet"/>
            </w:pPr>
            <w:r w:rsidRPr="009838E1">
              <w:t xml:space="preserve">The community panel told us about the importance of collaborating and partnering with universities, </w:t>
            </w:r>
            <w:r w:rsidR="00E7119E">
              <w:t>water corporations</w:t>
            </w:r>
            <w:r w:rsidRPr="009838E1">
              <w:t>, and international organisations to drive research, share costs, and innovate in water management technologies to address water efficiency, flood resiliency, climate change and waterway health.</w:t>
            </w:r>
          </w:p>
          <w:p w14:paraId="39D37304" w14:textId="77777777" w:rsidR="00441980" w:rsidRPr="009838E1" w:rsidRDefault="00441980" w:rsidP="004275A6">
            <w:pPr>
              <w:pStyle w:val="Tablebullet"/>
            </w:pPr>
            <w:r w:rsidRPr="009838E1">
              <w:t xml:space="preserve">Our bulk water and sewerage service customers emphasised the importance of water corporation-specific working groups to address industry pressures, such as housing, and maintaining forums for operational and planning collaboration. </w:t>
            </w:r>
          </w:p>
          <w:p w14:paraId="7FF02409" w14:textId="77777777" w:rsidR="00441980" w:rsidRPr="009838E1" w:rsidRDefault="00441980" w:rsidP="004275A6">
            <w:pPr>
              <w:pStyle w:val="Tablebullet"/>
            </w:pPr>
            <w:r w:rsidRPr="009838E1">
              <w:t>Our bulk water and sewerage service customers suggested reflecting on partnerships, such as the Accord, and resolving issues around bulk water supply asset ownership through collaborative approaches to support future planning.</w:t>
            </w:r>
          </w:p>
          <w:p w14:paraId="3AA36754" w14:textId="4D96732B" w:rsidR="00441980" w:rsidRPr="009838E1" w:rsidRDefault="00441980" w:rsidP="004275A6">
            <w:pPr>
              <w:pStyle w:val="Tablebullet"/>
              <w:rPr>
                <w:szCs w:val="16"/>
              </w:rPr>
            </w:pPr>
            <w:r w:rsidRPr="009838E1">
              <w:t>Our bulk water and sewerage service customers suggested that we may have a role in coordinated planning and engagement, particularly with large water users entering the system and to simplify sector-wide engagement and help create a united front when dealing with developers and external stakeholders</w:t>
            </w:r>
            <w:r w:rsidR="45E5E83F" w:rsidRPr="009838E1">
              <w:rPr>
                <w:szCs w:val="16"/>
              </w:rPr>
              <w:t>.</w:t>
            </w:r>
          </w:p>
          <w:p w14:paraId="29BFD74F" w14:textId="77777777" w:rsidR="00441980" w:rsidRPr="00DE108C" w:rsidRDefault="00441980" w:rsidP="004275A6">
            <w:pPr>
              <w:pStyle w:val="Tablebullet"/>
            </w:pPr>
            <w:r w:rsidRPr="009838E1">
              <w:t>Our bulk water and sewerage service customers emphasised our role in leading and coordinating components of integrated water management planning across the sector.</w:t>
            </w:r>
          </w:p>
        </w:tc>
        <w:tc>
          <w:tcPr>
            <w:tcW w:w="10773" w:type="dxa"/>
          </w:tcPr>
          <w:p w14:paraId="6F74A03A" w14:textId="77777777" w:rsidR="00441980" w:rsidRPr="00DE108C" w:rsidRDefault="00441980" w:rsidP="00AF77F2">
            <w:pPr>
              <w:pStyle w:val="TableText"/>
              <w:rPr>
                <w:b/>
                <w:bCs/>
              </w:rPr>
            </w:pPr>
            <w:r w:rsidRPr="00DE108C">
              <w:rPr>
                <w:b/>
                <w:bCs/>
              </w:rPr>
              <w:t>What we heard</w:t>
            </w:r>
          </w:p>
          <w:p w14:paraId="6833B16D" w14:textId="77777777" w:rsidR="00441980" w:rsidRPr="009838E1" w:rsidRDefault="00441980" w:rsidP="004275A6">
            <w:pPr>
              <w:pStyle w:val="Tablebullet"/>
            </w:pPr>
            <w:r w:rsidRPr="009838E1">
              <w:t xml:space="preserve">The community panel stressed the importance of partnerships between water corporations, local councils, developers and the community to foster sustainable water use, incentivising community involvement in environmental conservation efforts and in protecting vulnerable groups. </w:t>
            </w:r>
          </w:p>
          <w:p w14:paraId="222A9338" w14:textId="2D7EC82B" w:rsidR="00441980" w:rsidRPr="009838E1" w:rsidRDefault="00441980" w:rsidP="004275A6">
            <w:pPr>
              <w:pStyle w:val="Tablebullet"/>
              <w:rPr>
                <w:szCs w:val="16"/>
              </w:rPr>
            </w:pPr>
            <w:r w:rsidRPr="009838E1">
              <w:rPr>
                <w:szCs w:val="16"/>
              </w:rPr>
              <w:t xml:space="preserve">Across many points of our engagement program, customers and our bulk service customers highlighted </w:t>
            </w:r>
            <w:r w:rsidR="05A7991E" w:rsidRPr="009838E1">
              <w:rPr>
                <w:szCs w:val="16"/>
              </w:rPr>
              <w:t xml:space="preserve">that </w:t>
            </w:r>
            <w:r w:rsidRPr="009838E1">
              <w:rPr>
                <w:szCs w:val="16"/>
              </w:rPr>
              <w:t xml:space="preserve">education at all levels of society was key to raising awareness about environmental issues, understanding the water cycle, fostering collective action, and raising awareness about fair and equitable water usage and the significance of waterways and their cultural histories. </w:t>
            </w:r>
          </w:p>
          <w:p w14:paraId="565E7F0B" w14:textId="77777777" w:rsidR="00441980" w:rsidRPr="009838E1" w:rsidRDefault="00441980" w:rsidP="004275A6">
            <w:pPr>
              <w:pStyle w:val="Tablebullet"/>
            </w:pPr>
            <w:r w:rsidRPr="009838E1">
              <w:t>Our community panel told us that involving Traditional Owners in the decision-making processes was important, moving beyond consultation to genuine collaboration.</w:t>
            </w:r>
          </w:p>
          <w:p w14:paraId="023CAF94" w14:textId="77777777" w:rsidR="00441980" w:rsidRPr="009838E1" w:rsidRDefault="00441980" w:rsidP="004275A6">
            <w:pPr>
              <w:pStyle w:val="Tablebullet"/>
            </w:pPr>
            <w:r w:rsidRPr="009838E1">
              <w:t>Traditional Owners told us that adequately resourcing our partnerships was the best thing we could do to support self-determined water outcomes.</w:t>
            </w:r>
          </w:p>
          <w:p w14:paraId="6D28676D" w14:textId="590D539C" w:rsidR="00441980" w:rsidRPr="009838E1" w:rsidRDefault="00441980" w:rsidP="004275A6">
            <w:pPr>
              <w:pStyle w:val="Tablebullet"/>
              <w:rPr>
                <w:szCs w:val="16"/>
              </w:rPr>
            </w:pPr>
            <w:r w:rsidRPr="009838E1">
              <w:rPr>
                <w:szCs w:val="16"/>
              </w:rPr>
              <w:t xml:space="preserve">Our bulk service customers also considered us </w:t>
            </w:r>
            <w:r w:rsidR="31BC4B5A" w:rsidRPr="009838E1">
              <w:rPr>
                <w:szCs w:val="12"/>
              </w:rPr>
              <w:t>to</w:t>
            </w:r>
            <w:r w:rsidR="31BC4B5A" w:rsidRPr="009838E1">
              <w:rPr>
                <w:szCs w:val="16"/>
              </w:rPr>
              <w:t xml:space="preserve"> have</w:t>
            </w:r>
            <w:r w:rsidRPr="009838E1">
              <w:rPr>
                <w:szCs w:val="16"/>
              </w:rPr>
              <w:t xml:space="preserve"> a role in advocating for the sector, and highlighted the need for clear communication to community, sharing learnings and careful planning across water corporations to ensure successful implementation of joint initiatives.</w:t>
            </w:r>
          </w:p>
          <w:p w14:paraId="4214B650" w14:textId="77777777" w:rsidR="00441980" w:rsidRPr="00DE108C" w:rsidRDefault="00441980" w:rsidP="004275A6">
            <w:pPr>
              <w:pStyle w:val="Tablebullet"/>
            </w:pPr>
            <w:r w:rsidRPr="009838E1">
              <w:t xml:space="preserve">Our bulk service customers underscored the need for us to properly underwrite vulnerability support programs with emphasis placed on financial sustainability, collaborative trade-offs to meet customer needs, maintaining affordability with commitments to low bills, and linking care for waterways and drainage to broader strategies, such as the </w:t>
            </w:r>
            <w:r w:rsidRPr="009838E1">
              <w:rPr>
                <w:i/>
              </w:rPr>
              <w:t>Healthy Waterways Strategy</w:t>
            </w:r>
            <w:r w:rsidRPr="009838E1">
              <w:t>.</w:t>
            </w:r>
          </w:p>
        </w:tc>
      </w:tr>
      <w:tr w:rsidR="00A5757A" w:rsidRPr="00DE108C" w14:paraId="236AF68C" w14:textId="77777777" w:rsidTr="00441980">
        <w:trPr>
          <w:cnfStyle w:val="000000010000" w:firstRow="0" w:lastRow="0" w:firstColumn="0" w:lastColumn="0" w:oddVBand="0" w:evenVBand="0" w:oddHBand="0" w:evenHBand="1" w:firstRowFirstColumn="0" w:firstRowLastColumn="0" w:lastRowFirstColumn="0" w:lastRowLastColumn="0"/>
          <w:trHeight w:val="300"/>
        </w:trPr>
        <w:tc>
          <w:tcPr>
            <w:tcW w:w="10485" w:type="dxa"/>
          </w:tcPr>
          <w:p w14:paraId="195AD670" w14:textId="77777777" w:rsidR="00441980" w:rsidRPr="00DE108C" w:rsidRDefault="00441980" w:rsidP="00AF77F2">
            <w:pPr>
              <w:pStyle w:val="TableText"/>
              <w:rPr>
                <w:b/>
                <w:bCs/>
              </w:rPr>
            </w:pPr>
            <w:r w:rsidRPr="00DE108C">
              <w:rPr>
                <w:b/>
                <w:bCs/>
              </w:rPr>
              <w:t>Actions and commitments we will make:</w:t>
            </w:r>
          </w:p>
          <w:p w14:paraId="4CE147A6" w14:textId="76C2C008" w:rsidR="00441980" w:rsidRPr="009838E1" w:rsidRDefault="00441980" w:rsidP="004275A6">
            <w:pPr>
              <w:pStyle w:val="Tablebullet"/>
            </w:pPr>
            <w:r w:rsidRPr="009838E1">
              <w:t xml:space="preserve">Implement new </w:t>
            </w:r>
            <w:r w:rsidR="00ED657E">
              <w:t>B</w:t>
            </w:r>
            <w:r w:rsidRPr="009838E1">
              <w:t xml:space="preserve">ulk </w:t>
            </w:r>
            <w:r w:rsidR="00ED657E">
              <w:t>S</w:t>
            </w:r>
            <w:r w:rsidRPr="009838E1">
              <w:t xml:space="preserve">upply </w:t>
            </w:r>
            <w:r w:rsidR="00ED657E">
              <w:t>A</w:t>
            </w:r>
            <w:r w:rsidRPr="009838E1">
              <w:t xml:space="preserve">greements based on formal relational contracting and incorporating new collaborative planning arrangements. </w:t>
            </w:r>
          </w:p>
          <w:p w14:paraId="798697A6" w14:textId="6426A7A9" w:rsidR="00441980" w:rsidRPr="009838E1" w:rsidRDefault="00441980" w:rsidP="004275A6">
            <w:pPr>
              <w:pStyle w:val="Tablebullet"/>
              <w:rPr>
                <w:szCs w:val="16"/>
              </w:rPr>
            </w:pPr>
            <w:r w:rsidRPr="009838E1">
              <w:rPr>
                <w:szCs w:val="16"/>
              </w:rPr>
              <w:t xml:space="preserve">Complete a collaborative long-term capital and operating plan to support Urban Water Strategies, </w:t>
            </w:r>
            <w:r w:rsidRPr="009838E1">
              <w:rPr>
                <w:i/>
                <w:szCs w:val="16"/>
              </w:rPr>
              <w:t>The Melbourne Water System Strategy</w:t>
            </w:r>
            <w:r w:rsidRPr="009838E1">
              <w:rPr>
                <w:szCs w:val="16"/>
              </w:rPr>
              <w:t xml:space="preserve"> and joint </w:t>
            </w:r>
            <w:r w:rsidRPr="009838E1">
              <w:rPr>
                <w:i/>
                <w:szCs w:val="16"/>
              </w:rPr>
              <w:t>Melbourne Sewerage Strategy</w:t>
            </w:r>
            <w:r w:rsidRPr="009838E1">
              <w:rPr>
                <w:szCs w:val="16"/>
              </w:rPr>
              <w:t xml:space="preserve"> aspirations</w:t>
            </w:r>
            <w:r w:rsidR="7E61FD95" w:rsidRPr="009838E1">
              <w:rPr>
                <w:szCs w:val="16"/>
              </w:rPr>
              <w:t>,</w:t>
            </w:r>
            <w:r w:rsidRPr="009838E1">
              <w:rPr>
                <w:szCs w:val="16"/>
              </w:rPr>
              <w:t xml:space="preserve"> and future water </w:t>
            </w:r>
            <w:r w:rsidR="15C805F6" w:rsidRPr="009838E1">
              <w:rPr>
                <w:szCs w:val="16"/>
              </w:rPr>
              <w:t>corporations</w:t>
            </w:r>
            <w:r w:rsidR="63FC6666" w:rsidRPr="009838E1">
              <w:rPr>
                <w:szCs w:val="16"/>
              </w:rPr>
              <w:t>’</w:t>
            </w:r>
            <w:r w:rsidRPr="009838E1">
              <w:rPr>
                <w:szCs w:val="16"/>
              </w:rPr>
              <w:t xml:space="preserve"> and Melbourne Water </w:t>
            </w:r>
            <w:r w:rsidR="3F92BE3B" w:rsidRPr="009838E1">
              <w:rPr>
                <w:szCs w:val="16"/>
              </w:rPr>
              <w:t>P</w:t>
            </w:r>
            <w:r w:rsidR="15C805F6" w:rsidRPr="009838E1">
              <w:rPr>
                <w:szCs w:val="16"/>
              </w:rPr>
              <w:t xml:space="preserve">rice </w:t>
            </w:r>
            <w:r w:rsidR="08AA373A" w:rsidRPr="009838E1">
              <w:rPr>
                <w:szCs w:val="16"/>
              </w:rPr>
              <w:t>S</w:t>
            </w:r>
            <w:r w:rsidRPr="009838E1">
              <w:rPr>
                <w:szCs w:val="16"/>
              </w:rPr>
              <w:t>ubmissions.</w:t>
            </w:r>
          </w:p>
          <w:p w14:paraId="3B74AE2C" w14:textId="77777777" w:rsidR="00441980" w:rsidRPr="009838E1" w:rsidRDefault="00441980" w:rsidP="004275A6">
            <w:pPr>
              <w:pStyle w:val="Tablebullet"/>
              <w:rPr>
                <w:b/>
                <w:bCs/>
                <w:szCs w:val="20"/>
              </w:rPr>
            </w:pPr>
            <w:r w:rsidRPr="009838E1">
              <w:t>We will support corporation-wide working groups to address industry pressures in collaboration with the Accord.</w:t>
            </w:r>
          </w:p>
          <w:p w14:paraId="064A92FF" w14:textId="490DB240" w:rsidR="00441980" w:rsidRPr="00DE108C" w:rsidRDefault="00441980" w:rsidP="004275A6">
            <w:pPr>
              <w:pStyle w:val="Tablebullet"/>
            </w:pPr>
            <w:r w:rsidRPr="009838E1">
              <w:rPr>
                <w:szCs w:val="16"/>
              </w:rPr>
              <w:t xml:space="preserve">We will establish an ongoing forum, which will help assess our </w:t>
            </w:r>
            <w:r w:rsidR="36F71AAD" w:rsidRPr="009838E1">
              <w:rPr>
                <w:szCs w:val="16"/>
              </w:rPr>
              <w:t>O</w:t>
            </w:r>
            <w:r w:rsidRPr="009838E1">
              <w:rPr>
                <w:szCs w:val="16"/>
              </w:rPr>
              <w:t>utcomes performance reporting and continue to report annually.</w:t>
            </w:r>
          </w:p>
        </w:tc>
        <w:tc>
          <w:tcPr>
            <w:tcW w:w="10773" w:type="dxa"/>
          </w:tcPr>
          <w:p w14:paraId="794F1AEF" w14:textId="77777777" w:rsidR="00441980" w:rsidRPr="00DE108C" w:rsidRDefault="00441980" w:rsidP="00AF77F2">
            <w:pPr>
              <w:pStyle w:val="TableText"/>
              <w:rPr>
                <w:b/>
                <w:bCs/>
              </w:rPr>
            </w:pPr>
            <w:r w:rsidRPr="00DE108C">
              <w:rPr>
                <w:b/>
                <w:bCs/>
              </w:rPr>
              <w:t>Actions and commitments we will make:</w:t>
            </w:r>
          </w:p>
          <w:p w14:paraId="6AC9426D" w14:textId="77777777" w:rsidR="00441980" w:rsidRPr="009838E1" w:rsidRDefault="00441980" w:rsidP="004275A6">
            <w:pPr>
              <w:pStyle w:val="Tablebullet"/>
            </w:pPr>
            <w:r w:rsidRPr="009838E1">
              <w:t xml:space="preserve">Undertake engagement to raise awareness and educate the community on the importance of water efficiency, sustainable practices in sewer systems and how to contribute to healthy waterways. </w:t>
            </w:r>
          </w:p>
          <w:p w14:paraId="46063653" w14:textId="77777777" w:rsidR="00441980" w:rsidRPr="009838E1" w:rsidRDefault="00441980" w:rsidP="004275A6">
            <w:pPr>
              <w:pStyle w:val="Tablebullet"/>
            </w:pPr>
            <w:r w:rsidRPr="009838E1">
              <w:t xml:space="preserve">Provide grant funding to community groups to assist in their ability to meet their own water-related sustainability goals. </w:t>
            </w:r>
          </w:p>
          <w:p w14:paraId="775EE930" w14:textId="77777777" w:rsidR="00441980" w:rsidRPr="009838E1" w:rsidRDefault="00441980" w:rsidP="004275A6">
            <w:pPr>
              <w:pStyle w:val="Tablebullet"/>
              <w:rPr>
                <w:szCs w:val="20"/>
              </w:rPr>
            </w:pPr>
            <w:r w:rsidRPr="009838E1">
              <w:t xml:space="preserve">Continue to facilitate the delivery of the </w:t>
            </w:r>
            <w:r w:rsidRPr="009838E1">
              <w:rPr>
                <w:i/>
                <w:iCs/>
                <w:szCs w:val="20"/>
              </w:rPr>
              <w:t>Burndap Birrarung burndap umarkoo</w:t>
            </w:r>
            <w:r w:rsidRPr="009838E1">
              <w:rPr>
                <w:szCs w:val="20"/>
              </w:rPr>
              <w:t xml:space="preserve"> (Yarra Strategic Plan) and commence engagement on the new plan to come into effect 2032.</w:t>
            </w:r>
          </w:p>
          <w:p w14:paraId="0F24CAE1" w14:textId="634A822D" w:rsidR="00441980" w:rsidRPr="009838E1" w:rsidRDefault="00441980" w:rsidP="004275A6">
            <w:pPr>
              <w:pStyle w:val="Tablebullet"/>
              <w:rPr>
                <w:szCs w:val="20"/>
              </w:rPr>
            </w:pPr>
            <w:r w:rsidRPr="009838E1">
              <w:t xml:space="preserve">Continue to progress formalising </w:t>
            </w:r>
            <w:r w:rsidR="374D78B7" w:rsidRPr="009838E1">
              <w:rPr>
                <w:szCs w:val="16"/>
              </w:rPr>
              <w:t>partnership</w:t>
            </w:r>
            <w:r w:rsidR="6CEF1C8D" w:rsidRPr="009838E1">
              <w:rPr>
                <w:szCs w:val="16"/>
              </w:rPr>
              <w:t>s</w:t>
            </w:r>
            <w:r w:rsidRPr="009838E1">
              <w:rPr>
                <w:szCs w:val="20"/>
              </w:rPr>
              <w:t xml:space="preserve"> with the Wurundjeri Woi</w:t>
            </w:r>
            <w:r w:rsidR="00663389" w:rsidRPr="009838E1">
              <w:rPr>
                <w:szCs w:val="20"/>
              </w:rPr>
              <w:t>-w</w:t>
            </w:r>
            <w:r w:rsidRPr="009838E1">
              <w:rPr>
                <w:szCs w:val="20"/>
              </w:rPr>
              <w:t>urrung Cultural Heritage Aboriginal Corporation.</w:t>
            </w:r>
          </w:p>
          <w:p w14:paraId="1187D7B5" w14:textId="77777777" w:rsidR="00441980" w:rsidRPr="00DE108C" w:rsidRDefault="00441980" w:rsidP="004275A6">
            <w:pPr>
              <w:pStyle w:val="Tablebullet"/>
            </w:pPr>
            <w:r w:rsidRPr="009838E1">
              <w:t>Invest in programs to support customers experiencing vulnerability. This includes amplifying the metro water corporation’s hardship programs and offering a hardship grant for waterways and drainage customers. We will embed these in water corporation agreements, where applicable.</w:t>
            </w:r>
          </w:p>
        </w:tc>
      </w:tr>
      <w:tr w:rsidR="00441980" w:rsidRPr="00DE108C" w14:paraId="5D85E7B5" w14:textId="77777777" w:rsidTr="00441980">
        <w:trPr>
          <w:trHeight w:val="830"/>
        </w:trPr>
        <w:tc>
          <w:tcPr>
            <w:tcW w:w="10485" w:type="dxa"/>
          </w:tcPr>
          <w:p w14:paraId="598130C0" w14:textId="77777777" w:rsidR="00441980" w:rsidRPr="00DE108C" w:rsidRDefault="00441980" w:rsidP="00AF77F2">
            <w:pPr>
              <w:pStyle w:val="TableText"/>
              <w:rPr>
                <w:b/>
                <w:bCs/>
              </w:rPr>
            </w:pPr>
            <w:r w:rsidRPr="00DE108C">
              <w:rPr>
                <w:b/>
                <w:bCs/>
              </w:rPr>
              <w:t>How we will keep ourselves accountable (measures):</w:t>
            </w:r>
          </w:p>
          <w:p w14:paraId="4C381210" w14:textId="77777777" w:rsidR="00441980" w:rsidRPr="00DE108C" w:rsidRDefault="00441980" w:rsidP="004275A6">
            <w:pPr>
              <w:pStyle w:val="Tablebullet"/>
            </w:pPr>
            <w:r w:rsidRPr="00DE108C">
              <w:t>Water corporations' relationship health metric.</w:t>
            </w:r>
          </w:p>
        </w:tc>
        <w:tc>
          <w:tcPr>
            <w:tcW w:w="10773" w:type="dxa"/>
          </w:tcPr>
          <w:p w14:paraId="5D17EBD3" w14:textId="77777777" w:rsidR="00441980" w:rsidRPr="00DE108C" w:rsidRDefault="00441980" w:rsidP="00AF77F2">
            <w:pPr>
              <w:pStyle w:val="TableText"/>
              <w:rPr>
                <w:b/>
                <w:bCs/>
              </w:rPr>
            </w:pPr>
            <w:r w:rsidRPr="00DE108C">
              <w:rPr>
                <w:b/>
                <w:bCs/>
              </w:rPr>
              <w:t>How we will keep ourselves accountable (measures):</w:t>
            </w:r>
          </w:p>
          <w:p w14:paraId="79BED83D" w14:textId="77777777" w:rsidR="00441980" w:rsidRPr="00DE108C" w:rsidRDefault="00441980" w:rsidP="004275A6">
            <w:pPr>
              <w:pStyle w:val="Tablebullet"/>
            </w:pPr>
            <w:r w:rsidRPr="00DE108C">
              <w:t>Number of initiatives delivered that engage community and foster shared outcomes for healthy land, water and people.</w:t>
            </w:r>
          </w:p>
          <w:p w14:paraId="297A8D27" w14:textId="77777777" w:rsidR="00441980" w:rsidRPr="00DE108C" w:rsidRDefault="00441980" w:rsidP="004275A6">
            <w:pPr>
              <w:pStyle w:val="Tablebullet"/>
            </w:pPr>
            <w:r w:rsidRPr="00DE108C">
              <w:t>Percentage of the community surveyed with a moderate or better level of water literacy.</w:t>
            </w:r>
          </w:p>
        </w:tc>
      </w:tr>
    </w:tbl>
    <w:p w14:paraId="75170316" w14:textId="77777777" w:rsidR="00767B75" w:rsidRPr="00DE108C" w:rsidRDefault="00767B75">
      <w:pPr>
        <w:pStyle w:val="PS21Heading3"/>
        <w:sectPr w:rsidR="00767B75" w:rsidRPr="00DE108C" w:rsidSect="00767B75">
          <w:pgSz w:w="23811" w:h="16838" w:orient="landscape" w:code="8"/>
          <w:pgMar w:top="1134" w:right="1134" w:bottom="1134" w:left="1134" w:header="567" w:footer="567" w:gutter="0"/>
          <w:cols w:space="567"/>
          <w:docGrid w:linePitch="272"/>
        </w:sectPr>
      </w:pPr>
    </w:p>
    <w:p w14:paraId="0EDE5842" w14:textId="77777777" w:rsidR="00767B75" w:rsidRPr="00DE108C" w:rsidRDefault="00767B75">
      <w:pPr>
        <w:pStyle w:val="Heading2"/>
      </w:pPr>
      <w:bookmarkStart w:id="334" w:name="_Toc183623980"/>
      <w:bookmarkStart w:id="335" w:name="_Toc190876142"/>
      <w:bookmarkStart w:id="336" w:name="_Toc196745212"/>
      <w:bookmarkStart w:id="337" w:name="_Toc207892894"/>
      <w:bookmarkStart w:id="338" w:name="_Toc207853387"/>
      <w:r w:rsidRPr="00DE108C">
        <w:lastRenderedPageBreak/>
        <w:t>4.3 Our commitments to our customers</w:t>
      </w:r>
      <w:bookmarkEnd w:id="334"/>
      <w:bookmarkEnd w:id="335"/>
      <w:bookmarkEnd w:id="336"/>
      <w:bookmarkEnd w:id="337"/>
      <w:bookmarkEnd w:id="338"/>
    </w:p>
    <w:p w14:paraId="02EC99CC" w14:textId="17A9E540" w:rsidR="00767B75" w:rsidRPr="00DE108C" w:rsidRDefault="00767B75" w:rsidP="00EF4115">
      <w:r w:rsidRPr="00DE108C">
        <w:t xml:space="preserve">Our Outcomes, the actions we take, our measures and performance targets collectively represent our best offer to customers. During the next regulatory period, we will hold ourselves to account by working with customer and consumer representatives to assess our performance prior to publishing our Outcomes reports. </w:t>
      </w:r>
    </w:p>
    <w:p w14:paraId="49D4D4F7" w14:textId="77777777" w:rsidR="00767B75" w:rsidRPr="00DE108C" w:rsidRDefault="00767B75">
      <w:pPr>
        <w:pStyle w:val="Heading3"/>
      </w:pPr>
      <w:bookmarkStart w:id="339" w:name="_Toc196745213"/>
      <w:r w:rsidRPr="00DE108C">
        <w:t>4.3.1 Actions we will take</w:t>
      </w:r>
      <w:bookmarkEnd w:id="339"/>
    </w:p>
    <w:p w14:paraId="04FAE7DF" w14:textId="77777777" w:rsidR="00767B75" w:rsidRPr="00DE108C" w:rsidRDefault="00767B75" w:rsidP="00EF4115">
      <w:r w:rsidRPr="00DE108C">
        <w:t>Within each Outcome, we have proposed the following targeted actions designed to deliver real value to our customers, ensuring we address their needs and priorities effectively:</w:t>
      </w:r>
    </w:p>
    <w:p w14:paraId="289DFBDA" w14:textId="77777777" w:rsidR="00767B75" w:rsidRPr="00DE108C" w:rsidRDefault="00767B75" w:rsidP="008C46DF">
      <w:pPr>
        <w:pStyle w:val="ListBullet"/>
      </w:pPr>
      <w:r w:rsidRPr="00DE108C">
        <w:rPr>
          <w:b/>
          <w:bCs/>
        </w:rPr>
        <w:t>Keep our customers up to date with any changes to the plan</w:t>
      </w:r>
      <w:r w:rsidRPr="008C46DF">
        <w:rPr>
          <w:b/>
        </w:rPr>
        <w:t>:</w:t>
      </w:r>
      <w:r w:rsidRPr="00DE108C">
        <w:t xml:space="preserve"> Transparency is at the heart of our commitment to our customers. Through clear and consistent communication, we ensure they are informed about any updates or changes, reinforcing their trust in our ability to deliver outcomes that matter to them.</w:t>
      </w:r>
    </w:p>
    <w:p w14:paraId="4FD3A99E" w14:textId="77777777" w:rsidR="00767B75" w:rsidRPr="00DE108C" w:rsidRDefault="00767B75" w:rsidP="008C46DF">
      <w:pPr>
        <w:pStyle w:val="ListBullet"/>
      </w:pPr>
      <w:r w:rsidRPr="00DE108C">
        <w:rPr>
          <w:b/>
          <w:bCs/>
        </w:rPr>
        <w:t>Regularly check-in on whether we are meeting their expectations</w:t>
      </w:r>
      <w:r w:rsidRPr="008C46DF">
        <w:rPr>
          <w:b/>
        </w:rPr>
        <w:t>:</w:t>
      </w:r>
      <w:r w:rsidRPr="00DE108C">
        <w:t xml:space="preserve"> Customer satisfaction is a key measure of our success. We are dedicated to ongoing engagement through our new ongoing customer forum, which actively seeks feedback to understand how well we are meeting their expectations. This proactive approach allows us to adapt and refine our plans to ensure we continue to meet evolving needs.</w:t>
      </w:r>
    </w:p>
    <w:p w14:paraId="061F00EC" w14:textId="77777777" w:rsidR="00767B75" w:rsidRPr="00DE108C" w:rsidRDefault="00767B75">
      <w:pPr>
        <w:pStyle w:val="Heading3"/>
      </w:pPr>
      <w:bookmarkStart w:id="340" w:name="_Toc196745214"/>
      <w:r w:rsidRPr="00DE108C">
        <w:t>4.3.2 Our targets and measuring performance</w:t>
      </w:r>
      <w:bookmarkEnd w:id="340"/>
    </w:p>
    <w:p w14:paraId="6E730E23" w14:textId="75A3A4F7" w:rsidR="00767B75" w:rsidRPr="00DE108C" w:rsidRDefault="00767B75" w:rsidP="00EF4115">
      <w:r w:rsidRPr="00DE108C">
        <w:t xml:space="preserve">We have thoroughly examined the 19 performance measures set in PS21 and will take a revised set forward in PS26. We have built our understanding and made significant learnings over the current regulatory period. Each measure we take forward is measurable, clearly defined in our </w:t>
      </w:r>
      <w:r w:rsidR="713E6C5A">
        <w:t>K</w:t>
      </w:r>
      <w:r w:rsidR="17ED3CE2">
        <w:t xml:space="preserve">ey </w:t>
      </w:r>
      <w:r w:rsidR="713E6C5A">
        <w:t>P</w:t>
      </w:r>
      <w:r w:rsidR="57D8C968">
        <w:t xml:space="preserve">erformance </w:t>
      </w:r>
      <w:r w:rsidR="713E6C5A">
        <w:t>I</w:t>
      </w:r>
      <w:r w:rsidR="01998837">
        <w:t>ndicator (</w:t>
      </w:r>
      <w:r w:rsidRPr="00DE108C">
        <w:t>KPI</w:t>
      </w:r>
      <w:r w:rsidR="01998837">
        <w:t>)</w:t>
      </w:r>
      <w:r w:rsidRPr="00DE108C">
        <w:t xml:space="preserve"> Handbook</w:t>
      </w:r>
      <w:r w:rsidR="5FF38FD8" w:rsidRPr="00DE108C">
        <w:t>,</w:t>
      </w:r>
      <w:r w:rsidRPr="00DE108C">
        <w:t xml:space="preserve"> and unambiguous. Our new set of performance measures has been designed to reflect the aspects of each Outcome that customers or regulators have said is most important. In combination, this suite of measures will allow for a holistic assessment of our performance for that Outcome. We acknowledge that our Outcomes reflect short-, medium- and long-term aspirations. Therefore, some measures will remain as key inputs to delivery and actions.</w:t>
      </w:r>
    </w:p>
    <w:p w14:paraId="4EF23B97" w14:textId="7E28C141" w:rsidR="00767B75" w:rsidRPr="00DE108C" w:rsidRDefault="00767B75" w:rsidP="00EF4115">
      <w:r w:rsidRPr="00DE108C">
        <w:t>We have made significant learnings over the current regulatory period about the need to better specify and accurately measure customer sentiment. We have proposed three unambiguous measures of customer sentiment that are reflective of the four services we provide:</w:t>
      </w:r>
    </w:p>
    <w:p w14:paraId="3DE4F8D5" w14:textId="0363C346" w:rsidR="00767B75" w:rsidRPr="00DE108C" w:rsidRDefault="00767B75" w:rsidP="002968BA">
      <w:pPr>
        <w:pStyle w:val="ListBullet"/>
      </w:pPr>
      <w:r w:rsidRPr="00DE108C">
        <w:t>Noting that the water corporations are our key partners in effectively delivering Outcome 1 (bulk water) and Outcome 2 (bulk sewerage), we have worked closely with them to co-develop a new water corporations relationship health score. We will report this measure under Outcome 5 (partnerships).</w:t>
      </w:r>
    </w:p>
    <w:p w14:paraId="142AC937" w14:textId="77777777" w:rsidR="00767B75" w:rsidRPr="00DE108C" w:rsidRDefault="00767B75" w:rsidP="002968BA">
      <w:pPr>
        <w:pStyle w:val="ListBullet"/>
      </w:pPr>
      <w:r w:rsidRPr="00DE108C">
        <w:t>For Outcome 3 (waterways) we will measure community satisfaction with our waterways service.</w:t>
      </w:r>
    </w:p>
    <w:p w14:paraId="4876018C" w14:textId="31A5BFDF" w:rsidR="00767B75" w:rsidRPr="00DE108C" w:rsidRDefault="00767B75" w:rsidP="002968BA">
      <w:pPr>
        <w:pStyle w:val="ListBullet"/>
      </w:pPr>
      <w:r w:rsidRPr="00DE108C">
        <w:t xml:space="preserve">For Outcome 4 (flood and drainage) we will measure </w:t>
      </w:r>
      <w:r w:rsidR="7370FA05">
        <w:t xml:space="preserve">a </w:t>
      </w:r>
      <w:r w:rsidRPr="00DE108C">
        <w:t>developer application satisfaction score.</w:t>
      </w:r>
    </w:p>
    <w:p w14:paraId="72262508" w14:textId="1E828271" w:rsidR="00767B75" w:rsidRPr="00DE108C" w:rsidRDefault="00767B75" w:rsidP="00EF4115">
      <w:r w:rsidRPr="00DE108C">
        <w:t xml:space="preserve">The full suite of measures is set out in Table 4.6. </w:t>
      </w:r>
    </w:p>
    <w:p w14:paraId="3C67A78E" w14:textId="77777777" w:rsidR="00767B75" w:rsidRPr="00DE108C" w:rsidRDefault="00767B75" w:rsidP="00BC2765">
      <w:pPr>
        <w:pStyle w:val="Caption"/>
      </w:pPr>
      <w:bookmarkStart w:id="341" w:name="_Toc207893008"/>
      <w:bookmarkStart w:id="342" w:name="_Toc208490532"/>
      <w:bookmarkStart w:id="343" w:name="_Toc208490870"/>
      <w:bookmarkStart w:id="344" w:name="_Toc208911028"/>
      <w:bookmarkStart w:id="345" w:name="_Toc210051334"/>
      <w:r w:rsidRPr="00DE108C">
        <w:lastRenderedPageBreak/>
        <w:t>Table 4.6: Outcome measures</w:t>
      </w:r>
      <w:bookmarkEnd w:id="341"/>
      <w:bookmarkEnd w:id="342"/>
      <w:bookmarkEnd w:id="343"/>
      <w:bookmarkEnd w:id="344"/>
      <w:bookmarkEnd w:id="345"/>
      <w:r w:rsidRPr="00DE108C">
        <w:t xml:space="preserve"> </w:t>
      </w:r>
    </w:p>
    <w:tbl>
      <w:tblPr>
        <w:tblStyle w:val="TableGrid"/>
        <w:tblW w:w="0" w:type="auto"/>
        <w:tblLook w:val="04A0" w:firstRow="1" w:lastRow="0" w:firstColumn="1" w:lastColumn="0" w:noHBand="0" w:noVBand="1"/>
      </w:tblPr>
      <w:tblGrid>
        <w:gridCol w:w="1472"/>
        <w:gridCol w:w="5070"/>
        <w:gridCol w:w="2595"/>
      </w:tblGrid>
      <w:tr w:rsidR="00051542" w:rsidRPr="00DE108C" w14:paraId="09AB90BD" w14:textId="77777777">
        <w:trPr>
          <w:cnfStyle w:val="100000000000" w:firstRow="1" w:lastRow="0" w:firstColumn="0" w:lastColumn="0" w:oddVBand="0" w:evenVBand="0" w:oddHBand="0" w:evenHBand="0" w:firstRowFirstColumn="0" w:firstRowLastColumn="0" w:lastRowFirstColumn="0" w:lastRowLastColumn="0"/>
          <w:trHeight w:val="300"/>
        </w:trPr>
        <w:tc>
          <w:tcPr>
            <w:tcW w:w="1350" w:type="dxa"/>
          </w:tcPr>
          <w:p w14:paraId="6F93D1F8" w14:textId="77777777" w:rsidR="00767B75" w:rsidRPr="00DE108C" w:rsidRDefault="00767B75" w:rsidP="00EF4115">
            <w:pPr>
              <w:pStyle w:val="TableHeading"/>
              <w:rPr>
                <w:szCs w:val="18"/>
              </w:rPr>
            </w:pPr>
            <w:r w:rsidRPr="00DE108C">
              <w:t>Outcome</w:t>
            </w:r>
          </w:p>
        </w:tc>
        <w:tc>
          <w:tcPr>
            <w:tcW w:w="5070" w:type="dxa"/>
          </w:tcPr>
          <w:p w14:paraId="14EAF9B4" w14:textId="77777777" w:rsidR="00767B75" w:rsidRPr="00DE108C" w:rsidRDefault="00767B75" w:rsidP="00EF4115">
            <w:pPr>
              <w:pStyle w:val="TableHeading"/>
              <w:rPr>
                <w:szCs w:val="18"/>
              </w:rPr>
            </w:pPr>
            <w:r w:rsidRPr="00DE108C">
              <w:t>Measures</w:t>
            </w:r>
          </w:p>
        </w:tc>
        <w:tc>
          <w:tcPr>
            <w:tcW w:w="2595" w:type="dxa"/>
          </w:tcPr>
          <w:p w14:paraId="157A235E" w14:textId="77777777" w:rsidR="00767B75" w:rsidRPr="00DE108C" w:rsidRDefault="00767B75" w:rsidP="00EF4115">
            <w:pPr>
              <w:pStyle w:val="TableHeading"/>
            </w:pPr>
            <w:r w:rsidRPr="00DE108C">
              <w:t>Performance Direction</w:t>
            </w:r>
          </w:p>
        </w:tc>
      </w:tr>
      <w:tr w:rsidR="00767B75" w:rsidRPr="00DE108C" w14:paraId="7B002D37" w14:textId="77777777">
        <w:trPr>
          <w:trHeight w:val="600"/>
        </w:trPr>
        <w:tc>
          <w:tcPr>
            <w:tcW w:w="1350" w:type="dxa"/>
          </w:tcPr>
          <w:p w14:paraId="15DC4FFF" w14:textId="77777777" w:rsidR="00767B75" w:rsidRPr="00DE108C" w:rsidRDefault="00767B75" w:rsidP="00EF4115">
            <w:pPr>
              <w:pStyle w:val="TableText"/>
            </w:pPr>
            <w:r w:rsidRPr="00DE108C">
              <w:t>Outcome 1: Safe and reliable bulk water supplies for now and the long term</w:t>
            </w:r>
          </w:p>
        </w:tc>
        <w:tc>
          <w:tcPr>
            <w:tcW w:w="5070" w:type="dxa"/>
          </w:tcPr>
          <w:p w14:paraId="3FF598FE" w14:textId="77777777" w:rsidR="00767B75" w:rsidRPr="00C71034" w:rsidRDefault="00767B75" w:rsidP="00917D33">
            <w:pPr>
              <w:pStyle w:val="Tablenumber"/>
            </w:pPr>
            <w:r w:rsidRPr="00C71034">
              <w:t xml:space="preserve">Number of </w:t>
            </w:r>
            <w:r w:rsidRPr="00C71034">
              <w:rPr>
                <w:i/>
              </w:rPr>
              <w:t>Safe Drinking Water Act</w:t>
            </w:r>
            <w:r w:rsidRPr="00C71034">
              <w:t xml:space="preserve"> non-compliances.</w:t>
            </w:r>
          </w:p>
          <w:p w14:paraId="4BFB1A52" w14:textId="72ABBC83" w:rsidR="00767B75" w:rsidRPr="00DE108C" w:rsidRDefault="00767B75" w:rsidP="00917D33">
            <w:pPr>
              <w:pStyle w:val="Tablenumber"/>
            </w:pPr>
            <w:r w:rsidRPr="40AD8E0A">
              <w:t xml:space="preserve">Percentage of time compliant with </w:t>
            </w:r>
            <w:r w:rsidRPr="00E23FEF">
              <w:t xml:space="preserve">water </w:t>
            </w:r>
            <w:r w:rsidR="7D9AA667" w:rsidRPr="00E23FEF">
              <w:t>corporation</w:t>
            </w:r>
            <w:r w:rsidRPr="40AD8E0A">
              <w:t xml:space="preserve"> pressure requirements. </w:t>
            </w:r>
          </w:p>
          <w:p w14:paraId="7B2D91A7" w14:textId="416BE7F3" w:rsidR="00767B75" w:rsidRPr="0085773A" w:rsidRDefault="00767B75" w:rsidP="00917D33">
            <w:pPr>
              <w:pStyle w:val="Tablenumber"/>
              <w:rPr>
                <w:rFonts w:eastAsia="Aptos Narrow" w:cs="Aptos Narrow"/>
              </w:rPr>
            </w:pPr>
            <w:r w:rsidRPr="40AD8E0A">
              <w:t xml:space="preserve">Percentage of transfer system losses as a percentage of water supplied to </w:t>
            </w:r>
            <w:r w:rsidRPr="00E23FEF">
              <w:t xml:space="preserve">water </w:t>
            </w:r>
            <w:r w:rsidR="04E9AA47" w:rsidRPr="00E23FEF">
              <w:t>corporation</w:t>
            </w:r>
            <w:r w:rsidR="00AC75BB" w:rsidRPr="00E23FEF">
              <w:t>s</w:t>
            </w:r>
            <w:r w:rsidRPr="40AD8E0A">
              <w:t>.</w:t>
            </w:r>
          </w:p>
          <w:p w14:paraId="1E39BA04" w14:textId="77777777" w:rsidR="00767B75" w:rsidRPr="0085773A" w:rsidRDefault="00767B75" w:rsidP="00917D33">
            <w:pPr>
              <w:pStyle w:val="Tablenumber"/>
              <w:rPr>
                <w:rFonts w:eastAsia="Aptos Narrow" w:cs="Aptos Narrow"/>
              </w:rPr>
            </w:pPr>
            <w:r w:rsidRPr="40AD8E0A">
              <w:t>Conduct detailed investigations to progress the critical path for new large-scale water infrastructure.</w:t>
            </w:r>
          </w:p>
        </w:tc>
        <w:tc>
          <w:tcPr>
            <w:tcW w:w="2595" w:type="dxa"/>
          </w:tcPr>
          <w:p w14:paraId="27A1F928" w14:textId="77777777" w:rsidR="00767B75" w:rsidRPr="00DE108C" w:rsidRDefault="00767B75" w:rsidP="00EF4115">
            <w:pPr>
              <w:pStyle w:val="TableText"/>
              <w:rPr>
                <w:rFonts w:eastAsiaTheme="minorEastAsia"/>
              </w:rPr>
            </w:pPr>
            <w:r w:rsidRPr="00DE108C">
              <w:rPr>
                <w:rFonts w:eastAsiaTheme="minorEastAsia"/>
              </w:rPr>
              <w:t xml:space="preserve">We will invest to </w:t>
            </w:r>
            <w:r w:rsidRPr="00DE108C">
              <w:rPr>
                <w:rFonts w:eastAsiaTheme="minorEastAsia"/>
                <w:b/>
              </w:rPr>
              <w:t xml:space="preserve">maintain and comply </w:t>
            </w:r>
            <w:r w:rsidRPr="00DE108C">
              <w:rPr>
                <w:rFonts w:eastAsiaTheme="minorEastAsia"/>
              </w:rPr>
              <w:t>with current levels of performance water transfer and water quality, backing the latter with a new GSL.</w:t>
            </w:r>
          </w:p>
          <w:p w14:paraId="0BE034DF" w14:textId="77777777" w:rsidR="00767B75" w:rsidRPr="00DE108C" w:rsidRDefault="00767B75" w:rsidP="00EF4115">
            <w:pPr>
              <w:pStyle w:val="TableText"/>
              <w:rPr>
                <w:rFonts w:eastAsiaTheme="minorEastAsia"/>
              </w:rPr>
            </w:pPr>
          </w:p>
          <w:p w14:paraId="33591179" w14:textId="79DA4758" w:rsidR="00767B75" w:rsidRPr="00DE108C" w:rsidRDefault="00767B75" w:rsidP="00EF4115">
            <w:pPr>
              <w:pStyle w:val="TableText"/>
              <w:rPr>
                <w:rFonts w:eastAsiaTheme="minorEastAsia"/>
              </w:rPr>
            </w:pPr>
            <w:r w:rsidRPr="00DE108C">
              <w:rPr>
                <w:rFonts w:eastAsiaTheme="minorEastAsia"/>
              </w:rPr>
              <w:t xml:space="preserve">We will invest to </w:t>
            </w:r>
            <w:r w:rsidRPr="00DE108C">
              <w:rPr>
                <w:rFonts w:eastAsiaTheme="minorEastAsia"/>
                <w:b/>
              </w:rPr>
              <w:t xml:space="preserve">improve </w:t>
            </w:r>
            <w:r w:rsidRPr="00DE108C">
              <w:rPr>
                <w:rFonts w:eastAsiaTheme="minorEastAsia"/>
              </w:rPr>
              <w:t>water security.</w:t>
            </w:r>
          </w:p>
        </w:tc>
      </w:tr>
      <w:tr w:rsidR="00051542" w:rsidRPr="00DE108C" w14:paraId="04E06491" w14:textId="77777777" w:rsidTr="40AD8E0A">
        <w:trPr>
          <w:cnfStyle w:val="000000010000" w:firstRow="0" w:lastRow="0" w:firstColumn="0" w:lastColumn="0" w:oddVBand="0" w:evenVBand="0" w:oddHBand="0" w:evenHBand="1" w:firstRowFirstColumn="0" w:firstRowLastColumn="0" w:lastRowFirstColumn="0" w:lastRowLastColumn="0"/>
          <w:trHeight w:val="3945"/>
        </w:trPr>
        <w:tc>
          <w:tcPr>
            <w:tcW w:w="1350" w:type="dxa"/>
          </w:tcPr>
          <w:p w14:paraId="50D38426" w14:textId="77777777" w:rsidR="00767B75" w:rsidRPr="00DE108C" w:rsidRDefault="00767B75" w:rsidP="00EF4115">
            <w:pPr>
              <w:pStyle w:val="TableText"/>
            </w:pPr>
            <w:r w:rsidRPr="00DE108C">
              <w:t>Outcome 2: Environmentally sustainable and reliable bulk sewerage services</w:t>
            </w:r>
          </w:p>
        </w:tc>
        <w:tc>
          <w:tcPr>
            <w:tcW w:w="5070" w:type="dxa"/>
          </w:tcPr>
          <w:p w14:paraId="5D8198AB" w14:textId="6515F1EE" w:rsidR="00767B75" w:rsidRPr="00DE108C" w:rsidRDefault="00767B75" w:rsidP="00917D33">
            <w:pPr>
              <w:pStyle w:val="Tablenumber"/>
            </w:pPr>
            <w:r w:rsidRPr="40AD8E0A">
              <w:t>Non-compliances with our EPA Victoria licence conditions for all effluent discharge limits at Eastern Treatment Plant.</w:t>
            </w:r>
          </w:p>
          <w:p w14:paraId="4FCAC36B" w14:textId="2C98CDCA" w:rsidR="00767B75" w:rsidRPr="00DE108C" w:rsidRDefault="00767B75" w:rsidP="00917D33">
            <w:pPr>
              <w:pStyle w:val="Tablenumber"/>
            </w:pPr>
            <w:r w:rsidRPr="40AD8E0A">
              <w:t>Non-compliances with our EPA Victoria licence conditions for all effluent discharge limits at Western Treatment Plant.</w:t>
            </w:r>
          </w:p>
          <w:p w14:paraId="30B7BDE8" w14:textId="15F2714A" w:rsidR="00767B75" w:rsidRPr="00DE108C" w:rsidRDefault="00767B75" w:rsidP="00917D33">
            <w:pPr>
              <w:pStyle w:val="Tablenumber"/>
            </w:pPr>
            <w:r w:rsidRPr="40AD8E0A">
              <w:t>Net amount of greenhouse gas emissions (CO</w:t>
            </w:r>
            <w:r w:rsidRPr="40AD8E0A">
              <w:rPr>
                <w:vertAlign w:val="subscript"/>
              </w:rPr>
              <w:t>2</w:t>
            </w:r>
            <w:r w:rsidRPr="40AD8E0A">
              <w:t>-e) produced at all sites.</w:t>
            </w:r>
          </w:p>
          <w:p w14:paraId="13FD458D" w14:textId="77777777" w:rsidR="00767B75" w:rsidRPr="00DE108C" w:rsidRDefault="00767B75" w:rsidP="00917D33">
            <w:pPr>
              <w:pStyle w:val="Tablenumber"/>
            </w:pPr>
            <w:r w:rsidRPr="40AD8E0A">
              <w:t>Number of sewer spills across our transfer network due to system failure.</w:t>
            </w:r>
          </w:p>
          <w:p w14:paraId="248D9783" w14:textId="33500BA6" w:rsidR="00767B75" w:rsidRPr="00DE108C" w:rsidRDefault="00767B75" w:rsidP="00917D33">
            <w:pPr>
              <w:pStyle w:val="Tablenumber"/>
            </w:pPr>
            <w:r w:rsidRPr="40AD8E0A">
              <w:t xml:space="preserve">Volume of sewer spills across our transfer network due to system failure. </w:t>
            </w:r>
          </w:p>
        </w:tc>
        <w:tc>
          <w:tcPr>
            <w:tcW w:w="2595" w:type="dxa"/>
          </w:tcPr>
          <w:p w14:paraId="66FA42F2" w14:textId="77777777" w:rsidR="00767B75" w:rsidRPr="00DE108C" w:rsidRDefault="00767B75" w:rsidP="00EF4115">
            <w:pPr>
              <w:pStyle w:val="TableText"/>
              <w:rPr>
                <w:rFonts w:eastAsiaTheme="minorEastAsia"/>
              </w:rPr>
            </w:pPr>
            <w:r w:rsidRPr="00DE108C">
              <w:rPr>
                <w:rFonts w:eastAsiaTheme="minorEastAsia"/>
              </w:rPr>
              <w:t xml:space="preserve">We will invest to </w:t>
            </w:r>
            <w:r w:rsidRPr="00DE108C">
              <w:rPr>
                <w:rFonts w:eastAsiaTheme="minorEastAsia"/>
                <w:b/>
              </w:rPr>
              <w:t xml:space="preserve">maintain </w:t>
            </w:r>
            <w:r w:rsidRPr="00DE108C">
              <w:rPr>
                <w:rFonts w:eastAsiaTheme="minorEastAsia"/>
              </w:rPr>
              <w:t>performance of the transfer network.</w:t>
            </w:r>
          </w:p>
          <w:p w14:paraId="29E72D42" w14:textId="77777777" w:rsidR="00767B75" w:rsidRPr="00DE108C" w:rsidRDefault="00767B75" w:rsidP="00EF4115">
            <w:pPr>
              <w:pStyle w:val="TableText"/>
              <w:rPr>
                <w:rFonts w:eastAsiaTheme="minorEastAsia"/>
              </w:rPr>
            </w:pPr>
          </w:p>
          <w:p w14:paraId="24C013AC" w14:textId="476C2A4B" w:rsidR="00767B75" w:rsidRPr="00DE108C" w:rsidRDefault="00767B75" w:rsidP="00EF4115">
            <w:pPr>
              <w:pStyle w:val="TableText"/>
              <w:rPr>
                <w:rFonts w:eastAsiaTheme="minorEastAsia"/>
              </w:rPr>
            </w:pPr>
            <w:r w:rsidRPr="00DE108C">
              <w:rPr>
                <w:rFonts w:eastAsiaTheme="minorEastAsia"/>
              </w:rPr>
              <w:t xml:space="preserve">We will invest to </w:t>
            </w:r>
            <w:r w:rsidRPr="00DE108C">
              <w:rPr>
                <w:rFonts w:eastAsiaTheme="minorEastAsia"/>
                <w:b/>
              </w:rPr>
              <w:t xml:space="preserve">improve </w:t>
            </w:r>
            <w:r w:rsidRPr="00DE108C">
              <w:rPr>
                <w:rFonts w:eastAsiaTheme="minorEastAsia"/>
              </w:rPr>
              <w:t xml:space="preserve">treatment plant compliance and progress </w:t>
            </w:r>
            <w:r w:rsidR="00EC56D8">
              <w:rPr>
                <w:rFonts w:eastAsiaTheme="minorEastAsia"/>
              </w:rPr>
              <w:t>toward</w:t>
            </w:r>
            <w:r w:rsidRPr="00DE108C">
              <w:rPr>
                <w:rFonts w:eastAsiaTheme="minorEastAsia"/>
              </w:rPr>
              <w:t xml:space="preserve"> net zero. </w:t>
            </w:r>
          </w:p>
          <w:p w14:paraId="77BF6707" w14:textId="77777777" w:rsidR="00767B75" w:rsidRPr="00DE108C" w:rsidRDefault="00767B75" w:rsidP="00EF4115">
            <w:pPr>
              <w:pStyle w:val="TableText"/>
              <w:rPr>
                <w:rFonts w:eastAsiaTheme="minorEastAsia"/>
              </w:rPr>
            </w:pPr>
          </w:p>
        </w:tc>
      </w:tr>
      <w:tr w:rsidR="00767B75" w:rsidRPr="00DE108C" w14:paraId="6735C4E9" w14:textId="77777777">
        <w:trPr>
          <w:trHeight w:val="300"/>
        </w:trPr>
        <w:tc>
          <w:tcPr>
            <w:tcW w:w="1350" w:type="dxa"/>
          </w:tcPr>
          <w:p w14:paraId="2F7ECD3E" w14:textId="77777777" w:rsidR="00767B75" w:rsidRPr="00DE108C" w:rsidRDefault="00767B75" w:rsidP="00EF4115">
            <w:pPr>
              <w:pStyle w:val="TableText"/>
            </w:pPr>
            <w:r w:rsidRPr="00DE108C">
              <w:t>Outcome 3: Healthy, resilient waterways</w:t>
            </w:r>
          </w:p>
        </w:tc>
        <w:tc>
          <w:tcPr>
            <w:tcW w:w="5070" w:type="dxa"/>
          </w:tcPr>
          <w:p w14:paraId="2E9490B3" w14:textId="77777777" w:rsidR="00767B75" w:rsidRPr="00DE108C" w:rsidRDefault="00767B75" w:rsidP="00917D33">
            <w:pPr>
              <w:pStyle w:val="Tablenumber"/>
            </w:pPr>
            <w:r w:rsidRPr="40AD8E0A">
              <w:t xml:space="preserve">Length (kms) along waterways managed for ecological benefit. </w:t>
            </w:r>
          </w:p>
          <w:p w14:paraId="14800051" w14:textId="77777777" w:rsidR="00767B75" w:rsidRPr="00DE108C" w:rsidRDefault="00767B75" w:rsidP="00917D33">
            <w:pPr>
              <w:pStyle w:val="Tablenumber"/>
            </w:pPr>
            <w:r w:rsidRPr="40AD8E0A">
              <w:t>Number of projects funded within the waterways and drainage incentives program.</w:t>
            </w:r>
          </w:p>
          <w:p w14:paraId="0D98DC60" w14:textId="77777777" w:rsidR="00767B75" w:rsidRPr="00DE108C" w:rsidRDefault="00767B75" w:rsidP="00917D33">
            <w:pPr>
              <w:pStyle w:val="Tablenumber"/>
            </w:pPr>
            <w:r w:rsidRPr="40AD8E0A">
              <w:t>Overall satisfaction with our Waterways Service.</w:t>
            </w:r>
          </w:p>
        </w:tc>
        <w:tc>
          <w:tcPr>
            <w:tcW w:w="2595" w:type="dxa"/>
          </w:tcPr>
          <w:p w14:paraId="3C4B0426" w14:textId="661072D7" w:rsidR="00767B75" w:rsidRPr="00DE108C" w:rsidRDefault="00767B75" w:rsidP="00EF4115">
            <w:pPr>
              <w:pStyle w:val="TableText"/>
              <w:rPr>
                <w:rFonts w:eastAsiaTheme="minorEastAsia"/>
              </w:rPr>
            </w:pPr>
            <w:r w:rsidRPr="00DE108C">
              <w:rPr>
                <w:rFonts w:eastAsiaTheme="minorEastAsia"/>
              </w:rPr>
              <w:t xml:space="preserve">We will </w:t>
            </w:r>
            <w:r w:rsidRPr="00DE108C">
              <w:rPr>
                <w:rFonts w:eastAsiaTheme="minorEastAsia"/>
                <w:b/>
              </w:rPr>
              <w:t xml:space="preserve">maintain </w:t>
            </w:r>
            <w:r w:rsidRPr="00DE108C">
              <w:rPr>
                <w:rFonts w:eastAsiaTheme="minorEastAsia"/>
              </w:rPr>
              <w:t>satisfaction with our waterways service</w:t>
            </w:r>
            <w:r w:rsidR="79F8B30D" w:rsidRPr="40AD8E0A">
              <w:rPr>
                <w:rFonts w:eastAsiaTheme="minorEastAsia"/>
              </w:rPr>
              <w:t>.</w:t>
            </w:r>
          </w:p>
          <w:p w14:paraId="24EB0544" w14:textId="58081143" w:rsidR="00767B75" w:rsidRPr="00DE108C" w:rsidRDefault="00767B75" w:rsidP="00EF4115">
            <w:pPr>
              <w:pStyle w:val="TableText"/>
              <w:rPr>
                <w:rFonts w:eastAsiaTheme="minorEastAsia"/>
              </w:rPr>
            </w:pPr>
            <w:r w:rsidRPr="00DE108C">
              <w:rPr>
                <w:rFonts w:eastAsiaTheme="minorEastAsia"/>
              </w:rPr>
              <w:t xml:space="preserve">We will invest to </w:t>
            </w:r>
            <w:r w:rsidRPr="00DE108C">
              <w:rPr>
                <w:rFonts w:eastAsiaTheme="minorEastAsia"/>
                <w:b/>
              </w:rPr>
              <w:t xml:space="preserve">improve </w:t>
            </w:r>
            <w:r w:rsidRPr="00DE108C">
              <w:rPr>
                <w:rFonts w:eastAsiaTheme="minorEastAsia"/>
              </w:rPr>
              <w:t>the length of waterway managed for ecological benefit</w:t>
            </w:r>
            <w:r w:rsidR="5C4F440B" w:rsidRPr="40AD8E0A">
              <w:rPr>
                <w:rFonts w:eastAsiaTheme="minorEastAsia"/>
              </w:rPr>
              <w:t>.</w:t>
            </w:r>
          </w:p>
        </w:tc>
      </w:tr>
      <w:tr w:rsidR="00051542" w:rsidRPr="00DE108C" w14:paraId="093EBB10" w14:textId="77777777">
        <w:trPr>
          <w:cnfStyle w:val="000000010000" w:firstRow="0" w:lastRow="0" w:firstColumn="0" w:lastColumn="0" w:oddVBand="0" w:evenVBand="0" w:oddHBand="0" w:evenHBand="1" w:firstRowFirstColumn="0" w:firstRowLastColumn="0" w:lastRowFirstColumn="0" w:lastRowLastColumn="0"/>
          <w:trHeight w:val="300"/>
        </w:trPr>
        <w:tc>
          <w:tcPr>
            <w:tcW w:w="1350" w:type="dxa"/>
          </w:tcPr>
          <w:p w14:paraId="14D01C3A" w14:textId="77777777" w:rsidR="00767B75" w:rsidRPr="00DE108C" w:rsidRDefault="00767B75" w:rsidP="00EF4115">
            <w:pPr>
              <w:pStyle w:val="TableText"/>
            </w:pPr>
            <w:r w:rsidRPr="00DE108C">
              <w:t xml:space="preserve">Outcome 4: Urban drainage and flood resilience </w:t>
            </w:r>
          </w:p>
        </w:tc>
        <w:tc>
          <w:tcPr>
            <w:tcW w:w="5070" w:type="dxa"/>
          </w:tcPr>
          <w:p w14:paraId="0ED7A109" w14:textId="77777777" w:rsidR="00767B75" w:rsidRPr="00DE108C" w:rsidRDefault="00767B75" w:rsidP="00917D33">
            <w:pPr>
              <w:pStyle w:val="Tablenumber"/>
            </w:pPr>
            <w:r w:rsidRPr="40AD8E0A">
              <w:t>Number of catchments where new flood information is completed.</w:t>
            </w:r>
          </w:p>
          <w:p w14:paraId="01498015" w14:textId="77777777" w:rsidR="00767B75" w:rsidRPr="00DE108C" w:rsidRDefault="00767B75" w:rsidP="00917D33">
            <w:pPr>
              <w:pStyle w:val="Tablenumber"/>
            </w:pPr>
            <w:r w:rsidRPr="40AD8E0A">
              <w:t>Average estimated flood damages reduced as a result of Melbourne Water’s programs</w:t>
            </w:r>
          </w:p>
          <w:p w14:paraId="7BC366BD" w14:textId="77777777" w:rsidR="00767B75" w:rsidRPr="00DE108C" w:rsidRDefault="00767B75" w:rsidP="00917D33">
            <w:pPr>
              <w:pStyle w:val="Tablenumber"/>
            </w:pPr>
            <w:r w:rsidRPr="40AD8E0A">
              <w:t>Responses to our urban planning and development statutory and non-statutory applications are completed within the agreed timeline.</w:t>
            </w:r>
          </w:p>
          <w:p w14:paraId="12495AF3" w14:textId="77777777" w:rsidR="00767B75" w:rsidRPr="00DE108C" w:rsidRDefault="00767B75" w:rsidP="00917D33">
            <w:pPr>
              <w:pStyle w:val="Tablenumber"/>
            </w:pPr>
            <w:r w:rsidRPr="40AD8E0A">
              <w:t xml:space="preserve">Developer Application satisfaction score. </w:t>
            </w:r>
          </w:p>
        </w:tc>
        <w:tc>
          <w:tcPr>
            <w:tcW w:w="2595" w:type="dxa"/>
          </w:tcPr>
          <w:p w14:paraId="2332C5B7" w14:textId="55385E07" w:rsidR="00767B75" w:rsidRPr="00DE108C" w:rsidRDefault="00767B75" w:rsidP="00EF4115">
            <w:pPr>
              <w:pStyle w:val="TableText"/>
              <w:rPr>
                <w:rFonts w:eastAsiaTheme="minorEastAsia"/>
              </w:rPr>
            </w:pPr>
            <w:r w:rsidRPr="00DE108C">
              <w:rPr>
                <w:rFonts w:eastAsiaTheme="minorEastAsia"/>
              </w:rPr>
              <w:t xml:space="preserve">We will invest to </w:t>
            </w:r>
            <w:r w:rsidRPr="00DE108C">
              <w:rPr>
                <w:rFonts w:eastAsiaTheme="minorEastAsia"/>
                <w:b/>
              </w:rPr>
              <w:t xml:space="preserve">improve </w:t>
            </w:r>
            <w:r w:rsidRPr="00DE108C">
              <w:rPr>
                <w:rFonts w:eastAsiaTheme="minorEastAsia"/>
              </w:rPr>
              <w:t>flood information and reduce estimated flood damages as a result of our works</w:t>
            </w:r>
            <w:r w:rsidR="3EC79DC5" w:rsidRPr="40AD8E0A">
              <w:rPr>
                <w:rFonts w:eastAsiaTheme="minorEastAsia"/>
              </w:rPr>
              <w:t>.</w:t>
            </w:r>
          </w:p>
          <w:p w14:paraId="6DD7C21D" w14:textId="2C1482A8" w:rsidR="00767B75" w:rsidRPr="00DE108C" w:rsidRDefault="00767B75" w:rsidP="00EF4115">
            <w:pPr>
              <w:pStyle w:val="TableText"/>
              <w:rPr>
                <w:rFonts w:eastAsiaTheme="minorEastAsia"/>
              </w:rPr>
            </w:pPr>
            <w:r w:rsidRPr="00DE108C">
              <w:rPr>
                <w:rFonts w:eastAsiaTheme="minorEastAsia"/>
              </w:rPr>
              <w:t xml:space="preserve">We will invest to </w:t>
            </w:r>
            <w:r w:rsidRPr="00DE108C">
              <w:rPr>
                <w:rFonts w:eastAsiaTheme="minorEastAsia"/>
                <w:b/>
              </w:rPr>
              <w:t xml:space="preserve">maintain </w:t>
            </w:r>
            <w:r w:rsidRPr="00DE108C">
              <w:rPr>
                <w:rFonts w:eastAsiaTheme="minorEastAsia"/>
              </w:rPr>
              <w:t>recent gains in timeliness of responses and developer satisfaction</w:t>
            </w:r>
            <w:r w:rsidR="5C4F440B" w:rsidRPr="40AD8E0A">
              <w:rPr>
                <w:rFonts w:eastAsiaTheme="minorEastAsia"/>
              </w:rPr>
              <w:t>.</w:t>
            </w:r>
            <w:r w:rsidRPr="00DE108C">
              <w:rPr>
                <w:rFonts w:eastAsiaTheme="minorEastAsia"/>
              </w:rPr>
              <w:t xml:space="preserve"> </w:t>
            </w:r>
          </w:p>
        </w:tc>
      </w:tr>
      <w:tr w:rsidR="00767B75" w:rsidRPr="00DE108C" w14:paraId="5DE9A666" w14:textId="77777777">
        <w:trPr>
          <w:trHeight w:val="300"/>
        </w:trPr>
        <w:tc>
          <w:tcPr>
            <w:tcW w:w="1350" w:type="dxa"/>
          </w:tcPr>
          <w:p w14:paraId="469B1746" w14:textId="77777777" w:rsidR="00767B75" w:rsidRPr="00DE108C" w:rsidRDefault="00767B75" w:rsidP="00EF4115">
            <w:pPr>
              <w:pStyle w:val="TableText"/>
            </w:pPr>
            <w:r w:rsidRPr="00DE108C">
              <w:t>Outcome 5: A valued partner in water cycle services</w:t>
            </w:r>
          </w:p>
        </w:tc>
        <w:tc>
          <w:tcPr>
            <w:tcW w:w="5070" w:type="dxa"/>
          </w:tcPr>
          <w:p w14:paraId="46D8B6B0" w14:textId="77777777" w:rsidR="00767B75" w:rsidRPr="00DE108C" w:rsidRDefault="00767B75" w:rsidP="00917D33">
            <w:pPr>
              <w:pStyle w:val="Tablenumber"/>
            </w:pPr>
            <w:r w:rsidRPr="40AD8E0A">
              <w:t>Water Corporations Relationship Health Metric.</w:t>
            </w:r>
          </w:p>
          <w:p w14:paraId="02E56B1D" w14:textId="77777777" w:rsidR="00EF4115" w:rsidRPr="00DE108C" w:rsidRDefault="00767B75" w:rsidP="00917D33">
            <w:pPr>
              <w:pStyle w:val="Tablenumber"/>
            </w:pPr>
            <w:r w:rsidRPr="40AD8E0A">
              <w:t>Number of initiatives delivered that engage community and foster shared outcomes for healthy land, water and people.</w:t>
            </w:r>
          </w:p>
          <w:p w14:paraId="364ADD9A" w14:textId="77777777" w:rsidR="00767B75" w:rsidRPr="00DE108C" w:rsidRDefault="00767B75" w:rsidP="00917D33">
            <w:pPr>
              <w:pStyle w:val="Tablenumber"/>
            </w:pPr>
            <w:r w:rsidRPr="40AD8E0A">
              <w:lastRenderedPageBreak/>
              <w:t>Percentage of the community surveyed with a moderate or better level of water literacy.</w:t>
            </w:r>
          </w:p>
        </w:tc>
        <w:tc>
          <w:tcPr>
            <w:tcW w:w="2595" w:type="dxa"/>
          </w:tcPr>
          <w:p w14:paraId="71241AE9" w14:textId="77777777" w:rsidR="00767B75" w:rsidRPr="00DE108C" w:rsidRDefault="00767B75" w:rsidP="00EF4115">
            <w:pPr>
              <w:pStyle w:val="TableText"/>
              <w:rPr>
                <w:rFonts w:eastAsiaTheme="minorEastAsia"/>
              </w:rPr>
            </w:pPr>
            <w:r w:rsidRPr="00DE108C">
              <w:rPr>
                <w:rFonts w:eastAsiaTheme="minorEastAsia"/>
              </w:rPr>
              <w:lastRenderedPageBreak/>
              <w:t xml:space="preserve">We will </w:t>
            </w:r>
            <w:r w:rsidRPr="00DE108C">
              <w:rPr>
                <w:rFonts w:eastAsiaTheme="minorEastAsia"/>
                <w:b/>
              </w:rPr>
              <w:t xml:space="preserve">improve </w:t>
            </w:r>
            <w:r w:rsidRPr="00DE108C">
              <w:rPr>
                <w:rFonts w:eastAsiaTheme="minorEastAsia"/>
                <w:bCs/>
              </w:rPr>
              <w:t>our</w:t>
            </w:r>
            <w:r w:rsidRPr="00DE108C">
              <w:rPr>
                <w:rFonts w:eastAsiaTheme="minorEastAsia"/>
                <w:b/>
              </w:rPr>
              <w:t xml:space="preserve"> </w:t>
            </w:r>
            <w:r w:rsidRPr="00DE108C">
              <w:rPr>
                <w:rFonts w:eastAsiaTheme="minorEastAsia"/>
              </w:rPr>
              <w:t>relationship health with our water corporations.</w:t>
            </w:r>
          </w:p>
          <w:p w14:paraId="112955CF" w14:textId="77777777" w:rsidR="00767B75" w:rsidRPr="00DE108C" w:rsidRDefault="00767B75" w:rsidP="00EF4115">
            <w:pPr>
              <w:pStyle w:val="TableText"/>
              <w:rPr>
                <w:rFonts w:eastAsiaTheme="minorEastAsia"/>
              </w:rPr>
            </w:pPr>
          </w:p>
          <w:p w14:paraId="79CD8EBB" w14:textId="77777777" w:rsidR="00767B75" w:rsidRPr="00DE108C" w:rsidRDefault="00767B75" w:rsidP="00EF4115">
            <w:pPr>
              <w:pStyle w:val="TableText"/>
              <w:rPr>
                <w:rFonts w:eastAsiaTheme="minorEastAsia"/>
              </w:rPr>
            </w:pPr>
            <w:r w:rsidRPr="00DE108C">
              <w:rPr>
                <w:rFonts w:eastAsiaTheme="minorEastAsia"/>
              </w:rPr>
              <w:lastRenderedPageBreak/>
              <w:t xml:space="preserve">We will </w:t>
            </w:r>
            <w:r w:rsidRPr="00DE108C">
              <w:rPr>
                <w:rFonts w:eastAsiaTheme="minorEastAsia"/>
                <w:b/>
              </w:rPr>
              <w:t xml:space="preserve">maintain </w:t>
            </w:r>
            <w:r w:rsidRPr="00DE108C">
              <w:rPr>
                <w:rFonts w:eastAsiaTheme="minorEastAsia"/>
              </w:rPr>
              <w:t>community engagement and water literacy</w:t>
            </w:r>
          </w:p>
        </w:tc>
      </w:tr>
    </w:tbl>
    <w:p w14:paraId="67A18AAB" w14:textId="2A24BCA9" w:rsidR="00767B75" w:rsidRPr="00DE108C" w:rsidRDefault="00767B75" w:rsidP="00EF4115">
      <w:r w:rsidRPr="00DE108C">
        <w:lastRenderedPageBreak/>
        <w:t xml:space="preserve">Further detail on our performance metrics and targets is set out in Appendix B </w:t>
      </w:r>
      <w:r w:rsidR="74FAE2B8">
        <w:t>(</w:t>
      </w:r>
      <w:r w:rsidRPr="00DE108C">
        <w:t>Outcome</w:t>
      </w:r>
      <w:r w:rsidR="0063782E" w:rsidRPr="00DE108C">
        <w:t>s</w:t>
      </w:r>
      <w:r w:rsidRPr="00DE108C">
        <w:t xml:space="preserve"> measures and targets</w:t>
      </w:r>
      <w:r w:rsidR="7A4C7969">
        <w:t>)</w:t>
      </w:r>
      <w:r w:rsidR="713E6C5A">
        <w:t>.</w:t>
      </w:r>
      <w:r w:rsidRPr="00DE108C">
        <w:t xml:space="preserve"> These measures are supported by our KPI Handbook (made available upon request). </w:t>
      </w:r>
    </w:p>
    <w:p w14:paraId="3B51A660" w14:textId="77777777" w:rsidR="00767B75" w:rsidRPr="00DE108C" w:rsidRDefault="00767B75">
      <w:pPr>
        <w:pStyle w:val="BodyText"/>
        <w:rPr>
          <w:sz w:val="22"/>
          <w:szCs w:val="22"/>
        </w:rPr>
      </w:pPr>
    </w:p>
    <w:p w14:paraId="46688C10" w14:textId="77777777" w:rsidR="00767B75" w:rsidRPr="00DE108C" w:rsidRDefault="00767B75">
      <w:pPr>
        <w:pStyle w:val="Heading3"/>
      </w:pPr>
      <w:bookmarkStart w:id="346" w:name="_Toc196745215"/>
      <w:r w:rsidRPr="00DE108C">
        <w:t>4.3.3 Taking accountability</w:t>
      </w:r>
      <w:bookmarkEnd w:id="346"/>
    </w:p>
    <w:p w14:paraId="33D21DD3" w14:textId="1A7FBDEA" w:rsidR="00767B75" w:rsidRPr="00DE108C" w:rsidRDefault="00767B75" w:rsidP="00EF4115">
      <w:r w:rsidRPr="00DE108C">
        <w:t xml:space="preserve">We will take accountability for our proposals through both internal and external reporting. </w:t>
      </w:r>
      <w:r w:rsidR="20D97F38" w:rsidRPr="00DE108C">
        <w:t xml:space="preserve">We are committed to engaging </w:t>
      </w:r>
      <w:r w:rsidR="0C4EECAA" w:rsidRPr="00DE108C">
        <w:t xml:space="preserve">on our performance </w:t>
      </w:r>
      <w:r w:rsidR="20D97F38" w:rsidRPr="00DE108C">
        <w:t>with water corporations and end-users during the regulatory period</w:t>
      </w:r>
      <w:r w:rsidR="1B9A7DD3" w:rsidRPr="00DE108C">
        <w:t xml:space="preserve">, and reprioritisation areas </w:t>
      </w:r>
      <w:r w:rsidR="31A66B00" w:rsidRPr="00DE108C">
        <w:t xml:space="preserve">of underperformance </w:t>
      </w:r>
      <w:r w:rsidR="29DB6E60" w:rsidRPr="00DE108C">
        <w:t xml:space="preserve">through </w:t>
      </w:r>
      <w:r w:rsidR="2E293F4C" w:rsidRPr="00DE108C">
        <w:t xml:space="preserve">their </w:t>
      </w:r>
      <w:r w:rsidR="29DB6E60" w:rsidRPr="00DE108C">
        <w:t>feedback</w:t>
      </w:r>
      <w:r w:rsidR="392A7EE1" w:rsidRPr="00DE108C">
        <w:t>.</w:t>
      </w:r>
    </w:p>
    <w:p w14:paraId="1ECF0397" w14:textId="77777777" w:rsidR="00767B75" w:rsidRPr="00DE108C" w:rsidRDefault="00767B75">
      <w:pPr>
        <w:pStyle w:val="Heading4"/>
      </w:pPr>
      <w:bookmarkStart w:id="347" w:name="_Toc196745216"/>
      <w:r w:rsidRPr="00DE108C">
        <w:t>4.3.3.1 Internal reporting</w:t>
      </w:r>
      <w:bookmarkEnd w:id="347"/>
    </w:p>
    <w:p w14:paraId="06C98CD4" w14:textId="76156723" w:rsidR="00767B75" w:rsidRPr="00DE108C" w:rsidRDefault="00767B75" w:rsidP="00EF4115">
      <w:r w:rsidRPr="00DE108C">
        <w:t xml:space="preserve">We will continue our practice of monthly performance reporting to Board, structured around delivery of our </w:t>
      </w:r>
      <w:r w:rsidR="5E3236AA" w:rsidRPr="00DE108C">
        <w:t>O</w:t>
      </w:r>
      <w:r w:rsidR="21E26BCC" w:rsidRPr="00DE108C">
        <w:t>utcomes</w:t>
      </w:r>
      <w:r w:rsidRPr="00DE108C">
        <w:t xml:space="preserve"> and performance measures.</w:t>
      </w:r>
    </w:p>
    <w:p w14:paraId="7D2C53BD" w14:textId="77777777" w:rsidR="00767B75" w:rsidRPr="00DE108C" w:rsidRDefault="00767B75">
      <w:pPr>
        <w:pStyle w:val="Heading4"/>
      </w:pPr>
      <w:bookmarkStart w:id="348" w:name="_Toc196745217"/>
      <w:r w:rsidRPr="00DE108C">
        <w:t>4.3.3.2 External reporting</w:t>
      </w:r>
      <w:bookmarkEnd w:id="348"/>
    </w:p>
    <w:p w14:paraId="289578BE" w14:textId="77777777" w:rsidR="00767B75" w:rsidRPr="00DE108C" w:rsidRDefault="00767B75" w:rsidP="00EF4115">
      <w:r w:rsidRPr="00DE108C">
        <w:t xml:space="preserve">We are committed to increasing our external customer Outcomes reporting and making it easier for our customers to quickly understand our performance. We are proposing to report every 12 months with a six-monthly status report. </w:t>
      </w:r>
    </w:p>
    <w:p w14:paraId="0945C6E7" w14:textId="592C22DE" w:rsidR="00767B75" w:rsidRPr="00DE108C" w:rsidRDefault="00767B75" w:rsidP="00EF4115">
      <w:r w:rsidRPr="00DE108C">
        <w:t xml:space="preserve">The annual Outcomes </w:t>
      </w:r>
      <w:r w:rsidR="005C4FE9">
        <w:t>R</w:t>
      </w:r>
      <w:r w:rsidRPr="00DE108C">
        <w:t>eport will detail our performance against each Outcome</w:t>
      </w:r>
      <w:r w:rsidR="1702CA69">
        <w:t>,</w:t>
      </w:r>
      <w:r w:rsidRPr="00DE108C">
        <w:t xml:space="preserve"> and our performance assessment will be undertaken in collaboration with the water corporations and our ongoing community forum. These annual reports will include a comparison of expenditure performance determination and track against major capital projects. </w:t>
      </w:r>
    </w:p>
    <w:p w14:paraId="54EC3008" w14:textId="77777777" w:rsidR="00767B75" w:rsidRPr="00DE108C" w:rsidRDefault="00767B75" w:rsidP="00EF4115">
      <w:r w:rsidRPr="00DE108C">
        <w:t xml:space="preserve">The six-monthly status report will provide a snapshot of our performance. If required, it will include actions we are taking to remedy underperformance. </w:t>
      </w:r>
    </w:p>
    <w:p w14:paraId="03FB91E1" w14:textId="206998FA" w:rsidR="00767B75" w:rsidRPr="00DE108C" w:rsidRDefault="00767B75">
      <w:pPr>
        <w:pStyle w:val="Heading4"/>
      </w:pPr>
      <w:bookmarkStart w:id="349" w:name="_Toc196745219"/>
      <w:r w:rsidRPr="00DE108C">
        <w:t xml:space="preserve">4.3.3.3 Bulk </w:t>
      </w:r>
      <w:r w:rsidR="00ED657E">
        <w:t>S</w:t>
      </w:r>
      <w:r w:rsidRPr="00DE108C">
        <w:t xml:space="preserve">upply </w:t>
      </w:r>
      <w:r w:rsidR="00ED657E">
        <w:t>A</w:t>
      </w:r>
      <w:r w:rsidRPr="00DE108C">
        <w:t>greements</w:t>
      </w:r>
      <w:bookmarkEnd w:id="349"/>
    </w:p>
    <w:p w14:paraId="65181896" w14:textId="701D902F" w:rsidR="00767B75" w:rsidRPr="00DE108C" w:rsidRDefault="00767B75" w:rsidP="00EF4115">
      <w:r w:rsidRPr="00DE108C">
        <w:t xml:space="preserve">We hold Bulk Supply Agreements with each of our water corporation customers for water, sewerage and recycled water. We are committed to ensuring these remain contemporary and we are accountable at all levels of our organisation. </w:t>
      </w:r>
    </w:p>
    <w:p w14:paraId="68742701" w14:textId="77777777" w:rsidR="00767B75" w:rsidRPr="00DE108C" w:rsidRDefault="00767B75" w:rsidP="00EF4115">
      <w:r w:rsidRPr="00DE108C">
        <w:t xml:space="preserve">We are currently undertaking a program of work to modernise our current Bulk Supply Agreements with the metropolitan water corporations. This reflects feedback gathered from our PS26 engagement program, where water corporations requested updated agreements ahead of their 2028 submissions. </w:t>
      </w:r>
    </w:p>
    <w:p w14:paraId="4B093C83" w14:textId="6B898740" w:rsidR="00767B75" w:rsidRPr="00DE108C" w:rsidRDefault="00767B75" w:rsidP="00EF4115">
      <w:r w:rsidRPr="00DE108C">
        <w:t xml:space="preserve">The modernised Bulk Service Agreements will be a relational-style contract, consistent with the Accord principles of collaboration and partnership. Project planning and principles for this program of work have been developed in close collaboration with the </w:t>
      </w:r>
      <w:r w:rsidR="0CCD4CA1">
        <w:t xml:space="preserve">water </w:t>
      </w:r>
      <w:r w:rsidRPr="00DE108C">
        <w:t xml:space="preserve">corporations. Draft agreements will be finalised by the end of 2026. </w:t>
      </w:r>
    </w:p>
    <w:p w14:paraId="3C633DB0" w14:textId="77777777" w:rsidR="00767B75" w:rsidRPr="00DE108C" w:rsidRDefault="00767B75">
      <w:pPr>
        <w:pStyle w:val="Heading4"/>
      </w:pPr>
      <w:bookmarkStart w:id="350" w:name="_Toc196745220"/>
      <w:r w:rsidRPr="00DE108C">
        <w:t>4.3.3.4 Guaranteed Service Levels</w:t>
      </w:r>
      <w:bookmarkEnd w:id="350"/>
    </w:p>
    <w:p w14:paraId="46426972" w14:textId="26990B96" w:rsidR="00767B75" w:rsidRPr="00DE108C" w:rsidRDefault="00767B75" w:rsidP="00EF4115">
      <w:r w:rsidRPr="00DE108C">
        <w:t xml:space="preserve">Melbourne Water is committed to providing high standards of service. We have engaged with water corporations on the </w:t>
      </w:r>
      <w:r w:rsidR="1A28D030">
        <w:t>GSL</w:t>
      </w:r>
      <w:r w:rsidRPr="00DE108C">
        <w:t xml:space="preserve"> scheme, which has been in place throughout the 2021-26 </w:t>
      </w:r>
      <w:r w:rsidRPr="00DE108C">
        <w:lastRenderedPageBreak/>
        <w:t xml:space="preserve">regulatory period. We recognise that occasionally, Melbourne Water is the cause of a water corporation breaching one of its GSLs and Melbourne Water commits to compensating the water corporation for the rebate to its end customers in these cases, as well as a contribution towards administration or contact centre costs as a result of the breach. </w:t>
      </w:r>
    </w:p>
    <w:p w14:paraId="7CD41274" w14:textId="1BC998EE" w:rsidR="00767B75" w:rsidRPr="00DE108C" w:rsidRDefault="00767B75" w:rsidP="00EF4115">
      <w:r w:rsidRPr="00DE108C">
        <w:t xml:space="preserve">Feedback from the water corporations told us we should continue with our current GSLs and introduce a new GSL around water quality, which they would also incorporate into their GSL schemes. We have co-designed this new GSL with water corporations, as discussed in </w:t>
      </w:r>
      <w:r w:rsidR="005665E3" w:rsidRPr="00DE108C">
        <w:t>S</w:t>
      </w:r>
      <w:r w:rsidRPr="00DE108C">
        <w:t xml:space="preserve">ection 4.3.4 </w:t>
      </w:r>
      <w:r w:rsidR="0BF4528F">
        <w:t>(</w:t>
      </w:r>
      <w:r w:rsidRPr="00DE108C">
        <w:t>Enhanced water quality Guaranteed Service Level</w:t>
      </w:r>
      <w:r w:rsidR="475D034C">
        <w:t>)</w:t>
      </w:r>
      <w:r w:rsidR="713E6C5A">
        <w:t>.</w:t>
      </w:r>
      <w:r w:rsidRPr="00DE108C">
        <w:t xml:space="preserve"> Our complete </w:t>
      </w:r>
      <w:r w:rsidR="1A62FF2C">
        <w:t>GSL</w:t>
      </w:r>
      <w:r w:rsidRPr="00DE108C">
        <w:t xml:space="preserve"> scheme proposal is included in Appendix D </w:t>
      </w:r>
      <w:r w:rsidR="4816ADBE">
        <w:t>(</w:t>
      </w:r>
      <w:r w:rsidRPr="00DE108C">
        <w:t>Guaranteed Service Levels</w:t>
      </w:r>
      <w:r w:rsidR="025BD67D">
        <w:t>)</w:t>
      </w:r>
      <w:r w:rsidR="713E6C5A">
        <w:t>.</w:t>
      </w:r>
    </w:p>
    <w:p w14:paraId="6ED4D663" w14:textId="77777777" w:rsidR="00767B75" w:rsidRPr="00DE108C" w:rsidRDefault="00767B75">
      <w:pPr>
        <w:pStyle w:val="Heading3"/>
      </w:pPr>
      <w:r w:rsidRPr="00DE108C">
        <w:t>4.3.4 Enhanced water quality Guaranteed Service Level</w:t>
      </w:r>
    </w:p>
    <w:p w14:paraId="763183AE" w14:textId="7BF3ABB1" w:rsidR="00767B75" w:rsidRPr="00DE108C" w:rsidRDefault="00767B75" w:rsidP="00EF4115">
      <w:r w:rsidRPr="00DE108C">
        <w:t xml:space="preserve">We recognise that water quality and reliability are the number one priority for our community and the water corporations. When we consulted on Melbourne Water’s existing </w:t>
      </w:r>
      <w:r w:rsidR="163FC649">
        <w:t>GSL</w:t>
      </w:r>
      <w:r w:rsidRPr="00DE108C">
        <w:t xml:space="preserve"> scheme, it was requested to consider the applicability of a back-to-back water quality </w:t>
      </w:r>
      <w:r w:rsidR="3E5B191B">
        <w:t>GSL</w:t>
      </w:r>
      <w:r w:rsidRPr="00DE108C">
        <w:t>, which would replace the community rebates introduced in water corporations’ 2023 and 2024 submissions.</w:t>
      </w:r>
    </w:p>
    <w:p w14:paraId="6495A3D1" w14:textId="3C81026C" w:rsidR="00767B75" w:rsidRPr="00DE108C" w:rsidRDefault="00767B75" w:rsidP="00EF4115">
      <w:r w:rsidRPr="00DE108C">
        <w:t xml:space="preserve">We are implementing this and proposing </w:t>
      </w:r>
      <w:r w:rsidR="1981C9A7">
        <w:t xml:space="preserve">the following </w:t>
      </w:r>
      <w:r w:rsidRPr="00DE108C">
        <w:t>multi-part GSL:</w:t>
      </w:r>
    </w:p>
    <w:p w14:paraId="5BBA81A2" w14:textId="77777777" w:rsidR="00767B75" w:rsidRPr="00DE108C" w:rsidRDefault="00767B75" w:rsidP="00E67A55">
      <w:pPr>
        <w:pStyle w:val="ListBullet"/>
      </w:pPr>
      <w:r w:rsidRPr="00DE108C">
        <w:t>If a precautionary drinking water advisory is issued due to a potential issue with drinking water supplied by Melbourne Water:</w:t>
      </w:r>
    </w:p>
    <w:p w14:paraId="1D0C1598" w14:textId="68BB161B" w:rsidR="00767B75" w:rsidRPr="00DE108C" w:rsidRDefault="553CAE5F">
      <w:pPr>
        <w:pStyle w:val="ListBullet2"/>
        <w:numPr>
          <w:ilvl w:val="0"/>
          <w:numId w:val="29"/>
        </w:numPr>
        <w:ind w:left="924" w:hanging="357"/>
      </w:pPr>
      <w:r>
        <w:t>b</w:t>
      </w:r>
      <w:r w:rsidR="00767B75" w:rsidRPr="00DE108C">
        <w:t xml:space="preserve">ottled water reimbursement to </w:t>
      </w:r>
      <w:r w:rsidR="007A54D8">
        <w:t>water corporation</w:t>
      </w:r>
      <w:r w:rsidR="00767B75" w:rsidRPr="00DE108C">
        <w:t xml:space="preserve"> customers (on application)</w:t>
      </w:r>
    </w:p>
    <w:p w14:paraId="73A537B7" w14:textId="0AA5B75F" w:rsidR="00767B75" w:rsidRPr="00DE108C" w:rsidRDefault="5321E08D">
      <w:pPr>
        <w:pStyle w:val="ListBullet2"/>
        <w:numPr>
          <w:ilvl w:val="0"/>
          <w:numId w:val="29"/>
        </w:numPr>
        <w:ind w:left="924" w:hanging="357"/>
      </w:pPr>
      <w:r>
        <w:t>r</w:t>
      </w:r>
      <w:r w:rsidR="713E6C5A">
        <w:t>eimbursement</w:t>
      </w:r>
      <w:r w:rsidR="00767B75" w:rsidRPr="00DE108C">
        <w:t xml:space="preserve"> of </w:t>
      </w:r>
      <w:r w:rsidR="007A54D8">
        <w:t>water corporation</w:t>
      </w:r>
      <w:r w:rsidR="00767B75" w:rsidRPr="00DE108C">
        <w:t xml:space="preserve"> incident administration costs</w:t>
      </w:r>
      <w:r w:rsidR="02F029AE">
        <w:t>.</w:t>
      </w:r>
    </w:p>
    <w:p w14:paraId="24575CF8" w14:textId="1390547B" w:rsidR="00767B75" w:rsidRPr="00DE108C" w:rsidRDefault="00767B75" w:rsidP="00E67A55">
      <w:pPr>
        <w:pStyle w:val="ListBullet"/>
      </w:pPr>
      <w:r w:rsidRPr="00DE108C">
        <w:t xml:space="preserve">Matching </w:t>
      </w:r>
      <w:r w:rsidR="007A54D8">
        <w:t>water corporation</w:t>
      </w:r>
      <w:r w:rsidRPr="00DE108C">
        <w:t xml:space="preserve"> GSL rebate, up to $75 rebate per property if the drinking water supplied does not meet the microbial characteristics of health-based drinking water quality standards</w:t>
      </w:r>
      <w:r w:rsidRPr="40AD8E0A">
        <w:rPr>
          <w:rStyle w:val="FootnoteReference"/>
          <w:rFonts w:eastAsiaTheme="minorEastAsia"/>
          <w:sz w:val="22"/>
          <w:szCs w:val="22"/>
        </w:rPr>
        <w:footnoteReference w:id="7"/>
      </w:r>
      <w:r w:rsidRPr="00DE108C">
        <w:t>, and Melbourne Water, or a failure in Melbourne Water’s system, caused the non-compliance.</w:t>
      </w:r>
      <w:r w:rsidRPr="40AD8E0A">
        <w:rPr>
          <w:rStyle w:val="FootnoteReference"/>
          <w:rFonts w:eastAsiaTheme="minorEastAsia"/>
          <w:sz w:val="22"/>
          <w:szCs w:val="22"/>
        </w:rPr>
        <w:footnoteReference w:id="8"/>
      </w:r>
    </w:p>
    <w:p w14:paraId="469668BD" w14:textId="13671A2B" w:rsidR="00767B75" w:rsidRPr="00DE108C" w:rsidRDefault="00767B75" w:rsidP="00EF4115">
      <w:r w:rsidRPr="00DE108C">
        <w:t xml:space="preserve">We have not forecast additional opex for the water quality </w:t>
      </w:r>
      <w:r w:rsidR="69327892">
        <w:t>GSL</w:t>
      </w:r>
      <w:r w:rsidRPr="00DE108C">
        <w:t xml:space="preserve"> in PS26 as Melbourne Water is taking on this risk. </w:t>
      </w:r>
    </w:p>
    <w:p w14:paraId="133D01EA" w14:textId="77777777" w:rsidR="00767B75" w:rsidRPr="00DE108C" w:rsidRDefault="00767B75">
      <w:pPr>
        <w:pStyle w:val="Heading3"/>
      </w:pPr>
      <w:bookmarkStart w:id="351" w:name="_Toc196745221"/>
      <w:r w:rsidRPr="00DE108C">
        <w:t xml:space="preserve">4.3.5 Customer support package </w:t>
      </w:r>
      <w:bookmarkEnd w:id="351"/>
    </w:p>
    <w:p w14:paraId="267F2D06" w14:textId="77777777" w:rsidR="00767B75" w:rsidRPr="00DE108C" w:rsidRDefault="00767B75" w:rsidP="00EF4115">
      <w:r w:rsidRPr="00DE108C">
        <w:t>We acknowledge that we have a significant investment program with customer bills projected to increase above inflation. Therefore, we will provide support to customers experiencing financial difficulties and vulnerability. During the development of PS26, we have worked closely with both our customers and the community sector to identify where and how we can help vulnerable customers.</w:t>
      </w:r>
    </w:p>
    <w:p w14:paraId="77EF0FCD" w14:textId="77777777" w:rsidR="00767B75" w:rsidRPr="00DE108C" w:rsidRDefault="00767B75" w:rsidP="00EF4115">
      <w:r w:rsidRPr="00DE108C">
        <w:t>We heard through our engagement program:</w:t>
      </w:r>
    </w:p>
    <w:p w14:paraId="293E1666" w14:textId="77777777" w:rsidR="00767B75" w:rsidRPr="00DE108C" w:rsidRDefault="00767B75" w:rsidP="008B3CDE">
      <w:pPr>
        <w:pStyle w:val="ListBullet"/>
      </w:pPr>
      <w:r w:rsidRPr="00DE108C">
        <w:t>Our customers, community panels and our bulk water customers stressed the importance of being fair and affordable, while ensuring customers experiencing vulnerability are not left behind.</w:t>
      </w:r>
    </w:p>
    <w:p w14:paraId="4DEE0253" w14:textId="77777777" w:rsidR="00767B75" w:rsidRPr="00DE108C" w:rsidRDefault="00767B75" w:rsidP="008B3CDE">
      <w:pPr>
        <w:pStyle w:val="ListBullet"/>
      </w:pPr>
      <w:r w:rsidRPr="00DE108C">
        <w:lastRenderedPageBreak/>
        <w:t>Our community panels expected concession and hardship policies should be the same across all water providers with payment plans, subsidies and bill extensions to help customers facing financial difficulties.</w:t>
      </w:r>
    </w:p>
    <w:p w14:paraId="3EDBF7A1" w14:textId="77777777" w:rsidR="00767B75" w:rsidRPr="00DE108C" w:rsidRDefault="00767B75" w:rsidP="008B3CDE">
      <w:pPr>
        <w:pStyle w:val="ListBullet"/>
      </w:pPr>
      <w:r w:rsidRPr="00DE108C">
        <w:t xml:space="preserve">Our bulk service customers underscored the need for us to properly underwrite the vulnerability support program with emphasis placed on financial sustainability, collaborative trade-offs to meet customer needs, maintaining affordability with commitments to low bills, and linking care for waterways and drainage to broader strategies, such as the </w:t>
      </w:r>
      <w:r w:rsidRPr="00DE108C">
        <w:rPr>
          <w:i/>
          <w:iCs/>
        </w:rPr>
        <w:t>Healthy Waterways Strategy</w:t>
      </w:r>
      <w:r w:rsidRPr="00DE108C">
        <w:t>.</w:t>
      </w:r>
    </w:p>
    <w:p w14:paraId="17B7AE49" w14:textId="77777777" w:rsidR="00767B75" w:rsidRPr="00DE108C" w:rsidRDefault="00767B75" w:rsidP="008B3CDE">
      <w:pPr>
        <w:pStyle w:val="ListBullet"/>
      </w:pPr>
      <w:r w:rsidRPr="00DE108C">
        <w:t>Our bulk service customers also considered us an advocate and highlighted the need for clear communication, shared learnings and careful planning across water corporations to ensure successful implementation, reduce the risk of diluting current initiatives and improving hardship support across Victoria.</w:t>
      </w:r>
    </w:p>
    <w:p w14:paraId="7CA5F557" w14:textId="77777777" w:rsidR="00767B75" w:rsidRPr="00DE108C" w:rsidRDefault="00767B75" w:rsidP="00EF4115">
      <w:r w:rsidRPr="00DE108C">
        <w:t>The four key components of our proposed program are:</w:t>
      </w:r>
    </w:p>
    <w:p w14:paraId="05C20E1C" w14:textId="60645B54" w:rsidR="00767B75" w:rsidRPr="008B3CDE" w:rsidRDefault="00767B75">
      <w:pPr>
        <w:pStyle w:val="ListNumber"/>
        <w:numPr>
          <w:ilvl w:val="0"/>
          <w:numId w:val="32"/>
        </w:numPr>
        <w:ind w:left="567" w:hanging="567"/>
        <w:rPr>
          <w:rFonts w:eastAsia="Verdana"/>
        </w:rPr>
      </w:pPr>
      <w:r w:rsidRPr="000726DE">
        <w:rPr>
          <w:rFonts w:eastAsia="Verdana"/>
          <w:b/>
        </w:rPr>
        <w:t>To amplify existing water and sewer hardship programs:</w:t>
      </w:r>
      <w:r w:rsidRPr="008B3CDE">
        <w:rPr>
          <w:rFonts w:eastAsia="Verdana"/>
        </w:rPr>
        <w:t xml:space="preserve"> This will provide an increase in funding to water corporations to provide grants to customers experiencing hardship. It will be implemented alongside the water corporations’ existing hardship program. While this might be the same uniform approach to hardship across our end</w:t>
      </w:r>
      <w:r w:rsidR="00B3383C" w:rsidRPr="008B3CDE">
        <w:rPr>
          <w:rFonts w:eastAsia="Verdana"/>
        </w:rPr>
        <w:t>-</w:t>
      </w:r>
      <w:r w:rsidRPr="008B3CDE">
        <w:rPr>
          <w:rFonts w:eastAsia="Verdana"/>
        </w:rPr>
        <w:t>use customer base, we believe that water corporations are best placed to implement this through their own established processes.</w:t>
      </w:r>
    </w:p>
    <w:p w14:paraId="00A3F343" w14:textId="77777777" w:rsidR="00767B75" w:rsidRPr="00DE108C" w:rsidRDefault="00767B75" w:rsidP="008915AC">
      <w:pPr>
        <w:pStyle w:val="ListNumber"/>
        <w:rPr>
          <w:rFonts w:eastAsia="Verdana"/>
        </w:rPr>
      </w:pPr>
      <w:r w:rsidRPr="000726DE">
        <w:rPr>
          <w:rFonts w:eastAsia="Verdana"/>
          <w:b/>
        </w:rPr>
        <w:t>New waterways and drainage hardship grant:</w:t>
      </w:r>
      <w:r w:rsidRPr="00DE108C">
        <w:rPr>
          <w:rFonts w:eastAsia="Verdana"/>
        </w:rPr>
        <w:t xml:space="preserve"> We are proposing a new hardship grant for customers experiencing hardship to write off debt for waterways and drainage customers. This will expand our existing customers hardship programs to include proactive support for waterways and drainage customers. This will be implemented alongside the water corporations’ existing hardship program.</w:t>
      </w:r>
    </w:p>
    <w:p w14:paraId="2CB7EF76" w14:textId="77777777" w:rsidR="00767B75" w:rsidRPr="00DE108C" w:rsidRDefault="00767B75" w:rsidP="008915AC">
      <w:pPr>
        <w:pStyle w:val="ListNumber"/>
        <w:rPr>
          <w:rFonts w:eastAsia="Verdana"/>
        </w:rPr>
      </w:pPr>
      <w:r w:rsidRPr="000726DE">
        <w:rPr>
          <w:rFonts w:eastAsia="Verdana"/>
          <w:b/>
        </w:rPr>
        <w:t>Water efficiency program:</w:t>
      </w:r>
      <w:r w:rsidRPr="00DE108C">
        <w:rPr>
          <w:rFonts w:eastAsia="Verdana"/>
        </w:rPr>
        <w:t xml:space="preserve"> This will provide customers experiencing vulnerability and community organisations with long term permanent solutions to save water in the home and reduce bills. The uplift will re-start a legacy community retrofit program and expand to include customers experiencing vulnerability and be implemented by our bulk water customers. </w:t>
      </w:r>
    </w:p>
    <w:p w14:paraId="276A5C75" w14:textId="56AF4DBC" w:rsidR="00767B75" w:rsidRPr="000D78B2" w:rsidRDefault="00767B75" w:rsidP="008915AC">
      <w:pPr>
        <w:pStyle w:val="ListNumber"/>
        <w:rPr>
          <w:rFonts w:eastAsia="Verdana"/>
        </w:rPr>
      </w:pPr>
      <w:r w:rsidRPr="000726DE">
        <w:rPr>
          <w:rFonts w:eastAsia="Verdana"/>
          <w:b/>
        </w:rPr>
        <w:t>Sector uplift program:</w:t>
      </w:r>
      <w:r w:rsidRPr="00DE108C">
        <w:rPr>
          <w:rFonts w:eastAsia="Verdana"/>
        </w:rPr>
        <w:t xml:space="preserve"> Providing support to community organisations, financial counsellors, partnerships and advocacy work with </w:t>
      </w:r>
      <w:r w:rsidR="00E7119E">
        <w:rPr>
          <w:rFonts w:eastAsia="Verdana"/>
        </w:rPr>
        <w:t>water corporations</w:t>
      </w:r>
      <w:r w:rsidRPr="00DE108C">
        <w:rPr>
          <w:rFonts w:eastAsia="Verdana"/>
        </w:rPr>
        <w:t xml:space="preserve"> and trusted organisations. The uplift in opex will provide for the development of key partnerships and resources within community sector organisations, increase marketing and education campaigns in collaboration with</w:t>
      </w:r>
      <w:r w:rsidR="008B3CDE">
        <w:rPr>
          <w:rFonts w:eastAsia="Verdana"/>
        </w:rPr>
        <w:t xml:space="preserve"> metropolitan </w:t>
      </w:r>
      <w:r w:rsidR="51B22C56" w:rsidRPr="40AD8E0A">
        <w:rPr>
          <w:rFonts w:eastAsia="Verdana"/>
        </w:rPr>
        <w:t>water corporations</w:t>
      </w:r>
      <w:r w:rsidRPr="00DE108C">
        <w:rPr>
          <w:rFonts w:eastAsia="Verdana"/>
        </w:rPr>
        <w:t>, and contribute to the Financial Counselling Industry Fund.</w:t>
      </w:r>
    </w:p>
    <w:p w14:paraId="3669CAA3" w14:textId="730B5889" w:rsidR="00767B75" w:rsidRPr="00DE108C" w:rsidRDefault="00767B75" w:rsidP="00A40735">
      <w:r w:rsidRPr="00DE108C">
        <w:t xml:space="preserve">A breakdown of the operating costs we are proposing are provided in Chapter 7 </w:t>
      </w:r>
      <w:r w:rsidR="06BC21CE">
        <w:t>(</w:t>
      </w:r>
      <w:r w:rsidRPr="00DE108C">
        <w:t>Operating expenditure</w:t>
      </w:r>
      <w:r w:rsidR="74D5C080">
        <w:t>)</w:t>
      </w:r>
      <w:r w:rsidR="713E6C5A">
        <w:t>.</w:t>
      </w:r>
      <w:r w:rsidRPr="00DE108C">
        <w:t xml:space="preserve"> </w:t>
      </w:r>
    </w:p>
    <w:p w14:paraId="138F8E0C" w14:textId="77777777" w:rsidR="00767B75" w:rsidRPr="00DE108C" w:rsidRDefault="00767B75">
      <w:pPr>
        <w:rPr>
          <w:sz w:val="22"/>
          <w:szCs w:val="22"/>
        </w:rPr>
      </w:pPr>
    </w:p>
    <w:p w14:paraId="1C66F116" w14:textId="77777777" w:rsidR="008F78C3" w:rsidRPr="00DE108C" w:rsidRDefault="008F78C3">
      <w:pPr>
        <w:spacing w:before="0" w:after="0" w:line="320" w:lineRule="atLeast"/>
        <w:rPr>
          <w:rFonts w:asciiTheme="majorHAnsi" w:eastAsiaTheme="majorEastAsia" w:hAnsiTheme="majorHAnsi" w:cstheme="majorBidi"/>
          <w:b/>
          <w:bCs/>
          <w:sz w:val="28"/>
          <w:szCs w:val="26"/>
        </w:rPr>
      </w:pPr>
      <w:bookmarkStart w:id="352" w:name="_Toc196745222"/>
      <w:bookmarkStart w:id="353" w:name="_Toc207892895"/>
      <w:bookmarkStart w:id="354" w:name="_Toc207853388"/>
      <w:r w:rsidRPr="00DE108C">
        <w:br w:type="page"/>
      </w:r>
    </w:p>
    <w:p w14:paraId="05490E6C" w14:textId="7B08D1D6" w:rsidR="00767B75" w:rsidRPr="00DE108C" w:rsidRDefault="00767B75">
      <w:pPr>
        <w:pStyle w:val="Heading2"/>
      </w:pPr>
      <w:r w:rsidRPr="00DE108C">
        <w:lastRenderedPageBreak/>
        <w:t>4.4 PREMO assessment – Outcomes</w:t>
      </w:r>
      <w:bookmarkEnd w:id="352"/>
      <w:bookmarkEnd w:id="353"/>
      <w:bookmarkEnd w:id="354"/>
    </w:p>
    <w:p w14:paraId="5EBAF137" w14:textId="5B74F6FE" w:rsidR="00767B75" w:rsidRPr="00DE108C" w:rsidRDefault="00767B75" w:rsidP="00BC2765">
      <w:r w:rsidRPr="00DE108C">
        <w:t>For the Outcome component of PREMO, we have assessed ourselves as ‘</w:t>
      </w:r>
      <w:r w:rsidRPr="00423F03">
        <w:rPr>
          <w:i/>
        </w:rPr>
        <w:t>Standard’</w:t>
      </w:r>
      <w:r w:rsidRPr="00DE108C">
        <w:t xml:space="preserve">. Our assessment and rationale are summarised in Table 4.7. </w:t>
      </w:r>
    </w:p>
    <w:p w14:paraId="44C4BCB9" w14:textId="7416A397" w:rsidR="00767B75" w:rsidRPr="00DE108C" w:rsidRDefault="00767B75" w:rsidP="00BC2765">
      <w:pPr>
        <w:pStyle w:val="Caption"/>
      </w:pPr>
      <w:bookmarkStart w:id="355" w:name="_Toc207893009"/>
      <w:bookmarkStart w:id="356" w:name="_Toc208490533"/>
      <w:bookmarkStart w:id="357" w:name="_Toc208490871"/>
      <w:bookmarkStart w:id="358" w:name="_Toc208911029"/>
      <w:bookmarkStart w:id="359" w:name="_Toc210051335"/>
      <w:r w:rsidRPr="00DE108C">
        <w:t xml:space="preserve">Table 4.7: PREMO Assessment – </w:t>
      </w:r>
      <w:bookmarkEnd w:id="355"/>
      <w:r w:rsidR="00143BEC" w:rsidRPr="00DE108C">
        <w:t>Outcomes</w:t>
      </w:r>
      <w:bookmarkEnd w:id="356"/>
      <w:bookmarkEnd w:id="357"/>
      <w:bookmarkEnd w:id="358"/>
      <w:bookmarkEnd w:id="359"/>
      <w:r w:rsidRPr="00DE108C">
        <w:t xml:space="preserve"> </w:t>
      </w:r>
    </w:p>
    <w:tbl>
      <w:tblPr>
        <w:tblStyle w:val="MWTableGrid"/>
        <w:tblpPr w:leftFromText="180" w:rightFromText="180" w:vertAnchor="text" w:tblpY="1"/>
        <w:tblOverlap w:val="never"/>
        <w:tblW w:w="9067" w:type="dxa"/>
        <w:tblLook w:val="0420" w:firstRow="1" w:lastRow="0" w:firstColumn="0" w:lastColumn="0" w:noHBand="0" w:noVBand="1"/>
      </w:tblPr>
      <w:tblGrid>
        <w:gridCol w:w="2547"/>
        <w:gridCol w:w="6520"/>
      </w:tblGrid>
      <w:tr w:rsidR="005B2F07" w:rsidRPr="00DE108C" w14:paraId="1BF67463" w14:textId="77777777" w:rsidTr="00A40735">
        <w:trPr>
          <w:cnfStyle w:val="100000000000" w:firstRow="1" w:lastRow="0" w:firstColumn="0" w:lastColumn="0" w:oddVBand="0" w:evenVBand="0" w:oddHBand="0" w:evenHBand="0" w:firstRowFirstColumn="0" w:firstRowLastColumn="0" w:lastRowFirstColumn="0" w:lastRowLastColumn="0"/>
          <w:trHeight w:val="300"/>
        </w:trPr>
        <w:tc>
          <w:tcPr>
            <w:tcW w:w="2547" w:type="dxa"/>
          </w:tcPr>
          <w:p w14:paraId="4A88D4B5" w14:textId="77777777" w:rsidR="00767B75" w:rsidRPr="00DE108C" w:rsidRDefault="00767B75">
            <w:pPr>
              <w:pStyle w:val="TableHeading"/>
            </w:pPr>
            <w:r w:rsidRPr="00DE108C">
              <w:rPr>
                <w:rFonts w:asciiTheme="majorHAnsi" w:hAnsiTheme="majorHAnsi"/>
              </w:rPr>
              <w:t>Guiding Question</w:t>
            </w:r>
          </w:p>
        </w:tc>
        <w:tc>
          <w:tcPr>
            <w:tcW w:w="6520" w:type="dxa"/>
          </w:tcPr>
          <w:p w14:paraId="7E54F2E0" w14:textId="77777777" w:rsidR="00767B75" w:rsidRPr="00DE108C" w:rsidRDefault="00767B75">
            <w:pPr>
              <w:pStyle w:val="TableHeading"/>
            </w:pPr>
            <w:r w:rsidRPr="00DE108C">
              <w:rPr>
                <w:rFonts w:asciiTheme="majorHAnsi" w:hAnsiTheme="majorHAnsi"/>
              </w:rPr>
              <w:t>Comment</w:t>
            </w:r>
          </w:p>
        </w:tc>
      </w:tr>
      <w:tr w:rsidR="00767B75" w:rsidRPr="00DE108C" w14:paraId="43C34B4E" w14:textId="77777777" w:rsidTr="00A40735">
        <w:trPr>
          <w:trHeight w:val="300"/>
        </w:trPr>
        <w:tc>
          <w:tcPr>
            <w:tcW w:w="2547" w:type="dxa"/>
          </w:tcPr>
          <w:p w14:paraId="58DBBAED" w14:textId="520CD3F3" w:rsidR="00767B75" w:rsidRPr="00DE108C" w:rsidRDefault="00767B75">
            <w:pPr>
              <w:pStyle w:val="TableText"/>
            </w:pPr>
            <w:r w:rsidRPr="00DE108C">
              <w:t xml:space="preserve">Has Melbourne Water provided evidence that the </w:t>
            </w:r>
            <w:r w:rsidR="00143BEC" w:rsidRPr="00DE108C">
              <w:t>O</w:t>
            </w:r>
            <w:r w:rsidRPr="00DE108C">
              <w:t>utcomes proposed have taken into account the views, concerns and priorities of its end-use and retail customers?</w:t>
            </w:r>
          </w:p>
        </w:tc>
        <w:tc>
          <w:tcPr>
            <w:tcW w:w="6520" w:type="dxa"/>
          </w:tcPr>
          <w:p w14:paraId="009F0273" w14:textId="3AD83FA0" w:rsidR="00767B75" w:rsidRPr="00DE108C" w:rsidRDefault="00767B75" w:rsidP="00A40735">
            <w:pPr>
              <w:pStyle w:val="TableText"/>
            </w:pPr>
            <w:r w:rsidRPr="00DE108C">
              <w:t xml:space="preserve">We have re-set our </w:t>
            </w:r>
            <w:r w:rsidR="00143BEC" w:rsidRPr="00DE108C">
              <w:t>O</w:t>
            </w:r>
            <w:r w:rsidRPr="00DE108C">
              <w:t xml:space="preserve">utcomes from PS21 based on feedback that we should have simpler and more service-focussed outcomes. </w:t>
            </w:r>
          </w:p>
          <w:p w14:paraId="6F2D9BEA" w14:textId="2B1D1205" w:rsidR="00767B75" w:rsidRPr="00DE108C" w:rsidRDefault="00767B75" w:rsidP="00A40735">
            <w:pPr>
              <w:pStyle w:val="TableText"/>
            </w:pPr>
            <w:r w:rsidRPr="00DE108C">
              <w:t xml:space="preserve">Our simplified Outcomes were shaped by the Water Corporation Forum and considered and refined by our </w:t>
            </w:r>
            <w:r w:rsidR="001A3384" w:rsidRPr="00DE108C">
              <w:t>de</w:t>
            </w:r>
            <w:r w:rsidRPr="00DE108C">
              <w:t xml:space="preserve">liberative </w:t>
            </w:r>
            <w:r w:rsidR="001A3384" w:rsidRPr="00DE108C">
              <w:t>p</w:t>
            </w:r>
            <w:r w:rsidRPr="00DE108C">
              <w:t xml:space="preserve">anel, therefore they reflect both end-use and </w:t>
            </w:r>
            <w:r w:rsidR="0146160C">
              <w:t>water corporation</w:t>
            </w:r>
            <w:r w:rsidRPr="00DE108C">
              <w:t xml:space="preserve"> customer expectations of our services. </w:t>
            </w:r>
          </w:p>
        </w:tc>
      </w:tr>
      <w:tr w:rsidR="005B2F07" w:rsidRPr="00DE108C" w14:paraId="5EDA973E" w14:textId="77777777" w:rsidTr="00A40735">
        <w:trPr>
          <w:cnfStyle w:val="000000010000" w:firstRow="0" w:lastRow="0" w:firstColumn="0" w:lastColumn="0" w:oddVBand="0" w:evenVBand="0" w:oddHBand="0" w:evenHBand="1" w:firstRowFirstColumn="0" w:firstRowLastColumn="0" w:lastRowFirstColumn="0" w:lastRowLastColumn="0"/>
          <w:trHeight w:val="300"/>
        </w:trPr>
        <w:tc>
          <w:tcPr>
            <w:tcW w:w="2547" w:type="dxa"/>
          </w:tcPr>
          <w:p w14:paraId="362CD8E9" w14:textId="77777777" w:rsidR="00767B75" w:rsidRPr="00DE108C" w:rsidRDefault="00767B75">
            <w:pPr>
              <w:pStyle w:val="TableText"/>
            </w:pPr>
            <w:r w:rsidRPr="00DE108C">
              <w:t>Has Melbourne Water provided sufficient explanation of how the outcomes it has proposed align to the forecast expenditure requested?</w:t>
            </w:r>
          </w:p>
        </w:tc>
        <w:tc>
          <w:tcPr>
            <w:tcW w:w="6520" w:type="dxa"/>
          </w:tcPr>
          <w:p w14:paraId="718A39DC" w14:textId="3F4080E1" w:rsidR="00767B75" w:rsidRPr="00DE108C" w:rsidRDefault="00767B75" w:rsidP="00A40735">
            <w:pPr>
              <w:pStyle w:val="TableText"/>
            </w:pPr>
            <w:r w:rsidRPr="00DE108C">
              <w:t xml:space="preserve">We have mapped our key capital and </w:t>
            </w:r>
            <w:r w:rsidR="644187CE">
              <w:t>opex</w:t>
            </w:r>
            <w:r w:rsidRPr="00DE108C">
              <w:t xml:space="preserve"> programs to our Outcomes. We will continue to report on our progress throughout the regulatory period and will embed these Outcomes in our finance and capital reporting systems to ensure we can progressively report in future regulatory periods. </w:t>
            </w:r>
          </w:p>
        </w:tc>
      </w:tr>
      <w:tr w:rsidR="00767B75" w:rsidRPr="00DE108C" w14:paraId="644E8BE9" w14:textId="77777777" w:rsidTr="00A40735">
        <w:trPr>
          <w:trHeight w:val="300"/>
        </w:trPr>
        <w:tc>
          <w:tcPr>
            <w:tcW w:w="2547" w:type="dxa"/>
          </w:tcPr>
          <w:p w14:paraId="02E91C24" w14:textId="77777777" w:rsidR="00767B75" w:rsidRPr="00DE108C" w:rsidRDefault="00767B75">
            <w:pPr>
              <w:pStyle w:val="TableText"/>
            </w:pPr>
            <w:r w:rsidRPr="00DE108C">
              <w:t>Has Melbourne Water proposed outputs to support each of its outcomes, which are measurable, robust and deliverable?</w:t>
            </w:r>
          </w:p>
        </w:tc>
        <w:tc>
          <w:tcPr>
            <w:tcW w:w="6520" w:type="dxa"/>
          </w:tcPr>
          <w:p w14:paraId="43E932CC" w14:textId="77777777" w:rsidR="00767B75" w:rsidRPr="00DE108C" w:rsidRDefault="00767B75" w:rsidP="00A40735">
            <w:pPr>
              <w:pStyle w:val="TableText"/>
            </w:pPr>
            <w:r w:rsidRPr="00DE108C">
              <w:t>We have identified 19 performance metrics. These sit under our themes for each of our Outcomes. Our performance metrics have defined units of measure, have an assessed baseline performance (at least 2024-25), and an annual target to determine the outcome.</w:t>
            </w:r>
          </w:p>
        </w:tc>
      </w:tr>
      <w:tr w:rsidR="005B2F07" w:rsidRPr="00DE108C" w14:paraId="1F04F1E4" w14:textId="77777777" w:rsidTr="00A40735">
        <w:trPr>
          <w:cnfStyle w:val="000000010000" w:firstRow="0" w:lastRow="0" w:firstColumn="0" w:lastColumn="0" w:oddVBand="0" w:evenVBand="0" w:oddHBand="0" w:evenHBand="1" w:firstRowFirstColumn="0" w:firstRowLastColumn="0" w:lastRowFirstColumn="0" w:lastRowLastColumn="0"/>
          <w:trHeight w:val="300"/>
        </w:trPr>
        <w:tc>
          <w:tcPr>
            <w:tcW w:w="2547" w:type="dxa"/>
          </w:tcPr>
          <w:p w14:paraId="345A4548" w14:textId="77777777" w:rsidR="00767B75" w:rsidRPr="00DE108C" w:rsidRDefault="00767B75">
            <w:pPr>
              <w:pStyle w:val="TableText"/>
            </w:pPr>
            <w:r w:rsidRPr="00DE108C">
              <w:t>Has Melbourne Water provided evidence that the outputs it has proposed are reasonable measures of performance against stated outcomes?</w:t>
            </w:r>
          </w:p>
        </w:tc>
        <w:tc>
          <w:tcPr>
            <w:tcW w:w="6520" w:type="dxa"/>
          </w:tcPr>
          <w:p w14:paraId="0620BA9E" w14:textId="4C21CA1B" w:rsidR="00767B75" w:rsidRPr="00DE108C" w:rsidRDefault="00767B75" w:rsidP="00A40735">
            <w:pPr>
              <w:pStyle w:val="TableText"/>
            </w:pPr>
            <w:r w:rsidRPr="00DE108C">
              <w:t>We have engaged deeply with both water corporations and end</w:t>
            </w:r>
            <w:r w:rsidR="00654F29" w:rsidRPr="00DE108C">
              <w:t>-</w:t>
            </w:r>
            <w:r w:rsidRPr="00DE108C">
              <w:t xml:space="preserve">use customers on how we can meaningfully measure performance. This included a mix of key performance metrics and tracking against actions. </w:t>
            </w:r>
          </w:p>
          <w:p w14:paraId="30A4029C" w14:textId="77777777" w:rsidR="00767B75" w:rsidRPr="00DE108C" w:rsidRDefault="00767B75" w:rsidP="00A40735">
            <w:pPr>
              <w:pStyle w:val="TableText"/>
              <w:rPr>
                <w:rFonts w:eastAsia="Verdana"/>
              </w:rPr>
            </w:pPr>
            <w:r w:rsidRPr="00DE108C">
              <w:t xml:space="preserve">We believe these outputs are reasonable measures of our performance against our Outcomes. </w:t>
            </w:r>
          </w:p>
        </w:tc>
      </w:tr>
      <w:tr w:rsidR="00767B75" w:rsidRPr="00DE108C" w14:paraId="08D66311" w14:textId="77777777" w:rsidTr="00A40735">
        <w:trPr>
          <w:trHeight w:val="300"/>
        </w:trPr>
        <w:tc>
          <w:tcPr>
            <w:tcW w:w="2547" w:type="dxa"/>
          </w:tcPr>
          <w:p w14:paraId="1BC07BCA" w14:textId="77777777" w:rsidR="00767B75" w:rsidRPr="00DE108C" w:rsidRDefault="00767B75">
            <w:pPr>
              <w:pStyle w:val="TableText"/>
            </w:pPr>
            <w:r w:rsidRPr="00DE108C">
              <w:t>Has Melbourne Water demonstrated a process to measure performance against each outcome and to inform its end-use and retail customers?</w:t>
            </w:r>
          </w:p>
        </w:tc>
        <w:tc>
          <w:tcPr>
            <w:tcW w:w="6520" w:type="dxa"/>
          </w:tcPr>
          <w:p w14:paraId="4259C48E" w14:textId="77777777" w:rsidR="00767B75" w:rsidRPr="00DE108C" w:rsidRDefault="00767B75" w:rsidP="00A40735">
            <w:pPr>
              <w:pStyle w:val="TableText"/>
              <w:rPr>
                <w:lang w:val="en-US"/>
              </w:rPr>
            </w:pPr>
            <w:r w:rsidRPr="00DE108C">
              <w:rPr>
                <w:rFonts w:eastAsia="Segoe UI"/>
                <w:lang w:val="en-US"/>
              </w:rPr>
              <w:t xml:space="preserve">We have </w:t>
            </w:r>
            <w:r w:rsidRPr="00DE108C">
              <w:rPr>
                <w:lang w:val="en-US"/>
              </w:rPr>
              <w:t>well-established</w:t>
            </w:r>
            <w:r w:rsidRPr="00DE108C">
              <w:rPr>
                <w:rFonts w:eastAsia="Segoe UI"/>
                <w:lang w:val="en-US"/>
              </w:rPr>
              <w:t xml:space="preserve"> </w:t>
            </w:r>
            <w:r w:rsidRPr="00DE108C">
              <w:rPr>
                <w:lang w:val="en-US"/>
              </w:rPr>
              <w:t xml:space="preserve">internal </w:t>
            </w:r>
            <w:r w:rsidRPr="00DE108C">
              <w:rPr>
                <w:rFonts w:eastAsia="Segoe UI"/>
                <w:lang w:val="en-US"/>
              </w:rPr>
              <w:t>performance reporting frameworks</w:t>
            </w:r>
            <w:r w:rsidRPr="00DE108C">
              <w:rPr>
                <w:lang w:val="en-US"/>
              </w:rPr>
              <w:t>. We have established an ongoing forum to help us validate our performance prior to publishing.</w:t>
            </w:r>
          </w:p>
        </w:tc>
      </w:tr>
      <w:tr w:rsidR="005B2F07" w:rsidRPr="00DE108C" w14:paraId="523213A2" w14:textId="77777777" w:rsidTr="00A40735">
        <w:trPr>
          <w:cnfStyle w:val="000000010000" w:firstRow="0" w:lastRow="0" w:firstColumn="0" w:lastColumn="0" w:oddVBand="0" w:evenVBand="0" w:oddHBand="0" w:evenHBand="1" w:firstRowFirstColumn="0" w:firstRowLastColumn="0" w:lastRowFirstColumn="0" w:lastRowLastColumn="0"/>
          <w:trHeight w:val="300"/>
        </w:trPr>
        <w:tc>
          <w:tcPr>
            <w:tcW w:w="2547" w:type="dxa"/>
          </w:tcPr>
          <w:p w14:paraId="23A330BC" w14:textId="77777777" w:rsidR="00767B75" w:rsidRPr="00DE108C" w:rsidRDefault="00767B75">
            <w:pPr>
              <w:pStyle w:val="TableText"/>
            </w:pPr>
            <w:r w:rsidRPr="00DE108C">
              <w:rPr>
                <w:rFonts w:asciiTheme="majorHAnsi" w:hAnsiTheme="majorHAnsi"/>
                <w:b/>
                <w:bCs/>
              </w:rPr>
              <w:t>Assessment</w:t>
            </w:r>
          </w:p>
        </w:tc>
        <w:tc>
          <w:tcPr>
            <w:tcW w:w="6520" w:type="dxa"/>
          </w:tcPr>
          <w:p w14:paraId="4691608E" w14:textId="77777777" w:rsidR="00767B75" w:rsidRPr="00DE108C" w:rsidRDefault="00767B75">
            <w:pPr>
              <w:pStyle w:val="TableText"/>
              <w:rPr>
                <w:b/>
              </w:rPr>
            </w:pPr>
            <w:r w:rsidRPr="00DE108C">
              <w:rPr>
                <w:rFonts w:asciiTheme="majorHAnsi" w:hAnsiTheme="majorHAnsi"/>
                <w:b/>
              </w:rPr>
              <w:t xml:space="preserve">Confident our Outcomes are </w:t>
            </w:r>
            <w:r w:rsidRPr="00423F03">
              <w:rPr>
                <w:rFonts w:asciiTheme="majorHAnsi" w:hAnsiTheme="majorHAnsi"/>
                <w:b/>
                <w:i/>
              </w:rPr>
              <w:t>‘Standard’</w:t>
            </w:r>
          </w:p>
        </w:tc>
      </w:tr>
    </w:tbl>
    <w:p w14:paraId="662804D7" w14:textId="77777777" w:rsidR="00767B75" w:rsidRPr="00DE108C" w:rsidRDefault="00767B75">
      <w:r w:rsidRPr="00DE108C">
        <w:br w:type="textWrapping" w:clear="all"/>
      </w:r>
    </w:p>
    <w:p w14:paraId="3A46D8F6" w14:textId="77777777" w:rsidR="00767B75" w:rsidRPr="00DE108C" w:rsidRDefault="00767B75">
      <w:r w:rsidRPr="00DE108C">
        <w:br w:type="page"/>
      </w:r>
    </w:p>
    <w:bookmarkStart w:id="360" w:name="_Toc183369873"/>
    <w:bookmarkStart w:id="361" w:name="_Ref183442129"/>
    <w:bookmarkStart w:id="362" w:name="_Toc183623981"/>
    <w:bookmarkStart w:id="363" w:name="_Toc190876143"/>
    <w:bookmarkStart w:id="364" w:name="_Ref192494541"/>
    <w:bookmarkStart w:id="365" w:name="_Ref192494544"/>
    <w:bookmarkStart w:id="366" w:name="_Toc196745223"/>
    <w:bookmarkStart w:id="367" w:name="_Toc199757801"/>
    <w:bookmarkStart w:id="368" w:name="_Toc207892896"/>
    <w:bookmarkStart w:id="369" w:name="_Toc207853389"/>
    <w:bookmarkStart w:id="370" w:name="_Toc210229037"/>
    <w:p w14:paraId="4AFE205F" w14:textId="77C304C5" w:rsidR="00767B75" w:rsidRPr="00DE108C" w:rsidRDefault="005D47BE" w:rsidP="007436B9">
      <w:pPr>
        <w:pStyle w:val="Heading1"/>
        <w:rPr>
          <w:b w:val="0"/>
          <w:bCs w:val="0"/>
          <w:color w:val="FFFFFF" w:themeColor="background1"/>
          <w:sz w:val="80"/>
          <w:szCs w:val="80"/>
        </w:rPr>
      </w:pPr>
      <w:r>
        <w:rPr>
          <w:noProof/>
        </w:rPr>
        <w:lastRenderedPageBreak/>
        <mc:AlternateContent>
          <mc:Choice Requires="wps">
            <w:drawing>
              <wp:anchor distT="45720" distB="45720" distL="114300" distR="114300" simplePos="0" relativeHeight="251658268" behindDoc="0" locked="0" layoutInCell="1" allowOverlap="1" wp14:anchorId="22409DED" wp14:editId="6236F2E0">
                <wp:simplePos x="0" y="0"/>
                <wp:positionH relativeFrom="margin">
                  <wp:posOffset>0</wp:posOffset>
                </wp:positionH>
                <wp:positionV relativeFrom="margin">
                  <wp:posOffset>0</wp:posOffset>
                </wp:positionV>
                <wp:extent cx="4122000" cy="907200"/>
                <wp:effectExtent l="0" t="0" r="0" b="0"/>
                <wp:wrapSquare wrapText="bothSides"/>
                <wp:docPr id="163705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000" cy="907200"/>
                        </a:xfrm>
                        <a:prstGeom prst="rect">
                          <a:avLst/>
                        </a:prstGeom>
                        <a:noFill/>
                        <a:ln w="9525">
                          <a:noFill/>
                          <a:miter lim="800000"/>
                          <a:headEnd/>
                          <a:tailEnd/>
                        </a:ln>
                      </wps:spPr>
                      <wps:txbx>
                        <w:txbxContent>
                          <w:p w14:paraId="39038CB9" w14:textId="4695219A" w:rsidR="005D47BE" w:rsidRPr="00FA4200" w:rsidRDefault="005D47BE" w:rsidP="005D47BE">
                            <w:pPr>
                              <w:rPr>
                                <w:color w:val="FFFFFF" w:themeColor="background1"/>
                                <w:sz w:val="80"/>
                                <w:szCs w:val="80"/>
                              </w:rPr>
                            </w:pPr>
                            <w:r>
                              <w:rPr>
                                <w:color w:val="FFFFFF" w:themeColor="background1"/>
                                <w:sz w:val="80"/>
                                <w:szCs w:val="80"/>
                              </w:rPr>
                              <w:t>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09DED" id="_x0000_s1046" type="#_x0000_t202" style="position:absolute;margin-left:0;margin-top:0;width:324.55pt;height:71.4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" filled="f" stroked="f">
                <v:textbox>
                  <w:txbxContent>
                    <w:p w14:paraId="39038CB9" w14:textId="4695219A" w:rsidR="005D47BE" w:rsidRPr="00FA4200" w:rsidRDefault="005D47BE" w:rsidP="005D47BE">
                      <w:pPr>
                        <w:rPr>
                          <w:color w:val="FFFFFF" w:themeColor="background1"/>
                          <w:sz w:val="80"/>
                          <w:szCs w:val="80"/>
                        </w:rPr>
                      </w:pPr>
                      <w:r>
                        <w:rPr>
                          <w:color w:val="FFFFFF" w:themeColor="background1"/>
                          <w:sz w:val="80"/>
                          <w:szCs w:val="80"/>
                        </w:rPr>
                        <w:t>Risk</w:t>
                      </w:r>
                    </w:p>
                  </w:txbxContent>
                </v:textbox>
                <w10:wrap type="square" anchorx="margin" anchory="margin"/>
              </v:shape>
            </w:pict>
          </mc:Fallback>
        </mc:AlternateContent>
      </w:r>
      <w:r w:rsidR="002C1603" w:rsidRPr="00DE108C">
        <w:rPr>
          <w:b w:val="0"/>
          <w:bCs w:val="0"/>
          <w:noProof/>
          <w:color w:val="FFFFFF" w:themeColor="background1"/>
          <w:sz w:val="80"/>
          <w:szCs w:val="80"/>
        </w:rPr>
        <w:drawing>
          <wp:anchor distT="0" distB="0" distL="114300" distR="114300" simplePos="0" relativeHeight="251658260" behindDoc="0" locked="1" layoutInCell="1" allowOverlap="1" wp14:anchorId="4E3DE852" wp14:editId="6A3B790F">
            <wp:simplePos x="0" y="0"/>
            <wp:positionH relativeFrom="page">
              <wp:align>left</wp:align>
            </wp:positionH>
            <wp:positionV relativeFrom="page">
              <wp:align>bottom</wp:align>
            </wp:positionV>
            <wp:extent cx="7628255" cy="10781665"/>
            <wp:effectExtent l="0" t="0" r="0" b="635"/>
            <wp:wrapNone/>
            <wp:docPr id="109503879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38796" name="Picture 8">
                      <a:extLst>
                        <a:ext uri="{C183D7F6-B498-43B3-948B-1728B52AA6E4}">
                          <adec:decorative xmlns:adec="http://schemas.microsoft.com/office/drawing/2017/decorative" val="1"/>
                        </a:ext>
                      </a:extLst>
                    </pic:cNvPr>
                    <pic:cNvPicPr/>
                  </pic:nvPicPr>
                  <pic:blipFill>
                    <a:blip r:embed="rId69" cstate="email">
                      <a:extLst>
                        <a:ext uri="{28A0092B-C50C-407E-A947-70E740481C1C}">
                          <a14:useLocalDpi xmlns:a14="http://schemas.microsoft.com/office/drawing/2010/main"/>
                        </a:ext>
                      </a:extLst>
                    </a:blip>
                    <a:stretch>
                      <a:fillRect/>
                    </a:stretch>
                  </pic:blipFill>
                  <pic:spPr>
                    <a:xfrm>
                      <a:off x="0" y="0"/>
                      <a:ext cx="7628255" cy="10781665"/>
                    </a:xfrm>
                    <a:prstGeom prst="rect">
                      <a:avLst/>
                    </a:prstGeom>
                  </pic:spPr>
                </pic:pic>
              </a:graphicData>
            </a:graphic>
            <wp14:sizeRelH relativeFrom="page">
              <wp14:pctWidth>0</wp14:pctWidth>
            </wp14:sizeRelH>
            <wp14:sizeRelV relativeFrom="page">
              <wp14:pctHeight>0</wp14:pctHeight>
            </wp14:sizeRelV>
          </wp:anchor>
        </w:drawing>
      </w:r>
      <w:r w:rsidR="00767B75" w:rsidRPr="00DE108C">
        <w:rPr>
          <w:b w:val="0"/>
          <w:bCs w:val="0"/>
          <w:color w:val="FFFFFF" w:themeColor="background1"/>
          <w:sz w:val="80"/>
          <w:szCs w:val="80"/>
        </w:rPr>
        <w:t>5. Risk</w:t>
      </w:r>
      <w:bookmarkEnd w:id="360"/>
      <w:bookmarkEnd w:id="361"/>
      <w:bookmarkEnd w:id="362"/>
      <w:bookmarkEnd w:id="363"/>
      <w:bookmarkEnd w:id="364"/>
      <w:bookmarkEnd w:id="365"/>
      <w:bookmarkEnd w:id="366"/>
      <w:bookmarkEnd w:id="367"/>
      <w:bookmarkEnd w:id="368"/>
      <w:bookmarkEnd w:id="369"/>
      <w:bookmarkEnd w:id="370"/>
      <w:r w:rsidR="006E4E6B" w:rsidRPr="00DE108C">
        <w:rPr>
          <w:b w:val="0"/>
          <w:bCs w:val="0"/>
          <w:color w:val="FFFFFF" w:themeColor="background1"/>
          <w:sz w:val="80"/>
          <w:szCs w:val="80"/>
        </w:rPr>
        <w:t xml:space="preserve"> </w:t>
      </w:r>
    </w:p>
    <w:p w14:paraId="59F3A6EC" w14:textId="77777777" w:rsidR="00D2037C" w:rsidRPr="00DE108C" w:rsidRDefault="00D2037C" w:rsidP="00D2037C">
      <w:pPr>
        <w:pStyle w:val="BodyText"/>
      </w:pPr>
    </w:p>
    <w:p w14:paraId="5B72A767" w14:textId="77777777" w:rsidR="00D2037C" w:rsidRPr="00DE108C" w:rsidRDefault="00D2037C" w:rsidP="00D2037C">
      <w:pPr>
        <w:pStyle w:val="BodyText"/>
      </w:pPr>
    </w:p>
    <w:p w14:paraId="628CC195" w14:textId="2E490EBD" w:rsidR="5F013AD7" w:rsidRPr="00DE108C" w:rsidRDefault="5F013AD7">
      <w:r w:rsidRPr="00DE108C">
        <w:br w:type="page"/>
      </w:r>
    </w:p>
    <w:p w14:paraId="122CBB00" w14:textId="0EEBC2F4" w:rsidR="00767B75" w:rsidRPr="00DE108C" w:rsidRDefault="00767B75" w:rsidP="00833AA1">
      <w:pPr>
        <w:pStyle w:val="HighlightBoxHeading"/>
      </w:pPr>
      <w:r w:rsidRPr="00DE108C">
        <w:lastRenderedPageBreak/>
        <w:t xml:space="preserve">In Summary </w:t>
      </w:r>
    </w:p>
    <w:p w14:paraId="631D935E" w14:textId="023141CD" w:rsidR="00CB4BD9" w:rsidRPr="00D30A04" w:rsidRDefault="00CB4BD9" w:rsidP="00833AA1">
      <w:pPr>
        <w:pStyle w:val="HighlightBoxBullet"/>
      </w:pPr>
      <w:r w:rsidRPr="00D30A04">
        <w:t>Melbourne Water is accepting additional risks on behalf of customers as a result of extensive internal and external collaboration on risk allocation, including with the water corporations and other customers. This includes including financial and revenue risk associated with the capex program, providing an uplift in deliverability risk management capability to ensure that customers receive what they pay for, increasing our exposure to demand, performance and revenue risk.</w:t>
      </w:r>
    </w:p>
    <w:p w14:paraId="590EA459" w14:textId="24788F2A" w:rsidR="00767B75" w:rsidRPr="00DE108C" w:rsidRDefault="00767B75" w:rsidP="00833AA1">
      <w:pPr>
        <w:pStyle w:val="HighlightBoxBullet"/>
      </w:pPr>
      <w:r w:rsidRPr="00DE108C">
        <w:t>At Melbourne Water, effective risk management is central to delivering safe, reliable and high-quality services in an increasingly complex operating environment. We comply with our extensive legislative and regulatory obligations to adopt, maintain and comply with high quality risk management frameworks.</w:t>
      </w:r>
    </w:p>
    <w:p w14:paraId="702C87ED" w14:textId="792F1F95" w:rsidR="00767B75" w:rsidRPr="00DE108C" w:rsidRDefault="00767B75" w:rsidP="00833AA1">
      <w:pPr>
        <w:pStyle w:val="HighlightBoxBullet"/>
      </w:pPr>
      <w:r w:rsidRPr="00DE108C">
        <w:t>To develop PS26, we undertook a robust risk identification and assessment process. The development of PS26 has been integrated with our enterprise risk assessment and management processes to ensure there was explicit work to identify, quantify and allocate risks most relevant to PS26. The risk assessment impacts on many aspects of PS26, including expenditure proposals, demand forecasts, tariff structures, the price control mechanism, efficiency commitments, service delivery and Guaranteed Service Levels (GSLs).</w:t>
      </w:r>
    </w:p>
    <w:p w14:paraId="77678D0D" w14:textId="77777777" w:rsidR="00767B75" w:rsidRPr="00DE108C" w:rsidRDefault="00767B75" w:rsidP="00A40735">
      <w:pPr>
        <w:rPr>
          <w:rFonts w:eastAsia="Verdana"/>
        </w:rPr>
      </w:pPr>
      <w:r w:rsidRPr="00DE108C">
        <w:rPr>
          <w:rFonts w:eastAsia="Verdana"/>
        </w:rPr>
        <w:t xml:space="preserve">Chapter 5 provides information to support our Risk assessment, including: </w:t>
      </w:r>
    </w:p>
    <w:p w14:paraId="5A9B1299" w14:textId="77777777" w:rsidR="00767B75" w:rsidRPr="00DE108C" w:rsidRDefault="00767B75" w:rsidP="00B81C9A">
      <w:pPr>
        <w:pStyle w:val="ListBullet"/>
        <w:rPr>
          <w:rFonts w:eastAsia="Verdana"/>
        </w:rPr>
      </w:pPr>
      <w:r w:rsidRPr="00DE108C">
        <w:rPr>
          <w:rFonts w:eastAsia="Verdana"/>
        </w:rPr>
        <w:t>an overview of our approach to considering Risk in PS26</w:t>
      </w:r>
    </w:p>
    <w:p w14:paraId="0A25608F" w14:textId="77777777" w:rsidR="00767B75" w:rsidRPr="00DE108C" w:rsidRDefault="00767B75" w:rsidP="00B81C9A">
      <w:pPr>
        <w:pStyle w:val="ListBullet"/>
        <w:rPr>
          <w:rFonts w:eastAsia="Verdana"/>
        </w:rPr>
      </w:pPr>
      <w:r w:rsidRPr="00DE108C">
        <w:rPr>
          <w:rFonts w:eastAsia="Verdana"/>
        </w:rPr>
        <w:t>our risk management obligations and frameworks</w:t>
      </w:r>
    </w:p>
    <w:p w14:paraId="56F613C8" w14:textId="77777777" w:rsidR="00767B75" w:rsidRPr="00DE108C" w:rsidRDefault="00767B75" w:rsidP="00B81C9A">
      <w:pPr>
        <w:pStyle w:val="ListBullet"/>
        <w:rPr>
          <w:rFonts w:eastAsia="Verdana"/>
        </w:rPr>
      </w:pPr>
      <w:r w:rsidRPr="00DE108C">
        <w:rPr>
          <w:rFonts w:eastAsia="Verdana"/>
        </w:rPr>
        <w:t>our assessed risk for the purposes of pricing</w:t>
      </w:r>
    </w:p>
    <w:p w14:paraId="3961C496" w14:textId="7A01634F" w:rsidR="00767B75" w:rsidRPr="00DE108C" w:rsidRDefault="00767B75" w:rsidP="00B81C9A">
      <w:pPr>
        <w:pStyle w:val="ListBullet"/>
        <w:rPr>
          <w:rFonts w:eastAsia="Verdana"/>
        </w:rPr>
      </w:pPr>
      <w:r w:rsidRPr="00DE108C">
        <w:rPr>
          <w:rFonts w:eastAsia="Verdana"/>
        </w:rPr>
        <w:t xml:space="preserve">the </w:t>
      </w:r>
      <w:r w:rsidR="005C693B">
        <w:rPr>
          <w:rFonts w:eastAsia="Verdana"/>
        </w:rPr>
        <w:t xml:space="preserve">risk allocation </w:t>
      </w:r>
      <w:r w:rsidRPr="00DE108C">
        <w:rPr>
          <w:rFonts w:eastAsia="Verdana"/>
        </w:rPr>
        <w:t xml:space="preserve">between Melbourne Water and </w:t>
      </w:r>
      <w:r w:rsidR="005C693B">
        <w:rPr>
          <w:rFonts w:eastAsia="Verdana"/>
        </w:rPr>
        <w:t xml:space="preserve">water corporations </w:t>
      </w:r>
    </w:p>
    <w:p w14:paraId="2AF82C69" w14:textId="1AD6B2D4" w:rsidR="00767B75" w:rsidRPr="006E5D7B" w:rsidRDefault="00767B75" w:rsidP="006E5D7B">
      <w:pPr>
        <w:pStyle w:val="ListBullet"/>
        <w:rPr>
          <w:rFonts w:eastAsia="Verdana"/>
        </w:rPr>
      </w:pPr>
      <w:r w:rsidRPr="00DE108C">
        <w:rPr>
          <w:rFonts w:eastAsia="Verdana"/>
        </w:rPr>
        <w:t>our Risk self-assessment rating.</w:t>
      </w:r>
    </w:p>
    <w:p w14:paraId="0DCC712B" w14:textId="15E974C7" w:rsidR="00767B75" w:rsidRPr="00DE108C" w:rsidRDefault="00767B75">
      <w:pPr>
        <w:pStyle w:val="Heading2"/>
        <w:rPr>
          <w:b w:val="0"/>
          <w:bCs w:val="0"/>
        </w:rPr>
      </w:pPr>
      <w:bookmarkStart w:id="371" w:name="_Toc207892897"/>
      <w:bookmarkStart w:id="372" w:name="_Toc207853390"/>
      <w:r w:rsidRPr="00DE108C">
        <w:t xml:space="preserve">5.1 Our approach to considering </w:t>
      </w:r>
      <w:r w:rsidR="009F555A" w:rsidRPr="00DE108C">
        <w:t>r</w:t>
      </w:r>
      <w:r w:rsidRPr="00DE108C">
        <w:t xml:space="preserve">isk in this </w:t>
      </w:r>
      <w:r w:rsidR="009F555A" w:rsidRPr="00DE108C">
        <w:t>P</w:t>
      </w:r>
      <w:r w:rsidRPr="00DE108C">
        <w:t xml:space="preserve">rice </w:t>
      </w:r>
      <w:r w:rsidR="009F555A" w:rsidRPr="00DE108C">
        <w:t>S</w:t>
      </w:r>
      <w:r w:rsidRPr="00DE108C">
        <w:t>ubmission</w:t>
      </w:r>
      <w:bookmarkEnd w:id="371"/>
      <w:bookmarkEnd w:id="372"/>
    </w:p>
    <w:p w14:paraId="771E3ADC" w14:textId="7409EA3B" w:rsidR="00767B75" w:rsidRPr="00DE108C" w:rsidRDefault="00767B75" w:rsidP="00A40735">
      <w:r w:rsidRPr="00DE108C">
        <w:t>Effective risk management is fundamental to delivering our vision of ‘enhancing life and liveability’. As custodians of Greater Melbourne’s water resources and infrastructure, our operations are subject to numerous uncertainties (internal and external) with the potential to impact our ability to provide safe, reliable, and sustainable services. Robust risk management enables us to identify and address these uncertainties, ensuring we continue to meet customer expectations, regulatory requirements and our broader strategic objectives.</w:t>
      </w:r>
    </w:p>
    <w:p w14:paraId="5DC50B9F" w14:textId="2A624757" w:rsidR="00767B75" w:rsidRPr="00DE108C" w:rsidRDefault="00767B75" w:rsidP="00A40735">
      <w:r w:rsidRPr="00DE108C">
        <w:t xml:space="preserve">In this chapter, we explain how we have assessed, quantified and allocated the most relevant risks to the services we provide, our proposed plans and the proposed prices to customers. In addition, how the costs of managing risk have been determined and how they are allocated between us and our customers is an important element of PS26.  </w:t>
      </w:r>
    </w:p>
    <w:p w14:paraId="6B5BBCC8" w14:textId="77777777" w:rsidR="00767B75" w:rsidRPr="00DE108C" w:rsidRDefault="00767B75" w:rsidP="00A40735">
      <w:r w:rsidRPr="00DE108C">
        <w:t>Our assessments and proposed management of risks have been tested in our engagement processes. We have coordinated with the water corporations to understand efficient risk management approaches across the Victorian water sector and potential for alignment and innovation. Drawing on insights from our customers and regulators, we have also updated our risk identification and allocation for this submission, focusing on limiting the allocation of risks (and associated costs) to customers where possible, particularly risks associated with our capex program.</w:t>
      </w:r>
    </w:p>
    <w:p w14:paraId="396645AF" w14:textId="77777777" w:rsidR="00767B75" w:rsidRPr="00DE108C" w:rsidRDefault="00767B75">
      <w:pPr>
        <w:rPr>
          <w:sz w:val="22"/>
          <w:szCs w:val="22"/>
          <w:lang w:val="en-US"/>
        </w:rPr>
      </w:pPr>
    </w:p>
    <w:p w14:paraId="238C1C53" w14:textId="2C114271" w:rsidR="00767B75" w:rsidRPr="00DE108C" w:rsidRDefault="00767B75">
      <w:pPr>
        <w:pStyle w:val="Heading2"/>
      </w:pPr>
      <w:bookmarkStart w:id="373" w:name="_Toc196745224"/>
      <w:bookmarkStart w:id="374" w:name="_Toc207892898"/>
      <w:bookmarkStart w:id="375" w:name="_Toc207853391"/>
      <w:r w:rsidRPr="00DE108C">
        <w:t>5.</w:t>
      </w:r>
      <w:r w:rsidR="00C1236A" w:rsidRPr="00DE108C">
        <w:t>2</w:t>
      </w:r>
      <w:r w:rsidRPr="00DE108C">
        <w:t xml:space="preserve"> Our risk management obligations and frameworks</w:t>
      </w:r>
      <w:bookmarkEnd w:id="373"/>
      <w:bookmarkEnd w:id="374"/>
      <w:bookmarkEnd w:id="375"/>
    </w:p>
    <w:p w14:paraId="51275625" w14:textId="41DF7071" w:rsidR="00767B75" w:rsidRPr="00DE108C" w:rsidRDefault="00767B75" w:rsidP="00A40735">
      <w:pPr>
        <w:rPr>
          <w:rFonts w:eastAsiaTheme="minorEastAsia"/>
        </w:rPr>
      </w:pPr>
      <w:r w:rsidRPr="00DE108C">
        <w:rPr>
          <w:rFonts w:eastAsiaTheme="minorEastAsia"/>
        </w:rPr>
        <w:t>Understanding significant risks likely to impact on services and prices, and how these are identified and addressed, starts with the outcomes of applying our formal risk management frameworks. As shown in Table 5.1, Melbourne Water complies with a range of legislative and regulatory obligations to apply sound risk management frameworks and processes. These obligations require joint risk analysis and planning with other government agencies and water corporations in Victoria.</w:t>
      </w:r>
    </w:p>
    <w:p w14:paraId="6D20B9E8" w14:textId="77777777" w:rsidR="00767B75" w:rsidRPr="00DE108C" w:rsidRDefault="00767B75" w:rsidP="00BC2765">
      <w:pPr>
        <w:pStyle w:val="Caption"/>
      </w:pPr>
      <w:bookmarkStart w:id="376" w:name="_Toc207893010"/>
      <w:bookmarkStart w:id="377" w:name="_Toc208490534"/>
      <w:bookmarkStart w:id="378" w:name="_Toc208490872"/>
      <w:bookmarkStart w:id="379" w:name="_Toc208911030"/>
      <w:bookmarkStart w:id="380" w:name="_Toc210051336"/>
      <w:r w:rsidRPr="00DE108C">
        <w:t>Table 5.1: Relevant legislative and regulatory obligations to risk management</w:t>
      </w:r>
      <w:bookmarkEnd w:id="376"/>
      <w:bookmarkEnd w:id="377"/>
      <w:bookmarkEnd w:id="378"/>
      <w:bookmarkEnd w:id="379"/>
      <w:bookmarkEnd w:id="380"/>
    </w:p>
    <w:tbl>
      <w:tblPr>
        <w:tblStyle w:val="MWTableGrid"/>
        <w:tblW w:w="5000" w:type="pct"/>
        <w:tblLook w:val="06A0" w:firstRow="1" w:lastRow="0" w:firstColumn="1" w:lastColumn="0" w:noHBand="1" w:noVBand="1"/>
      </w:tblPr>
      <w:tblGrid>
        <w:gridCol w:w="2553"/>
        <w:gridCol w:w="7075"/>
      </w:tblGrid>
      <w:tr w:rsidR="00A5757A" w:rsidRPr="00DE108C" w14:paraId="4FBF493E" w14:textId="77777777">
        <w:trPr>
          <w:cnfStyle w:val="100000000000" w:firstRow="1" w:lastRow="0" w:firstColumn="0" w:lastColumn="0" w:oddVBand="0" w:evenVBand="0" w:oddHBand="0" w:evenHBand="0" w:firstRowFirstColumn="0" w:firstRowLastColumn="0" w:lastRowFirstColumn="0" w:lastRowLastColumn="0"/>
        </w:trPr>
        <w:tc>
          <w:tcPr>
            <w:tcW w:w="1326" w:type="pct"/>
          </w:tcPr>
          <w:p w14:paraId="1B88EBC6" w14:textId="77777777" w:rsidR="00767B75" w:rsidRPr="00DE108C" w:rsidRDefault="00767B75">
            <w:pPr>
              <w:pStyle w:val="TableHeading"/>
            </w:pPr>
            <w:r w:rsidRPr="00DE108C">
              <w:rPr>
                <w:rFonts w:eastAsiaTheme="minorEastAsia"/>
              </w:rPr>
              <w:t>Obligation</w:t>
            </w:r>
          </w:p>
        </w:tc>
        <w:tc>
          <w:tcPr>
            <w:tcW w:w="3674" w:type="pct"/>
          </w:tcPr>
          <w:p w14:paraId="6EC9D362" w14:textId="77777777" w:rsidR="00767B75" w:rsidRPr="00DE108C" w:rsidRDefault="00767B75">
            <w:pPr>
              <w:pStyle w:val="TableHeading"/>
              <w:rPr>
                <w:rFonts w:eastAsiaTheme="minorEastAsia"/>
              </w:rPr>
            </w:pPr>
            <w:r w:rsidRPr="00DE108C">
              <w:rPr>
                <w:rFonts w:eastAsiaTheme="minorEastAsia"/>
              </w:rPr>
              <w:t>Detail</w:t>
            </w:r>
          </w:p>
        </w:tc>
      </w:tr>
      <w:tr w:rsidR="00767B75" w:rsidRPr="00DE108C" w14:paraId="3CC3CE2B" w14:textId="77777777">
        <w:tc>
          <w:tcPr>
            <w:tcW w:w="1326" w:type="pct"/>
          </w:tcPr>
          <w:p w14:paraId="7869A610" w14:textId="77777777" w:rsidR="00767B75" w:rsidRPr="00DE108C" w:rsidRDefault="00767B75">
            <w:pPr>
              <w:pStyle w:val="TableText"/>
              <w:rPr>
                <w:b/>
                <w:i/>
              </w:rPr>
            </w:pPr>
            <w:r w:rsidRPr="00DE108C">
              <w:rPr>
                <w:b/>
                <w:i/>
              </w:rPr>
              <w:t>Water Industry Act 1994</w:t>
            </w:r>
          </w:p>
        </w:tc>
        <w:tc>
          <w:tcPr>
            <w:tcW w:w="3674" w:type="pct"/>
          </w:tcPr>
          <w:p w14:paraId="3D7E9725" w14:textId="41709E99" w:rsidR="00767B75" w:rsidRPr="00DE108C" w:rsidRDefault="7B64E5FE" w:rsidP="001C5C67">
            <w:pPr>
              <w:pStyle w:val="Tablebullet"/>
            </w:pPr>
            <w:r w:rsidRPr="00DE108C">
              <w:t xml:space="preserve">Part 5.1 - </w:t>
            </w:r>
            <w:r w:rsidRPr="007B1B62">
              <w:rPr>
                <w:i/>
              </w:rPr>
              <w:t>Statement of Obligations (General)</w:t>
            </w:r>
            <w:r w:rsidRPr="00DE108C">
              <w:t xml:space="preserve"> issued under the Act requires Melbourne Water to ‘develop and implement plans, systems and processes, having regard to ISO</w:t>
            </w:r>
            <w:r w:rsidR="007357BA">
              <w:t xml:space="preserve"> </w:t>
            </w:r>
            <w:r w:rsidRPr="00DE108C">
              <w:t xml:space="preserve">31000’. </w:t>
            </w:r>
          </w:p>
          <w:p w14:paraId="288A5244" w14:textId="236A4C64" w:rsidR="00767B75" w:rsidRPr="00DE108C" w:rsidRDefault="7B64E5FE" w:rsidP="001C5C67">
            <w:pPr>
              <w:pStyle w:val="Tablebullet"/>
            </w:pPr>
            <w:r w:rsidRPr="00DE108C">
              <w:t xml:space="preserve">Melbourne Water has adopted risk management processes in line with ISO 31000, including AS/NZS ISO 31000:2018: Risk Management – Principles and Guideline, which provides an internationally recognised approach. </w:t>
            </w:r>
          </w:p>
          <w:p w14:paraId="61D1F5D7" w14:textId="7B0EC01A" w:rsidR="00767B75" w:rsidRPr="00DE108C" w:rsidRDefault="00767B75" w:rsidP="001C5C67">
            <w:pPr>
              <w:pStyle w:val="Tablebullet"/>
            </w:pPr>
            <w:r w:rsidRPr="00DE108C">
              <w:t>Compliance with this standard is embedded in Melbourne Water’s Risk Management Policy, Risk Appetite Statement, and Risk Management Framework.</w:t>
            </w:r>
          </w:p>
          <w:p w14:paraId="0D95194E" w14:textId="38607F23" w:rsidR="00767B75" w:rsidRPr="00DE108C" w:rsidRDefault="7B64E5FE" w:rsidP="001C5C67">
            <w:pPr>
              <w:pStyle w:val="Tablebullet"/>
            </w:pPr>
            <w:r w:rsidRPr="00DE108C">
              <w:t xml:space="preserve">Part 5.2 - </w:t>
            </w:r>
            <w:r w:rsidRPr="007B1B62">
              <w:rPr>
                <w:i/>
              </w:rPr>
              <w:t>Statement of Obligations (General)</w:t>
            </w:r>
            <w:r w:rsidRPr="00DE108C">
              <w:t xml:space="preserve"> issued under the Act requires Melbourne Water to develop an emergency management plan for incidents and emergencies covering all hazards and measures, including the continuity of services; incidents resulting in waste discharges to the environment; a dam safety incident; a major Information and Communications Technology (ICT) incident; potential security risks, including but not limited to terrorist attacks; risks to water quality; and flooding. This obligation aligns with the Emergency Management Plan Melbourne Water is required </w:t>
            </w:r>
            <w:r w:rsidR="00FC00F6">
              <w:t xml:space="preserve">to adhere to </w:t>
            </w:r>
            <w:r w:rsidRPr="00DE108C">
              <w:t xml:space="preserve">under s74N of the </w:t>
            </w:r>
            <w:r w:rsidRPr="00987FD5">
              <w:rPr>
                <w:i/>
              </w:rPr>
              <w:t>Emergency Management Act 2013</w:t>
            </w:r>
            <w:r w:rsidRPr="00DE108C">
              <w:t xml:space="preserve"> (Vic).</w:t>
            </w:r>
          </w:p>
          <w:p w14:paraId="1F1D293D" w14:textId="29E9AA3E" w:rsidR="00767B75" w:rsidRPr="00DE108C" w:rsidRDefault="004B6F76" w:rsidP="001C5C67">
            <w:pPr>
              <w:pStyle w:val="Tablebullet"/>
            </w:pPr>
            <w:r w:rsidRPr="00DE108C">
              <w:t xml:space="preserve">Part 5.3.4 – </w:t>
            </w:r>
            <w:r w:rsidRPr="00987FD5">
              <w:rPr>
                <w:i/>
              </w:rPr>
              <w:t>Statement of Obligations (General)</w:t>
            </w:r>
            <w:r w:rsidRPr="00DE108C">
              <w:t xml:space="preserve"> requires Melbourne Water to provide </w:t>
            </w:r>
            <w:r w:rsidR="52F69471" w:rsidRPr="40AD8E0A">
              <w:t>the Department of Environment, Energy and Climate Action (</w:t>
            </w:r>
            <w:r w:rsidRPr="00DE108C">
              <w:t>DEECA</w:t>
            </w:r>
            <w:r w:rsidR="12FC47A9" w:rsidRPr="40AD8E0A">
              <w:t>)</w:t>
            </w:r>
            <w:r w:rsidRPr="00DE108C">
              <w:t xml:space="preserve"> a report annually providing</w:t>
            </w:r>
            <w:r w:rsidR="6856137C" w:rsidRPr="40AD8E0A">
              <w:t xml:space="preserve"> a</w:t>
            </w:r>
            <w:r w:rsidRPr="00DE108C">
              <w:t xml:space="preserve"> prioritised list of proposed dam safety works, summary of the risk profile for dams operated, summary of the risk profile for each dam on which safety work is proposed after completion of works, and a summary of the overall risk reduction profile of Melbourne Water’s dams.</w:t>
            </w:r>
          </w:p>
        </w:tc>
      </w:tr>
      <w:tr w:rsidR="00767B75" w:rsidRPr="00DE108C" w14:paraId="245C7404" w14:textId="77777777">
        <w:tc>
          <w:tcPr>
            <w:tcW w:w="1326" w:type="pct"/>
          </w:tcPr>
          <w:p w14:paraId="3EC92CA0" w14:textId="77777777" w:rsidR="00767B75" w:rsidRPr="00DE108C" w:rsidRDefault="00767B75">
            <w:pPr>
              <w:pStyle w:val="TableText"/>
              <w:rPr>
                <w:rFonts w:eastAsiaTheme="minorEastAsia"/>
                <w:b/>
              </w:rPr>
            </w:pPr>
            <w:r w:rsidRPr="00DE108C">
              <w:rPr>
                <w:b/>
                <w:i/>
              </w:rPr>
              <w:t>Victorian Government Risk Management Framework (VGRMF)</w:t>
            </w:r>
          </w:p>
        </w:tc>
        <w:tc>
          <w:tcPr>
            <w:tcW w:w="3674" w:type="pct"/>
          </w:tcPr>
          <w:p w14:paraId="46C1CA45" w14:textId="49055332" w:rsidR="00767B75" w:rsidRPr="00DE108C" w:rsidRDefault="00767B75" w:rsidP="001C5C67">
            <w:pPr>
              <w:pStyle w:val="Tablebullet"/>
            </w:pPr>
            <w:r w:rsidRPr="00DE108C">
              <w:t xml:space="preserve">Section 3.7.1 of Standing Directions of the Minister for Finance under the </w:t>
            </w:r>
            <w:r w:rsidRPr="003A7C99">
              <w:rPr>
                <w:i/>
              </w:rPr>
              <w:t>Financial Management Act 1994</w:t>
            </w:r>
            <w:r w:rsidRPr="00DE108C">
              <w:t xml:space="preserve"> provides a common minimum standard for risk management for all public agencies.</w:t>
            </w:r>
          </w:p>
          <w:p w14:paraId="39EBC11E" w14:textId="0E4DD8E1" w:rsidR="00767B75" w:rsidRPr="00DE108C" w:rsidRDefault="00767B75" w:rsidP="001C5C67">
            <w:pPr>
              <w:pStyle w:val="Tablebullet"/>
            </w:pPr>
            <w:r w:rsidRPr="00DE108C">
              <w:t xml:space="preserve">Under the </w:t>
            </w:r>
            <w:r w:rsidRPr="003A7C99">
              <w:rPr>
                <w:i/>
              </w:rPr>
              <w:t>Financial Management Act 1994</w:t>
            </w:r>
            <w:r w:rsidRPr="00DE108C">
              <w:t>, Melbourne Water also collaborates with the Victorian Government and agencies to identify and manage state-significant risks (SSRs), which are reported to government annually as part of the water industry risk reporting.</w:t>
            </w:r>
          </w:p>
        </w:tc>
      </w:tr>
      <w:tr w:rsidR="00767B75" w:rsidRPr="00DE108C" w14:paraId="38DC1F83" w14:textId="77777777" w:rsidTr="7D73E9CE">
        <w:trPr>
          <w:trHeight w:val="1080"/>
        </w:trPr>
        <w:tc>
          <w:tcPr>
            <w:tcW w:w="1326" w:type="pct"/>
          </w:tcPr>
          <w:p w14:paraId="460903C8" w14:textId="0713E080" w:rsidR="00767B75" w:rsidRPr="00DE108C" w:rsidRDefault="00767B75">
            <w:pPr>
              <w:pStyle w:val="TableText"/>
              <w:rPr>
                <w:b/>
                <w:i/>
              </w:rPr>
            </w:pPr>
            <w:r w:rsidRPr="00DE108C">
              <w:rPr>
                <w:b/>
                <w:i/>
              </w:rPr>
              <w:t xml:space="preserve">Security of Critical Infrastructure Act (2018) </w:t>
            </w:r>
          </w:p>
        </w:tc>
        <w:tc>
          <w:tcPr>
            <w:tcW w:w="3674" w:type="pct"/>
          </w:tcPr>
          <w:p w14:paraId="62E2FBA0" w14:textId="45B11EEC" w:rsidR="00767B75" w:rsidRPr="00DE108C" w:rsidRDefault="62BD6ADA" w:rsidP="001C5C67">
            <w:pPr>
              <w:pStyle w:val="Tablebullet"/>
            </w:pPr>
            <w:r w:rsidRPr="00DE108C">
              <w:t>Section 30AC/AD requires</w:t>
            </w:r>
            <w:r w:rsidR="00767B75" w:rsidRPr="00DE108C">
              <w:t xml:space="preserve"> Melbourne Water to adopt, maintain and comply with a critical infrastructure risk management program to address cyber security and other threats to their critical infrastructure.</w:t>
            </w:r>
          </w:p>
        </w:tc>
      </w:tr>
      <w:tr w:rsidR="7D73E9CE" w:rsidRPr="00DE108C" w14:paraId="4AC79219" w14:textId="77777777" w:rsidTr="7D73E9CE">
        <w:trPr>
          <w:trHeight w:val="300"/>
        </w:trPr>
        <w:tc>
          <w:tcPr>
            <w:tcW w:w="2553" w:type="dxa"/>
          </w:tcPr>
          <w:p w14:paraId="6DEE4F1D" w14:textId="132A0CD6" w:rsidR="62BD6ADA" w:rsidRPr="00DE108C" w:rsidRDefault="62BD6ADA" w:rsidP="7D73E9CE">
            <w:pPr>
              <w:pStyle w:val="TableText"/>
              <w:rPr>
                <w:b/>
                <w:bCs/>
                <w:i/>
                <w:iCs/>
              </w:rPr>
            </w:pPr>
            <w:r w:rsidRPr="00DE108C">
              <w:rPr>
                <w:b/>
                <w:bCs/>
                <w:i/>
                <w:iCs/>
              </w:rPr>
              <w:lastRenderedPageBreak/>
              <w:t>Safe Drinking Water Act 2003 (Vic)</w:t>
            </w:r>
          </w:p>
        </w:tc>
        <w:tc>
          <w:tcPr>
            <w:tcW w:w="7075" w:type="dxa"/>
          </w:tcPr>
          <w:p w14:paraId="0EB48084" w14:textId="0A273C30" w:rsidR="053CE7FF" w:rsidRPr="00DE108C" w:rsidRDefault="053CE7FF" w:rsidP="001C5C67">
            <w:pPr>
              <w:pStyle w:val="Tablebullet"/>
            </w:pPr>
            <w:r w:rsidRPr="00DE108C">
              <w:t>Section 8(1) requires Melbourne Water to prepare, implement and maintain a Risk Management Plan in relation to its supply of water to a water supplier.</w:t>
            </w:r>
          </w:p>
          <w:p w14:paraId="11F87AD5" w14:textId="4994A8FD" w:rsidR="053CE7FF" w:rsidRPr="00DE108C" w:rsidRDefault="053CE7FF" w:rsidP="001C5C67">
            <w:pPr>
              <w:pStyle w:val="Tablebullet"/>
            </w:pPr>
            <w:r w:rsidRPr="00DE108C">
              <w:t xml:space="preserve">This aligns with the requirements under section 6 of the </w:t>
            </w:r>
            <w:r w:rsidRPr="003A7C99">
              <w:rPr>
                <w:i/>
              </w:rPr>
              <w:t>Safe Drinking Water Regulations 2025</w:t>
            </w:r>
            <w:r w:rsidRPr="00DE108C">
              <w:t xml:space="preserve"> </w:t>
            </w:r>
            <w:r w:rsidRPr="003A7C99">
              <w:rPr>
                <w:i/>
              </w:rPr>
              <w:t>(Vic)</w:t>
            </w:r>
            <w:r w:rsidRPr="00DE108C">
              <w:t>.</w:t>
            </w:r>
          </w:p>
        </w:tc>
      </w:tr>
    </w:tbl>
    <w:p w14:paraId="6FB1BE20" w14:textId="77777777" w:rsidR="00767B75" w:rsidRPr="00DE108C" w:rsidRDefault="00767B75">
      <w:pPr>
        <w:pStyle w:val="BodyText"/>
        <w:rPr>
          <w:noProof/>
        </w:rPr>
      </w:pPr>
    </w:p>
    <w:p w14:paraId="10D7D427" w14:textId="1EFDEA49" w:rsidR="00767B75" w:rsidRPr="00DE108C" w:rsidRDefault="00767B75" w:rsidP="00A40735">
      <w:r w:rsidRPr="00DE108C">
        <w:t>Figure 5.1 shows that the risk management framework applied by Melbourne Water establishes and maintains risk management principles and policies (updated annually), assigns clear roles and responsibilities (including at Board and Executive level), develops a risk management culture within the organisation, and resources necessary risk management processes and systems.</w:t>
      </w:r>
    </w:p>
    <w:p w14:paraId="42F29FD4" w14:textId="77777777" w:rsidR="00767B75" w:rsidRPr="00DE108C" w:rsidRDefault="00767B75">
      <w:pPr>
        <w:pStyle w:val="BodyText"/>
      </w:pPr>
    </w:p>
    <w:p w14:paraId="70EA62AD" w14:textId="77777777" w:rsidR="00767B75" w:rsidRPr="00DE108C" w:rsidRDefault="00767B75" w:rsidP="00BC2765">
      <w:pPr>
        <w:pStyle w:val="Caption"/>
      </w:pPr>
      <w:bookmarkStart w:id="381" w:name="_Ref206323018"/>
      <w:bookmarkStart w:id="382" w:name="_Toc207893011"/>
      <w:bookmarkStart w:id="383" w:name="_Toc208490535"/>
      <w:bookmarkStart w:id="384" w:name="_Toc208490873"/>
      <w:bookmarkStart w:id="385" w:name="_Toc208911031"/>
      <w:bookmarkStart w:id="386" w:name="_Toc210051337"/>
      <w:r w:rsidRPr="00DE108C">
        <w:t>Figure 5.1</w:t>
      </w:r>
      <w:bookmarkEnd w:id="381"/>
      <w:r w:rsidRPr="00DE108C">
        <w:t>: Risk Management Framework</w:t>
      </w:r>
      <w:bookmarkEnd w:id="382"/>
      <w:bookmarkEnd w:id="383"/>
      <w:bookmarkEnd w:id="384"/>
      <w:bookmarkEnd w:id="385"/>
      <w:bookmarkEnd w:id="386"/>
    </w:p>
    <w:p w14:paraId="0E859DB3" w14:textId="77777777" w:rsidR="00767B75" w:rsidRPr="00DE108C" w:rsidRDefault="00767B75">
      <w:pPr>
        <w:pStyle w:val="BodyText"/>
        <w:rPr>
          <w:noProof/>
        </w:rPr>
      </w:pPr>
      <w:r w:rsidRPr="00DE108C">
        <w:rPr>
          <w:noProof/>
        </w:rPr>
        <w:drawing>
          <wp:inline distT="0" distB="0" distL="0" distR="0" wp14:anchorId="55125C8E" wp14:editId="4B38F56E">
            <wp:extent cx="5354919" cy="5337544"/>
            <wp:effectExtent l="0" t="0" r="0" b="0"/>
            <wp:docPr id="1227664122" name="Picture 4" descr="A diagram of the Risk Management Framework with five stages: 1) Design – systems, 2) Implement – processes, 3) Check – reporting and communication, 4) Improve – mandate and commitment, 5) Integrate – roles, accountabilities, culture, and cap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64122" name="Picture 4" descr="A diagram of the Risk Management Framework with five stages: 1) Design – systems, 2) Implement – processes, 3) Check – reporting and communication, 4) Improve – mandate and commitment, 5) Integrate – roles, accountabilities, culture, and capability. "/>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a:fillRect/>
                    </a:stretch>
                  </pic:blipFill>
                  <pic:spPr bwMode="auto">
                    <a:xfrm>
                      <a:off x="0" y="0"/>
                      <a:ext cx="5380689" cy="5363230"/>
                    </a:xfrm>
                    <a:prstGeom prst="rect">
                      <a:avLst/>
                    </a:prstGeom>
                    <a:noFill/>
                    <a:ln>
                      <a:noFill/>
                    </a:ln>
                    <a:extLst>
                      <a:ext uri="{53640926-AAD7-44D8-BBD7-CCE9431645EC}">
                        <a14:shadowObscured xmlns:a14="http://schemas.microsoft.com/office/drawing/2010/main"/>
                      </a:ext>
                    </a:extLst>
                  </pic:spPr>
                </pic:pic>
              </a:graphicData>
            </a:graphic>
          </wp:inline>
        </w:drawing>
      </w:r>
    </w:p>
    <w:p w14:paraId="36FF8F0E" w14:textId="7B317E11" w:rsidR="00767B75" w:rsidRPr="00DE108C" w:rsidRDefault="00767B75">
      <w:pPr>
        <w:pStyle w:val="Heading2"/>
      </w:pPr>
      <w:bookmarkStart w:id="387" w:name="_Toc207892899"/>
      <w:bookmarkStart w:id="388" w:name="_Toc207853392"/>
      <w:r w:rsidRPr="00DE108C">
        <w:lastRenderedPageBreak/>
        <w:t>5.</w:t>
      </w:r>
      <w:r w:rsidR="00E67E21" w:rsidRPr="00DE108C">
        <w:t>3</w:t>
      </w:r>
      <w:r w:rsidRPr="00DE108C">
        <w:t xml:space="preserve"> Risk assessment for the </w:t>
      </w:r>
      <w:bookmarkEnd w:id="387"/>
      <w:bookmarkEnd w:id="388"/>
      <w:r w:rsidR="7FCB8FDF">
        <w:t>P</w:t>
      </w:r>
      <w:r w:rsidR="713E6C5A">
        <w:t xml:space="preserve">rice </w:t>
      </w:r>
      <w:r w:rsidR="4E4C385A">
        <w:t>S</w:t>
      </w:r>
      <w:r w:rsidR="713E6C5A">
        <w:t>ubmission</w:t>
      </w:r>
    </w:p>
    <w:p w14:paraId="051FDA51" w14:textId="7AA4583F" w:rsidR="00767B75" w:rsidRPr="00DE108C" w:rsidRDefault="00767B75">
      <w:pPr>
        <w:pStyle w:val="Heading3"/>
        <w:rPr>
          <w:b w:val="0"/>
          <w:bCs w:val="0"/>
        </w:rPr>
      </w:pPr>
      <w:r w:rsidRPr="00DE108C">
        <w:t>5.</w:t>
      </w:r>
      <w:r w:rsidR="00E67E21" w:rsidRPr="00DE108C">
        <w:t>3</w:t>
      </w:r>
      <w:r w:rsidRPr="00DE108C">
        <w:t>.1 Risk identification and assessment process</w:t>
      </w:r>
    </w:p>
    <w:p w14:paraId="3206FAD1" w14:textId="0525FC82" w:rsidR="00767B75" w:rsidRPr="00DE108C" w:rsidRDefault="00767B75" w:rsidP="00A40735">
      <w:r w:rsidRPr="00DE108C">
        <w:t xml:space="preserve">The development of PS26 has been integrated with our enterprise risk assessment and management processes to ensure there was explicit work to identify, quantify and allocate risks most relevant </w:t>
      </w:r>
      <w:r w:rsidR="51DDB37C">
        <w:t xml:space="preserve">to </w:t>
      </w:r>
      <w:r w:rsidRPr="00DE108C">
        <w:t xml:space="preserve">PS26. The risk assessment impacts on many aspects of PS26, including expenditure proposals, demand forecasts, tariff structures, the price control mechanism, efficiency commitments, service delivery and </w:t>
      </w:r>
      <w:r w:rsidR="305816C0">
        <w:t>GSL</w:t>
      </w:r>
      <w:r w:rsidR="713E6C5A">
        <w:t>s.</w:t>
      </w:r>
    </w:p>
    <w:p w14:paraId="50D0EFE7" w14:textId="77777777" w:rsidR="00767B75" w:rsidRPr="00DE108C" w:rsidRDefault="00767B75" w:rsidP="00A40735">
      <w:r w:rsidRPr="00DE108C">
        <w:t xml:space="preserve">The risk assessment process for PS26 encompassed both internal and external processes. </w:t>
      </w:r>
    </w:p>
    <w:p w14:paraId="7A9051CC" w14:textId="0B2A3548" w:rsidR="00767B75" w:rsidRPr="00DE108C" w:rsidRDefault="00767B75">
      <w:pPr>
        <w:pStyle w:val="Heading4"/>
      </w:pPr>
      <w:r w:rsidRPr="00DE108C">
        <w:t>5.</w:t>
      </w:r>
      <w:r w:rsidR="00E67E21" w:rsidRPr="00DE108C">
        <w:t>3</w:t>
      </w:r>
      <w:r w:rsidRPr="00DE108C">
        <w:t>.1.1 Internal processes</w:t>
      </w:r>
    </w:p>
    <w:p w14:paraId="0D9EF9FF" w14:textId="489719BB" w:rsidR="00767B75" w:rsidRPr="00DE108C" w:rsidRDefault="00767B75" w:rsidP="00A40735">
      <w:r w:rsidRPr="00DE108C">
        <w:t>In addition to drawing from the outputs of Melbourne Water</w:t>
      </w:r>
      <w:r w:rsidR="00155E87">
        <w:t>’</w:t>
      </w:r>
      <w:r w:rsidRPr="00DE108C">
        <w:t>s business as usual risk assessment information and processes (including to meet service obligations, asset planning and cyber security management obligations</w:t>
      </w:r>
      <w:r w:rsidR="6A22520F">
        <w:t>,</w:t>
      </w:r>
      <w:r w:rsidRPr="00DE108C">
        <w:t xml:space="preserve"> among others), we conducted enhanced and specific risk-based assessments, which informed the development of PS26 plans and expenditure proposals. </w:t>
      </w:r>
    </w:p>
    <w:p w14:paraId="26E95AEB" w14:textId="67663FAF" w:rsidR="00767B75" w:rsidRPr="00DE108C" w:rsidRDefault="00767B75">
      <w:pPr>
        <w:pStyle w:val="Heading4"/>
      </w:pPr>
      <w:r w:rsidRPr="00DE108C">
        <w:t>5.</w:t>
      </w:r>
      <w:r w:rsidR="00E67E21" w:rsidRPr="00DE108C">
        <w:t>3</w:t>
      </w:r>
      <w:r w:rsidRPr="00DE108C">
        <w:t xml:space="preserve">.1.2 Risk appetite update </w:t>
      </w:r>
    </w:p>
    <w:p w14:paraId="6151B473" w14:textId="419C7E67" w:rsidR="00767B75" w:rsidRPr="00DE108C" w:rsidRDefault="00767B75" w:rsidP="00A40735">
      <w:r w:rsidRPr="00DE108C">
        <w:t xml:space="preserve">During the PS26 development, Melbourne Water reviewed and updated its Risk Appetite Statement. This update was undertaken to ensure its alignment with Melbourne Water’s strategic goals, including our commitment to delivering high-quality services and infrastructure </w:t>
      </w:r>
      <w:r w:rsidR="1E912E77" w:rsidRPr="00DE108C">
        <w:t>in the</w:t>
      </w:r>
      <w:r w:rsidRPr="00DE108C">
        <w:t xml:space="preserve"> face </w:t>
      </w:r>
      <w:r w:rsidR="02DDEEF0" w:rsidRPr="00DE108C">
        <w:t>of</w:t>
      </w:r>
      <w:r w:rsidRPr="00DE108C">
        <w:t xml:space="preserve"> increasing complexity and uncertainty. </w:t>
      </w:r>
    </w:p>
    <w:p w14:paraId="168479C5" w14:textId="7D417794" w:rsidR="00767B75" w:rsidRPr="00DE108C" w:rsidRDefault="00767B75" w:rsidP="00A40735">
      <w:r w:rsidRPr="00DE108C">
        <w:t>The risk appetite was revised at the enterprise level and operational risk gu</w:t>
      </w:r>
      <w:r w:rsidR="7DF38410" w:rsidRPr="00DE108C">
        <w:t>ard</w:t>
      </w:r>
      <w:r w:rsidRPr="00DE108C">
        <w:t xml:space="preserve"> rails were applied to develop PS26. The Risk Appetite Statement makes the organisation’s risk tolerances clear, and the nature and level of risk that would or would not be accepted.</w:t>
      </w:r>
    </w:p>
    <w:p w14:paraId="734033CF" w14:textId="77777777" w:rsidR="00767B75" w:rsidRPr="00DE108C" w:rsidRDefault="00767B75" w:rsidP="00A40735">
      <w:r w:rsidRPr="00DE108C">
        <w:t>Strategic risk tolerances are set with regard to key services (acceptable water storages levels, water quality, sewerage service quality, flooding risk in new and infill areas and waterways fees within limits of customer willingness to pay). Operational risk tolerances are also defined to guide decision making in relation to specific sources of risk, including asset failure, security and cyber security, and financial risks.</w:t>
      </w:r>
    </w:p>
    <w:p w14:paraId="011083B7" w14:textId="77777777" w:rsidR="00767B75" w:rsidRPr="00DE108C" w:rsidRDefault="00767B75" w:rsidP="00A40735">
      <w:r w:rsidRPr="00DE108C">
        <w:t>In relation to assets, Melbourne Water accepts that with the scale, age and reliability of the assets we manage, at times these assets may fail. We take a risk-based approach throughout the asset lifecycle, including:</w:t>
      </w:r>
    </w:p>
    <w:p w14:paraId="7199AC2A" w14:textId="77777777" w:rsidR="00767B75" w:rsidRPr="00DE108C" w:rsidRDefault="00767B75" w:rsidP="00B06B9A">
      <w:pPr>
        <w:pStyle w:val="ListBullet"/>
      </w:pPr>
      <w:r w:rsidRPr="00DE108C">
        <w:t xml:space="preserve">prioritising investment, including renewals, asset inspections and maintenance regimes </w:t>
      </w:r>
    </w:p>
    <w:p w14:paraId="2F6EB94D" w14:textId="77777777" w:rsidR="00767B75" w:rsidRPr="00DE108C" w:rsidRDefault="00767B75" w:rsidP="00B06B9A">
      <w:pPr>
        <w:pStyle w:val="ListBullet"/>
      </w:pPr>
      <w:r w:rsidRPr="00DE108C">
        <w:t xml:space="preserve">monitoring implementation and improving as risks and opportunities change </w:t>
      </w:r>
    </w:p>
    <w:p w14:paraId="45C78F85" w14:textId="77777777" w:rsidR="00767B75" w:rsidRPr="00DE108C" w:rsidRDefault="00767B75" w:rsidP="00B06B9A">
      <w:pPr>
        <w:pStyle w:val="ListBullet"/>
      </w:pPr>
      <w:r w:rsidRPr="00DE108C">
        <w:t xml:space="preserve">striving to operate assets within their design duty or capacity. </w:t>
      </w:r>
    </w:p>
    <w:p w14:paraId="13D9C546" w14:textId="77777777" w:rsidR="00767B75" w:rsidRPr="00DE108C" w:rsidRDefault="00767B75" w:rsidP="00A40735">
      <w:r w:rsidRPr="00DE108C">
        <w:t>We do not accept a failure of our assets that results in a major or severe impact.</w:t>
      </w:r>
    </w:p>
    <w:p w14:paraId="2471CDBF" w14:textId="77777777" w:rsidR="00767B75" w:rsidRPr="00DE108C" w:rsidRDefault="00767B75" w:rsidP="00A40735">
      <w:r w:rsidRPr="00DE108C">
        <w:t>In relation to financial risks, Melbourne Water accepts that external economic factors, our regulatory regime and changing customer expectations may challenge how we fund the delivery of our services into the future. We do not accept expenditure that is not prudent, efficient or supported by our customers, or actions that would lead us to exceed our approved annual borrowing levels.</w:t>
      </w:r>
    </w:p>
    <w:p w14:paraId="3CEEDE85" w14:textId="776B92CF" w:rsidR="00767B75" w:rsidRPr="00DE108C" w:rsidRDefault="00767B75">
      <w:pPr>
        <w:pStyle w:val="Heading4"/>
      </w:pPr>
      <w:r w:rsidRPr="00DE108C">
        <w:lastRenderedPageBreak/>
        <w:t>5.</w:t>
      </w:r>
      <w:r w:rsidR="00E67E21" w:rsidRPr="00DE108C">
        <w:t>3</w:t>
      </w:r>
      <w:r w:rsidRPr="00DE108C">
        <w:t xml:space="preserve">.1.3 Risk-based expenditure prioritisation: </w:t>
      </w:r>
    </w:p>
    <w:p w14:paraId="2734C52C" w14:textId="466A969A" w:rsidR="00767B75" w:rsidRPr="00DE108C" w:rsidRDefault="00767B75" w:rsidP="00A40735">
      <w:r w:rsidRPr="00DE108C">
        <w:t>Within the bounds of the strategic and operational risk tolerances set out in the Risk Appetite Statement, specific and granular risk analysis was also undertaken as part of developing our prudent and efficient expenditure forecasts for the 2026-31 regulatory period. Identified and quantified risks and their allocation were considered to moderate the expenditure proposals for the regulatory period. This process is described in Figure 5.2.</w:t>
      </w:r>
    </w:p>
    <w:p w14:paraId="2E7CE168" w14:textId="4382D5F7" w:rsidR="00767B75" w:rsidRPr="00DE108C" w:rsidRDefault="00767B75" w:rsidP="00BC2765">
      <w:pPr>
        <w:pStyle w:val="Caption"/>
      </w:pPr>
      <w:bookmarkStart w:id="389" w:name="_Ref206256403"/>
      <w:bookmarkStart w:id="390" w:name="_Toc207893012"/>
      <w:bookmarkStart w:id="391" w:name="_Toc208490536"/>
      <w:bookmarkStart w:id="392" w:name="_Toc208490874"/>
      <w:bookmarkStart w:id="393" w:name="_Toc208911032"/>
      <w:bookmarkStart w:id="394" w:name="_Toc210051338"/>
      <w:r w:rsidRPr="00DE108C">
        <w:t>Figure 5.</w:t>
      </w:r>
      <w:bookmarkEnd w:id="389"/>
      <w:r w:rsidR="007B45E6" w:rsidRPr="00DE108C">
        <w:t>2</w:t>
      </w:r>
      <w:r w:rsidRPr="00DE108C">
        <w:t>: Risk-based expenditure prioritisation process</w:t>
      </w:r>
      <w:bookmarkEnd w:id="390"/>
      <w:bookmarkEnd w:id="391"/>
      <w:bookmarkEnd w:id="392"/>
      <w:bookmarkEnd w:id="393"/>
      <w:bookmarkEnd w:id="394"/>
      <w:r w:rsidRPr="00DE108C">
        <w:t xml:space="preserve"> </w:t>
      </w:r>
    </w:p>
    <w:p w14:paraId="07E02402" w14:textId="77777777" w:rsidR="00767B75" w:rsidRPr="00DE108C" w:rsidRDefault="00767B75">
      <w:pPr>
        <w:pStyle w:val="BodyText"/>
        <w:ind w:left="142"/>
        <w:jc w:val="both"/>
      </w:pPr>
      <w:r w:rsidRPr="00DE108C">
        <w:rPr>
          <w:noProof/>
        </w:rPr>
        <w:drawing>
          <wp:inline distT="0" distB="0" distL="0" distR="0" wp14:anchorId="07548287" wp14:editId="1DAE8535">
            <wp:extent cx="6120529" cy="2867025"/>
            <wp:effectExtent l="0" t="0" r="0" b="0"/>
            <wp:docPr id="1734118267" name="Picture 1" descr="A table diagram outlining a three-stage process for managing a capital expenditure program, with four columns: Stage, Inputs and Analysis, Key Risks Assessed, and Risk Allocation Measures.&#10;&#10;&#10;Stage 1: Needs-based capital expenditure program&#10;&#10;Inputs and Analysis: Balancing multiple data sources to develop a needs-based program. Includes compliance obligations, risk appetite, condition assessments, business cases, customer and water corporation inputs, expectations, risk assessments, and willingness to pay (WTP).&#10;Key Risks Assessed: Operational risks including climate risk, construction risks, and project costing risks.&#10;Risk Allocation Measures: Efficient risk-based asset management, prudent and efficient costs, and balancing WTP.&#10;&#10;&#10;&#10;Stage 2: Prioritisation and deliverability&#10;&#10;Inputs and Analysis: Further risk-based prioritization of projects and works, considering delivery resource capacities and expected timelines.&#10;Key Risks Assessed: Construction, deliverability, and project costing risks.&#10;Risk Allocation Measures: Customers only pay for what can be confidently delivered; Melbourne Water accepts additional risk on behalf of customers.&#10;&#10;&#10;&#10;Stage 3: Sequencing&#10;&#10;Inputs and Analysis: Refinement based on project dependencies, sequencing issues, and potential site capacity constraints.&#10;Key Risks Assessed: Practical deliverability risks.&#10;Risk Allocation Measures: Further confidence that customers only pay for what can be confidently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18267" name="Picture 1" descr="A table diagram outlining a three-stage process for managing a capital expenditure program, with four columns: Stage, Inputs and Analysis, Key Risks Assessed, and Risk Allocation Measures.&#10;&#10;&#10;Stage 1: Needs-based capital expenditure program&#10;&#10;Inputs and Analysis: Balancing multiple data sources to develop a needs-based program. Includes compliance obligations, risk appetite, condition assessments, business cases, customer and water corporation inputs, expectations, risk assessments, and willingness to pay (WTP).&#10;Key Risks Assessed: Operational risks including climate risk, construction risks, and project costing risks.&#10;Risk Allocation Measures: Efficient risk-based asset management, prudent and efficient costs, and balancing WTP.&#10;&#10;&#10;&#10;Stage 2: Prioritisation and deliverability&#10;&#10;Inputs and Analysis: Further risk-based prioritization of projects and works, considering delivery resource capacities and expected timelines.&#10;Key Risks Assessed: Construction, deliverability, and project costing risks.&#10;Risk Allocation Measures: Customers only pay for what can be confidently delivered; Melbourne Water accepts additional risk on behalf of customers.&#10;&#10;&#10;&#10;Stage 3: Sequencing&#10;&#10;Inputs and Analysis: Refinement based on project dependencies, sequencing issues, and potential site capacity constraints.&#10;Key Risks Assessed: Practical deliverability risks.&#10;Risk Allocation Measures: Further confidence that customers only pay for what can be confidently delivered."/>
                    <pic:cNvPicPr/>
                  </pic:nvPicPr>
                  <pic:blipFill>
                    <a:blip r:embed="rId71" cstate="screen">
                      <a:extLst>
                        <a:ext uri="{28A0092B-C50C-407E-A947-70E740481C1C}">
                          <a14:useLocalDpi xmlns:a14="http://schemas.microsoft.com/office/drawing/2010/main"/>
                        </a:ext>
                      </a:extLst>
                    </a:blip>
                    <a:stretch>
                      <a:fillRect/>
                    </a:stretch>
                  </pic:blipFill>
                  <pic:spPr>
                    <a:xfrm>
                      <a:off x="0" y="0"/>
                      <a:ext cx="6124208" cy="2868748"/>
                    </a:xfrm>
                    <a:prstGeom prst="rect">
                      <a:avLst/>
                    </a:prstGeom>
                  </pic:spPr>
                </pic:pic>
              </a:graphicData>
            </a:graphic>
          </wp:inline>
        </w:drawing>
      </w:r>
    </w:p>
    <w:p w14:paraId="3CD2104E" w14:textId="77777777" w:rsidR="00767B75" w:rsidRPr="00DE108C" w:rsidRDefault="00767B75"/>
    <w:p w14:paraId="61C86749" w14:textId="179604E8" w:rsidR="00767B75" w:rsidRPr="00DE108C" w:rsidRDefault="00767B75">
      <w:pPr>
        <w:pStyle w:val="Heading4"/>
      </w:pPr>
      <w:r w:rsidRPr="00DE108C">
        <w:t>5.</w:t>
      </w:r>
      <w:r w:rsidR="00E67E21" w:rsidRPr="00DE108C">
        <w:t>3</w:t>
      </w:r>
      <w:r w:rsidRPr="00DE108C">
        <w:t>.1.4 External risk assessment and allocation processes</w:t>
      </w:r>
    </w:p>
    <w:p w14:paraId="602F4B63" w14:textId="6920C30A" w:rsidR="00767B75" w:rsidRPr="00DE108C" w:rsidRDefault="00767B75" w:rsidP="00A40735">
      <w:r w:rsidRPr="00DE108C">
        <w:t>We undertook engagement with water corporations on risk, which went to</w:t>
      </w:r>
      <w:r w:rsidR="006E6B3F">
        <w:t xml:space="preserve"> the</w:t>
      </w:r>
      <w:r w:rsidRPr="00DE108C">
        <w:t xml:space="preserve"> heart of key risk management issues related to PS26, including demand forecasts, investment programs and risk sharing, form of price control and tariffs</w:t>
      </w:r>
      <w:r w:rsidR="30481DDB">
        <w:t>,</w:t>
      </w:r>
      <w:r w:rsidRPr="00DE108C">
        <w:t xml:space="preserve"> and the expansion of risk sharing via </w:t>
      </w:r>
      <w:r w:rsidR="745C9FF6">
        <w:t>GSLs</w:t>
      </w:r>
      <w:r w:rsidRPr="00DE108C">
        <w:t xml:space="preserve">. </w:t>
      </w:r>
    </w:p>
    <w:p w14:paraId="116BF613" w14:textId="40BA5090" w:rsidR="00767B75" w:rsidRPr="00DE108C" w:rsidRDefault="00767B75" w:rsidP="00A40735">
      <w:r w:rsidRPr="00DE108C">
        <w:t>Other community engagement on risk included wider community engagement on risk issues</w:t>
      </w:r>
      <w:r w:rsidR="793C2616">
        <w:t>,</w:t>
      </w:r>
      <w:r w:rsidRPr="00DE108C">
        <w:t xml:space="preserve"> such as system resilience, expenditure levels, support for customers experiencing vulnerability, managing </w:t>
      </w:r>
      <w:r w:rsidR="00D46A03">
        <w:t xml:space="preserve">the impacts of </w:t>
      </w:r>
      <w:r w:rsidRPr="00DE108C">
        <w:t>operational and environmental risks on customers and price paths.</w:t>
      </w:r>
    </w:p>
    <w:p w14:paraId="75CBF9F6" w14:textId="492B4A83" w:rsidR="00767B75" w:rsidRPr="00DE108C" w:rsidRDefault="00767B75">
      <w:pPr>
        <w:pStyle w:val="Heading3"/>
        <w:rPr>
          <w:b w:val="0"/>
          <w:bCs w:val="0"/>
        </w:rPr>
      </w:pPr>
      <w:r w:rsidRPr="00DE108C">
        <w:t>5.</w:t>
      </w:r>
      <w:r w:rsidR="00E67E21" w:rsidRPr="00DE108C">
        <w:t>3</w:t>
      </w:r>
      <w:r w:rsidRPr="00DE108C">
        <w:t xml:space="preserve">.2 Risk assessment and actions reflected in the </w:t>
      </w:r>
      <w:r w:rsidR="0040607E" w:rsidRPr="00DE108C">
        <w:t>P</w:t>
      </w:r>
      <w:r w:rsidRPr="00DE108C">
        <w:t xml:space="preserve">rice </w:t>
      </w:r>
      <w:r w:rsidR="0040607E" w:rsidRPr="00DE108C">
        <w:t>S</w:t>
      </w:r>
      <w:r w:rsidRPr="00DE108C">
        <w:t>ubmission</w:t>
      </w:r>
    </w:p>
    <w:p w14:paraId="2D414203" w14:textId="77777777" w:rsidR="00767B75" w:rsidRPr="00DE108C" w:rsidRDefault="00767B75" w:rsidP="00A40735">
      <w:r w:rsidRPr="00DE108C">
        <w:t xml:space="preserve">Resulting from the risk assessment for PS26, Table 5.2 details the key risks, proposed management and allocation. PS26 allocates more risk to Melbourne Water to ensure that prices are moderated and that Melbourne Water will bear the cost when it performs below expectations or forecasts in these areas. </w:t>
      </w:r>
    </w:p>
    <w:p w14:paraId="3B8E3971" w14:textId="667BBCFE" w:rsidR="00767B75" w:rsidRPr="00DE108C" w:rsidRDefault="00767B75">
      <w:pPr>
        <w:pStyle w:val="Heading4"/>
      </w:pPr>
      <w:r w:rsidRPr="00DE108C">
        <w:t>5.</w:t>
      </w:r>
      <w:r w:rsidR="00D27525" w:rsidRPr="00DE108C">
        <w:t>3</w:t>
      </w:r>
      <w:r w:rsidRPr="00DE108C">
        <w:t>.2.1 Financial/revenue risk associated with capital expenditure program</w:t>
      </w:r>
    </w:p>
    <w:p w14:paraId="5A3E8169" w14:textId="5A7372E5" w:rsidR="00767B75" w:rsidRPr="00DE108C" w:rsidRDefault="00767B75" w:rsidP="00A40735">
      <w:r w:rsidRPr="00DE108C">
        <w:t>Melbourne Water has substantially increased its testing and scrutiny of the deliverable capex program for the upcoming regulatory period. The proposed program is guided by a rigorous prioritisation framework that focuses on risk mitigation and deliverability. Each initiative is assessed for its ability to address specific risks</w:t>
      </w:r>
      <w:r w:rsidR="0881E0D0">
        <w:t xml:space="preserve"> </w:t>
      </w:r>
      <w:r w:rsidR="713E6C5A">
        <w:t>—</w:t>
      </w:r>
      <w:r w:rsidR="238BB4CE">
        <w:t xml:space="preserve"> </w:t>
      </w:r>
      <w:r w:rsidRPr="00DE108C">
        <w:t>whether operational, environmental, or compliance-related</w:t>
      </w:r>
      <w:r w:rsidR="15CB1259">
        <w:t xml:space="preserve"> </w:t>
      </w:r>
      <w:r w:rsidR="713E6C5A">
        <w:t>—</w:t>
      </w:r>
      <w:r w:rsidR="15CB1259">
        <w:t xml:space="preserve"> </w:t>
      </w:r>
      <w:r w:rsidRPr="00DE108C">
        <w:t>as well as for its certainty of approvals, scope definition, cost estimates and realistic delivery pathways.</w:t>
      </w:r>
    </w:p>
    <w:p w14:paraId="2AF77F6C" w14:textId="77777777" w:rsidR="00767B75" w:rsidRPr="00DE108C" w:rsidRDefault="00767B75" w:rsidP="00A40735">
      <w:r w:rsidRPr="00DE108C">
        <w:lastRenderedPageBreak/>
        <w:t>Recognising that major infrastructure interventions often span multiple years from inception to commissioning, we invest early in development activities to ensure only projects with clear risk reduction benefits and viable delivery plans proceed to construction. This approach ensures our capital program remains focused on achievable outcomes within the regulatory period.</w:t>
      </w:r>
    </w:p>
    <w:p w14:paraId="73E029BF" w14:textId="77777777" w:rsidR="00767B75" w:rsidRPr="00DE108C" w:rsidRDefault="00767B75" w:rsidP="00A40735">
      <w:r w:rsidRPr="00DE108C">
        <w:t>To protect customers from bearing the cost of uncertainty, we have only included cost recovery for projects where prudency, efficiency and deliverability have been firmly established. Initiatives still under review are supported through development funding only. Melbourne Water assumes the financial risk of demonstrating the prudency and efficiency of any subsequent construction expenditures, rather than passing these uncertain costs onto customers in the next pricing cycle.</w:t>
      </w:r>
    </w:p>
    <w:p w14:paraId="79AE8A95" w14:textId="5C35717A" w:rsidR="00767B75" w:rsidRPr="00DE108C" w:rsidRDefault="00767B75" w:rsidP="00A40735">
      <w:r w:rsidRPr="00DE108C">
        <w:t xml:space="preserve">Deliverability is considered across the full spectrum of assets. For example, projects at the Eastern Treatment Plant </w:t>
      </w:r>
      <w:r w:rsidR="0FC09030">
        <w:t xml:space="preserve">(ETP) </w:t>
      </w:r>
      <w:r w:rsidRPr="00DE108C">
        <w:t>have been optimised to address operational risks and compliance requirements, while also ensuring they can be delivered within the available timeframe and resource constraints. Similarly, upgrades to drainage infrastructure and water supply networks are sequenced to align with planning approvals, contractor availability and construction windows.</w:t>
      </w:r>
    </w:p>
    <w:p w14:paraId="38075C42" w14:textId="39D405AE" w:rsidR="00767B75" w:rsidRPr="00DE108C" w:rsidRDefault="00767B75" w:rsidP="00A40735">
      <w:r w:rsidRPr="00DE108C">
        <w:t>Projects that are not yet deliverable remain in planning and design until all necessary approvals are secured, cost estimates are refined, and delivery pathways are confirmed. As these initiatives progress, they remain eligible to move forward once all deliverability criteria are met. By absorbing the pricing risk for climate adaptation and infrastructure measures, we ensure customers fund only those outcomes that are proven to be deliverable, prudent, and efficient.</w:t>
      </w:r>
    </w:p>
    <w:p w14:paraId="0D6B19A2" w14:textId="752FD39A" w:rsidR="00767B75" w:rsidRPr="00DE108C" w:rsidRDefault="00767B75">
      <w:pPr>
        <w:pStyle w:val="Heading4"/>
      </w:pPr>
      <w:r w:rsidRPr="00DE108C">
        <w:t>5.</w:t>
      </w:r>
      <w:r w:rsidR="00D27525" w:rsidRPr="00DE108C">
        <w:t>3</w:t>
      </w:r>
      <w:r w:rsidRPr="00DE108C">
        <w:t xml:space="preserve">.2.2 Uplift in deliverability risk management capability to ensure that </w:t>
      </w:r>
      <w:r w:rsidR="713E6C5A">
        <w:t>customer</w:t>
      </w:r>
      <w:r w:rsidR="00701D4F">
        <w:t>s</w:t>
      </w:r>
      <w:r w:rsidRPr="00DE108C">
        <w:t xml:space="preserve"> receive what they pay for</w:t>
      </w:r>
    </w:p>
    <w:p w14:paraId="60C32488" w14:textId="77777777" w:rsidR="00767B75" w:rsidRPr="00DE108C" w:rsidRDefault="00767B75" w:rsidP="00A40735">
      <w:r w:rsidRPr="00DE108C">
        <w:t>We have been expanding our capital program delivery capacity throughout the current regulatory period, continuing to underpin the proposed 2026 capital program. These efforts are central to managing deliverability risk and ensuring customers benefit from a program that is both achievable and efficient.</w:t>
      </w:r>
    </w:p>
    <w:p w14:paraId="395D5697" w14:textId="77777777" w:rsidR="00767B75" w:rsidRPr="00DE108C" w:rsidRDefault="00767B75" w:rsidP="00A40735">
      <w:r w:rsidRPr="00DE108C">
        <w:t>To confidently deliver what we recognise as a significantly increased volume of work, we are taking a range of actions that strengthen our ability to execute, including:</w:t>
      </w:r>
    </w:p>
    <w:p w14:paraId="4CCFA8E2" w14:textId="77777777" w:rsidR="00767B75" w:rsidRPr="00DE108C" w:rsidRDefault="00767B75" w:rsidP="00F67C51">
      <w:pPr>
        <w:pStyle w:val="ListBullet"/>
      </w:pPr>
      <w:r w:rsidRPr="00DE108C">
        <w:t>setting realistic delivery timelines based on actual outcomes from past projects, ensuring programming reflects genuine delivery constraints and avoids overcommitment</w:t>
      </w:r>
    </w:p>
    <w:p w14:paraId="558ED19F" w14:textId="77777777" w:rsidR="00767B75" w:rsidRPr="00DE108C" w:rsidRDefault="00767B75" w:rsidP="00F67C51">
      <w:pPr>
        <w:pStyle w:val="ListBullet"/>
      </w:pPr>
      <w:r w:rsidRPr="00DE108C">
        <w:t>increasing internal capacity by boosting resourcing for project planning, scheduling, and management</w:t>
      </w:r>
    </w:p>
    <w:p w14:paraId="630CB3B3" w14:textId="77777777" w:rsidR="00767B75" w:rsidRPr="00DE108C" w:rsidRDefault="00767B75" w:rsidP="00F67C51">
      <w:pPr>
        <w:pStyle w:val="ListBullet"/>
      </w:pPr>
      <w:r w:rsidRPr="00DE108C">
        <w:t>leveraging innovative minor capital delivery processes to accelerate lower-risk, lower-complexity works without compromising quality or oversight</w:t>
      </w:r>
    </w:p>
    <w:p w14:paraId="7956CC4A" w14:textId="77777777" w:rsidR="00767B75" w:rsidRPr="00DE108C" w:rsidRDefault="00767B75" w:rsidP="00F67C51">
      <w:pPr>
        <w:pStyle w:val="ListBullet"/>
      </w:pPr>
      <w:r w:rsidRPr="00DE108C">
        <w:t>expanding market capacity by engaging construction contractors earlier in the planning process to secure resources and align delivery expectations</w:t>
      </w:r>
    </w:p>
    <w:p w14:paraId="11E8332A" w14:textId="77777777" w:rsidR="00767B75" w:rsidRPr="00DE108C" w:rsidRDefault="00767B75" w:rsidP="00F67C51">
      <w:pPr>
        <w:pStyle w:val="ListBullet"/>
      </w:pPr>
      <w:r w:rsidRPr="00DE108C">
        <w:t>strengthening collaboration with delivery partners to ensure sufficient market capability exists to support the scale and timing of the proposed program.</w:t>
      </w:r>
    </w:p>
    <w:p w14:paraId="13FF848A" w14:textId="77777777" w:rsidR="00767B75" w:rsidRPr="00DE108C" w:rsidRDefault="00767B75" w:rsidP="00A40735">
      <w:r w:rsidRPr="00DE108C">
        <w:t>These measures ensure that our capital program is well-prioritised and risk informed. In addition, it is grounded in realistic programming and supported by the internal and external capacity needed to deliver it. By aligning our delivery model with proven outcomes and market realities, we are building confidence in our ability to deliver the proposed investments efficiently and reliably.</w:t>
      </w:r>
    </w:p>
    <w:p w14:paraId="4C8C510A" w14:textId="4242BF2A" w:rsidR="00767B75" w:rsidRPr="00DE108C" w:rsidRDefault="00767B75">
      <w:pPr>
        <w:pStyle w:val="Heading4"/>
      </w:pPr>
      <w:r w:rsidRPr="00DE108C">
        <w:lastRenderedPageBreak/>
        <w:t>5.</w:t>
      </w:r>
      <w:r w:rsidR="00D27525" w:rsidRPr="00DE108C">
        <w:t>3</w:t>
      </w:r>
      <w:r w:rsidRPr="00DE108C">
        <w:t>.2.3 Increasing demand risk through tariff reform</w:t>
      </w:r>
    </w:p>
    <w:p w14:paraId="3E0DBB3C" w14:textId="77777777" w:rsidR="00767B75" w:rsidRPr="00DE108C" w:rsidRDefault="00767B75" w:rsidP="00A40735">
      <w:r w:rsidRPr="00DE108C">
        <w:t xml:space="preserve">Melbourne Water is proposing bulk water tariff reform that would increase the percentage of revenue collected from demand. This expands the management of demand risk to the benefit of customers as we will use a tariff basket. Therefore, if demands change throughout the period compared to forecasts, then we will not adjust prices to account for this. </w:t>
      </w:r>
    </w:p>
    <w:p w14:paraId="2FD4B507" w14:textId="1416B97A" w:rsidR="00767B75" w:rsidRPr="00DE108C" w:rsidRDefault="00767B75">
      <w:pPr>
        <w:pStyle w:val="Heading4"/>
      </w:pPr>
      <w:r w:rsidRPr="00DE108C">
        <w:t>5.</w:t>
      </w:r>
      <w:r w:rsidR="00D27525" w:rsidRPr="00DE108C">
        <w:t>3</w:t>
      </w:r>
      <w:r w:rsidRPr="00DE108C">
        <w:t>.2.4 Operational performance and revenue risk through increased Guaranteed Service Levels</w:t>
      </w:r>
    </w:p>
    <w:p w14:paraId="0E31AB48" w14:textId="135E028A" w:rsidR="00767B75" w:rsidRPr="00DE108C" w:rsidRDefault="00767B75" w:rsidP="00A40735">
      <w:pPr>
        <w:rPr>
          <w:rFonts w:eastAsiaTheme="majorEastAsia"/>
        </w:rPr>
      </w:pPr>
      <w:r w:rsidRPr="00DE108C">
        <w:t>Melbourne Water is i</w:t>
      </w:r>
      <w:r w:rsidRPr="00DE108C">
        <w:rPr>
          <w:rFonts w:eastAsiaTheme="majorEastAsia"/>
        </w:rPr>
        <w:t>ncreasing our performance and revenue risk exposure to benefit customers. Our proposed GSLs offer a higher level of revenue at risk than many other water businesses proposed in their 2023 and 2024 Price Submissions. We have added a new GSL to reflect what customers have asked and their highest priority for us – safe</w:t>
      </w:r>
      <w:r w:rsidR="77A69B80" w:rsidRPr="40AD8E0A">
        <w:rPr>
          <w:rFonts w:eastAsiaTheme="majorEastAsia"/>
        </w:rPr>
        <w:t>,</w:t>
      </w:r>
      <w:r w:rsidRPr="00DE108C">
        <w:rPr>
          <w:rFonts w:eastAsiaTheme="majorEastAsia"/>
        </w:rPr>
        <w:t xml:space="preserve"> clean drinking water. </w:t>
      </w:r>
    </w:p>
    <w:p w14:paraId="2284A58D" w14:textId="77777777" w:rsidR="00767B75" w:rsidRPr="00DE108C" w:rsidRDefault="00767B75" w:rsidP="00A40735">
      <w:pPr>
        <w:sectPr w:rsidR="00767B75" w:rsidRPr="00DE108C" w:rsidSect="00767B75">
          <w:headerReference w:type="even" r:id="rId72"/>
          <w:headerReference w:type="default" r:id="rId73"/>
          <w:footerReference w:type="even" r:id="rId74"/>
          <w:footerReference w:type="default" r:id="rId75"/>
          <w:headerReference w:type="first" r:id="rId76"/>
          <w:footerReference w:type="first" r:id="rId77"/>
          <w:pgSz w:w="11906" w:h="16838" w:code="9"/>
          <w:pgMar w:top="1134" w:right="1134" w:bottom="1134" w:left="1134" w:header="567" w:footer="680" w:gutter="0"/>
          <w:cols w:space="708"/>
          <w:docGrid w:linePitch="360"/>
        </w:sectPr>
      </w:pPr>
      <w:r w:rsidRPr="00DE108C">
        <w:t>As a result of this change, Melbourne Water will have the most substantial revenue at risk under a GSL scheme in the Victorian water sector and reinforces our commitment to providing high quality water. This will provide strong incentives for performance and allocates the consequence of this risk fully to Melbourne Water.</w:t>
      </w:r>
    </w:p>
    <w:p w14:paraId="55CFD522" w14:textId="77777777" w:rsidR="00767B75" w:rsidRPr="00DE108C" w:rsidRDefault="00767B75" w:rsidP="00BC2765">
      <w:pPr>
        <w:pStyle w:val="Caption"/>
      </w:pPr>
      <w:bookmarkStart w:id="395" w:name="_Toc207893013"/>
      <w:bookmarkStart w:id="396" w:name="_Toc208490537"/>
      <w:bookmarkStart w:id="397" w:name="_Toc208490875"/>
      <w:bookmarkStart w:id="398" w:name="_Toc208911033"/>
      <w:bookmarkStart w:id="399" w:name="_Toc210051339"/>
      <w:r w:rsidRPr="00DE108C">
        <w:lastRenderedPageBreak/>
        <w:t>Table 5.2: Risk allocation</w:t>
      </w:r>
      <w:bookmarkEnd w:id="395"/>
      <w:bookmarkEnd w:id="396"/>
      <w:bookmarkEnd w:id="397"/>
      <w:bookmarkEnd w:id="398"/>
      <w:bookmarkEnd w:id="399"/>
    </w:p>
    <w:tbl>
      <w:tblPr>
        <w:tblStyle w:val="MWTableGrid"/>
        <w:tblW w:w="0" w:type="auto"/>
        <w:tblLayout w:type="fixed"/>
        <w:tblLook w:val="04A0" w:firstRow="1" w:lastRow="0" w:firstColumn="1" w:lastColumn="0" w:noHBand="0" w:noVBand="1"/>
      </w:tblPr>
      <w:tblGrid>
        <w:gridCol w:w="3681"/>
        <w:gridCol w:w="17152"/>
        <w:gridCol w:w="8"/>
      </w:tblGrid>
      <w:tr w:rsidR="00767B75" w:rsidRPr="00DE108C" w14:paraId="572222E4" w14:textId="77777777" w:rsidTr="00527D7B">
        <w:trPr>
          <w:cnfStyle w:val="100000000000" w:firstRow="1" w:lastRow="0" w:firstColumn="0" w:lastColumn="0" w:oddVBand="0" w:evenVBand="0" w:oddHBand="0" w:evenHBand="0" w:firstRowFirstColumn="0" w:firstRowLastColumn="0" w:lastRowFirstColumn="0" w:lastRowLastColumn="0"/>
        </w:trPr>
        <w:tc>
          <w:tcPr>
            <w:tcW w:w="20833" w:type="dxa"/>
            <w:gridSpan w:val="3"/>
            <w:tcBorders>
              <w:top w:val="nil"/>
            </w:tcBorders>
            <w:shd w:val="clear" w:color="auto" w:fill="00428B" w:themeFill="accent1"/>
          </w:tcPr>
          <w:p w14:paraId="21305B0F" w14:textId="77777777" w:rsidR="00767B75" w:rsidRPr="00DE108C" w:rsidRDefault="00767B75" w:rsidP="0040607E">
            <w:pPr>
              <w:pStyle w:val="TableHeading"/>
            </w:pPr>
            <w:r w:rsidRPr="00DE108C">
              <w:t>Inflow risk</w:t>
            </w:r>
          </w:p>
        </w:tc>
      </w:tr>
      <w:tr w:rsidR="00767B75" w:rsidRPr="00DE108C" w14:paraId="78D94671" w14:textId="77777777" w:rsidTr="00AD61F6">
        <w:trPr>
          <w:gridAfter w:val="1"/>
          <w:wAfter w:w="8" w:type="dxa"/>
          <w:trHeight w:val="300"/>
        </w:trPr>
        <w:tc>
          <w:tcPr>
            <w:tcW w:w="3681" w:type="dxa"/>
            <w:tcBorders>
              <w:bottom w:val="single" w:sz="4" w:space="0" w:color="231F20" w:themeColor="text1"/>
            </w:tcBorders>
            <w:shd w:val="clear" w:color="auto" w:fill="002060"/>
          </w:tcPr>
          <w:p w14:paraId="53A179DE" w14:textId="0214865F" w:rsidR="00767B75" w:rsidRPr="00DE108C" w:rsidRDefault="00767B75" w:rsidP="0040607E">
            <w:pPr>
              <w:pStyle w:val="TableHeading"/>
              <w:rPr>
                <w:strike/>
              </w:rPr>
            </w:pPr>
            <w:r w:rsidRPr="00DE108C">
              <w:t>Risk</w:t>
            </w:r>
          </w:p>
        </w:tc>
        <w:tc>
          <w:tcPr>
            <w:tcW w:w="17152" w:type="dxa"/>
            <w:tcBorders>
              <w:bottom w:val="single" w:sz="4" w:space="0" w:color="231F20" w:themeColor="text1"/>
            </w:tcBorders>
            <w:shd w:val="clear" w:color="auto" w:fill="002060"/>
          </w:tcPr>
          <w:p w14:paraId="74CD08D8" w14:textId="77777777" w:rsidR="00767B75" w:rsidRPr="00DE108C" w:rsidRDefault="00767B75" w:rsidP="0040607E">
            <w:pPr>
              <w:pStyle w:val="TableHeading"/>
            </w:pPr>
            <w:r w:rsidRPr="00DE108C">
              <w:t>Risk allocation</w:t>
            </w:r>
          </w:p>
        </w:tc>
      </w:tr>
      <w:tr w:rsidR="00A043F7" w:rsidRPr="00DE108C" w14:paraId="1870BA58" w14:textId="77777777" w:rsidTr="00AD61F6">
        <w:trPr>
          <w:gridAfter w:val="1"/>
          <w:cnfStyle w:val="000000010000" w:firstRow="0" w:lastRow="0" w:firstColumn="0" w:lastColumn="0" w:oddVBand="0" w:evenVBand="0" w:oddHBand="0" w:evenHBand="1" w:firstRowFirstColumn="0" w:firstRowLastColumn="0" w:lastRowFirstColumn="0" w:lastRowLastColumn="0"/>
          <w:wAfter w:w="8" w:type="dxa"/>
        </w:trPr>
        <w:tc>
          <w:tcPr>
            <w:tcW w:w="3681" w:type="dxa"/>
            <w:tcBorders>
              <w:bottom w:val="single" w:sz="4" w:space="0" w:color="231F20" w:themeColor="text1"/>
            </w:tcBorders>
          </w:tcPr>
          <w:p w14:paraId="4270668B" w14:textId="77777777" w:rsidR="00767B75" w:rsidRPr="00DE108C" w:rsidRDefault="00767B75" w:rsidP="00106026">
            <w:pPr>
              <w:pStyle w:val="TableText"/>
              <w:rPr>
                <w:b/>
                <w:szCs w:val="16"/>
              </w:rPr>
            </w:pPr>
            <w:r w:rsidRPr="00DE108C">
              <w:t xml:space="preserve">Inflow risk presents as the inability for Melbourne Water to meet our customer demand due to extended low rainfall and inflows. </w:t>
            </w:r>
          </w:p>
          <w:p w14:paraId="5B0A190D" w14:textId="05CCBA7E" w:rsidR="00767B75" w:rsidRPr="00DE108C" w:rsidRDefault="00767B75" w:rsidP="00106026">
            <w:pPr>
              <w:pStyle w:val="TableText"/>
              <w:rPr>
                <w:b/>
                <w:szCs w:val="16"/>
              </w:rPr>
            </w:pPr>
            <w:r w:rsidRPr="00DE108C">
              <w:t>Melbourne Water has forecast its demand based on average climatic conditions for inflow.</w:t>
            </w:r>
          </w:p>
          <w:p w14:paraId="2D6FF977" w14:textId="77777777" w:rsidR="00767B75" w:rsidRPr="00DE108C" w:rsidRDefault="00767B75">
            <w:pPr>
              <w:rPr>
                <w:b/>
                <w:bCs/>
                <w:sz w:val="16"/>
                <w:szCs w:val="16"/>
              </w:rPr>
            </w:pPr>
          </w:p>
        </w:tc>
        <w:tc>
          <w:tcPr>
            <w:tcW w:w="17152" w:type="dxa"/>
            <w:tcBorders>
              <w:bottom w:val="single" w:sz="4" w:space="0" w:color="231F20" w:themeColor="text1"/>
            </w:tcBorders>
          </w:tcPr>
          <w:p w14:paraId="3BC219BB" w14:textId="773617E1" w:rsidR="00767B75" w:rsidRPr="00DE108C" w:rsidRDefault="00767B75">
            <w:pPr>
              <w:rPr>
                <w:b/>
                <w:sz w:val="16"/>
                <w:szCs w:val="16"/>
              </w:rPr>
            </w:pPr>
            <w:r w:rsidRPr="00DE108C">
              <w:rPr>
                <w:sz w:val="16"/>
                <w:szCs w:val="16"/>
              </w:rPr>
              <w:t>Melbourne Water proposes to share inflow risk</w:t>
            </w:r>
            <w:r w:rsidR="00106026">
              <w:rPr>
                <w:sz w:val="16"/>
                <w:szCs w:val="16"/>
              </w:rPr>
              <w:t>s</w:t>
            </w:r>
            <w:r w:rsidRPr="00DE108C">
              <w:rPr>
                <w:sz w:val="16"/>
                <w:szCs w:val="16"/>
              </w:rPr>
              <w:t xml:space="preserve"> with its water and sewerage customers. Note, inflow risk does not impact our waterways and drainage customers. </w:t>
            </w:r>
          </w:p>
          <w:p w14:paraId="2061EA0F" w14:textId="77777777" w:rsidR="00767B75" w:rsidRPr="00DE108C" w:rsidRDefault="00767B75">
            <w:pPr>
              <w:rPr>
                <w:b/>
                <w:sz w:val="16"/>
                <w:szCs w:val="16"/>
              </w:rPr>
            </w:pPr>
            <w:r w:rsidRPr="00DE108C">
              <w:rPr>
                <w:sz w:val="16"/>
                <w:szCs w:val="16"/>
              </w:rPr>
              <w:t>When customers would pay during the regulatory period:</w:t>
            </w:r>
          </w:p>
          <w:p w14:paraId="675D1418" w14:textId="7386F58B" w:rsidR="00767B75" w:rsidRPr="00DE108C" w:rsidRDefault="00E70F37" w:rsidP="0042562D">
            <w:pPr>
              <w:pStyle w:val="Tablebullet"/>
            </w:pPr>
            <w:r>
              <w:t>We p</w:t>
            </w:r>
            <w:r w:rsidR="00767B75" w:rsidRPr="00DE108C">
              <w:t>ropose to maintain the pass-through for water order costs associated with the Victorian Desalination Project that may be required due to lower inflows.</w:t>
            </w:r>
          </w:p>
          <w:p w14:paraId="78D8C3F7" w14:textId="259B80CA" w:rsidR="00767B75" w:rsidRPr="00DE108C" w:rsidRDefault="00767B75" w:rsidP="0042562D">
            <w:pPr>
              <w:pStyle w:val="Tablebullet"/>
            </w:pPr>
            <w:r w:rsidRPr="00DE108C">
              <w:t xml:space="preserve">Prudent and efficient </w:t>
            </w:r>
            <w:r w:rsidR="4DA0DCE7" w:rsidRPr="00DE108C">
              <w:t xml:space="preserve">development costs for large-scale </w:t>
            </w:r>
            <w:r w:rsidRPr="00DE108C">
              <w:t xml:space="preserve">new water </w:t>
            </w:r>
            <w:r w:rsidR="00E70F37">
              <w:t xml:space="preserve">supplies (consistent with the </w:t>
            </w:r>
            <w:r w:rsidR="00E70F37" w:rsidRPr="00E70F37">
              <w:rPr>
                <w:i/>
                <w:iCs/>
              </w:rPr>
              <w:t>Water Security Plan</w:t>
            </w:r>
            <w:r w:rsidR="00E70F37">
              <w:t xml:space="preserve">) </w:t>
            </w:r>
            <w:r w:rsidR="009D521D">
              <w:t xml:space="preserve">have been </w:t>
            </w:r>
            <w:r w:rsidRPr="00DE108C">
              <w:t>forecast into prices.</w:t>
            </w:r>
          </w:p>
          <w:p w14:paraId="2EE2E679" w14:textId="5BA4749A" w:rsidR="00767B75" w:rsidRPr="00DE108C" w:rsidRDefault="00F848E6" w:rsidP="0042562D">
            <w:pPr>
              <w:pStyle w:val="Tablebullet"/>
            </w:pPr>
            <w:r>
              <w:t>Costs associated with the a</w:t>
            </w:r>
            <w:r w:rsidR="00767B75" w:rsidRPr="00DE108C">
              <w:t xml:space="preserve">vailability of alternative water sources, including the continued operation of both recycled water facilities at the Western Treatment Plant </w:t>
            </w:r>
            <w:r w:rsidR="62FE2F30" w:rsidRPr="425138B5">
              <w:t>(WTP)</w:t>
            </w:r>
            <w:r w:rsidR="00767B75" w:rsidRPr="425138B5">
              <w:t xml:space="preserve"> </w:t>
            </w:r>
            <w:r w:rsidR="00767B75" w:rsidRPr="00DE108C">
              <w:t xml:space="preserve">and </w:t>
            </w:r>
            <w:r w:rsidR="5553A377" w:rsidRPr="425138B5">
              <w:t>ETP</w:t>
            </w:r>
            <w:r w:rsidR="00767B75" w:rsidRPr="00DE108C">
              <w:t xml:space="preserve">, and the renewals proposed at the </w:t>
            </w:r>
            <w:r w:rsidR="23E2E074" w:rsidRPr="425138B5">
              <w:t>WTP</w:t>
            </w:r>
            <w:r w:rsidR="00767B75" w:rsidRPr="425138B5">
              <w:t>’s</w:t>
            </w:r>
            <w:r w:rsidR="00767B75" w:rsidRPr="00DE108C">
              <w:t xml:space="preserve"> Class A facility</w:t>
            </w:r>
            <w:r w:rsidR="00AB5F02">
              <w:t xml:space="preserve"> have been included in expenditures</w:t>
            </w:r>
            <w:r w:rsidR="00767B75" w:rsidRPr="00DE108C">
              <w:t xml:space="preserve">. </w:t>
            </w:r>
          </w:p>
          <w:p w14:paraId="51B080A7" w14:textId="30156152" w:rsidR="00767B75" w:rsidRPr="00DE108C" w:rsidRDefault="00767B75" w:rsidP="0042562D">
            <w:pPr>
              <w:pStyle w:val="Tablebullet"/>
            </w:pPr>
            <w:r w:rsidRPr="00DE108C">
              <w:t xml:space="preserve">If any significant </w:t>
            </w:r>
            <w:r w:rsidR="1233E77B" w:rsidRPr="00DE108C">
              <w:t>works for l</w:t>
            </w:r>
            <w:r w:rsidR="2AA09761" w:rsidRPr="00DE108C">
              <w:t>arge</w:t>
            </w:r>
            <w:r w:rsidR="7CEEB1FB" w:rsidRPr="40AD8E0A">
              <w:t>-</w:t>
            </w:r>
            <w:r w:rsidR="2AA09761" w:rsidRPr="00DE108C">
              <w:t xml:space="preserve">scale new water </w:t>
            </w:r>
            <w:r w:rsidR="00245639">
              <w:t>supplies</w:t>
            </w:r>
            <w:r w:rsidRPr="00DE108C">
              <w:t xml:space="preserve"> occur during the period, Melbourne Water may apply for a re-opening to start recovering its investment. </w:t>
            </w:r>
          </w:p>
          <w:p w14:paraId="7B44788E" w14:textId="77777777" w:rsidR="00767B75" w:rsidRPr="00DE108C" w:rsidRDefault="00767B75">
            <w:pPr>
              <w:rPr>
                <w:b/>
                <w:sz w:val="16"/>
                <w:szCs w:val="16"/>
              </w:rPr>
            </w:pPr>
            <w:r w:rsidRPr="00DE108C">
              <w:rPr>
                <w:sz w:val="16"/>
                <w:szCs w:val="16"/>
              </w:rPr>
              <w:t>When we would accept financial risk during the regulatory period:</w:t>
            </w:r>
          </w:p>
          <w:p w14:paraId="0CD1E363" w14:textId="3C305EB7" w:rsidR="00767B75" w:rsidRPr="00DE108C" w:rsidRDefault="00767B75" w:rsidP="0042562D">
            <w:pPr>
              <w:pStyle w:val="Tablebullet"/>
            </w:pPr>
            <w:r w:rsidRPr="00DE108C">
              <w:t xml:space="preserve">Any increase in </w:t>
            </w:r>
            <w:r w:rsidR="05A6329F" w:rsidRPr="40AD8E0A">
              <w:t>opex</w:t>
            </w:r>
            <w:r w:rsidRPr="00DE108C">
              <w:t xml:space="preserve"> associated with lower rainfall that would likely result in higher pumping costs for harvesting water. </w:t>
            </w:r>
          </w:p>
          <w:p w14:paraId="6B0D13EB" w14:textId="77777777" w:rsidR="00767B75" w:rsidRPr="00DE108C" w:rsidRDefault="00767B75" w:rsidP="0042562D">
            <w:pPr>
              <w:pStyle w:val="Tablebullet"/>
            </w:pPr>
            <w:r w:rsidRPr="00DE108C">
              <w:t>Costs associated with demand management or water conservation programs to avoid water restrictions.</w:t>
            </w:r>
          </w:p>
          <w:p w14:paraId="6FC21F18" w14:textId="77777777" w:rsidR="00767B75" w:rsidRPr="00DE108C" w:rsidRDefault="00767B75" w:rsidP="0042562D">
            <w:pPr>
              <w:pStyle w:val="Tablebullet"/>
            </w:pPr>
            <w:r w:rsidRPr="00DE108C">
              <w:t>Any change in water treatment operating expenditure as a result of changes in water quality caused by low rainfall and inflows.</w:t>
            </w:r>
          </w:p>
          <w:p w14:paraId="052FDE53" w14:textId="28888A49" w:rsidR="00767B75" w:rsidRPr="00DE108C" w:rsidRDefault="00767B75" w:rsidP="0042562D">
            <w:pPr>
              <w:pStyle w:val="Tablebullet"/>
            </w:pPr>
            <w:r w:rsidRPr="00DE108C">
              <w:t xml:space="preserve">Changes in water usage that results in changes in water demand or sewage flows. </w:t>
            </w:r>
          </w:p>
        </w:tc>
      </w:tr>
      <w:tr w:rsidR="00767B75" w:rsidRPr="00DE108C" w14:paraId="7F415796" w14:textId="77777777" w:rsidTr="00527D7B">
        <w:tc>
          <w:tcPr>
            <w:tcW w:w="20833" w:type="dxa"/>
            <w:gridSpan w:val="3"/>
            <w:tcBorders>
              <w:top w:val="nil"/>
            </w:tcBorders>
            <w:shd w:val="clear" w:color="auto" w:fill="00428B" w:themeFill="accent1"/>
          </w:tcPr>
          <w:p w14:paraId="37A9918B" w14:textId="77777777" w:rsidR="00767B75" w:rsidRPr="00DE108C" w:rsidRDefault="00767B75" w:rsidP="0040607E">
            <w:pPr>
              <w:pStyle w:val="TableHeading"/>
            </w:pPr>
            <w:r w:rsidRPr="00DE108C">
              <w:t>Demand forecasting risk</w:t>
            </w:r>
          </w:p>
        </w:tc>
      </w:tr>
      <w:tr w:rsidR="00767B75" w:rsidRPr="00DE108C" w14:paraId="0CC98A25" w14:textId="77777777" w:rsidTr="00AD61F6">
        <w:trPr>
          <w:gridAfter w:val="1"/>
          <w:cnfStyle w:val="000000010000" w:firstRow="0" w:lastRow="0" w:firstColumn="0" w:lastColumn="0" w:oddVBand="0" w:evenVBand="0" w:oddHBand="0" w:evenHBand="1" w:firstRowFirstColumn="0" w:firstRowLastColumn="0" w:lastRowFirstColumn="0" w:lastRowLastColumn="0"/>
          <w:wAfter w:w="8" w:type="dxa"/>
          <w:trHeight w:val="300"/>
        </w:trPr>
        <w:tc>
          <w:tcPr>
            <w:tcW w:w="3681" w:type="dxa"/>
            <w:tcBorders>
              <w:bottom w:val="single" w:sz="4" w:space="0" w:color="231F20" w:themeColor="text1"/>
            </w:tcBorders>
            <w:shd w:val="clear" w:color="auto" w:fill="002060"/>
          </w:tcPr>
          <w:p w14:paraId="08CA0A62" w14:textId="77777777" w:rsidR="00767B75" w:rsidRPr="00DE108C" w:rsidRDefault="00767B75" w:rsidP="0040607E">
            <w:pPr>
              <w:pStyle w:val="TableHeading"/>
            </w:pPr>
            <w:r w:rsidRPr="00DE108C">
              <w:t xml:space="preserve">Risk </w:t>
            </w:r>
          </w:p>
        </w:tc>
        <w:tc>
          <w:tcPr>
            <w:tcW w:w="17152" w:type="dxa"/>
            <w:tcBorders>
              <w:bottom w:val="single" w:sz="4" w:space="0" w:color="231F20" w:themeColor="text1"/>
            </w:tcBorders>
            <w:shd w:val="clear" w:color="auto" w:fill="002060"/>
          </w:tcPr>
          <w:p w14:paraId="49FD12DD" w14:textId="77777777" w:rsidR="00767B75" w:rsidRPr="00DE108C" w:rsidRDefault="00767B75" w:rsidP="0040607E">
            <w:pPr>
              <w:pStyle w:val="TableHeading"/>
            </w:pPr>
            <w:r w:rsidRPr="00DE108C">
              <w:t>Risk allocation</w:t>
            </w:r>
          </w:p>
        </w:tc>
      </w:tr>
      <w:tr w:rsidR="00767B75" w:rsidRPr="00DE108C" w14:paraId="5D15CFD0" w14:textId="77777777" w:rsidTr="00AD61F6">
        <w:trPr>
          <w:gridAfter w:val="1"/>
          <w:wAfter w:w="8" w:type="dxa"/>
        </w:trPr>
        <w:tc>
          <w:tcPr>
            <w:tcW w:w="3681" w:type="dxa"/>
            <w:tcBorders>
              <w:bottom w:val="single" w:sz="4" w:space="0" w:color="231F20" w:themeColor="text1"/>
            </w:tcBorders>
          </w:tcPr>
          <w:p w14:paraId="2AC56976" w14:textId="77777777" w:rsidR="00767B75" w:rsidRPr="00DE108C" w:rsidRDefault="00767B75" w:rsidP="00106026">
            <w:pPr>
              <w:pStyle w:val="TableText"/>
              <w:rPr>
                <w:b/>
                <w:szCs w:val="16"/>
              </w:rPr>
            </w:pPr>
            <w:r w:rsidRPr="00DE108C">
              <w:t xml:space="preserve">Demand forecast risk presents as actual demand during a regulatory period materially differing from the forecasts used to calculate both expenditure and prices. </w:t>
            </w:r>
          </w:p>
          <w:p w14:paraId="726B9A4C" w14:textId="1110BFC3" w:rsidR="00767B75" w:rsidRPr="00DE108C" w:rsidRDefault="00767B75" w:rsidP="00106026">
            <w:pPr>
              <w:pStyle w:val="TableText"/>
              <w:rPr>
                <w:b/>
                <w:szCs w:val="16"/>
              </w:rPr>
            </w:pPr>
            <w:r w:rsidRPr="00DE108C">
              <w:t>To ensure the accuracy of its forecasts, Melbourne Water has worked closely with the water corporations to update its demand forecasts and has aligned them to the most recently available Victorian population forecasts</w:t>
            </w:r>
            <w:r w:rsidR="46B24426" w:rsidRPr="40AD8E0A">
              <w:rPr>
                <w:szCs w:val="16"/>
              </w:rPr>
              <w:t>.</w:t>
            </w:r>
            <w:r w:rsidRPr="00DE108C">
              <w:rPr>
                <w:szCs w:val="16"/>
              </w:rPr>
              <w:t xml:space="preserve"> </w:t>
            </w:r>
          </w:p>
          <w:p w14:paraId="250B4BEC" w14:textId="77777777" w:rsidR="00767B75" w:rsidRPr="00DE108C" w:rsidRDefault="00767B75">
            <w:pPr>
              <w:rPr>
                <w:b/>
                <w:bCs/>
                <w:sz w:val="16"/>
                <w:szCs w:val="16"/>
              </w:rPr>
            </w:pPr>
          </w:p>
          <w:p w14:paraId="3D6C6F61" w14:textId="77777777" w:rsidR="00767B75" w:rsidRPr="00DE108C" w:rsidRDefault="00767B75">
            <w:pPr>
              <w:rPr>
                <w:b/>
                <w:bCs/>
                <w:sz w:val="16"/>
                <w:szCs w:val="16"/>
              </w:rPr>
            </w:pPr>
          </w:p>
        </w:tc>
        <w:tc>
          <w:tcPr>
            <w:tcW w:w="17152" w:type="dxa"/>
            <w:tcBorders>
              <w:bottom w:val="single" w:sz="4" w:space="0" w:color="231F20" w:themeColor="text1"/>
            </w:tcBorders>
          </w:tcPr>
          <w:p w14:paraId="03F9C37E" w14:textId="7BE1FEC2" w:rsidR="00767B75" w:rsidRPr="00DE108C" w:rsidRDefault="00767B75">
            <w:pPr>
              <w:rPr>
                <w:b/>
                <w:sz w:val="16"/>
                <w:szCs w:val="16"/>
              </w:rPr>
            </w:pPr>
            <w:r w:rsidRPr="00DE108C">
              <w:rPr>
                <w:sz w:val="16"/>
                <w:szCs w:val="16"/>
              </w:rPr>
              <w:t>Melbourne Water proposes to share demand risk</w:t>
            </w:r>
            <w:r w:rsidR="00A41214">
              <w:rPr>
                <w:sz w:val="16"/>
                <w:szCs w:val="16"/>
              </w:rPr>
              <w:t>s</w:t>
            </w:r>
            <w:r w:rsidRPr="00DE108C">
              <w:rPr>
                <w:sz w:val="16"/>
                <w:szCs w:val="16"/>
              </w:rPr>
              <w:t xml:space="preserve"> with its customers. </w:t>
            </w:r>
          </w:p>
          <w:p w14:paraId="1FCD77CA" w14:textId="77777777" w:rsidR="00767B75" w:rsidRPr="00DE108C" w:rsidRDefault="00767B75">
            <w:pPr>
              <w:rPr>
                <w:b/>
                <w:sz w:val="16"/>
                <w:szCs w:val="16"/>
              </w:rPr>
            </w:pPr>
            <w:r w:rsidRPr="00DE108C">
              <w:rPr>
                <w:sz w:val="16"/>
                <w:szCs w:val="16"/>
              </w:rPr>
              <w:t>When customers would pay during the regulatory period:</w:t>
            </w:r>
          </w:p>
          <w:p w14:paraId="28795102" w14:textId="03FAA606" w:rsidR="00767B75" w:rsidRPr="00DE108C" w:rsidRDefault="00767B75" w:rsidP="0042562D">
            <w:pPr>
              <w:pStyle w:val="Tablebullet"/>
            </w:pPr>
            <w:r w:rsidRPr="00DE108C">
              <w:t xml:space="preserve">Projects where the primary driver is growth </w:t>
            </w:r>
            <w:r w:rsidR="07FDC8AF" w:rsidRPr="00DE108C">
              <w:t>that are started</w:t>
            </w:r>
            <w:r w:rsidRPr="00DE108C">
              <w:t xml:space="preserve"> or will be completed during the 2026-31 regulatory period.</w:t>
            </w:r>
          </w:p>
          <w:p w14:paraId="51257E49" w14:textId="7795BBCF" w:rsidR="00767B75" w:rsidRPr="00DE108C" w:rsidRDefault="00767B75" w:rsidP="0042562D">
            <w:pPr>
              <w:pStyle w:val="Tablebullet"/>
            </w:pPr>
            <w:r w:rsidRPr="00DE108C">
              <w:t>Water order costs associated with the Victorian Desalination Project that may be required due to higher demand via maintenance of the existing pass-through. This includes pumping and related activities to enable Melbourne Water to accommodate Victorian Desalination P</w:t>
            </w:r>
            <w:r w:rsidR="134D17E8" w:rsidRPr="00DE108C">
              <w:t>roject</w:t>
            </w:r>
            <w:r w:rsidRPr="00DE108C">
              <w:t xml:space="preserve"> water orders. </w:t>
            </w:r>
          </w:p>
          <w:p w14:paraId="266A9814" w14:textId="77777777" w:rsidR="00767B75" w:rsidRPr="00DE108C" w:rsidRDefault="00767B75">
            <w:pPr>
              <w:rPr>
                <w:b/>
                <w:sz w:val="16"/>
                <w:szCs w:val="16"/>
              </w:rPr>
            </w:pPr>
            <w:r w:rsidRPr="00DE108C">
              <w:rPr>
                <w:sz w:val="16"/>
                <w:szCs w:val="16"/>
              </w:rPr>
              <w:t>When we would accept financial risk during the regulatory period:</w:t>
            </w:r>
          </w:p>
          <w:p w14:paraId="6258FDC5" w14:textId="7637D371" w:rsidR="00767B75" w:rsidRPr="00DE108C" w:rsidRDefault="00767B75" w:rsidP="0042562D">
            <w:pPr>
              <w:pStyle w:val="Tablebullet"/>
            </w:pPr>
            <w:r w:rsidRPr="00DE108C">
              <w:t xml:space="preserve">Retaining the volume and customer connection risk on all its services through the use of existing price control. </w:t>
            </w:r>
          </w:p>
          <w:p w14:paraId="0B0C6BDA" w14:textId="77777777" w:rsidR="00767B75" w:rsidRPr="00DE108C" w:rsidRDefault="00767B75" w:rsidP="0042562D">
            <w:pPr>
              <w:pStyle w:val="Tablebullet"/>
            </w:pPr>
            <w:r w:rsidRPr="00DE108C">
              <w:t xml:space="preserve">Re-balancing water tariffs to collect more revenue from variable (rather than fixed) charges that allocates more volume risk to Melbourne Water and less to customers. </w:t>
            </w:r>
          </w:p>
          <w:p w14:paraId="76923247" w14:textId="77777777" w:rsidR="00767B75" w:rsidRPr="00DE108C" w:rsidRDefault="00767B75" w:rsidP="0042562D">
            <w:pPr>
              <w:pStyle w:val="Tablebullet"/>
            </w:pPr>
            <w:r w:rsidRPr="00DE108C">
              <w:t>Any costs associated with increased operations.</w:t>
            </w:r>
          </w:p>
          <w:p w14:paraId="619FD4D0" w14:textId="77777777" w:rsidR="00767B75" w:rsidRPr="00DE108C" w:rsidRDefault="00767B75" w:rsidP="0042562D">
            <w:pPr>
              <w:pStyle w:val="Tablebullet"/>
            </w:pPr>
            <w:r w:rsidRPr="00DE108C">
              <w:t>Developer contributions that differ from current forecast.</w:t>
            </w:r>
          </w:p>
          <w:p w14:paraId="4BB415B0" w14:textId="77777777" w:rsidR="00767B75" w:rsidRPr="00DE108C" w:rsidRDefault="00767B75" w:rsidP="0042562D">
            <w:pPr>
              <w:pStyle w:val="Tablebullet"/>
            </w:pPr>
            <w:r w:rsidRPr="00DE108C">
              <w:t>Project where the primary driver is growth, however, the timing or cost of the project is uncertain, therefore has been excluded from our forecasts.</w:t>
            </w:r>
          </w:p>
          <w:p w14:paraId="56B0F0E1" w14:textId="77777777" w:rsidR="00767B75" w:rsidRPr="00DE108C" w:rsidRDefault="00767B75" w:rsidP="0042562D">
            <w:pPr>
              <w:pStyle w:val="Tablebullet"/>
            </w:pPr>
            <w:r w:rsidRPr="00DE108C">
              <w:t>Changes to net operating expenditure growth and efficiency (forecast to be zero) that might be required to service new customers.</w:t>
            </w:r>
          </w:p>
        </w:tc>
      </w:tr>
      <w:tr w:rsidR="00767B75" w:rsidRPr="00DE108C" w14:paraId="2582654E" w14:textId="77777777" w:rsidTr="00527D7B">
        <w:trPr>
          <w:cnfStyle w:val="000000010000" w:firstRow="0" w:lastRow="0" w:firstColumn="0" w:lastColumn="0" w:oddVBand="0" w:evenVBand="0" w:oddHBand="0" w:evenHBand="1" w:firstRowFirstColumn="0" w:firstRowLastColumn="0" w:lastRowFirstColumn="0" w:lastRowLastColumn="0"/>
        </w:trPr>
        <w:tc>
          <w:tcPr>
            <w:tcW w:w="20833" w:type="dxa"/>
            <w:gridSpan w:val="3"/>
            <w:tcBorders>
              <w:top w:val="nil"/>
            </w:tcBorders>
            <w:shd w:val="clear" w:color="auto" w:fill="00428B" w:themeFill="accent1"/>
          </w:tcPr>
          <w:p w14:paraId="28D243DE" w14:textId="77777777" w:rsidR="00767B75" w:rsidRPr="00DE108C" w:rsidRDefault="00767B75" w:rsidP="00034D2E">
            <w:pPr>
              <w:pStyle w:val="TableHeading"/>
              <w:keepNext/>
              <w:keepLines/>
              <w:rPr>
                <w:bCs/>
              </w:rPr>
            </w:pPr>
            <w:r w:rsidRPr="00DE108C">
              <w:lastRenderedPageBreak/>
              <w:t>Operational risks</w:t>
            </w:r>
          </w:p>
        </w:tc>
      </w:tr>
      <w:tr w:rsidR="00767B75" w:rsidRPr="00DE108C" w14:paraId="6726833E" w14:textId="77777777" w:rsidTr="00AD61F6">
        <w:trPr>
          <w:gridAfter w:val="1"/>
          <w:wAfter w:w="8" w:type="dxa"/>
          <w:trHeight w:val="300"/>
        </w:trPr>
        <w:tc>
          <w:tcPr>
            <w:tcW w:w="3681" w:type="dxa"/>
            <w:tcBorders>
              <w:bottom w:val="single" w:sz="4" w:space="0" w:color="231F20" w:themeColor="text1"/>
            </w:tcBorders>
            <w:shd w:val="clear" w:color="auto" w:fill="002060"/>
          </w:tcPr>
          <w:p w14:paraId="16752A05" w14:textId="77777777" w:rsidR="00767B75" w:rsidRPr="00DE108C" w:rsidRDefault="00767B75" w:rsidP="00034D2E">
            <w:pPr>
              <w:pStyle w:val="TableHeading"/>
              <w:keepNext/>
              <w:keepLines/>
            </w:pPr>
            <w:r w:rsidRPr="00DE108C">
              <w:t>Risk</w:t>
            </w:r>
          </w:p>
        </w:tc>
        <w:tc>
          <w:tcPr>
            <w:tcW w:w="17152" w:type="dxa"/>
            <w:tcBorders>
              <w:bottom w:val="single" w:sz="4" w:space="0" w:color="231F20" w:themeColor="text1"/>
            </w:tcBorders>
            <w:shd w:val="clear" w:color="auto" w:fill="002060"/>
          </w:tcPr>
          <w:p w14:paraId="27D9BCA3" w14:textId="77777777" w:rsidR="00767B75" w:rsidRPr="00DE108C" w:rsidRDefault="00767B75" w:rsidP="00034D2E">
            <w:pPr>
              <w:pStyle w:val="TableHeading"/>
              <w:keepNext/>
              <w:keepLines/>
            </w:pPr>
            <w:r w:rsidRPr="00DE108C">
              <w:t>Risk allocation</w:t>
            </w:r>
          </w:p>
        </w:tc>
      </w:tr>
      <w:tr w:rsidR="00A043F7" w:rsidRPr="00DE108C" w14:paraId="241DE00F" w14:textId="77777777" w:rsidTr="00AD61F6">
        <w:trPr>
          <w:gridAfter w:val="1"/>
          <w:cnfStyle w:val="000000010000" w:firstRow="0" w:lastRow="0" w:firstColumn="0" w:lastColumn="0" w:oddVBand="0" w:evenVBand="0" w:oddHBand="0" w:evenHBand="1" w:firstRowFirstColumn="0" w:firstRowLastColumn="0" w:lastRowFirstColumn="0" w:lastRowLastColumn="0"/>
          <w:wAfter w:w="8" w:type="dxa"/>
        </w:trPr>
        <w:tc>
          <w:tcPr>
            <w:tcW w:w="3681" w:type="dxa"/>
            <w:tcBorders>
              <w:bottom w:val="single" w:sz="4" w:space="0" w:color="231F20" w:themeColor="text1"/>
            </w:tcBorders>
          </w:tcPr>
          <w:p w14:paraId="4B85CD0C" w14:textId="77777777" w:rsidR="00767B75" w:rsidRPr="00DE108C" w:rsidRDefault="00767B75" w:rsidP="00034D2E">
            <w:pPr>
              <w:pStyle w:val="TableText"/>
              <w:keepNext/>
              <w:keepLines/>
              <w:rPr>
                <w:b/>
                <w:szCs w:val="16"/>
              </w:rPr>
            </w:pPr>
            <w:r w:rsidRPr="00DE108C">
              <w:t xml:space="preserve">Operational risks – such as breaches in health, environmental, or customer service standards – may arise in water businesses due to flawed internal processes, asset malfunctions, or external influences. </w:t>
            </w:r>
          </w:p>
          <w:p w14:paraId="671811EF" w14:textId="77777777" w:rsidR="00767B75" w:rsidRPr="00DE108C" w:rsidRDefault="00767B75" w:rsidP="00034D2E">
            <w:pPr>
              <w:pStyle w:val="TableText"/>
              <w:keepNext/>
              <w:keepLines/>
              <w:rPr>
                <w:b/>
                <w:szCs w:val="16"/>
              </w:rPr>
            </w:pPr>
            <w:r w:rsidRPr="00DE108C">
              <w:t>Melbourne Water addresses these risks by implementing robust operating policies, investing in infrastructure, maintaining assets, managing contracts, and securing insurance coverage.</w:t>
            </w:r>
          </w:p>
          <w:p w14:paraId="2174F018" w14:textId="77777777" w:rsidR="00767B75" w:rsidRPr="00DE108C" w:rsidRDefault="00767B75" w:rsidP="00034D2E">
            <w:pPr>
              <w:keepNext/>
              <w:keepLines/>
              <w:rPr>
                <w:b/>
                <w:bCs/>
                <w:sz w:val="16"/>
                <w:szCs w:val="16"/>
              </w:rPr>
            </w:pPr>
          </w:p>
        </w:tc>
        <w:tc>
          <w:tcPr>
            <w:tcW w:w="17152" w:type="dxa"/>
            <w:tcBorders>
              <w:bottom w:val="single" w:sz="4" w:space="0" w:color="231F20" w:themeColor="text1"/>
            </w:tcBorders>
          </w:tcPr>
          <w:p w14:paraId="1E2B7C46" w14:textId="27F75575" w:rsidR="00767B75" w:rsidRPr="00DE108C" w:rsidRDefault="00767B75" w:rsidP="00034D2E">
            <w:pPr>
              <w:keepNext/>
              <w:keepLines/>
              <w:rPr>
                <w:b/>
                <w:sz w:val="16"/>
                <w:szCs w:val="16"/>
              </w:rPr>
            </w:pPr>
            <w:r w:rsidRPr="00DE108C">
              <w:rPr>
                <w:sz w:val="16"/>
                <w:szCs w:val="16"/>
              </w:rPr>
              <w:t>Melbourne Water proposes to share operational risks with its customers.</w:t>
            </w:r>
          </w:p>
          <w:p w14:paraId="054B3BB6" w14:textId="77777777" w:rsidR="00767B75" w:rsidRPr="00DE108C" w:rsidRDefault="00767B75" w:rsidP="00034D2E">
            <w:pPr>
              <w:keepNext/>
              <w:keepLines/>
              <w:rPr>
                <w:b/>
                <w:sz w:val="16"/>
                <w:szCs w:val="16"/>
              </w:rPr>
            </w:pPr>
            <w:r w:rsidRPr="00DE108C">
              <w:rPr>
                <w:sz w:val="16"/>
                <w:szCs w:val="16"/>
              </w:rPr>
              <w:t>When customers would pay during the regulatory period:</w:t>
            </w:r>
          </w:p>
          <w:p w14:paraId="323E6406" w14:textId="77777777" w:rsidR="00767B75" w:rsidRPr="00DE108C" w:rsidRDefault="00767B75" w:rsidP="00034D2E">
            <w:pPr>
              <w:pStyle w:val="Tablebullet"/>
              <w:keepNext/>
              <w:keepLines/>
            </w:pPr>
            <w:r w:rsidRPr="00DE108C">
              <w:t>Proposed investments to maintain existing levels of service.</w:t>
            </w:r>
          </w:p>
          <w:p w14:paraId="1E9008C8" w14:textId="77777777" w:rsidR="00767B75" w:rsidRPr="00DE108C" w:rsidRDefault="00767B75" w:rsidP="00034D2E">
            <w:pPr>
              <w:pStyle w:val="Tablebullet"/>
              <w:keepNext/>
              <w:keepLines/>
            </w:pPr>
            <w:r w:rsidRPr="00DE108C">
              <w:t>Proposed investments in the renewal or replacement of assets with a compliance cost driver that have been identified as high risk of failure or high risk that it will breach existing operational licence conditions.</w:t>
            </w:r>
          </w:p>
          <w:p w14:paraId="16ADA8E4" w14:textId="77777777" w:rsidR="00767B75" w:rsidRPr="00DE108C" w:rsidRDefault="00767B75" w:rsidP="00034D2E">
            <w:pPr>
              <w:keepNext/>
              <w:keepLines/>
              <w:rPr>
                <w:b/>
                <w:sz w:val="16"/>
                <w:szCs w:val="16"/>
              </w:rPr>
            </w:pPr>
            <w:r w:rsidRPr="00DE108C">
              <w:rPr>
                <w:sz w:val="16"/>
                <w:szCs w:val="16"/>
              </w:rPr>
              <w:t>When we would accept financial risk during the regulatory period:</w:t>
            </w:r>
          </w:p>
          <w:p w14:paraId="1F34EA34" w14:textId="2B903A79" w:rsidR="00767B75" w:rsidRPr="00DE108C" w:rsidRDefault="00767B75" w:rsidP="00034D2E">
            <w:pPr>
              <w:pStyle w:val="Tablebullet"/>
              <w:keepNext/>
              <w:keepLines/>
            </w:pPr>
            <w:r w:rsidRPr="00DE108C">
              <w:t xml:space="preserve">For a failure in our network that triggers a </w:t>
            </w:r>
            <w:r w:rsidR="0069015D">
              <w:t>G</w:t>
            </w:r>
            <w:r w:rsidR="5BBC4F1E" w:rsidRPr="40AD8E0A">
              <w:t>SL</w:t>
            </w:r>
            <w:r w:rsidRPr="00DE108C">
              <w:t xml:space="preserve"> payment under the five existing </w:t>
            </w:r>
            <w:r w:rsidR="67AFE23C" w:rsidRPr="40AD8E0A">
              <w:t>GSL</w:t>
            </w:r>
            <w:r w:rsidR="713E6C5A" w:rsidRPr="40AD8E0A">
              <w:t>s</w:t>
            </w:r>
            <w:r w:rsidRPr="00DE108C">
              <w:t>:</w:t>
            </w:r>
          </w:p>
          <w:p w14:paraId="4C098948" w14:textId="326E39E9" w:rsidR="00767B75" w:rsidRPr="00DE108C" w:rsidRDefault="00767B75" w:rsidP="00034D2E">
            <w:pPr>
              <w:pStyle w:val="Tablebullet2"/>
              <w:keepNext/>
              <w:keepLines/>
            </w:pPr>
            <w:r w:rsidRPr="00DE108C">
              <w:t>Unplanned change in source water quality (</w:t>
            </w:r>
            <w:r w:rsidR="713E6C5A" w:rsidRPr="40AD8E0A">
              <w:t>Y</w:t>
            </w:r>
            <w:r w:rsidR="4943EE47" w:rsidRPr="40AD8E0A">
              <w:t xml:space="preserve">arra </w:t>
            </w:r>
            <w:r w:rsidR="713E6C5A" w:rsidRPr="40AD8E0A">
              <w:t>V</w:t>
            </w:r>
            <w:r w:rsidR="6DE65D79" w:rsidRPr="40AD8E0A">
              <w:t xml:space="preserve">alley </w:t>
            </w:r>
            <w:r w:rsidR="713E6C5A" w:rsidRPr="40AD8E0A">
              <w:t>W</w:t>
            </w:r>
            <w:r w:rsidR="04A9DF2B" w:rsidRPr="40AD8E0A">
              <w:t>ater</w:t>
            </w:r>
            <w:r w:rsidRPr="00DE108C">
              <w:t xml:space="preserve"> only</w:t>
            </w:r>
            <w:r w:rsidR="713E6C5A" w:rsidRPr="40AD8E0A">
              <w:t>)</w:t>
            </w:r>
            <w:r w:rsidR="02430890" w:rsidRPr="40AD8E0A">
              <w:t>.</w:t>
            </w:r>
          </w:p>
          <w:p w14:paraId="24E4786F" w14:textId="5A30D51E" w:rsidR="00767B75" w:rsidRPr="00DE108C" w:rsidRDefault="00767B75" w:rsidP="00034D2E">
            <w:pPr>
              <w:pStyle w:val="Tablebullet2"/>
              <w:keepNext/>
              <w:keepLines/>
            </w:pPr>
            <w:r w:rsidRPr="00DE108C">
              <w:t>Failure to notify of planned event causing end-customer service interruption (</w:t>
            </w:r>
            <w:r w:rsidR="713E6C5A" w:rsidRPr="40AD8E0A">
              <w:t>Y</w:t>
            </w:r>
            <w:r w:rsidR="2B607859" w:rsidRPr="40AD8E0A">
              <w:t xml:space="preserve">arra </w:t>
            </w:r>
            <w:r w:rsidR="713E6C5A" w:rsidRPr="40AD8E0A">
              <w:t>V</w:t>
            </w:r>
            <w:r w:rsidR="347B2222" w:rsidRPr="40AD8E0A">
              <w:t xml:space="preserve">alley </w:t>
            </w:r>
            <w:r w:rsidR="713E6C5A" w:rsidRPr="40AD8E0A">
              <w:t>W</w:t>
            </w:r>
            <w:r w:rsidR="24D2F14E" w:rsidRPr="40AD8E0A">
              <w:t>ater</w:t>
            </w:r>
            <w:r w:rsidRPr="00DE108C">
              <w:t xml:space="preserve"> and </w:t>
            </w:r>
            <w:r w:rsidR="713E6C5A" w:rsidRPr="40AD8E0A">
              <w:t>G</w:t>
            </w:r>
            <w:r w:rsidR="271C58FC" w:rsidRPr="40AD8E0A">
              <w:t xml:space="preserve">reater </w:t>
            </w:r>
            <w:r w:rsidR="713E6C5A" w:rsidRPr="40AD8E0A">
              <w:t>W</w:t>
            </w:r>
            <w:r w:rsidR="330810C6" w:rsidRPr="40AD8E0A">
              <w:t xml:space="preserve">estern </w:t>
            </w:r>
            <w:r w:rsidR="713E6C5A" w:rsidRPr="40AD8E0A">
              <w:t>W</w:t>
            </w:r>
            <w:r w:rsidR="594E2417" w:rsidRPr="40AD8E0A">
              <w:t>ater</w:t>
            </w:r>
            <w:r w:rsidR="713E6C5A" w:rsidRPr="40AD8E0A">
              <w:t>)</w:t>
            </w:r>
            <w:r w:rsidR="41F103A6" w:rsidRPr="40AD8E0A">
              <w:t>.</w:t>
            </w:r>
          </w:p>
          <w:p w14:paraId="6BECF5AA" w14:textId="4338B829" w:rsidR="00767B75" w:rsidRPr="00DE108C" w:rsidRDefault="713E6C5A" w:rsidP="00034D2E">
            <w:pPr>
              <w:pStyle w:val="Tablebullet2"/>
              <w:keepNext/>
              <w:keepLines/>
            </w:pPr>
            <w:r w:rsidRPr="40AD8E0A">
              <w:t>Unplanned water service interruption (Y</w:t>
            </w:r>
            <w:r w:rsidR="7B1E3B3A" w:rsidRPr="40AD8E0A">
              <w:t xml:space="preserve">arra </w:t>
            </w:r>
            <w:r w:rsidRPr="40AD8E0A">
              <w:t>V</w:t>
            </w:r>
            <w:r w:rsidR="74731D03" w:rsidRPr="40AD8E0A">
              <w:t xml:space="preserve">alley </w:t>
            </w:r>
            <w:r w:rsidRPr="40AD8E0A">
              <w:t>W</w:t>
            </w:r>
            <w:r w:rsidR="4C9B2D11" w:rsidRPr="40AD8E0A">
              <w:t>ater</w:t>
            </w:r>
            <w:r w:rsidRPr="40AD8E0A">
              <w:t>, S</w:t>
            </w:r>
            <w:r w:rsidR="710C13B6" w:rsidRPr="40AD8E0A">
              <w:t xml:space="preserve">outh </w:t>
            </w:r>
            <w:r w:rsidRPr="40AD8E0A">
              <w:t>E</w:t>
            </w:r>
            <w:r w:rsidR="7197CE78" w:rsidRPr="40AD8E0A">
              <w:t xml:space="preserve">ast </w:t>
            </w:r>
            <w:r w:rsidRPr="40AD8E0A">
              <w:t>W</w:t>
            </w:r>
            <w:r w:rsidR="7521163C" w:rsidRPr="40AD8E0A">
              <w:t>ater</w:t>
            </w:r>
            <w:r w:rsidRPr="40AD8E0A">
              <w:t>, G</w:t>
            </w:r>
            <w:r w:rsidR="42E4D6F1" w:rsidRPr="40AD8E0A">
              <w:t xml:space="preserve">reater </w:t>
            </w:r>
            <w:r w:rsidRPr="40AD8E0A">
              <w:t>W</w:t>
            </w:r>
            <w:r w:rsidR="02832B62" w:rsidRPr="40AD8E0A">
              <w:t xml:space="preserve">estern </w:t>
            </w:r>
            <w:r w:rsidRPr="40AD8E0A">
              <w:t>W</w:t>
            </w:r>
            <w:r w:rsidR="210732B4" w:rsidRPr="40AD8E0A">
              <w:t>ater</w:t>
            </w:r>
            <w:r w:rsidRPr="40AD8E0A">
              <w:t>)</w:t>
            </w:r>
            <w:r w:rsidR="510712CE" w:rsidRPr="40AD8E0A">
              <w:t>.</w:t>
            </w:r>
          </w:p>
          <w:p w14:paraId="7C997590" w14:textId="3A44BDE3" w:rsidR="00767B75" w:rsidRPr="00DE108C" w:rsidRDefault="713E6C5A" w:rsidP="00034D2E">
            <w:pPr>
              <w:pStyle w:val="Tablebullet2"/>
              <w:keepNext/>
              <w:keepLines/>
            </w:pPr>
            <w:r w:rsidRPr="40AD8E0A">
              <w:t>Unplanned sewer service interruption (Y</w:t>
            </w:r>
            <w:r w:rsidR="5973E60D" w:rsidRPr="40AD8E0A">
              <w:t xml:space="preserve">arra </w:t>
            </w:r>
            <w:r w:rsidRPr="40AD8E0A">
              <w:t>V</w:t>
            </w:r>
            <w:r w:rsidR="02389601" w:rsidRPr="40AD8E0A">
              <w:t xml:space="preserve">alley </w:t>
            </w:r>
            <w:r w:rsidRPr="40AD8E0A">
              <w:t>W</w:t>
            </w:r>
            <w:r w:rsidR="04677A12" w:rsidRPr="40AD8E0A">
              <w:t>ater</w:t>
            </w:r>
            <w:r w:rsidRPr="40AD8E0A">
              <w:t>, S</w:t>
            </w:r>
            <w:r w:rsidR="367F4209" w:rsidRPr="40AD8E0A">
              <w:t xml:space="preserve">outh </w:t>
            </w:r>
            <w:r w:rsidRPr="40AD8E0A">
              <w:t>E</w:t>
            </w:r>
            <w:r w:rsidR="0EBDEA77" w:rsidRPr="40AD8E0A">
              <w:t xml:space="preserve">ast </w:t>
            </w:r>
            <w:r w:rsidRPr="40AD8E0A">
              <w:t>W</w:t>
            </w:r>
            <w:r w:rsidR="37FB7E56" w:rsidRPr="40AD8E0A">
              <w:t>ater</w:t>
            </w:r>
            <w:r w:rsidRPr="40AD8E0A">
              <w:t>, G</w:t>
            </w:r>
            <w:r w:rsidR="3E4CC412" w:rsidRPr="40AD8E0A">
              <w:t xml:space="preserve">reater </w:t>
            </w:r>
            <w:r w:rsidRPr="40AD8E0A">
              <w:t>W</w:t>
            </w:r>
            <w:r w:rsidR="38D10F41" w:rsidRPr="40AD8E0A">
              <w:t xml:space="preserve">estern </w:t>
            </w:r>
            <w:r w:rsidRPr="40AD8E0A">
              <w:t>W</w:t>
            </w:r>
            <w:r w:rsidR="36198794" w:rsidRPr="40AD8E0A">
              <w:t>ater</w:t>
            </w:r>
            <w:r w:rsidRPr="40AD8E0A">
              <w:t>)</w:t>
            </w:r>
            <w:r w:rsidR="5D30D11F" w:rsidRPr="40AD8E0A">
              <w:t>.</w:t>
            </w:r>
          </w:p>
          <w:p w14:paraId="26400A6D" w14:textId="19CFB3F4" w:rsidR="00767B75" w:rsidRPr="00DE108C" w:rsidRDefault="00767B75" w:rsidP="00034D2E">
            <w:pPr>
              <w:pStyle w:val="Tablebullet2"/>
              <w:keepNext/>
              <w:keepLines/>
            </w:pPr>
            <w:r w:rsidRPr="00DE108C">
              <w:t>Sewer spill caused by system failure (</w:t>
            </w:r>
            <w:r w:rsidR="713E6C5A" w:rsidRPr="40AD8E0A">
              <w:t>Y</w:t>
            </w:r>
            <w:r w:rsidR="0D1A7BFF" w:rsidRPr="40AD8E0A">
              <w:t xml:space="preserve">arra </w:t>
            </w:r>
            <w:r w:rsidR="713E6C5A" w:rsidRPr="40AD8E0A">
              <w:t>V</w:t>
            </w:r>
            <w:r w:rsidR="5C6DFA61" w:rsidRPr="40AD8E0A">
              <w:t xml:space="preserve">alley </w:t>
            </w:r>
            <w:r w:rsidR="713E6C5A" w:rsidRPr="40AD8E0A">
              <w:t>W</w:t>
            </w:r>
            <w:r w:rsidR="61DA3D1B" w:rsidRPr="40AD8E0A">
              <w:t>ater</w:t>
            </w:r>
            <w:r w:rsidR="713E6C5A" w:rsidRPr="40AD8E0A">
              <w:t>, S</w:t>
            </w:r>
            <w:r w:rsidR="6CF55C8D" w:rsidRPr="40AD8E0A">
              <w:t xml:space="preserve">outh </w:t>
            </w:r>
            <w:r w:rsidR="713E6C5A" w:rsidRPr="40AD8E0A">
              <w:t>E</w:t>
            </w:r>
            <w:r w:rsidR="061B47DB" w:rsidRPr="40AD8E0A">
              <w:t xml:space="preserve">ast </w:t>
            </w:r>
            <w:r w:rsidR="713E6C5A" w:rsidRPr="40AD8E0A">
              <w:t>W</w:t>
            </w:r>
            <w:r w:rsidR="061B47DB" w:rsidRPr="40AD8E0A">
              <w:t>ater</w:t>
            </w:r>
            <w:r w:rsidR="713E6C5A" w:rsidRPr="40AD8E0A">
              <w:t>, G</w:t>
            </w:r>
            <w:r w:rsidR="5A151D70" w:rsidRPr="40AD8E0A">
              <w:t xml:space="preserve">reater </w:t>
            </w:r>
            <w:r w:rsidR="713E6C5A" w:rsidRPr="40AD8E0A">
              <w:t>W</w:t>
            </w:r>
            <w:r w:rsidR="1020DE35" w:rsidRPr="40AD8E0A">
              <w:t xml:space="preserve">estern </w:t>
            </w:r>
            <w:r w:rsidR="713E6C5A" w:rsidRPr="40AD8E0A">
              <w:t>W</w:t>
            </w:r>
            <w:r w:rsidR="12867460" w:rsidRPr="40AD8E0A">
              <w:t>ater</w:t>
            </w:r>
            <w:r w:rsidRPr="00DE108C">
              <w:t>).</w:t>
            </w:r>
          </w:p>
          <w:p w14:paraId="01DCCDD8" w14:textId="295FA4C7" w:rsidR="00767B75" w:rsidRPr="00DE108C" w:rsidRDefault="00767B75" w:rsidP="00034D2E">
            <w:pPr>
              <w:pStyle w:val="Tablebullet"/>
              <w:keepNext/>
              <w:keepLines/>
              <w:rPr>
                <w:szCs w:val="16"/>
              </w:rPr>
            </w:pPr>
            <w:r w:rsidRPr="40AD8E0A">
              <w:t xml:space="preserve">For the failure in our network that results in a reimbursement or payment to customers under the new Water Quality </w:t>
            </w:r>
            <w:r w:rsidR="33DF52E1" w:rsidRPr="40AD8E0A">
              <w:t>GSLs</w:t>
            </w:r>
            <w:r w:rsidRPr="40AD8E0A">
              <w:t>, this financial risk is:</w:t>
            </w:r>
          </w:p>
          <w:p w14:paraId="0ED18D92" w14:textId="77777777" w:rsidR="00767B75" w:rsidRPr="00DE108C" w:rsidRDefault="00767B75" w:rsidP="00034D2E">
            <w:pPr>
              <w:pStyle w:val="Tablebullet2"/>
              <w:keepNext/>
              <w:keepLines/>
            </w:pPr>
            <w:r w:rsidRPr="00DE108C">
              <w:t>Reimbursement of bottled water and direct incident related costs under a boiled water notice advisory to each customer under application.</w:t>
            </w:r>
          </w:p>
          <w:p w14:paraId="1830D311" w14:textId="08EA63E7" w:rsidR="00767B75" w:rsidRPr="00DE108C" w:rsidRDefault="00767B75" w:rsidP="00034D2E">
            <w:pPr>
              <w:pStyle w:val="Tablebullet2"/>
              <w:keepNext/>
              <w:keepLines/>
            </w:pPr>
            <w:r w:rsidRPr="00DE108C">
              <w:t xml:space="preserve">A rebate of up to $75 on each end customer bill if </w:t>
            </w:r>
            <w:r w:rsidR="26093CFD" w:rsidRPr="40AD8E0A">
              <w:t xml:space="preserve">the </w:t>
            </w:r>
            <w:r w:rsidRPr="00DE108C">
              <w:t xml:space="preserve">drinking water supplied does not meet the microbial characteristics of health-based drinking water quality standards and Melbourne Water, or a failure in Melbourne Water’s system, caused the non-compliance. Note, this is replacing the existing community rebate. </w:t>
            </w:r>
          </w:p>
        </w:tc>
      </w:tr>
      <w:tr w:rsidR="00767B75" w:rsidRPr="00DE108C" w14:paraId="35FC8A9E" w14:textId="77777777" w:rsidTr="00527D7B">
        <w:tc>
          <w:tcPr>
            <w:tcW w:w="20833" w:type="dxa"/>
            <w:gridSpan w:val="3"/>
            <w:tcBorders>
              <w:top w:val="nil"/>
            </w:tcBorders>
            <w:shd w:val="clear" w:color="auto" w:fill="00428B" w:themeFill="accent1"/>
          </w:tcPr>
          <w:p w14:paraId="292971B9" w14:textId="77777777" w:rsidR="00767B75" w:rsidRPr="00DE108C" w:rsidRDefault="00767B75" w:rsidP="0040607E">
            <w:pPr>
              <w:pStyle w:val="TableHeading"/>
            </w:pPr>
            <w:r w:rsidRPr="00DE108C">
              <w:t>Construction risk</w:t>
            </w:r>
          </w:p>
        </w:tc>
      </w:tr>
      <w:tr w:rsidR="00767B75" w:rsidRPr="00DE108C" w14:paraId="0BC821D9" w14:textId="77777777" w:rsidTr="00AD61F6">
        <w:trPr>
          <w:gridAfter w:val="1"/>
          <w:cnfStyle w:val="000000010000" w:firstRow="0" w:lastRow="0" w:firstColumn="0" w:lastColumn="0" w:oddVBand="0" w:evenVBand="0" w:oddHBand="0" w:evenHBand="1" w:firstRowFirstColumn="0" w:firstRowLastColumn="0" w:lastRowFirstColumn="0" w:lastRowLastColumn="0"/>
          <w:wAfter w:w="8" w:type="dxa"/>
          <w:trHeight w:val="300"/>
        </w:trPr>
        <w:tc>
          <w:tcPr>
            <w:tcW w:w="3681" w:type="dxa"/>
            <w:tcBorders>
              <w:top w:val="nil"/>
            </w:tcBorders>
            <w:shd w:val="clear" w:color="auto" w:fill="002060"/>
          </w:tcPr>
          <w:p w14:paraId="345EA305" w14:textId="77777777" w:rsidR="00767B75" w:rsidRPr="00DE108C" w:rsidRDefault="00767B75" w:rsidP="0040607E">
            <w:pPr>
              <w:pStyle w:val="TableHeading"/>
            </w:pPr>
            <w:r w:rsidRPr="00DE108C">
              <w:t xml:space="preserve">Risk </w:t>
            </w:r>
          </w:p>
        </w:tc>
        <w:tc>
          <w:tcPr>
            <w:tcW w:w="17152" w:type="dxa"/>
            <w:tcBorders>
              <w:top w:val="nil"/>
            </w:tcBorders>
            <w:shd w:val="clear" w:color="auto" w:fill="002060"/>
          </w:tcPr>
          <w:p w14:paraId="2DA0C591" w14:textId="77777777" w:rsidR="00767B75" w:rsidRPr="00DE108C" w:rsidRDefault="00767B75" w:rsidP="0040607E">
            <w:pPr>
              <w:pStyle w:val="TableHeading"/>
            </w:pPr>
            <w:r w:rsidRPr="00DE108C">
              <w:t>Risk allocation</w:t>
            </w:r>
          </w:p>
        </w:tc>
      </w:tr>
      <w:tr w:rsidR="00767B75" w:rsidRPr="00DE108C" w14:paraId="45A0885E" w14:textId="77777777" w:rsidTr="00AD61F6">
        <w:trPr>
          <w:gridAfter w:val="1"/>
          <w:wAfter w:w="8" w:type="dxa"/>
        </w:trPr>
        <w:tc>
          <w:tcPr>
            <w:tcW w:w="3681" w:type="dxa"/>
            <w:tcBorders>
              <w:bottom w:val="single" w:sz="4" w:space="0" w:color="231F20" w:themeColor="text1"/>
            </w:tcBorders>
          </w:tcPr>
          <w:p w14:paraId="17C730F7" w14:textId="77777777" w:rsidR="00767B75" w:rsidRPr="00DE108C" w:rsidRDefault="00767B75" w:rsidP="00106026">
            <w:pPr>
              <w:pStyle w:val="TableText"/>
              <w:rPr>
                <w:b/>
                <w:szCs w:val="16"/>
              </w:rPr>
            </w:pPr>
            <w:r w:rsidRPr="00DE108C">
              <w:t xml:space="preserve">Construction risks, such as underestimated costs, project delays, and challenges in delivering an expanding capital program, are key considerations in this proposal. Water businesses manage these risks through precise forecasting, robust contract management, and the inclusion of contingency allowances in cost estimates. By incorporating cost contingencies into water revenue allowances, the financial burden of potential project overruns is transferred to customers. </w:t>
            </w:r>
          </w:p>
          <w:p w14:paraId="4FAE30DF" w14:textId="77777777" w:rsidR="00767B75" w:rsidRPr="00DE108C" w:rsidRDefault="00767B75" w:rsidP="00106026">
            <w:pPr>
              <w:pStyle w:val="TableText"/>
              <w:rPr>
                <w:b/>
                <w:bCs/>
              </w:rPr>
            </w:pPr>
            <w:r w:rsidRPr="00DE108C">
              <w:rPr>
                <w:bCs/>
              </w:rPr>
              <w:t>Melbourne Water has instead chosen to accept this financial risk by excluding general cost contingencies from our revenue proposal, ensuring customers are not exposed to uncertain construction outcomes.</w:t>
            </w:r>
          </w:p>
        </w:tc>
        <w:tc>
          <w:tcPr>
            <w:tcW w:w="17152" w:type="dxa"/>
            <w:tcBorders>
              <w:bottom w:val="single" w:sz="4" w:space="0" w:color="231F20" w:themeColor="text1"/>
            </w:tcBorders>
          </w:tcPr>
          <w:p w14:paraId="6895BD3E" w14:textId="0B3CDE57" w:rsidR="00767B75" w:rsidRPr="00DE108C" w:rsidRDefault="00767B75">
            <w:pPr>
              <w:rPr>
                <w:b/>
                <w:sz w:val="16"/>
                <w:szCs w:val="16"/>
              </w:rPr>
            </w:pPr>
            <w:r w:rsidRPr="00DE108C">
              <w:rPr>
                <w:sz w:val="16"/>
                <w:szCs w:val="16"/>
              </w:rPr>
              <w:t>Melbourne Water proposes to share construction cost</w:t>
            </w:r>
            <w:r w:rsidR="00106026">
              <w:rPr>
                <w:sz w:val="16"/>
                <w:szCs w:val="16"/>
              </w:rPr>
              <w:t>s</w:t>
            </w:r>
            <w:r w:rsidRPr="00DE108C">
              <w:rPr>
                <w:sz w:val="16"/>
                <w:szCs w:val="16"/>
              </w:rPr>
              <w:t xml:space="preserve"> and delivery risks with its customers.</w:t>
            </w:r>
          </w:p>
          <w:p w14:paraId="5389D262" w14:textId="77777777" w:rsidR="00767B75" w:rsidRPr="00DE108C" w:rsidRDefault="00767B75">
            <w:pPr>
              <w:rPr>
                <w:b/>
                <w:sz w:val="16"/>
                <w:szCs w:val="16"/>
              </w:rPr>
            </w:pPr>
            <w:r w:rsidRPr="00DE108C">
              <w:rPr>
                <w:sz w:val="16"/>
                <w:szCs w:val="16"/>
              </w:rPr>
              <w:t>When customers would pay during the regulatory period:</w:t>
            </w:r>
          </w:p>
          <w:p w14:paraId="6958D1CA" w14:textId="00A7F03D" w:rsidR="00767B75" w:rsidRPr="00DE108C" w:rsidRDefault="00767B75" w:rsidP="000178CC">
            <w:pPr>
              <w:pStyle w:val="Tablebullet"/>
            </w:pPr>
            <w:r w:rsidRPr="00DE108C">
              <w:t>Projects and programs with a high degree of confidence in cost and timing, supported by business case analysis and Melbourne Water’s Risk Adjusted Nominal Estimate (RANE), which applies Monte Carlo simulation to forecast anticipated P50 costs.</w:t>
            </w:r>
          </w:p>
          <w:p w14:paraId="0F752A92" w14:textId="77777777" w:rsidR="00767B75" w:rsidRPr="00DE108C" w:rsidRDefault="00767B75" w:rsidP="000178CC">
            <w:pPr>
              <w:pStyle w:val="Tablebullet"/>
            </w:pPr>
            <w:r w:rsidRPr="00DE108C">
              <w:t>Prudent and efficient costs associated with meeting regulatory and legislative obligations, with capital program delivery smoothed over time but targeted for earlier uplift where feasible.</w:t>
            </w:r>
          </w:p>
          <w:p w14:paraId="1CEEE401" w14:textId="77777777" w:rsidR="00767B75" w:rsidRPr="00DE108C" w:rsidRDefault="00767B75" w:rsidP="000178CC">
            <w:pPr>
              <w:pStyle w:val="Tablebullet"/>
            </w:pPr>
            <w:r w:rsidRPr="00DE108C">
              <w:t>Development-related expenditure included only for projects deemed prudent, where the preferred investment option and precise timing remain under refinement.</w:t>
            </w:r>
          </w:p>
          <w:p w14:paraId="13ADC059" w14:textId="1BC673C4" w:rsidR="00767B75" w:rsidRPr="00DE108C" w:rsidRDefault="003D7343" w:rsidP="000178CC">
            <w:pPr>
              <w:pStyle w:val="Tablebullet"/>
            </w:pPr>
            <w:r>
              <w:t>N</w:t>
            </w:r>
            <w:r w:rsidR="00767B75" w:rsidRPr="00DE108C">
              <w:t xml:space="preserve">ecessary project managers </w:t>
            </w:r>
            <w:r w:rsidR="009D4908">
              <w:t xml:space="preserve">to deliver the capital program </w:t>
            </w:r>
            <w:r>
              <w:t xml:space="preserve">being incorporated </w:t>
            </w:r>
            <w:r w:rsidR="00767B75" w:rsidRPr="00DE108C">
              <w:t xml:space="preserve">into its </w:t>
            </w:r>
            <w:r w:rsidR="009D4908">
              <w:t xml:space="preserve">capital and operating </w:t>
            </w:r>
            <w:r w:rsidR="00767B75" w:rsidRPr="00DE108C">
              <w:t>labour forecast (8</w:t>
            </w:r>
            <w:r w:rsidR="00E95ECD" w:rsidRPr="00DE108C">
              <w:t>5</w:t>
            </w:r>
            <w:r w:rsidR="00767B75" w:rsidRPr="00DE108C">
              <w:t xml:space="preserve"> per cent capitalised).</w:t>
            </w:r>
          </w:p>
          <w:p w14:paraId="0BB8E2D6" w14:textId="77777777" w:rsidR="00767B75" w:rsidRPr="00DE108C" w:rsidRDefault="00767B75">
            <w:pPr>
              <w:rPr>
                <w:b/>
                <w:sz w:val="16"/>
                <w:szCs w:val="16"/>
              </w:rPr>
            </w:pPr>
            <w:r w:rsidRPr="00DE108C">
              <w:rPr>
                <w:sz w:val="16"/>
                <w:szCs w:val="16"/>
              </w:rPr>
              <w:t>When we would accept financial risk during the regulatory period:</w:t>
            </w:r>
          </w:p>
          <w:p w14:paraId="4EE2F0AD" w14:textId="04AE0F5B" w:rsidR="00767B75" w:rsidRPr="00DE108C" w:rsidRDefault="00767B75" w:rsidP="000178CC">
            <w:pPr>
              <w:pStyle w:val="Tablebullet"/>
            </w:pPr>
            <w:r w:rsidRPr="00DE108C">
              <w:t>Progress development of prudent infrastructure projects during the 2026–31 regulatory period without pricing them in for delivery, taking on the financial risk of proving their efficiency and prudency in future reviews</w:t>
            </w:r>
            <w:r w:rsidR="621C5901" w:rsidRPr="40AD8E0A">
              <w:t xml:space="preserve"> </w:t>
            </w:r>
            <w:r w:rsidR="713E6C5A" w:rsidRPr="40AD8E0A">
              <w:t>—</w:t>
            </w:r>
            <w:r w:rsidR="4029F751" w:rsidRPr="40AD8E0A">
              <w:t xml:space="preserve"> </w:t>
            </w:r>
            <w:r w:rsidRPr="00DE108C">
              <w:t>ensuring customers are not exposed to cost or timing uncertainties upfront</w:t>
            </w:r>
            <w:r w:rsidR="00166BA2">
              <w:t>, and any asset transfers arising from Bulk Supply Agreement modernisation</w:t>
            </w:r>
            <w:r w:rsidRPr="00DE108C">
              <w:t>.</w:t>
            </w:r>
          </w:p>
          <w:p w14:paraId="7337FAE1" w14:textId="6064206A" w:rsidR="00767B75" w:rsidRPr="00DE108C" w:rsidRDefault="00767B75" w:rsidP="000178CC">
            <w:pPr>
              <w:pStyle w:val="Tablebullet"/>
            </w:pPr>
            <w:r w:rsidRPr="00DE108C">
              <w:t>Delivery timelines or project costs exceed forecasts despite our strengthened delivery capacity and shared risk arrangements</w:t>
            </w:r>
            <w:r w:rsidR="57F36ABE" w:rsidRPr="40AD8E0A">
              <w:t xml:space="preserve"> </w:t>
            </w:r>
            <w:r w:rsidR="713E6C5A" w:rsidRPr="40AD8E0A">
              <w:t>—</w:t>
            </w:r>
            <w:r w:rsidR="026D0B3E" w:rsidRPr="40AD8E0A">
              <w:t xml:space="preserve"> </w:t>
            </w:r>
            <w:r w:rsidRPr="00DE108C">
              <w:t>ensuring customers are not burdened with unforeseen costs arising from execution challenges during the 2026–31 regulatory period.</w:t>
            </w:r>
          </w:p>
        </w:tc>
      </w:tr>
      <w:tr w:rsidR="00767B75" w:rsidRPr="00DE108C" w14:paraId="1AC5D823" w14:textId="77777777" w:rsidTr="00527D7B">
        <w:trPr>
          <w:cnfStyle w:val="000000010000" w:firstRow="0" w:lastRow="0" w:firstColumn="0" w:lastColumn="0" w:oddVBand="0" w:evenVBand="0" w:oddHBand="0" w:evenHBand="1" w:firstRowFirstColumn="0" w:firstRowLastColumn="0" w:lastRowFirstColumn="0" w:lastRowLastColumn="0"/>
        </w:trPr>
        <w:tc>
          <w:tcPr>
            <w:tcW w:w="20833" w:type="dxa"/>
            <w:gridSpan w:val="3"/>
            <w:tcBorders>
              <w:top w:val="nil"/>
            </w:tcBorders>
            <w:shd w:val="clear" w:color="auto" w:fill="00428B" w:themeFill="accent1"/>
          </w:tcPr>
          <w:p w14:paraId="3A9C5717" w14:textId="77777777" w:rsidR="00767B75" w:rsidRPr="00DE108C" w:rsidRDefault="00767B75" w:rsidP="00AD61F6">
            <w:pPr>
              <w:pStyle w:val="TableHeading"/>
              <w:keepNext/>
              <w:keepLines/>
            </w:pPr>
            <w:r w:rsidRPr="00DE108C">
              <w:lastRenderedPageBreak/>
              <w:t>Regulatory and policy risks</w:t>
            </w:r>
          </w:p>
        </w:tc>
      </w:tr>
      <w:tr w:rsidR="00767B75" w:rsidRPr="00DE108C" w14:paraId="47F4D6D2" w14:textId="77777777" w:rsidTr="00AD61F6">
        <w:trPr>
          <w:gridAfter w:val="1"/>
          <w:wAfter w:w="8" w:type="dxa"/>
          <w:trHeight w:val="300"/>
        </w:trPr>
        <w:tc>
          <w:tcPr>
            <w:tcW w:w="3681" w:type="dxa"/>
            <w:tcBorders>
              <w:bottom w:val="single" w:sz="4" w:space="0" w:color="231F20" w:themeColor="text1"/>
            </w:tcBorders>
            <w:shd w:val="clear" w:color="auto" w:fill="002060"/>
          </w:tcPr>
          <w:p w14:paraId="330174D5" w14:textId="77777777" w:rsidR="00767B75" w:rsidRPr="00DE108C" w:rsidRDefault="00767B75" w:rsidP="00AD61F6">
            <w:pPr>
              <w:pStyle w:val="TableHeading"/>
              <w:keepNext/>
              <w:keepLines/>
            </w:pPr>
            <w:r w:rsidRPr="00DE108C">
              <w:t xml:space="preserve">Risk </w:t>
            </w:r>
          </w:p>
        </w:tc>
        <w:tc>
          <w:tcPr>
            <w:tcW w:w="17152" w:type="dxa"/>
            <w:tcBorders>
              <w:bottom w:val="single" w:sz="4" w:space="0" w:color="231F20" w:themeColor="text1"/>
            </w:tcBorders>
            <w:shd w:val="clear" w:color="auto" w:fill="002060"/>
          </w:tcPr>
          <w:p w14:paraId="59EBD91B" w14:textId="77777777" w:rsidR="00767B75" w:rsidRPr="00DE108C" w:rsidRDefault="00767B75" w:rsidP="0040607E">
            <w:pPr>
              <w:pStyle w:val="TableHeading"/>
            </w:pPr>
            <w:r w:rsidRPr="00DE108C">
              <w:t>Risk allocation</w:t>
            </w:r>
          </w:p>
        </w:tc>
      </w:tr>
      <w:tr w:rsidR="00087FD3" w:rsidRPr="00DE108C" w14:paraId="7A018B5D" w14:textId="77777777" w:rsidTr="00AD61F6">
        <w:trPr>
          <w:gridAfter w:val="1"/>
          <w:cnfStyle w:val="000000010000" w:firstRow="0" w:lastRow="0" w:firstColumn="0" w:lastColumn="0" w:oddVBand="0" w:evenVBand="0" w:oddHBand="0" w:evenHBand="1" w:firstRowFirstColumn="0" w:firstRowLastColumn="0" w:lastRowFirstColumn="0" w:lastRowLastColumn="0"/>
          <w:wAfter w:w="8" w:type="dxa"/>
        </w:trPr>
        <w:tc>
          <w:tcPr>
            <w:tcW w:w="3681" w:type="dxa"/>
            <w:tcBorders>
              <w:bottom w:val="single" w:sz="4" w:space="0" w:color="231F20" w:themeColor="text1"/>
            </w:tcBorders>
            <w:vAlign w:val="center"/>
          </w:tcPr>
          <w:p w14:paraId="16E2135A" w14:textId="77777777" w:rsidR="00767B75" w:rsidRPr="00106026" w:rsidRDefault="00767B75" w:rsidP="00AD61F6">
            <w:pPr>
              <w:pStyle w:val="TableText"/>
              <w:keepNext/>
              <w:keepLines/>
              <w:rPr>
                <w:b/>
                <w:szCs w:val="16"/>
              </w:rPr>
            </w:pPr>
            <w:r w:rsidRPr="00106026">
              <w:t xml:space="preserve">Regulatory and policy risks stem from changes in legislation or regulations that significantly impact a water business’s costs or revenue potential. These risks are typically managed through pass-through mechanisms, which allow affected costs to be recovered from customers. </w:t>
            </w:r>
          </w:p>
          <w:p w14:paraId="7A0D2E19" w14:textId="77777777" w:rsidR="00767B75" w:rsidRPr="00106026" w:rsidRDefault="00767B75" w:rsidP="00AD61F6">
            <w:pPr>
              <w:pStyle w:val="TableText"/>
              <w:keepNext/>
              <w:keepLines/>
            </w:pPr>
            <w:r w:rsidRPr="00106026">
              <w:t>Melbourne Water supports the continued use of these mechanisms and actively monitors regulatory developments to ensure timely and transparent engagement with stakeholders when such risks arise.</w:t>
            </w:r>
          </w:p>
        </w:tc>
        <w:tc>
          <w:tcPr>
            <w:tcW w:w="17152" w:type="dxa"/>
            <w:tcBorders>
              <w:bottom w:val="single" w:sz="4" w:space="0" w:color="231F20" w:themeColor="text1"/>
            </w:tcBorders>
          </w:tcPr>
          <w:p w14:paraId="66AE5D15" w14:textId="203B7303" w:rsidR="00767B75" w:rsidRPr="00DE108C" w:rsidRDefault="00767B75">
            <w:pPr>
              <w:rPr>
                <w:b/>
                <w:sz w:val="16"/>
                <w:szCs w:val="16"/>
              </w:rPr>
            </w:pPr>
            <w:r w:rsidRPr="00DE108C">
              <w:rPr>
                <w:sz w:val="16"/>
                <w:szCs w:val="16"/>
              </w:rPr>
              <w:t>Melbourne Water proposes to share regulatory and policy risks with its customers.</w:t>
            </w:r>
          </w:p>
          <w:p w14:paraId="4A35CCF7" w14:textId="77777777" w:rsidR="00767B75" w:rsidRPr="00DE108C" w:rsidRDefault="00767B75">
            <w:pPr>
              <w:rPr>
                <w:b/>
                <w:sz w:val="16"/>
                <w:szCs w:val="16"/>
              </w:rPr>
            </w:pPr>
            <w:r w:rsidRPr="00DE108C">
              <w:rPr>
                <w:sz w:val="16"/>
                <w:szCs w:val="16"/>
              </w:rPr>
              <w:t>When customers would pay during the regulatory period:</w:t>
            </w:r>
          </w:p>
          <w:p w14:paraId="0D04ED82" w14:textId="77777777" w:rsidR="00767B75" w:rsidRPr="00DE108C" w:rsidRDefault="00767B75" w:rsidP="000178CC">
            <w:pPr>
              <w:pStyle w:val="Tablebullet"/>
            </w:pPr>
            <w:r w:rsidRPr="00DE108C">
              <w:t>Prudent and efficient costs required to comply with current regulatory and legislative obligations, including operating licences for Melbourne Water’s sewage treatment plants.</w:t>
            </w:r>
          </w:p>
          <w:p w14:paraId="11185C89" w14:textId="77777777" w:rsidR="00767B75" w:rsidRPr="00DE108C" w:rsidRDefault="00767B75" w:rsidP="000178CC">
            <w:pPr>
              <w:pStyle w:val="Tablebullet"/>
            </w:pPr>
            <w:r w:rsidRPr="00DE108C">
              <w:t>Prudent and efficient expenditure necessary to meet existing government policy directives.</w:t>
            </w:r>
          </w:p>
          <w:p w14:paraId="6EA2B21B" w14:textId="77777777" w:rsidR="00767B75" w:rsidRPr="00DE108C" w:rsidRDefault="00767B75" w:rsidP="000178CC">
            <w:pPr>
              <w:pStyle w:val="Tablebullet"/>
            </w:pPr>
            <w:r w:rsidRPr="00DE108C">
              <w:t>Reasonable costs associated with implementing technologies that safeguard critical infrastructure and information systems against cyber threats.</w:t>
            </w:r>
          </w:p>
          <w:p w14:paraId="7297BACE" w14:textId="77777777" w:rsidR="00767B75" w:rsidRPr="00DE108C" w:rsidRDefault="00767B75">
            <w:pPr>
              <w:rPr>
                <w:b/>
                <w:sz w:val="16"/>
                <w:szCs w:val="16"/>
              </w:rPr>
            </w:pPr>
            <w:r w:rsidRPr="00DE108C">
              <w:rPr>
                <w:sz w:val="16"/>
                <w:szCs w:val="16"/>
              </w:rPr>
              <w:t>When we would accept financial risk during the regulatory period:</w:t>
            </w:r>
          </w:p>
          <w:p w14:paraId="41E65A8F" w14:textId="77777777" w:rsidR="00767B75" w:rsidRPr="00DE108C" w:rsidRDefault="00767B75" w:rsidP="005217F0">
            <w:pPr>
              <w:pStyle w:val="Tablebullet"/>
            </w:pPr>
            <w:r w:rsidRPr="00DE108C">
              <w:t xml:space="preserve">Unconfirmed changes in regulatory obligations or perceived change in risk of posture of regulators, such as changes in cyber security requirements as was experienced in the 2021-26 regulatory period. </w:t>
            </w:r>
          </w:p>
          <w:p w14:paraId="5C13ADDB" w14:textId="09D45107" w:rsidR="00767B75" w:rsidRPr="00AD61F6" w:rsidRDefault="00767B75" w:rsidP="00AD61F6">
            <w:pPr>
              <w:pStyle w:val="Tablebullet"/>
            </w:pPr>
            <w:r w:rsidRPr="00DE108C">
              <w:t>Changes to forecasts (both demand and costs) during the proposed five-year regulatory period</w:t>
            </w:r>
            <w:r w:rsidR="185EC945" w:rsidRPr="40AD8E0A">
              <w:t>,</w:t>
            </w:r>
            <w:r w:rsidRPr="00DE108C">
              <w:t xml:space="preserve"> including </w:t>
            </w:r>
            <w:r w:rsidR="2749E9A2" w:rsidRPr="00DE108C">
              <w:t xml:space="preserve">costs of potential new supplies to </w:t>
            </w:r>
            <w:r w:rsidRPr="00DE108C">
              <w:t>data centre</w:t>
            </w:r>
            <w:r w:rsidR="58D72C53" w:rsidRPr="00DE108C">
              <w:t>s</w:t>
            </w:r>
            <w:r w:rsidRPr="00DE108C">
              <w:t xml:space="preserve"> and how it can be recovered from users.</w:t>
            </w:r>
          </w:p>
        </w:tc>
      </w:tr>
      <w:tr w:rsidR="00767B75" w:rsidRPr="00DE108C" w14:paraId="18E5BF3E" w14:textId="77777777" w:rsidTr="00527D7B">
        <w:tc>
          <w:tcPr>
            <w:tcW w:w="20833" w:type="dxa"/>
            <w:gridSpan w:val="3"/>
            <w:tcBorders>
              <w:top w:val="nil"/>
            </w:tcBorders>
            <w:shd w:val="clear" w:color="auto" w:fill="00428B" w:themeFill="accent1"/>
          </w:tcPr>
          <w:p w14:paraId="284C79B4" w14:textId="77777777" w:rsidR="00767B75" w:rsidRPr="00DE108C" w:rsidRDefault="00767B75" w:rsidP="0040607E">
            <w:pPr>
              <w:pStyle w:val="TableHeading"/>
              <w:rPr>
                <w:bCs/>
              </w:rPr>
            </w:pPr>
            <w:r w:rsidRPr="00DE108C">
              <w:t>Financial risks</w:t>
            </w:r>
            <w:r w:rsidRPr="00DE108C">
              <w:rPr>
                <w:bCs/>
              </w:rPr>
              <w:t xml:space="preserve"> </w:t>
            </w:r>
          </w:p>
        </w:tc>
      </w:tr>
      <w:tr w:rsidR="00767B75" w:rsidRPr="00DE108C" w14:paraId="17F3A46C" w14:textId="77777777" w:rsidTr="00AD61F6">
        <w:trPr>
          <w:gridAfter w:val="1"/>
          <w:cnfStyle w:val="000000010000" w:firstRow="0" w:lastRow="0" w:firstColumn="0" w:lastColumn="0" w:oddVBand="0" w:evenVBand="0" w:oddHBand="0" w:evenHBand="1" w:firstRowFirstColumn="0" w:firstRowLastColumn="0" w:lastRowFirstColumn="0" w:lastRowLastColumn="0"/>
          <w:wAfter w:w="8" w:type="dxa"/>
          <w:trHeight w:val="300"/>
        </w:trPr>
        <w:tc>
          <w:tcPr>
            <w:tcW w:w="3681" w:type="dxa"/>
            <w:tcBorders>
              <w:bottom w:val="single" w:sz="4" w:space="0" w:color="231F20" w:themeColor="text1"/>
            </w:tcBorders>
            <w:shd w:val="clear" w:color="auto" w:fill="002060"/>
          </w:tcPr>
          <w:p w14:paraId="40E660A0" w14:textId="77777777" w:rsidR="00767B75" w:rsidRPr="00DE108C" w:rsidRDefault="00767B75" w:rsidP="0040607E">
            <w:pPr>
              <w:pStyle w:val="TableHeading"/>
            </w:pPr>
            <w:r w:rsidRPr="00DE108C">
              <w:t xml:space="preserve">Risk </w:t>
            </w:r>
          </w:p>
        </w:tc>
        <w:tc>
          <w:tcPr>
            <w:tcW w:w="17152" w:type="dxa"/>
            <w:tcBorders>
              <w:bottom w:val="single" w:sz="4" w:space="0" w:color="231F20" w:themeColor="text1"/>
            </w:tcBorders>
            <w:shd w:val="clear" w:color="auto" w:fill="002060"/>
          </w:tcPr>
          <w:p w14:paraId="6115AF51" w14:textId="77777777" w:rsidR="00767B75" w:rsidRPr="00DE108C" w:rsidRDefault="00767B75" w:rsidP="0040607E">
            <w:pPr>
              <w:pStyle w:val="TableHeading"/>
            </w:pPr>
            <w:r w:rsidRPr="00DE108C">
              <w:t>Risk allocation</w:t>
            </w:r>
          </w:p>
        </w:tc>
      </w:tr>
      <w:tr w:rsidR="00767B75" w:rsidRPr="00DE108C" w14:paraId="4ACA102B" w14:textId="77777777" w:rsidTr="00AD61F6">
        <w:trPr>
          <w:gridAfter w:val="1"/>
          <w:wAfter w:w="8" w:type="dxa"/>
        </w:trPr>
        <w:tc>
          <w:tcPr>
            <w:tcW w:w="3681" w:type="dxa"/>
            <w:tcBorders>
              <w:bottom w:val="single" w:sz="4" w:space="0" w:color="231F20" w:themeColor="text1"/>
            </w:tcBorders>
          </w:tcPr>
          <w:p w14:paraId="78F78F95" w14:textId="77777777" w:rsidR="00767B75" w:rsidRPr="00DE108C" w:rsidRDefault="00767B75" w:rsidP="00106026">
            <w:pPr>
              <w:pStyle w:val="TableText"/>
              <w:rPr>
                <w:b/>
                <w:szCs w:val="16"/>
              </w:rPr>
            </w:pPr>
            <w:r w:rsidRPr="00DE108C">
              <w:t>Financial and economic risks are caused by broad market factors such as rising interest rates or economic downturns. These risks are accounted for in the cost of debt, which is included in the calculation of the regulatory rate of return.</w:t>
            </w:r>
          </w:p>
          <w:p w14:paraId="4C4C4ADA" w14:textId="77777777" w:rsidR="00767B75" w:rsidRPr="00DE108C" w:rsidRDefault="00767B75" w:rsidP="00106026">
            <w:pPr>
              <w:pStyle w:val="TableText"/>
              <w:rPr>
                <w:b/>
              </w:rPr>
            </w:pPr>
            <w:r w:rsidRPr="00DE108C">
              <w:t>Melbourne Water manages these risks by aligning its financing strategy with regulatory settings and maintaining prudent debt management practices to ensure long-term financial sustainability.</w:t>
            </w:r>
          </w:p>
        </w:tc>
        <w:tc>
          <w:tcPr>
            <w:tcW w:w="17152" w:type="dxa"/>
            <w:tcBorders>
              <w:bottom w:val="single" w:sz="4" w:space="0" w:color="231F20" w:themeColor="text1"/>
            </w:tcBorders>
          </w:tcPr>
          <w:p w14:paraId="25E073A0" w14:textId="2ED17FC6" w:rsidR="00767B75" w:rsidRPr="00DE108C" w:rsidRDefault="00767B75">
            <w:pPr>
              <w:rPr>
                <w:b/>
                <w:sz w:val="16"/>
                <w:szCs w:val="16"/>
              </w:rPr>
            </w:pPr>
            <w:r w:rsidRPr="00DE108C">
              <w:rPr>
                <w:sz w:val="16"/>
                <w:szCs w:val="16"/>
              </w:rPr>
              <w:t>Melbourne Water proposes to share regulatory and policy risks with its customers.</w:t>
            </w:r>
          </w:p>
          <w:p w14:paraId="2EC08037" w14:textId="77777777" w:rsidR="00767B75" w:rsidRPr="00DE108C" w:rsidRDefault="00767B75">
            <w:pPr>
              <w:rPr>
                <w:b/>
                <w:sz w:val="16"/>
                <w:szCs w:val="16"/>
              </w:rPr>
            </w:pPr>
            <w:r w:rsidRPr="00DE108C">
              <w:rPr>
                <w:sz w:val="16"/>
                <w:szCs w:val="16"/>
              </w:rPr>
              <w:t>When customers would pay during the regulatory period:</w:t>
            </w:r>
          </w:p>
          <w:p w14:paraId="2A039593" w14:textId="77777777" w:rsidR="00767B75" w:rsidRPr="00061DDA" w:rsidRDefault="00767B75" w:rsidP="005217F0">
            <w:pPr>
              <w:pStyle w:val="Tablebullet"/>
            </w:pPr>
            <w:r w:rsidRPr="00061DDA">
              <w:t xml:space="preserve">Current and any changes in the financing costs for benchmark debt through the annual cost of debt update to prices. </w:t>
            </w:r>
          </w:p>
          <w:p w14:paraId="668DE8D7" w14:textId="77777777" w:rsidR="00767B75" w:rsidRPr="00061DDA" w:rsidRDefault="00767B75" w:rsidP="005217F0">
            <w:pPr>
              <w:pStyle w:val="Tablebullet"/>
            </w:pPr>
            <w:r w:rsidRPr="00061DDA">
              <w:t xml:space="preserve">Changes to inflation and passed through the annual tariff approval process. </w:t>
            </w:r>
          </w:p>
          <w:p w14:paraId="6D2A6209" w14:textId="25275319" w:rsidR="00767B75" w:rsidRPr="00061DDA" w:rsidRDefault="00767B75" w:rsidP="005217F0">
            <w:pPr>
              <w:pStyle w:val="Tablebullet"/>
            </w:pPr>
            <w:r w:rsidRPr="00061DDA">
              <w:t>Pass</w:t>
            </w:r>
            <w:r w:rsidR="006A496E">
              <w:t>-</w:t>
            </w:r>
            <w:r w:rsidRPr="00061DDA">
              <w:t xml:space="preserve">through of changes in the contract costs associated with the Victorian Desalination Project. </w:t>
            </w:r>
          </w:p>
          <w:p w14:paraId="0DFFDC9F" w14:textId="77777777" w:rsidR="00767B75" w:rsidRPr="00DE108C" w:rsidRDefault="00767B75">
            <w:pPr>
              <w:rPr>
                <w:b/>
                <w:sz w:val="16"/>
                <w:szCs w:val="16"/>
              </w:rPr>
            </w:pPr>
            <w:r w:rsidRPr="00DE108C">
              <w:rPr>
                <w:sz w:val="16"/>
                <w:szCs w:val="16"/>
              </w:rPr>
              <w:t>When we would accept financial risk during the regulatory period:</w:t>
            </w:r>
          </w:p>
          <w:p w14:paraId="2BBF823A" w14:textId="053DE4EE" w:rsidR="00767B75" w:rsidRPr="00061DDA" w:rsidRDefault="00767B75" w:rsidP="005217F0">
            <w:pPr>
              <w:pStyle w:val="Tablebullet"/>
            </w:pPr>
            <w:r w:rsidRPr="00061DDA">
              <w:t>Decisions made to exceed regulatory benchmark expenditure allowances, or any bring-forward of regulatory benchmark expenditure allowances within the regulatory period</w:t>
            </w:r>
            <w:r w:rsidR="00687423" w:rsidRPr="00061DDA">
              <w:t>, including if assets are transferred</w:t>
            </w:r>
            <w:r w:rsidR="00881150" w:rsidRPr="00061DDA">
              <w:t xml:space="preserve"> between water corporations during the regulatory period as an outcome of the </w:t>
            </w:r>
            <w:r w:rsidR="00ED657E">
              <w:t>B</w:t>
            </w:r>
            <w:r w:rsidR="00881150" w:rsidRPr="00061DDA">
              <w:t xml:space="preserve">ulk </w:t>
            </w:r>
            <w:r w:rsidR="00ED657E">
              <w:t>S</w:t>
            </w:r>
            <w:r w:rsidR="00881150" w:rsidRPr="00061DDA">
              <w:t xml:space="preserve">upply </w:t>
            </w:r>
            <w:r w:rsidR="00ED657E">
              <w:t>A</w:t>
            </w:r>
            <w:r w:rsidR="00881150" w:rsidRPr="00061DDA">
              <w:t>greement modernisation</w:t>
            </w:r>
            <w:r w:rsidRPr="00061DDA">
              <w:t xml:space="preserve">. </w:t>
            </w:r>
          </w:p>
          <w:p w14:paraId="6CF3A2F7" w14:textId="663207ED" w:rsidR="00767B75" w:rsidRPr="00061DDA" w:rsidRDefault="00767B75" w:rsidP="005217F0">
            <w:pPr>
              <w:pStyle w:val="Tablebullet"/>
            </w:pPr>
            <w:r w:rsidRPr="00061DDA">
              <w:t xml:space="preserve">Capitalisation of </w:t>
            </w:r>
            <w:r w:rsidR="3485726A" w:rsidRPr="00061DDA">
              <w:t>opex</w:t>
            </w:r>
            <w:r w:rsidRPr="00061DDA">
              <w:t xml:space="preserve"> that provides a benefit to customers beyond the regulatory period resulting in increased financing costs to Melbourne Water.</w:t>
            </w:r>
          </w:p>
          <w:p w14:paraId="59BFCAE6" w14:textId="2D771614" w:rsidR="00767B75" w:rsidRPr="00061DDA" w:rsidRDefault="00767B75" w:rsidP="005217F0">
            <w:pPr>
              <w:pStyle w:val="Tablebullet"/>
              <w:rPr>
                <w:b/>
              </w:rPr>
            </w:pPr>
            <w:r w:rsidRPr="00061DDA">
              <w:t xml:space="preserve">Financing costs associated with changes in land development activities in </w:t>
            </w:r>
            <w:r w:rsidR="66F43E93" w:rsidRPr="00061DDA">
              <w:t xml:space="preserve">the </w:t>
            </w:r>
            <w:r w:rsidR="00FB4197">
              <w:t>Develop</w:t>
            </w:r>
            <w:r w:rsidR="00336397">
              <w:t>ment</w:t>
            </w:r>
            <w:r w:rsidRPr="00061DDA">
              <w:t xml:space="preserve"> Services Scheme. </w:t>
            </w:r>
          </w:p>
          <w:p w14:paraId="2DD7CC6C" w14:textId="77777777" w:rsidR="00767B75" w:rsidRPr="00DE108C" w:rsidRDefault="00767B75" w:rsidP="005217F0">
            <w:pPr>
              <w:pStyle w:val="Tablebullet"/>
              <w:rPr>
                <w:b/>
                <w:bCs/>
              </w:rPr>
            </w:pPr>
            <w:r w:rsidRPr="00061DDA">
              <w:t xml:space="preserve">Financing costs associated with above determination spend in 2025-26 that will be rolled into the Regulatory Asset Base for prices commencing 1 July 2031. </w:t>
            </w:r>
          </w:p>
        </w:tc>
      </w:tr>
      <w:tr w:rsidR="00767B75" w:rsidRPr="00DE108C" w14:paraId="255A484C" w14:textId="77777777" w:rsidTr="00527D7B">
        <w:trPr>
          <w:cnfStyle w:val="000000010000" w:firstRow="0" w:lastRow="0" w:firstColumn="0" w:lastColumn="0" w:oddVBand="0" w:evenVBand="0" w:oddHBand="0" w:evenHBand="1" w:firstRowFirstColumn="0" w:firstRowLastColumn="0" w:lastRowFirstColumn="0" w:lastRowLastColumn="0"/>
        </w:trPr>
        <w:tc>
          <w:tcPr>
            <w:tcW w:w="20833" w:type="dxa"/>
            <w:gridSpan w:val="3"/>
            <w:tcBorders>
              <w:top w:val="nil"/>
            </w:tcBorders>
            <w:shd w:val="clear" w:color="auto" w:fill="00428B" w:themeFill="accent1"/>
          </w:tcPr>
          <w:p w14:paraId="44DB1FA8" w14:textId="77777777" w:rsidR="00767B75" w:rsidRPr="00DE108C" w:rsidRDefault="00767B75" w:rsidP="0040607E">
            <w:pPr>
              <w:pStyle w:val="TableHeading"/>
              <w:rPr>
                <w:bCs/>
              </w:rPr>
            </w:pPr>
            <w:r w:rsidRPr="00DE108C">
              <w:t>Business risks</w:t>
            </w:r>
            <w:r w:rsidRPr="00DE108C">
              <w:rPr>
                <w:bCs/>
              </w:rPr>
              <w:t xml:space="preserve"> </w:t>
            </w:r>
          </w:p>
        </w:tc>
      </w:tr>
      <w:tr w:rsidR="00767B75" w:rsidRPr="00DE108C" w14:paraId="2C3150B3" w14:textId="77777777" w:rsidTr="00AD61F6">
        <w:trPr>
          <w:gridAfter w:val="1"/>
          <w:wAfter w:w="8" w:type="dxa"/>
          <w:trHeight w:val="300"/>
        </w:trPr>
        <w:tc>
          <w:tcPr>
            <w:tcW w:w="3681" w:type="dxa"/>
            <w:tcBorders>
              <w:bottom w:val="single" w:sz="4" w:space="0" w:color="231F20" w:themeColor="text1"/>
            </w:tcBorders>
            <w:shd w:val="clear" w:color="auto" w:fill="002060"/>
          </w:tcPr>
          <w:p w14:paraId="13946467" w14:textId="77777777" w:rsidR="00767B75" w:rsidRPr="00DE108C" w:rsidRDefault="00767B75" w:rsidP="0040607E">
            <w:pPr>
              <w:pStyle w:val="TableHeading"/>
            </w:pPr>
            <w:r w:rsidRPr="00DE108C">
              <w:t xml:space="preserve">Risk </w:t>
            </w:r>
          </w:p>
        </w:tc>
        <w:tc>
          <w:tcPr>
            <w:tcW w:w="17152" w:type="dxa"/>
            <w:tcBorders>
              <w:bottom w:val="single" w:sz="4" w:space="0" w:color="231F20" w:themeColor="text1"/>
            </w:tcBorders>
            <w:shd w:val="clear" w:color="auto" w:fill="002060"/>
          </w:tcPr>
          <w:p w14:paraId="3EDC8043" w14:textId="77777777" w:rsidR="00767B75" w:rsidRPr="00DE108C" w:rsidRDefault="00767B75" w:rsidP="0040607E">
            <w:pPr>
              <w:pStyle w:val="TableHeading"/>
            </w:pPr>
            <w:r w:rsidRPr="00DE108C">
              <w:t>Risk allocation</w:t>
            </w:r>
          </w:p>
        </w:tc>
      </w:tr>
      <w:tr w:rsidR="00A043F7" w:rsidRPr="00DE108C" w14:paraId="37365308" w14:textId="77777777" w:rsidTr="00AD61F6">
        <w:trPr>
          <w:gridAfter w:val="1"/>
          <w:cnfStyle w:val="000000010000" w:firstRow="0" w:lastRow="0" w:firstColumn="0" w:lastColumn="0" w:oddVBand="0" w:evenVBand="0" w:oddHBand="0" w:evenHBand="1" w:firstRowFirstColumn="0" w:firstRowLastColumn="0" w:lastRowFirstColumn="0" w:lastRowLastColumn="0"/>
          <w:wAfter w:w="8" w:type="dxa"/>
        </w:trPr>
        <w:tc>
          <w:tcPr>
            <w:tcW w:w="3681" w:type="dxa"/>
            <w:tcBorders>
              <w:bottom w:val="single" w:sz="4" w:space="0" w:color="231F20" w:themeColor="text1"/>
            </w:tcBorders>
          </w:tcPr>
          <w:p w14:paraId="7AF1AC01" w14:textId="50F02F15" w:rsidR="00767B75" w:rsidRPr="00DE108C" w:rsidRDefault="00767B75" w:rsidP="00106026">
            <w:pPr>
              <w:pStyle w:val="TableText"/>
              <w:rPr>
                <w:b/>
                <w:szCs w:val="16"/>
              </w:rPr>
            </w:pPr>
            <w:r w:rsidRPr="00DE108C">
              <w:t xml:space="preserve">Business risks </w:t>
            </w:r>
            <w:r w:rsidR="00534AD5" w:rsidRPr="00DE108C">
              <w:rPr>
                <w:szCs w:val="16"/>
              </w:rPr>
              <w:t>arising</w:t>
            </w:r>
            <w:r w:rsidRPr="00DE108C">
              <w:rPr>
                <w:szCs w:val="16"/>
              </w:rPr>
              <w:t xml:space="preserve"> from revenue loss caused by emerging technologies or shifts in the competitive landscape. </w:t>
            </w:r>
          </w:p>
          <w:p w14:paraId="24609F6C" w14:textId="77777777" w:rsidR="00767B75" w:rsidRPr="00DE108C" w:rsidRDefault="00767B75" w:rsidP="00106026">
            <w:pPr>
              <w:pStyle w:val="TableText"/>
              <w:rPr>
                <w:b/>
              </w:rPr>
            </w:pPr>
            <w:r w:rsidRPr="00DE108C">
              <w:t>Melbourne Water addresses these risks by adopting innovative practices and pursuing ongoing cost efficiencies.</w:t>
            </w:r>
          </w:p>
        </w:tc>
        <w:tc>
          <w:tcPr>
            <w:tcW w:w="17152" w:type="dxa"/>
            <w:tcBorders>
              <w:bottom w:val="single" w:sz="4" w:space="0" w:color="231F20" w:themeColor="text1"/>
            </w:tcBorders>
          </w:tcPr>
          <w:p w14:paraId="29D0ABDB" w14:textId="361FA194" w:rsidR="00767B75" w:rsidRPr="00DE108C" w:rsidRDefault="00767B75">
            <w:pPr>
              <w:rPr>
                <w:b/>
                <w:sz w:val="16"/>
                <w:szCs w:val="16"/>
              </w:rPr>
            </w:pPr>
            <w:r w:rsidRPr="00DE108C">
              <w:rPr>
                <w:sz w:val="16"/>
                <w:szCs w:val="16"/>
              </w:rPr>
              <w:t>Melbourne Water proposes to share business risks with its customers as follows.</w:t>
            </w:r>
          </w:p>
          <w:p w14:paraId="455DBE2F" w14:textId="77777777" w:rsidR="00767B75" w:rsidRPr="00DE108C" w:rsidRDefault="00767B75">
            <w:pPr>
              <w:rPr>
                <w:b/>
                <w:sz w:val="16"/>
                <w:szCs w:val="16"/>
              </w:rPr>
            </w:pPr>
            <w:r w:rsidRPr="00DE108C">
              <w:rPr>
                <w:sz w:val="16"/>
                <w:szCs w:val="16"/>
              </w:rPr>
              <w:t>When customers would pay during the regulatory period:</w:t>
            </w:r>
          </w:p>
          <w:p w14:paraId="3855F1CF" w14:textId="3EA317B3" w:rsidR="00767B75" w:rsidRPr="00DE108C" w:rsidRDefault="00767B75" w:rsidP="005217F0">
            <w:pPr>
              <w:pStyle w:val="Tablebullet"/>
            </w:pPr>
            <w:r w:rsidRPr="00DE108C">
              <w:t xml:space="preserve">Projects that deliver evidence-based or proven results increased community values in areas supported by customers and the community, such as </w:t>
            </w:r>
            <w:r w:rsidR="30D5501F" w:rsidRPr="40AD8E0A">
              <w:t>R</w:t>
            </w:r>
            <w:r w:rsidR="713E6C5A" w:rsidRPr="40AD8E0A">
              <w:t xml:space="preserve">eimagining </w:t>
            </w:r>
            <w:r w:rsidR="23D861E0" w:rsidRPr="40AD8E0A">
              <w:t>Your</w:t>
            </w:r>
            <w:r w:rsidRPr="00DE108C">
              <w:t xml:space="preserve"> </w:t>
            </w:r>
            <w:r w:rsidR="51247C42" w:rsidRPr="40AD8E0A">
              <w:t>C</w:t>
            </w:r>
            <w:r w:rsidR="713E6C5A" w:rsidRPr="40AD8E0A">
              <w:t>reek</w:t>
            </w:r>
            <w:r w:rsidRPr="00DE108C">
              <w:t xml:space="preserve"> projects or increased investment in water security as identified as a priority by customers. For example, customers in our waterways and drainage focus groups felt that there was ‘too much emphasis' on planning instead of ‘on-the-ground' activity that had a track record of results, </w:t>
            </w:r>
            <w:r w:rsidR="60C7EC8A" w:rsidRPr="40AD8E0A">
              <w:t xml:space="preserve">such as </w:t>
            </w:r>
            <w:r w:rsidRPr="00DE108C">
              <w:t xml:space="preserve">‘practical outcomes’. </w:t>
            </w:r>
          </w:p>
          <w:p w14:paraId="542A58C8" w14:textId="77777777" w:rsidR="00767B75" w:rsidRPr="00DE108C" w:rsidRDefault="00767B75">
            <w:pPr>
              <w:rPr>
                <w:b/>
                <w:sz w:val="16"/>
                <w:szCs w:val="16"/>
              </w:rPr>
            </w:pPr>
            <w:r w:rsidRPr="00DE108C">
              <w:rPr>
                <w:sz w:val="16"/>
                <w:szCs w:val="16"/>
              </w:rPr>
              <w:t>When we would accept financial risk during the regulatory period:</w:t>
            </w:r>
          </w:p>
          <w:p w14:paraId="779CCE8A" w14:textId="639A7182" w:rsidR="00767B75" w:rsidRPr="00DE108C" w:rsidRDefault="00767B75" w:rsidP="005217F0">
            <w:pPr>
              <w:pStyle w:val="Tablebullet"/>
            </w:pPr>
            <w:r w:rsidRPr="00DE108C">
              <w:t>Investing and trialling new technology that is not yet proven to have the potential to make a step change in service outcomes or cost efficiency</w:t>
            </w:r>
            <w:r w:rsidR="00CF6E40" w:rsidRPr="00DE108C">
              <w:t xml:space="preserve"> </w:t>
            </w:r>
            <w:r w:rsidR="00CF6E40">
              <w:t>or u</w:t>
            </w:r>
            <w:r w:rsidR="00CF6E40" w:rsidRPr="00DE108C">
              <w:t>nregulated commercial activities that result in expenditure and/or revenue</w:t>
            </w:r>
            <w:r w:rsidRPr="00DE108C">
              <w:t xml:space="preserve">. </w:t>
            </w:r>
          </w:p>
          <w:p w14:paraId="540AA3AF" w14:textId="4D273D70" w:rsidR="00767B75" w:rsidRPr="00DE108C" w:rsidRDefault="00767B75" w:rsidP="005217F0">
            <w:pPr>
              <w:pStyle w:val="Tablebullet"/>
            </w:pPr>
            <w:r w:rsidRPr="00DE108C">
              <w:lastRenderedPageBreak/>
              <w:t xml:space="preserve">Forecasting in operational efficiencies, for example no growth in core opex that is not linked to a new obligation, capital project, or customer supported project, forecast efficiency in the IT step program of $0.5 million in core IT services from mid-period, and forecast </w:t>
            </w:r>
            <w:r w:rsidR="006E3067" w:rsidRPr="00DE108C">
              <w:t xml:space="preserve">30 </w:t>
            </w:r>
            <w:r w:rsidRPr="00DE108C">
              <w:t xml:space="preserve">per cent labour efficiency for new capital project managers.. </w:t>
            </w:r>
          </w:p>
        </w:tc>
      </w:tr>
      <w:tr w:rsidR="00767B75" w:rsidRPr="00DE108C" w14:paraId="651CCD86" w14:textId="77777777" w:rsidTr="00527D7B">
        <w:tc>
          <w:tcPr>
            <w:tcW w:w="20833" w:type="dxa"/>
            <w:gridSpan w:val="3"/>
            <w:tcBorders>
              <w:top w:val="nil"/>
            </w:tcBorders>
            <w:shd w:val="clear" w:color="auto" w:fill="00428B" w:themeFill="accent1"/>
          </w:tcPr>
          <w:p w14:paraId="3A1C274F" w14:textId="77777777" w:rsidR="00767B75" w:rsidRPr="00DE108C" w:rsidRDefault="00767B75" w:rsidP="0040607E">
            <w:pPr>
              <w:pStyle w:val="TableHeading"/>
              <w:rPr>
                <w:bCs/>
              </w:rPr>
            </w:pPr>
            <w:r w:rsidRPr="00DE108C">
              <w:lastRenderedPageBreak/>
              <w:t>Climate change risks</w:t>
            </w:r>
          </w:p>
        </w:tc>
      </w:tr>
      <w:tr w:rsidR="00767B75" w:rsidRPr="00DE108C" w14:paraId="5D40BF60" w14:textId="77777777" w:rsidTr="00AD61F6">
        <w:trPr>
          <w:gridAfter w:val="1"/>
          <w:cnfStyle w:val="000000010000" w:firstRow="0" w:lastRow="0" w:firstColumn="0" w:lastColumn="0" w:oddVBand="0" w:evenVBand="0" w:oddHBand="0" w:evenHBand="1" w:firstRowFirstColumn="0" w:firstRowLastColumn="0" w:lastRowFirstColumn="0" w:lastRowLastColumn="0"/>
          <w:wAfter w:w="8" w:type="dxa"/>
          <w:trHeight w:val="300"/>
        </w:trPr>
        <w:tc>
          <w:tcPr>
            <w:tcW w:w="3681" w:type="dxa"/>
            <w:tcBorders>
              <w:bottom w:val="single" w:sz="4" w:space="0" w:color="231F20" w:themeColor="text1"/>
            </w:tcBorders>
            <w:shd w:val="clear" w:color="auto" w:fill="002060"/>
          </w:tcPr>
          <w:p w14:paraId="1D0586FE" w14:textId="77777777" w:rsidR="00767B75" w:rsidRPr="00DE108C" w:rsidRDefault="00767B75" w:rsidP="0040607E">
            <w:pPr>
              <w:pStyle w:val="TableHeading"/>
            </w:pPr>
            <w:r w:rsidRPr="00DE108C">
              <w:t xml:space="preserve">Risk </w:t>
            </w:r>
          </w:p>
        </w:tc>
        <w:tc>
          <w:tcPr>
            <w:tcW w:w="17152" w:type="dxa"/>
            <w:tcBorders>
              <w:bottom w:val="single" w:sz="4" w:space="0" w:color="231F20" w:themeColor="text1"/>
            </w:tcBorders>
            <w:shd w:val="clear" w:color="auto" w:fill="002060"/>
          </w:tcPr>
          <w:p w14:paraId="781874AB" w14:textId="77777777" w:rsidR="00767B75" w:rsidRPr="00DE108C" w:rsidRDefault="00767B75" w:rsidP="0040607E">
            <w:pPr>
              <w:pStyle w:val="TableHeading"/>
            </w:pPr>
            <w:r w:rsidRPr="00DE108C">
              <w:t>Risk allocation</w:t>
            </w:r>
          </w:p>
        </w:tc>
      </w:tr>
      <w:tr w:rsidR="00767B75" w:rsidRPr="00DE108C" w14:paraId="48DDC7A9" w14:textId="77777777" w:rsidTr="00AD61F6">
        <w:trPr>
          <w:gridAfter w:val="1"/>
          <w:wAfter w:w="8" w:type="dxa"/>
        </w:trPr>
        <w:tc>
          <w:tcPr>
            <w:tcW w:w="3681" w:type="dxa"/>
            <w:tcBorders>
              <w:bottom w:val="single" w:sz="4" w:space="0" w:color="231F20" w:themeColor="text1"/>
            </w:tcBorders>
          </w:tcPr>
          <w:p w14:paraId="17FABE70" w14:textId="77777777" w:rsidR="00767B75" w:rsidRPr="00DE108C" w:rsidRDefault="00767B75" w:rsidP="00106026">
            <w:pPr>
              <w:pStyle w:val="TableText"/>
              <w:rPr>
                <w:b/>
                <w:szCs w:val="16"/>
              </w:rPr>
            </w:pPr>
            <w:r w:rsidRPr="00DE108C">
              <w:t>Climate change poses significant risks to water businesses, including reduced water availability, increased frequency of extreme weather events, and greater strain on infrastructure. These impacts can affect service reliability, operational costs, and long-term planning. Water businesses manage climate-related risks through adaptive strategies such as scenario planning, investment in resilient infrastructure, and sustainable resource management.</w:t>
            </w:r>
          </w:p>
          <w:p w14:paraId="09688C22" w14:textId="77777777" w:rsidR="00767B75" w:rsidRPr="00DE108C" w:rsidRDefault="00767B75" w:rsidP="00106026">
            <w:pPr>
              <w:pStyle w:val="TableText"/>
              <w:rPr>
                <w:b/>
                <w:bCs/>
              </w:rPr>
            </w:pPr>
            <w:r w:rsidRPr="00DE108C">
              <w:rPr>
                <w:bCs/>
              </w:rPr>
              <w:t>Melbourne Water is actively responding by embedding climate resilience into asset planning, investing in nature-based solutions, and collaborating with stakeholders to develop adaptive pathways for a changing climate.</w:t>
            </w:r>
          </w:p>
        </w:tc>
        <w:tc>
          <w:tcPr>
            <w:tcW w:w="17152" w:type="dxa"/>
            <w:tcBorders>
              <w:bottom w:val="single" w:sz="4" w:space="0" w:color="231F20" w:themeColor="text1"/>
            </w:tcBorders>
          </w:tcPr>
          <w:p w14:paraId="0AD4A5BC" w14:textId="5F81CB01" w:rsidR="00767B75" w:rsidRPr="00DE108C" w:rsidRDefault="00767B75">
            <w:pPr>
              <w:rPr>
                <w:b/>
                <w:sz w:val="16"/>
                <w:szCs w:val="16"/>
              </w:rPr>
            </w:pPr>
            <w:r w:rsidRPr="00DE108C">
              <w:rPr>
                <w:sz w:val="16"/>
                <w:szCs w:val="16"/>
              </w:rPr>
              <w:t xml:space="preserve">Melbourne Water proposes to share climate change risks with its customers. </w:t>
            </w:r>
          </w:p>
          <w:p w14:paraId="1AE6C550" w14:textId="77777777" w:rsidR="00767B75" w:rsidRPr="00DE108C" w:rsidRDefault="00767B75">
            <w:pPr>
              <w:rPr>
                <w:b/>
                <w:sz w:val="16"/>
                <w:szCs w:val="16"/>
              </w:rPr>
            </w:pPr>
            <w:r w:rsidRPr="00DE108C">
              <w:rPr>
                <w:sz w:val="16"/>
                <w:szCs w:val="16"/>
              </w:rPr>
              <w:t>When customers would pay during the regulatory period:</w:t>
            </w:r>
          </w:p>
          <w:p w14:paraId="222C4164" w14:textId="653486E2" w:rsidR="00767B75" w:rsidRPr="00061DDA" w:rsidRDefault="00767B75" w:rsidP="005217F0">
            <w:pPr>
              <w:pStyle w:val="Tablebullet"/>
            </w:pPr>
            <w:r w:rsidRPr="00061DDA">
              <w:t xml:space="preserve">Prudent investment in improving the efficiency of existing water resources, including enhancing storage capacity and transferring water to growth areas, which also supports supply resilience during bushfire </w:t>
            </w:r>
            <w:r w:rsidR="5F91448E" w:rsidRPr="00061DDA">
              <w:t>and extreme weather/storm</w:t>
            </w:r>
            <w:r w:rsidRPr="00061DDA">
              <w:t xml:space="preserve"> events.</w:t>
            </w:r>
          </w:p>
          <w:p w14:paraId="3D4D5EF9" w14:textId="77777777" w:rsidR="00767B75" w:rsidRPr="00061DDA" w:rsidRDefault="00767B75" w:rsidP="005217F0">
            <w:pPr>
              <w:pStyle w:val="Tablebullet"/>
            </w:pPr>
            <w:r w:rsidRPr="00061DDA">
              <w:t>Preliminary planning and investigation into future water supply augmentation, with costs included where planning certainty exists.</w:t>
            </w:r>
          </w:p>
          <w:p w14:paraId="12601072" w14:textId="39D43938" w:rsidR="00767B75" w:rsidRPr="00061DDA" w:rsidRDefault="00767B75" w:rsidP="005217F0">
            <w:pPr>
              <w:pStyle w:val="Tablebullet"/>
            </w:pPr>
            <w:r w:rsidRPr="00061DDA">
              <w:t>Adoption of benchmark renewable energy rates from the State Electricity Commission (SEC) after 2030.</w:t>
            </w:r>
          </w:p>
          <w:p w14:paraId="0A63B2E5" w14:textId="0EDE0911" w:rsidR="00767B75" w:rsidRPr="00061DDA" w:rsidRDefault="00767B75" w:rsidP="005217F0">
            <w:pPr>
              <w:pStyle w:val="Tablebullet"/>
            </w:pPr>
            <w:r w:rsidRPr="00061DDA">
              <w:t xml:space="preserve">Tactical near-term investment in coastal hazard resilience at </w:t>
            </w:r>
            <w:r w:rsidR="1494E45D" w:rsidRPr="00061DDA">
              <w:t>WTP</w:t>
            </w:r>
            <w:r w:rsidRPr="00061DDA">
              <w:t>, addressing erosion risks while supporting long-term climate adaptation.</w:t>
            </w:r>
          </w:p>
          <w:p w14:paraId="2DD2A7A0" w14:textId="651FF56B" w:rsidR="00767B75" w:rsidRPr="00061DDA" w:rsidRDefault="00767B75" w:rsidP="005217F0">
            <w:pPr>
              <w:pStyle w:val="Tablebullet"/>
            </w:pPr>
            <w:r w:rsidRPr="00061DDA">
              <w:t xml:space="preserve">Investment in additional treatment capacity at </w:t>
            </w:r>
            <w:r w:rsidR="27738CAF" w:rsidRPr="00061DDA">
              <w:t>WTP</w:t>
            </w:r>
            <w:r w:rsidRPr="00061DDA">
              <w:t xml:space="preserve"> aligned with long-term plans to reduce reliance on lagoon treatment and improve resilience to coastal hazards.</w:t>
            </w:r>
          </w:p>
          <w:p w14:paraId="057573F4" w14:textId="77777777" w:rsidR="00767B75" w:rsidRPr="00DE108C" w:rsidRDefault="00767B75">
            <w:pPr>
              <w:rPr>
                <w:b/>
                <w:sz w:val="16"/>
                <w:szCs w:val="16"/>
              </w:rPr>
            </w:pPr>
            <w:r w:rsidRPr="00DE108C">
              <w:rPr>
                <w:sz w:val="16"/>
                <w:szCs w:val="16"/>
              </w:rPr>
              <w:t>When we would accept financial risk during the regulatory period:</w:t>
            </w:r>
          </w:p>
          <w:p w14:paraId="05EE0E6B" w14:textId="77777777" w:rsidR="00767B75" w:rsidRPr="00DE108C" w:rsidRDefault="00767B75" w:rsidP="008A247B">
            <w:pPr>
              <w:pStyle w:val="Tablebullet"/>
            </w:pPr>
            <w:r w:rsidRPr="00DE108C">
              <w:t>Continued investment in flood modelling and risk communication without pricing in major flood mitigation infrastructure until solutions are better understood.</w:t>
            </w:r>
          </w:p>
          <w:p w14:paraId="18ABC9E2" w14:textId="77777777" w:rsidR="00767B75" w:rsidRPr="00DE108C" w:rsidRDefault="00767B75" w:rsidP="008A247B">
            <w:pPr>
              <w:pStyle w:val="Tablebullet"/>
            </w:pPr>
            <w:r w:rsidRPr="00DE108C">
              <w:t>Assumption of financial risk for potential acceleration of water supply augmentation if the water outlook changes, beyond what is currently priced.</w:t>
            </w:r>
          </w:p>
          <w:p w14:paraId="116CA09F" w14:textId="77777777" w:rsidR="00BA1267" w:rsidRPr="00DE108C" w:rsidRDefault="00767B75" w:rsidP="008A247B">
            <w:pPr>
              <w:pStyle w:val="Tablebullet"/>
            </w:pPr>
            <w:r w:rsidRPr="00DE108C">
              <w:t>Retention of emissions risk by basing forecasts on most likely sewage demand, with Melbourne Water absorbing additional offset costs if emissions exceed expectations.</w:t>
            </w:r>
          </w:p>
          <w:p w14:paraId="0F5AAC1C" w14:textId="77777777" w:rsidR="00767B75" w:rsidRPr="00DE108C" w:rsidRDefault="00767B75" w:rsidP="008A247B">
            <w:pPr>
              <w:pStyle w:val="Tablebullet"/>
            </w:pPr>
            <w:r w:rsidRPr="00DE108C">
              <w:t>Absorption of costs from existing long-term renewable energy contracts that exceed market rates, including the decision to retire Renewable Energy Certificates from 2025–26 to meet renewable obligations without passing costs to customers.</w:t>
            </w:r>
          </w:p>
          <w:p w14:paraId="2489786E" w14:textId="095D64BA" w:rsidR="00767B75" w:rsidRPr="00DE108C" w:rsidRDefault="00767B75" w:rsidP="008A247B">
            <w:pPr>
              <w:pStyle w:val="Tablebullet"/>
              <w:rPr>
                <w:b/>
              </w:rPr>
            </w:pPr>
            <w:r w:rsidRPr="00DE108C">
              <w:t>Development of medium- and long-term coastal hazard adaptation plans, with Melbourne Water bearing the financial risk until future investment needs are confirmed</w:t>
            </w:r>
            <w:r w:rsidR="00BA1591" w:rsidRPr="00DE108C">
              <w:t>.</w:t>
            </w:r>
          </w:p>
        </w:tc>
      </w:tr>
    </w:tbl>
    <w:p w14:paraId="1284B73F" w14:textId="77777777" w:rsidR="00767B75" w:rsidRPr="00DE108C" w:rsidRDefault="00767B75">
      <w:pPr>
        <w:pStyle w:val="BodyText"/>
        <w:sectPr w:rsidR="00767B75" w:rsidRPr="00DE108C" w:rsidSect="003551FB">
          <w:pgSz w:w="23811" w:h="16838" w:orient="landscape" w:code="8"/>
          <w:pgMar w:top="1440" w:right="1440" w:bottom="1440" w:left="1440" w:header="708" w:footer="708" w:gutter="0"/>
          <w:cols w:space="708"/>
          <w:docGrid w:linePitch="360"/>
        </w:sectPr>
      </w:pPr>
    </w:p>
    <w:p w14:paraId="0876A06A" w14:textId="5EAF5DFA" w:rsidR="00767B75" w:rsidRPr="00DE108C" w:rsidRDefault="00767B75">
      <w:pPr>
        <w:pStyle w:val="Heading2"/>
      </w:pPr>
      <w:bookmarkStart w:id="400" w:name="_Toc196745229"/>
      <w:bookmarkStart w:id="401" w:name="_Toc207892900"/>
      <w:bookmarkStart w:id="402" w:name="_Toc207853393"/>
      <w:r w:rsidRPr="00DE108C">
        <w:lastRenderedPageBreak/>
        <w:t>5.</w:t>
      </w:r>
      <w:r w:rsidR="00D27525" w:rsidRPr="00DE108C">
        <w:t>4</w:t>
      </w:r>
      <w:r w:rsidRPr="00DE108C">
        <w:t xml:space="preserve"> PREMO assessment – Risk</w:t>
      </w:r>
      <w:bookmarkEnd w:id="400"/>
      <w:bookmarkEnd w:id="401"/>
      <w:bookmarkEnd w:id="402"/>
      <w:r w:rsidRPr="00DE108C">
        <w:t xml:space="preserve"> </w:t>
      </w:r>
    </w:p>
    <w:p w14:paraId="49F4C2A5" w14:textId="77777777" w:rsidR="00767B75" w:rsidRPr="00DE108C" w:rsidRDefault="00767B75" w:rsidP="00A40735">
      <w:r w:rsidRPr="00DE108C">
        <w:t xml:space="preserve">For the Risk component of PREMO, we have assessed ourselves to be </w:t>
      </w:r>
      <w:r w:rsidRPr="00933B5E">
        <w:rPr>
          <w:i/>
        </w:rPr>
        <w:t>‘Standard’</w:t>
      </w:r>
      <w:r w:rsidRPr="00DE108C">
        <w:t>. Our assessment is summarised in Table 5.3.</w:t>
      </w:r>
    </w:p>
    <w:p w14:paraId="4DDC205D" w14:textId="77777777" w:rsidR="00767B75" w:rsidRPr="00DE108C" w:rsidRDefault="00767B75" w:rsidP="00BC2765">
      <w:pPr>
        <w:pStyle w:val="Caption"/>
      </w:pPr>
      <w:bookmarkStart w:id="403" w:name="_Ref192515253"/>
      <w:bookmarkStart w:id="404" w:name="_Toc207893014"/>
      <w:bookmarkStart w:id="405" w:name="_Toc208490538"/>
      <w:bookmarkStart w:id="406" w:name="_Toc208490876"/>
      <w:bookmarkStart w:id="407" w:name="_Toc208911034"/>
      <w:bookmarkStart w:id="408" w:name="_Toc210051340"/>
      <w:r w:rsidRPr="00DE108C">
        <w:t>Table</w:t>
      </w:r>
      <w:bookmarkEnd w:id="403"/>
      <w:r w:rsidRPr="00DE108C">
        <w:t xml:space="preserve"> 5.3: PREMO Assessment – Risk</w:t>
      </w:r>
      <w:bookmarkEnd w:id="404"/>
      <w:bookmarkEnd w:id="405"/>
      <w:bookmarkEnd w:id="406"/>
      <w:bookmarkEnd w:id="407"/>
      <w:bookmarkEnd w:id="408"/>
      <w:r w:rsidRPr="00DE108C">
        <w:t xml:space="preserve"> </w:t>
      </w:r>
    </w:p>
    <w:tbl>
      <w:tblPr>
        <w:tblStyle w:val="MWTableGrid"/>
        <w:tblW w:w="5000" w:type="pct"/>
        <w:tblLook w:val="0420" w:firstRow="1" w:lastRow="0" w:firstColumn="0" w:lastColumn="0" w:noHBand="0" w:noVBand="1"/>
      </w:tblPr>
      <w:tblGrid>
        <w:gridCol w:w="3487"/>
        <w:gridCol w:w="6141"/>
      </w:tblGrid>
      <w:tr w:rsidR="00A5757A" w:rsidRPr="00DE108C" w14:paraId="340372CB" w14:textId="77777777">
        <w:trPr>
          <w:cnfStyle w:val="100000000000" w:firstRow="1" w:lastRow="0" w:firstColumn="0" w:lastColumn="0" w:oddVBand="0" w:evenVBand="0" w:oddHBand="0" w:evenHBand="0" w:firstRowFirstColumn="0" w:firstRowLastColumn="0" w:lastRowFirstColumn="0" w:lastRowLastColumn="0"/>
          <w:trHeight w:val="300"/>
        </w:trPr>
        <w:tc>
          <w:tcPr>
            <w:tcW w:w="1811" w:type="pct"/>
          </w:tcPr>
          <w:p w14:paraId="10D26342" w14:textId="77777777" w:rsidR="00767B75" w:rsidRPr="00DE108C" w:rsidRDefault="00767B75">
            <w:pPr>
              <w:pStyle w:val="TableHeading"/>
            </w:pPr>
            <w:r w:rsidRPr="00DE108C">
              <w:rPr>
                <w:rFonts w:asciiTheme="majorHAnsi" w:hAnsiTheme="majorHAnsi"/>
              </w:rPr>
              <w:t>Guiding Question</w:t>
            </w:r>
          </w:p>
        </w:tc>
        <w:tc>
          <w:tcPr>
            <w:tcW w:w="3189" w:type="pct"/>
          </w:tcPr>
          <w:p w14:paraId="72369BC9" w14:textId="77777777" w:rsidR="00767B75" w:rsidRPr="00DE108C" w:rsidRDefault="00767B75">
            <w:pPr>
              <w:pStyle w:val="TableHeading"/>
            </w:pPr>
            <w:r w:rsidRPr="00DE108C">
              <w:rPr>
                <w:rFonts w:asciiTheme="majorHAnsi" w:hAnsiTheme="majorHAnsi"/>
              </w:rPr>
              <w:t>Comment</w:t>
            </w:r>
          </w:p>
        </w:tc>
      </w:tr>
      <w:tr w:rsidR="00767B75" w:rsidRPr="00DE108C" w14:paraId="08B20CF2" w14:textId="77777777">
        <w:trPr>
          <w:trHeight w:val="300"/>
        </w:trPr>
        <w:tc>
          <w:tcPr>
            <w:tcW w:w="1811" w:type="pct"/>
          </w:tcPr>
          <w:p w14:paraId="0357AA7E" w14:textId="77777777" w:rsidR="00767B75" w:rsidRPr="00DE108C" w:rsidRDefault="00767B75">
            <w:pPr>
              <w:pStyle w:val="TableText"/>
            </w:pPr>
            <w:r w:rsidRPr="00DE108C">
              <w:t>To what extent has Melbourne Water demonstrated a robust process for identifying risk, and how it has decided who should bear these risks? i.e. such that customers are not paying more than they need to.</w:t>
            </w:r>
          </w:p>
        </w:tc>
        <w:tc>
          <w:tcPr>
            <w:tcW w:w="3189" w:type="pct"/>
          </w:tcPr>
          <w:p w14:paraId="553467F5" w14:textId="77777777" w:rsidR="00767B75" w:rsidRPr="00DE108C" w:rsidRDefault="00767B75">
            <w:pPr>
              <w:pStyle w:val="TableText"/>
            </w:pPr>
            <w:r w:rsidRPr="00DE108C">
              <w:t>Melbourne Water has undertaken a significant risk assessment and assessed the appropriate allocation of risk based on our obligations, risk appetite, and through engagement with the water corporations and our broader customer community.</w:t>
            </w:r>
          </w:p>
          <w:p w14:paraId="56850715" w14:textId="77777777" w:rsidR="00767B75" w:rsidRPr="00DE108C" w:rsidRDefault="00767B75">
            <w:pPr>
              <w:pStyle w:val="TableText"/>
            </w:pPr>
            <w:r w:rsidRPr="00DE108C">
              <w:t xml:space="preserve">From this process, Melbourne Water has accepted the following additional risks on behalf of customers: </w:t>
            </w:r>
          </w:p>
          <w:p w14:paraId="486D8BBE" w14:textId="77777777" w:rsidR="00767B75" w:rsidRPr="00DE108C" w:rsidRDefault="00767B75" w:rsidP="00976E12">
            <w:pPr>
              <w:pStyle w:val="Tablebullet"/>
            </w:pPr>
            <w:r w:rsidRPr="00DE108C">
              <w:rPr>
                <w:b/>
                <w:bCs/>
              </w:rPr>
              <w:t>Financial/revenue risk associated with the capital expenditure program</w:t>
            </w:r>
            <w:r w:rsidRPr="00DE108C">
              <w:t>: Only the cost of prudent and efficient projects that we are certain of delivering have been included in our forecasts. We are confident of delivering additional prudent and efficient capital works and will take risk on our ability to recover these costs at a later date after review and approval by the ESC.</w:t>
            </w:r>
          </w:p>
          <w:p w14:paraId="2D96CD12" w14:textId="77777777" w:rsidR="00767B75" w:rsidRPr="00DE108C" w:rsidRDefault="00767B75" w:rsidP="00976E12">
            <w:pPr>
              <w:pStyle w:val="Tablebullet"/>
            </w:pPr>
            <w:r w:rsidRPr="00DE108C">
              <w:rPr>
                <w:b/>
                <w:bCs/>
              </w:rPr>
              <w:t>Uplift in deliverability risk management capability to ensure that customers receive what they pay for:</w:t>
            </w:r>
            <w:r w:rsidRPr="00DE108C">
              <w:t xml:space="preserve"> The actions we are taking to allow us to confidently deliver what we recognise is a much higher volume of work include: </w:t>
            </w:r>
          </w:p>
          <w:p w14:paraId="0D45E53D" w14:textId="77777777" w:rsidR="00767B75" w:rsidRPr="00DE108C" w:rsidRDefault="00767B75" w:rsidP="00976E12">
            <w:pPr>
              <w:pStyle w:val="Tablebullet2"/>
            </w:pPr>
            <w:r w:rsidRPr="00DE108C">
              <w:t>setting realistic delivery timelines that are based on actual project outcomes</w:t>
            </w:r>
          </w:p>
          <w:p w14:paraId="4D780364" w14:textId="77777777" w:rsidR="00767B75" w:rsidRPr="00DE108C" w:rsidRDefault="00767B75" w:rsidP="008A247B">
            <w:pPr>
              <w:pStyle w:val="Tablebullet2"/>
            </w:pPr>
            <w:r w:rsidRPr="00DE108C">
              <w:t>increasing our internal resourcing applied to project planning, scheduling and management (including through re-prioritisation of internal resourcing)</w:t>
            </w:r>
          </w:p>
          <w:p w14:paraId="1026EFF1" w14:textId="77777777" w:rsidR="00767B75" w:rsidRPr="00DE108C" w:rsidRDefault="00767B75" w:rsidP="008A247B">
            <w:pPr>
              <w:pStyle w:val="Tablebullet2"/>
            </w:pPr>
            <w:r w:rsidRPr="00DE108C">
              <w:t>expanding our construction contractor capacity and involving contractors in early planning to secure resourcing.</w:t>
            </w:r>
          </w:p>
          <w:p w14:paraId="7BBFD096" w14:textId="405658DF" w:rsidR="00767B75" w:rsidRPr="00DE108C" w:rsidRDefault="00767B75" w:rsidP="00976E12">
            <w:pPr>
              <w:pStyle w:val="Tablebullet"/>
            </w:pPr>
            <w:r w:rsidRPr="00DE108C">
              <w:rPr>
                <w:b/>
                <w:bCs/>
              </w:rPr>
              <w:t>Demand risk:</w:t>
            </w:r>
            <w:r w:rsidRPr="00DE108C">
              <w:t xml:space="preserve"> Melbourne Water is expanding its management of </w:t>
            </w:r>
            <w:r w:rsidRPr="00976E12">
              <w:t>demand</w:t>
            </w:r>
            <w:r w:rsidRPr="00DE108C">
              <w:t xml:space="preserve"> risk to the benefit of customers via the collection of more revenue from variable tariffs.</w:t>
            </w:r>
          </w:p>
        </w:tc>
      </w:tr>
      <w:tr w:rsidR="00A5757A" w:rsidRPr="00DE108C" w14:paraId="13F0510E" w14:textId="77777777">
        <w:trPr>
          <w:cnfStyle w:val="000000010000" w:firstRow="0" w:lastRow="0" w:firstColumn="0" w:lastColumn="0" w:oddVBand="0" w:evenVBand="0" w:oddHBand="0" w:evenHBand="1" w:firstRowFirstColumn="0" w:firstRowLastColumn="0" w:lastRowFirstColumn="0" w:lastRowLastColumn="0"/>
          <w:trHeight w:val="300"/>
        </w:trPr>
        <w:tc>
          <w:tcPr>
            <w:tcW w:w="1811" w:type="pct"/>
          </w:tcPr>
          <w:p w14:paraId="31A75C88" w14:textId="77777777" w:rsidR="00767B75" w:rsidRPr="00DE108C" w:rsidRDefault="00767B75">
            <w:pPr>
              <w:pStyle w:val="TableText"/>
            </w:pPr>
            <w:r w:rsidRPr="00DE108C">
              <w:t>To what extent does the proposed Guaranteed Service Level scheme provide incentives for Melbourne Water to be accountable for the quality of services delivered, and provide incentives to deliver valued services efficiently?</w:t>
            </w:r>
          </w:p>
        </w:tc>
        <w:tc>
          <w:tcPr>
            <w:tcW w:w="3189" w:type="pct"/>
          </w:tcPr>
          <w:p w14:paraId="7C95A538" w14:textId="6085F221" w:rsidR="00767B75" w:rsidRPr="00DE108C" w:rsidRDefault="00767B75">
            <w:pPr>
              <w:pStyle w:val="TableText"/>
            </w:pPr>
            <w:r w:rsidRPr="00DE108C">
              <w:t xml:space="preserve">Melbourne Water is increasing its performance and revenue risk exposure to benefit customers. Our proposed </w:t>
            </w:r>
            <w:r w:rsidR="6AAB196F">
              <w:t>GSLs</w:t>
            </w:r>
            <w:r w:rsidRPr="00DE108C">
              <w:t xml:space="preserve"> offer a higher level of revenue at risk than many other water businesses proposed in their 2023 and 2024 Price Submissions. We have added a new </w:t>
            </w:r>
            <w:r w:rsidR="27A79E91">
              <w:t>GSL</w:t>
            </w:r>
            <w:r w:rsidRPr="00DE108C">
              <w:t xml:space="preserve"> to reflect what customers have asked and their highest priority for us - safe clean drinking water.</w:t>
            </w:r>
          </w:p>
        </w:tc>
      </w:tr>
      <w:tr w:rsidR="00767B75" w:rsidRPr="00DE108C" w14:paraId="377BE50F" w14:textId="77777777">
        <w:trPr>
          <w:trHeight w:val="300"/>
        </w:trPr>
        <w:tc>
          <w:tcPr>
            <w:tcW w:w="1811" w:type="pct"/>
          </w:tcPr>
          <w:p w14:paraId="0562355F" w14:textId="77777777" w:rsidR="00767B75" w:rsidRPr="00DE108C" w:rsidRDefault="00767B75">
            <w:pPr>
              <w:pStyle w:val="TableText"/>
              <w:rPr>
                <w:b/>
                <w:bCs/>
              </w:rPr>
            </w:pPr>
            <w:r w:rsidRPr="00DE108C">
              <w:rPr>
                <w:rFonts w:asciiTheme="majorHAnsi" w:hAnsiTheme="majorHAnsi"/>
                <w:b/>
                <w:bCs/>
              </w:rPr>
              <w:t>Average Score</w:t>
            </w:r>
          </w:p>
        </w:tc>
        <w:tc>
          <w:tcPr>
            <w:tcW w:w="3189" w:type="pct"/>
          </w:tcPr>
          <w:p w14:paraId="23A6223B" w14:textId="291F0BC1" w:rsidR="00767B75" w:rsidRPr="00DE108C" w:rsidRDefault="00767B75">
            <w:pPr>
              <w:pStyle w:val="TableText"/>
              <w:rPr>
                <w:b/>
                <w:bCs/>
              </w:rPr>
            </w:pPr>
            <w:r w:rsidRPr="00DE108C">
              <w:rPr>
                <w:rFonts w:asciiTheme="majorHAnsi" w:hAnsiTheme="majorHAnsi"/>
                <w:b/>
                <w:bCs/>
              </w:rPr>
              <w:t xml:space="preserve">Confident our </w:t>
            </w:r>
            <w:r w:rsidR="00BE1A59" w:rsidRPr="00DE108C">
              <w:rPr>
                <w:rFonts w:asciiTheme="majorHAnsi" w:hAnsiTheme="majorHAnsi"/>
                <w:b/>
                <w:bCs/>
              </w:rPr>
              <w:t>r</w:t>
            </w:r>
            <w:r w:rsidRPr="00DE108C">
              <w:rPr>
                <w:rFonts w:asciiTheme="majorHAnsi" w:hAnsiTheme="majorHAnsi"/>
                <w:b/>
                <w:bCs/>
              </w:rPr>
              <w:t xml:space="preserve">isk is </w:t>
            </w:r>
            <w:r w:rsidRPr="00933B5E">
              <w:rPr>
                <w:rFonts w:asciiTheme="majorHAnsi" w:hAnsiTheme="majorHAnsi"/>
                <w:b/>
                <w:i/>
              </w:rPr>
              <w:t>‘Standard’</w:t>
            </w:r>
          </w:p>
        </w:tc>
      </w:tr>
    </w:tbl>
    <w:p w14:paraId="270F500F" w14:textId="77777777" w:rsidR="00767B75" w:rsidRPr="00DE108C" w:rsidRDefault="00767B75"/>
    <w:p w14:paraId="7F50308B" w14:textId="77777777" w:rsidR="004F31B0" w:rsidRPr="00DE108C" w:rsidRDefault="004F31B0">
      <w:pPr>
        <w:spacing w:after="160" w:line="259" w:lineRule="auto"/>
        <w:sectPr w:rsidR="004F31B0" w:rsidRPr="00DE108C" w:rsidSect="00B03007">
          <w:headerReference w:type="default" r:id="rId78"/>
          <w:footerReference w:type="default" r:id="rId79"/>
          <w:pgSz w:w="11906" w:h="16838" w:code="9"/>
          <w:pgMar w:top="1134" w:right="1134" w:bottom="1134" w:left="1134" w:header="567" w:footer="680" w:gutter="0"/>
          <w:cols w:space="708"/>
          <w:docGrid w:linePitch="360"/>
        </w:sectPr>
      </w:pPr>
    </w:p>
    <w:p w14:paraId="4897FE34" w14:textId="51D35B6F" w:rsidR="00046BD5" w:rsidRPr="00DE108C" w:rsidRDefault="00987364" w:rsidP="005B7EDF">
      <w:pPr>
        <w:pStyle w:val="Title"/>
        <w:rPr>
          <w:sz w:val="80"/>
          <w:szCs w:val="80"/>
        </w:rPr>
      </w:pPr>
      <w:bookmarkStart w:id="409" w:name="_Toc207892901"/>
      <w:bookmarkStart w:id="410" w:name="_Toc207853394"/>
      <w:bookmarkStart w:id="411" w:name="_Toc210229038"/>
      <w:r w:rsidRPr="00DE108C">
        <w:rPr>
          <w:noProof/>
          <w:color w:val="FFFFFF" w:themeColor="background1"/>
          <w:sz w:val="80"/>
          <w:szCs w:val="80"/>
        </w:rPr>
        <w:lastRenderedPageBreak/>
        <w:drawing>
          <wp:anchor distT="0" distB="0" distL="114300" distR="114300" simplePos="0" relativeHeight="251658244" behindDoc="1" locked="0" layoutInCell="1" allowOverlap="1" wp14:anchorId="1628B823" wp14:editId="3719600B">
            <wp:simplePos x="0" y="0"/>
            <wp:positionH relativeFrom="page">
              <wp:align>left</wp:align>
            </wp:positionH>
            <wp:positionV relativeFrom="page">
              <wp:posOffset>4445</wp:posOffset>
            </wp:positionV>
            <wp:extent cx="7628890" cy="10782935"/>
            <wp:effectExtent l="0" t="0" r="0" b="0"/>
            <wp:wrapNone/>
            <wp:docPr id="24103174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31747" name="Picture 8">
                      <a:extLst>
                        <a:ext uri="{C183D7F6-B498-43B3-948B-1728B52AA6E4}">
                          <adec:decorative xmlns:adec="http://schemas.microsoft.com/office/drawing/2017/decorative" val="1"/>
                        </a:ext>
                      </a:extLst>
                    </pic:cNvPr>
                    <pic:cNvPicPr/>
                  </pic:nvPicPr>
                  <pic:blipFill>
                    <a:blip r:embed="rId80" cstate="email">
                      <a:extLst>
                        <a:ext uri="{28A0092B-C50C-407E-A947-70E740481C1C}">
                          <a14:useLocalDpi xmlns:a14="http://schemas.microsoft.com/office/drawing/2010/main"/>
                        </a:ext>
                      </a:extLst>
                    </a:blip>
                    <a:stretch>
                      <a:fillRect/>
                    </a:stretch>
                  </pic:blipFill>
                  <pic:spPr>
                    <a:xfrm>
                      <a:off x="0" y="0"/>
                      <a:ext cx="7628890" cy="10782935"/>
                    </a:xfrm>
                    <a:prstGeom prst="rect">
                      <a:avLst/>
                    </a:prstGeom>
                  </pic:spPr>
                </pic:pic>
              </a:graphicData>
            </a:graphic>
            <wp14:sizeRelH relativeFrom="page">
              <wp14:pctWidth>0</wp14:pctWidth>
            </wp14:sizeRelH>
            <wp14:sizeRelV relativeFrom="page">
              <wp14:pctHeight>0</wp14:pctHeight>
            </wp14:sizeRelV>
          </wp:anchor>
        </w:drawing>
      </w:r>
      <w:r w:rsidR="0067494E" w:rsidRPr="00DE108C">
        <w:rPr>
          <w:color w:val="FFFFFF" w:themeColor="background1"/>
          <w:sz w:val="80"/>
          <w:szCs w:val="80"/>
        </w:rPr>
        <w:t>Part B – Regulatory building blocks</w:t>
      </w:r>
      <w:bookmarkEnd w:id="409"/>
      <w:bookmarkEnd w:id="410"/>
      <w:bookmarkEnd w:id="411"/>
      <w:r w:rsidR="0067494E" w:rsidRPr="00DE108C">
        <w:rPr>
          <w:color w:val="FFFFFF" w:themeColor="background1"/>
          <w:sz w:val="80"/>
          <w:szCs w:val="80"/>
        </w:rPr>
        <w:t xml:space="preserve"> </w:t>
      </w:r>
    </w:p>
    <w:p w14:paraId="09FFF00E" w14:textId="360BD390" w:rsidR="00046BD5" w:rsidRPr="00DE108C" w:rsidRDefault="00046BD5" w:rsidP="003557E0">
      <w:r w:rsidRPr="00DE108C">
        <w:br w:type="page"/>
      </w:r>
    </w:p>
    <w:bookmarkStart w:id="412" w:name="_Toc183369876"/>
    <w:bookmarkStart w:id="413" w:name="_Ref183442167"/>
    <w:bookmarkStart w:id="414" w:name="_Toc183623992"/>
    <w:bookmarkStart w:id="415" w:name="_Ref190864572"/>
    <w:bookmarkStart w:id="416" w:name="_Toc190876153"/>
    <w:bookmarkStart w:id="417" w:name="_Ref192504272"/>
    <w:bookmarkStart w:id="418" w:name="_Toc196745230"/>
    <w:bookmarkStart w:id="419" w:name="_Toc199757802"/>
    <w:bookmarkStart w:id="420" w:name="_Toc207892902"/>
    <w:bookmarkStart w:id="421" w:name="_Toc207853395"/>
    <w:bookmarkStart w:id="422" w:name="_Toc210229039"/>
    <w:p w14:paraId="3AA8F06D" w14:textId="72813B02" w:rsidR="00046BD5" w:rsidRPr="00DE108C" w:rsidRDefault="005D47BE" w:rsidP="00ED094E">
      <w:pPr>
        <w:pStyle w:val="Heading1"/>
        <w:rPr>
          <w:b w:val="0"/>
          <w:sz w:val="76"/>
          <w:szCs w:val="76"/>
        </w:rPr>
      </w:pPr>
      <w:r>
        <w:rPr>
          <w:noProof/>
        </w:rPr>
        <w:lastRenderedPageBreak/>
        <mc:AlternateContent>
          <mc:Choice Requires="wps">
            <w:drawing>
              <wp:anchor distT="45720" distB="45720" distL="114300" distR="114300" simplePos="0" relativeHeight="251658269" behindDoc="0" locked="0" layoutInCell="1" allowOverlap="1" wp14:anchorId="786DA6C1" wp14:editId="7C2801AB">
                <wp:simplePos x="0" y="0"/>
                <wp:positionH relativeFrom="margin">
                  <wp:align>left</wp:align>
                </wp:positionH>
                <wp:positionV relativeFrom="margin">
                  <wp:posOffset>3810</wp:posOffset>
                </wp:positionV>
                <wp:extent cx="4511040" cy="1586865"/>
                <wp:effectExtent l="0" t="0" r="0" b="0"/>
                <wp:wrapSquare wrapText="bothSides"/>
                <wp:docPr id="681757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1586865"/>
                        </a:xfrm>
                        <a:prstGeom prst="rect">
                          <a:avLst/>
                        </a:prstGeom>
                        <a:noFill/>
                        <a:ln w="9525">
                          <a:noFill/>
                          <a:miter lim="800000"/>
                          <a:headEnd/>
                          <a:tailEnd/>
                        </a:ln>
                      </wps:spPr>
                      <wps:txbx>
                        <w:txbxContent>
                          <w:p w14:paraId="7C89AF7F" w14:textId="1335D6FF" w:rsidR="005D47BE" w:rsidRPr="00FA4200" w:rsidRDefault="005D47BE" w:rsidP="005D47BE">
                            <w:pPr>
                              <w:rPr>
                                <w:color w:val="FFFFFF" w:themeColor="background1"/>
                                <w:sz w:val="80"/>
                                <w:szCs w:val="80"/>
                              </w:rPr>
                            </w:pPr>
                            <w:r>
                              <w:rPr>
                                <w:color w:val="FFFFFF" w:themeColor="background1"/>
                                <w:sz w:val="80"/>
                                <w:szCs w:val="80"/>
                              </w:rPr>
                              <w:t>Capital expenditure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DA6C1" id="_x0000_s1047" type="#_x0000_t202" style="position:absolute;margin-left:0;margin-top:.3pt;width:355.2pt;height:124.95pt;z-index:251658269;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" filled="f" stroked="f">
                <v:textbox>
                  <w:txbxContent>
                    <w:p w14:paraId="7C89AF7F" w14:textId="1335D6FF" w:rsidR="005D47BE" w:rsidRPr="00FA4200" w:rsidRDefault="005D47BE" w:rsidP="005D47BE">
                      <w:pPr>
                        <w:rPr>
                          <w:color w:val="FFFFFF" w:themeColor="background1"/>
                          <w:sz w:val="80"/>
                          <w:szCs w:val="80"/>
                        </w:rPr>
                      </w:pPr>
                      <w:r>
                        <w:rPr>
                          <w:color w:val="FFFFFF" w:themeColor="background1"/>
                          <w:sz w:val="80"/>
                          <w:szCs w:val="80"/>
                        </w:rPr>
                        <w:t>Capital expenditure</w:t>
                      </w:r>
                    </w:p>
                  </w:txbxContent>
                </v:textbox>
                <w10:wrap type="square" anchorx="margin" anchory="margin"/>
              </v:shape>
            </w:pict>
          </mc:Fallback>
        </mc:AlternateContent>
      </w:r>
      <w:r w:rsidR="00840839" w:rsidRPr="00DE108C">
        <w:rPr>
          <w:b w:val="0"/>
          <w:bCs w:val="0"/>
          <w:noProof/>
          <w:color w:val="FFFFFF" w:themeColor="background1"/>
          <w:sz w:val="76"/>
          <w:szCs w:val="76"/>
        </w:rPr>
        <w:drawing>
          <wp:anchor distT="0" distB="0" distL="114300" distR="114300" simplePos="0" relativeHeight="251658262" behindDoc="0" locked="1" layoutInCell="1" allowOverlap="1" wp14:anchorId="5290FDBB" wp14:editId="1CF4F5E2">
            <wp:simplePos x="0" y="0"/>
            <wp:positionH relativeFrom="page">
              <wp:align>left</wp:align>
            </wp:positionH>
            <wp:positionV relativeFrom="page">
              <wp:align>bottom</wp:align>
            </wp:positionV>
            <wp:extent cx="7628255" cy="10781665"/>
            <wp:effectExtent l="0" t="0" r="0" b="635"/>
            <wp:wrapNone/>
            <wp:docPr id="60504033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40330" name="Picture 8">
                      <a:extLst>
                        <a:ext uri="{C183D7F6-B498-43B3-948B-1728B52AA6E4}">
                          <adec:decorative xmlns:adec="http://schemas.microsoft.com/office/drawing/2017/decorative" val="1"/>
                        </a:ext>
                      </a:extLst>
                    </pic:cNvPr>
                    <pic:cNvPicPr/>
                  </pic:nvPicPr>
                  <pic:blipFill>
                    <a:blip r:embed="rId81" cstate="email">
                      <a:extLst>
                        <a:ext uri="{28A0092B-C50C-407E-A947-70E740481C1C}">
                          <a14:useLocalDpi xmlns:a14="http://schemas.microsoft.com/office/drawing/2010/main"/>
                        </a:ext>
                      </a:extLst>
                    </a:blip>
                    <a:stretch>
                      <a:fillRect/>
                    </a:stretch>
                  </pic:blipFill>
                  <pic:spPr>
                    <a:xfrm>
                      <a:off x="0" y="0"/>
                      <a:ext cx="7628255" cy="10781665"/>
                    </a:xfrm>
                    <a:prstGeom prst="rect">
                      <a:avLst/>
                    </a:prstGeom>
                  </pic:spPr>
                </pic:pic>
              </a:graphicData>
            </a:graphic>
            <wp14:sizeRelH relativeFrom="page">
              <wp14:pctWidth>0</wp14:pctWidth>
            </wp14:sizeRelH>
            <wp14:sizeRelV relativeFrom="page">
              <wp14:pctHeight>0</wp14:pctHeight>
            </wp14:sizeRelV>
          </wp:anchor>
        </w:drawing>
      </w:r>
      <w:r w:rsidR="00046BD5" w:rsidRPr="00DE108C">
        <w:rPr>
          <w:b w:val="0"/>
          <w:color w:val="FFFFFF" w:themeColor="background1"/>
          <w:sz w:val="76"/>
          <w:szCs w:val="76"/>
        </w:rPr>
        <w:t>6. Capital expenditure</w:t>
      </w:r>
      <w:bookmarkEnd w:id="412"/>
      <w:bookmarkEnd w:id="413"/>
      <w:bookmarkEnd w:id="414"/>
      <w:bookmarkEnd w:id="415"/>
      <w:bookmarkEnd w:id="416"/>
      <w:bookmarkEnd w:id="417"/>
      <w:bookmarkEnd w:id="418"/>
      <w:bookmarkEnd w:id="419"/>
      <w:bookmarkEnd w:id="420"/>
      <w:bookmarkEnd w:id="421"/>
      <w:bookmarkEnd w:id="422"/>
    </w:p>
    <w:p w14:paraId="7E1C46EF" w14:textId="77777777" w:rsidR="00046BD5" w:rsidRPr="00DE108C" w:rsidRDefault="00046BD5">
      <w:pPr>
        <w:spacing w:before="0" w:after="0"/>
      </w:pPr>
      <w:r w:rsidRPr="00DE108C">
        <w:br w:type="page"/>
      </w:r>
    </w:p>
    <w:p w14:paraId="1DDA27A7" w14:textId="77777777" w:rsidR="00046BD5" w:rsidRPr="00DE108C" w:rsidRDefault="00046BD5" w:rsidP="00ED094E">
      <w:pPr>
        <w:pStyle w:val="HighlightBoxHeading"/>
      </w:pPr>
      <w:r w:rsidRPr="00DE108C">
        <w:lastRenderedPageBreak/>
        <w:t>In Summary</w:t>
      </w:r>
    </w:p>
    <w:p w14:paraId="552FE9A3" w14:textId="236E1D17" w:rsidR="00046BD5" w:rsidRPr="00DE108C" w:rsidRDefault="00046BD5" w:rsidP="00046BD5">
      <w:pPr>
        <w:pStyle w:val="HighlightBoxBullet"/>
        <w:spacing w:line="320" w:lineRule="atLeast"/>
      </w:pPr>
      <w:r w:rsidRPr="00DE108C">
        <w:t xml:space="preserve">Melbourne Water has developed prudent and efficient capital expenditure </w:t>
      </w:r>
      <w:r w:rsidR="005E2DAD" w:rsidRPr="00DE108C">
        <w:t xml:space="preserve">(capex) </w:t>
      </w:r>
      <w:r w:rsidRPr="00DE108C">
        <w:t>forecasts in accordance with the ESC’s guidance. All major projects have a detailed business case, and all programs have a detailed program-level expenditure case. Expenditure relating to uncertain initiatives is limited to development activities.</w:t>
      </w:r>
    </w:p>
    <w:p w14:paraId="2A23065B" w14:textId="77777777" w:rsidR="00046BD5" w:rsidRPr="00DE108C" w:rsidRDefault="00046BD5" w:rsidP="00046BD5">
      <w:pPr>
        <w:pStyle w:val="HighlightBoxBullet"/>
        <w:spacing w:line="320" w:lineRule="atLeast"/>
      </w:pPr>
      <w:r w:rsidRPr="00DE108C">
        <w:t>Melbourne Water is proposing a $7,856 million capital investment program for the 2026–31 regulatory period.</w:t>
      </w:r>
    </w:p>
    <w:p w14:paraId="1CB7995E" w14:textId="77777777" w:rsidR="00046BD5" w:rsidRPr="00DE108C" w:rsidRDefault="00046BD5" w:rsidP="00046BD5">
      <w:pPr>
        <w:pStyle w:val="HighlightBoxBullet"/>
        <w:spacing w:line="320" w:lineRule="atLeast"/>
      </w:pPr>
      <w:r w:rsidRPr="00DE108C">
        <w:t>The program is relatively evenly balanced between investment for growth, renewals and compliance.</w:t>
      </w:r>
    </w:p>
    <w:p w14:paraId="4A83697D" w14:textId="77777777" w:rsidR="00046BD5" w:rsidRPr="00DE108C" w:rsidRDefault="00046BD5" w:rsidP="00046BD5">
      <w:pPr>
        <w:pStyle w:val="HighlightBoxBullet"/>
        <w:spacing w:line="320" w:lineRule="atLeast"/>
      </w:pPr>
      <w:r w:rsidRPr="00DE108C">
        <w:t>By service, sewerage accounts for the largest share (35 per cent), followed by water (29 per cent), waterways and drainage (28 per cent), desalination capitalisation (8 per cent) and other services making up the remainder. The expenditure proposals are closely aligned to achieving agreed customer Outcomes within each service area.</w:t>
      </w:r>
    </w:p>
    <w:p w14:paraId="2E72BF0C" w14:textId="42E3C317" w:rsidR="00046BD5" w:rsidRPr="00DE108C" w:rsidRDefault="00046BD5" w:rsidP="00046BD5">
      <w:pPr>
        <w:pStyle w:val="HighlightBoxBullet"/>
        <w:spacing w:line="320" w:lineRule="atLeast"/>
        <w:rPr>
          <w:rFonts w:eastAsia="Verdana"/>
        </w:rPr>
      </w:pPr>
      <w:r w:rsidRPr="00DE108C">
        <w:t xml:space="preserve">While the expenditure represents a significant uplift (a </w:t>
      </w:r>
      <w:r w:rsidRPr="00D30A04">
        <w:rPr>
          <w:rFonts w:eastAsiaTheme="minorEastAsia"/>
        </w:rPr>
        <w:t>6</w:t>
      </w:r>
      <w:r w:rsidR="006E49C6" w:rsidRPr="00D30A04">
        <w:rPr>
          <w:rFonts w:eastAsiaTheme="minorEastAsia"/>
        </w:rPr>
        <w:t>2</w:t>
      </w:r>
      <w:r w:rsidRPr="00DE108C">
        <w:rPr>
          <w:rFonts w:eastAsiaTheme="minorEastAsia"/>
        </w:rPr>
        <w:t xml:space="preserve"> per cent increase in capital expenditure compared to the </w:t>
      </w:r>
      <w:r w:rsidRPr="00DE108C">
        <w:t>current period), our</w:t>
      </w:r>
      <w:r w:rsidRPr="00DE108C">
        <w:rPr>
          <w:rFonts w:eastAsia="Verdana"/>
        </w:rPr>
        <w:t xml:space="preserve"> analysis and recent experience </w:t>
      </w:r>
      <w:r w:rsidRPr="00DE108C">
        <w:t>demonstrates</w:t>
      </w:r>
      <w:r w:rsidRPr="00DE108C">
        <w:rPr>
          <w:rFonts w:eastAsia="Verdana"/>
        </w:rPr>
        <w:t xml:space="preserve"> that further delays in renewing and expanding our asset capacity will have direct consequences for both customers and the environment. Ongoing deferral of essential investment leads to a cycle of reactive spending that becomes increasingly difficult to manage, ultimately driving up project costs and heightening the risk of major adverse events.</w:t>
      </w:r>
    </w:p>
    <w:p w14:paraId="0317F2A6" w14:textId="77777777" w:rsidR="00046BD5" w:rsidRPr="00DE108C" w:rsidRDefault="00046BD5" w:rsidP="00046BD5">
      <w:pPr>
        <w:pStyle w:val="HighlightBoxBullet"/>
        <w:spacing w:line="320" w:lineRule="atLeast"/>
      </w:pPr>
      <w:r w:rsidRPr="00DE108C">
        <w:t>We faced challenges activating the full scope of our capital program early in the current regulatory period, particularly for complex infrastructure. These lessons have been embedded into our planning and expenditure forecasts for 2026–31 and beyond. We have adopted achievable assumptions about project planning and delivery timeframes.</w:t>
      </w:r>
    </w:p>
    <w:p w14:paraId="48C48220" w14:textId="77777777" w:rsidR="00046BD5" w:rsidRPr="00DE108C" w:rsidRDefault="00046BD5" w:rsidP="00046BD5">
      <w:pPr>
        <w:pStyle w:val="HighlightBoxBullet"/>
        <w:spacing w:line="320" w:lineRule="atLeast"/>
      </w:pPr>
      <w:r w:rsidRPr="00DE108C">
        <w:t>The expenditure forecasts have been developed through a structured decision-making process, which identifies service needs, evaluates deliverability, and assesses certainty and risk.</w:t>
      </w:r>
    </w:p>
    <w:p w14:paraId="35C0EBD5" w14:textId="5B35A0FF" w:rsidR="00046BD5" w:rsidRPr="00DE108C" w:rsidRDefault="00046BD5" w:rsidP="00ED094E">
      <w:r w:rsidRPr="00DE108C">
        <w:t xml:space="preserve">Chapter 6 provides information on our capital </w:t>
      </w:r>
      <w:r>
        <w:t>expenditure</w:t>
      </w:r>
      <w:r w:rsidRPr="00DE108C">
        <w:t>, including:</w:t>
      </w:r>
    </w:p>
    <w:p w14:paraId="45240B91" w14:textId="77777777" w:rsidR="00046BD5" w:rsidRPr="00DE108C" w:rsidRDefault="00046BD5" w:rsidP="00D411F5">
      <w:pPr>
        <w:pStyle w:val="ListBullet"/>
      </w:pPr>
      <w:r w:rsidRPr="00DE108C">
        <w:t xml:space="preserve">an overview of total forecast prudent and efficient expenditure and its key drivers </w:t>
      </w:r>
    </w:p>
    <w:p w14:paraId="12DC9491" w14:textId="77777777" w:rsidR="00046BD5" w:rsidRPr="00DE108C" w:rsidRDefault="00046BD5" w:rsidP="00D411F5">
      <w:pPr>
        <w:pStyle w:val="ListBullet"/>
      </w:pPr>
      <w:r w:rsidRPr="00DE108C">
        <w:t>forecast expenditure by Outcome and service, including a description of investment drivers and information on each major project and program</w:t>
      </w:r>
    </w:p>
    <w:p w14:paraId="333C3ED1" w14:textId="336E3306" w:rsidR="00046BD5" w:rsidRPr="00DE108C" w:rsidRDefault="00046BD5" w:rsidP="00D411F5">
      <w:pPr>
        <w:pStyle w:val="ListBullet"/>
      </w:pPr>
      <w:r w:rsidRPr="00DE108C">
        <w:t>detail on our proposed corporate and IT-related capital expenditure</w:t>
      </w:r>
    </w:p>
    <w:p w14:paraId="29429DFC" w14:textId="25A84599" w:rsidR="00046BD5" w:rsidRPr="00DE108C" w:rsidRDefault="00046BD5" w:rsidP="00D411F5">
      <w:pPr>
        <w:pStyle w:val="ListBullet"/>
      </w:pPr>
      <w:r w:rsidRPr="00DE108C">
        <w:t>proposed capitalisation of desalination security payments and select operating expenditures.</w:t>
      </w:r>
    </w:p>
    <w:p w14:paraId="7BB3A004" w14:textId="77777777" w:rsidR="00046BD5" w:rsidRPr="00DE108C" w:rsidRDefault="00046BD5" w:rsidP="00ED094E"/>
    <w:p w14:paraId="350EA0A1" w14:textId="77777777" w:rsidR="00046BD5" w:rsidRPr="00DE108C" w:rsidRDefault="00046BD5">
      <w:pPr>
        <w:pStyle w:val="Heading2"/>
        <w:rPr>
          <w:rFonts w:asciiTheme="minorHAnsi" w:hAnsiTheme="minorHAnsi"/>
        </w:rPr>
      </w:pPr>
      <w:bookmarkStart w:id="423" w:name="_Toc207892903"/>
      <w:bookmarkStart w:id="424" w:name="_Toc207853396"/>
      <w:r w:rsidRPr="00DE108C">
        <w:rPr>
          <w:rFonts w:asciiTheme="minorHAnsi" w:hAnsiTheme="minorHAnsi"/>
        </w:rPr>
        <w:lastRenderedPageBreak/>
        <w:t>6.1 Overview of capital expenditure</w:t>
      </w:r>
      <w:bookmarkEnd w:id="423"/>
      <w:bookmarkEnd w:id="424"/>
    </w:p>
    <w:p w14:paraId="0D351EFA" w14:textId="4382BEF2" w:rsidR="00046BD5" w:rsidRPr="00DE108C" w:rsidRDefault="00046BD5" w:rsidP="00ED094E">
      <w:r w:rsidRPr="00DE108C">
        <w:t xml:space="preserve">PS26 proposes prudent, efficient and deliverable </w:t>
      </w:r>
      <w:r w:rsidR="0B3007E9">
        <w:t>capex</w:t>
      </w:r>
      <w:r>
        <w:t xml:space="preserve"> </w:t>
      </w:r>
      <w:r w:rsidRPr="00DE108C">
        <w:t xml:space="preserve">required to meet regulatory and compliance obligations and to deliver the Outcomes that customers and community have told us they value most. The expenditure program also addresses the infrastructure needs associated with the sustained customer growth forecast for our region - a trend that will continue into future regulatory periods as </w:t>
      </w:r>
      <w:r w:rsidRPr="00DE108C">
        <w:rPr>
          <w:rFonts w:eastAsia="Aptos"/>
        </w:rPr>
        <w:t>Melbourne’s population is forecast to increase to over 8 million by 2050</w:t>
      </w:r>
      <w:r w:rsidRPr="00DE108C">
        <w:t>.</w:t>
      </w:r>
    </w:p>
    <w:p w14:paraId="49F2122B" w14:textId="106792D9" w:rsidR="00046BD5" w:rsidRPr="00DE108C" w:rsidRDefault="00046BD5" w:rsidP="00ED094E">
      <w:r w:rsidRPr="00DE108C">
        <w:t xml:space="preserve">As shown in Figure 6.1, forecast </w:t>
      </w:r>
      <w:r w:rsidR="35B3BDE0">
        <w:t>capex</w:t>
      </w:r>
      <w:r w:rsidRPr="00DE108C">
        <w:t xml:space="preserve"> is $7,856 million over the 2026-31 period (including desalination capitalisation). This represents a </w:t>
      </w:r>
      <w:r w:rsidRPr="00D30A04">
        <w:rPr>
          <w:rFonts w:eastAsiaTheme="minorEastAsia"/>
        </w:rPr>
        <w:t>62</w:t>
      </w:r>
      <w:r w:rsidRPr="00DE108C">
        <w:rPr>
          <w:rFonts w:eastAsiaTheme="minorEastAsia"/>
        </w:rPr>
        <w:t xml:space="preserve"> per cent increase in </w:t>
      </w:r>
      <w:r w:rsidR="6F10A9DE" w:rsidRPr="425138B5">
        <w:rPr>
          <w:rFonts w:eastAsiaTheme="minorEastAsia"/>
        </w:rPr>
        <w:t>capex</w:t>
      </w:r>
      <w:r w:rsidRPr="00DE108C">
        <w:rPr>
          <w:rFonts w:eastAsiaTheme="minorEastAsia"/>
        </w:rPr>
        <w:t xml:space="preserve"> compared to the </w:t>
      </w:r>
      <w:r w:rsidRPr="00DE108C">
        <w:t xml:space="preserve">current period. In the 2026-31 period, expenditure to provide bulk sewerage services accounts for 35 per cent of forecast expenditure, water services 29 per cent, waterways and drainage 28 per cent, and desalination capitalisation 8 per cent. </w:t>
      </w:r>
    </w:p>
    <w:p w14:paraId="66AFE20C" w14:textId="0A9DF9FE" w:rsidR="00046BD5" w:rsidRPr="00DE108C" w:rsidRDefault="00046BD5" w:rsidP="00ED094E">
      <w:r w:rsidRPr="00DE108C">
        <w:t xml:space="preserve">This chapter and Chapter 1 </w:t>
      </w:r>
      <w:r w:rsidR="7AEED7D6">
        <w:t>(</w:t>
      </w:r>
      <w:r w:rsidRPr="00DE108C">
        <w:t>Management</w:t>
      </w:r>
      <w:r w:rsidR="6487195E">
        <w:t>)</w:t>
      </w:r>
      <w:r>
        <w:t>,</w:t>
      </w:r>
      <w:r w:rsidRPr="00DE108C">
        <w:t xml:space="preserve"> explains how we developed the prudent, efficient and deliverable </w:t>
      </w:r>
      <w:r w:rsidR="235DB614">
        <w:t>capex</w:t>
      </w:r>
      <w:r w:rsidRPr="00DE108C">
        <w:t xml:space="preserve"> forecast for the 2026-31 regulatory period. We are confident in our ability to deliver the larger capital program and explain our strategy in Chapter 1 </w:t>
      </w:r>
      <w:r w:rsidR="19DC4DC3">
        <w:t>(</w:t>
      </w:r>
      <w:r w:rsidRPr="00DE108C">
        <w:t>Management</w:t>
      </w:r>
      <w:r w:rsidR="2EAE12C7">
        <w:t>)</w:t>
      </w:r>
      <w:r w:rsidRPr="00DE108C">
        <w:t xml:space="preserve"> and in our detailed Deliverability Plan, which is available on request. We have built scalable delivery capacity over the 2021-26 period and updated our delivery lead time estimates based on our learnings over the 2021-26 period.</w:t>
      </w:r>
    </w:p>
    <w:p w14:paraId="047FCBD1" w14:textId="698C4E67" w:rsidR="00046BD5" w:rsidRPr="00DE108C" w:rsidRDefault="00046BD5" w:rsidP="00ED094E">
      <w:r w:rsidRPr="00DE108C">
        <w:t>Figure 6.2 shows the primary drivers of investment by cost driver. Over PS26, these are:</w:t>
      </w:r>
    </w:p>
    <w:p w14:paraId="35BAC228" w14:textId="77777777" w:rsidR="00046BD5" w:rsidRPr="00DE108C" w:rsidRDefault="00046BD5" w:rsidP="00D411F5">
      <w:pPr>
        <w:pStyle w:val="ListBullet"/>
      </w:pPr>
      <w:r w:rsidRPr="00DE108C">
        <w:rPr>
          <w:b/>
          <w:bCs/>
        </w:rPr>
        <w:t>Asset renewal and service levels:</w:t>
      </w:r>
      <w:r w:rsidRPr="00DE108C">
        <w:t xml:space="preserve"> Our investments are aimed at maintaining our assets and technology to a standard to manage risk, meet customer expectations and provide resilience to the impacts of climate change. Investment is prioritised for those assets reaching end of life, demonstrating deteriorating condition and with significant impacts on the community and environment if they fail. </w:t>
      </w:r>
    </w:p>
    <w:p w14:paraId="58B738F8" w14:textId="77777777" w:rsidR="00046BD5" w:rsidRPr="00DE108C" w:rsidRDefault="00046BD5" w:rsidP="00D411F5">
      <w:pPr>
        <w:pStyle w:val="ListBullet"/>
      </w:pPr>
      <w:r w:rsidRPr="00DE108C">
        <w:rPr>
          <w:b/>
          <w:bCs/>
        </w:rPr>
        <w:t>Growth:</w:t>
      </w:r>
      <w:r w:rsidRPr="00DE108C">
        <w:t xml:space="preserve"> Servicing customer growth and new development includes providing bulk water, bulk sewerage and flood and drainage infrastructure to major urban developments – both in greenfield and infill areas. New infrastructure is required to service sustained high growth rates in Melbourne and to increase the climate resilience of our networks from Geelong to West Gippsland, which is increasingly dependent on the Melbourne Water supply system. </w:t>
      </w:r>
    </w:p>
    <w:p w14:paraId="08116407" w14:textId="77777777" w:rsidR="00046BD5" w:rsidRPr="00DE108C" w:rsidRDefault="00046BD5" w:rsidP="00D411F5">
      <w:pPr>
        <w:pStyle w:val="ListBullet"/>
        <w:sectPr w:rsidR="00046BD5" w:rsidRPr="00DE108C" w:rsidSect="00046BD5">
          <w:headerReference w:type="even" r:id="rId82"/>
          <w:headerReference w:type="default" r:id="rId83"/>
          <w:headerReference w:type="first" r:id="rId84"/>
          <w:pgSz w:w="11906" w:h="16838" w:code="9"/>
          <w:pgMar w:top="1134" w:right="1134" w:bottom="1134" w:left="1134" w:header="567" w:footer="680" w:gutter="0"/>
          <w:cols w:space="708"/>
          <w:docGrid w:linePitch="360"/>
        </w:sectPr>
      </w:pPr>
      <w:r w:rsidRPr="00DE108C">
        <w:rPr>
          <w:b/>
          <w:bCs/>
        </w:rPr>
        <w:t>Improvements and compliance:</w:t>
      </w:r>
      <w:r w:rsidRPr="00D411F5">
        <w:t xml:space="preserve"> </w:t>
      </w:r>
      <w:r w:rsidRPr="00DE108C">
        <w:t xml:space="preserve">This expenditure is needed to maintain our compliance with health and environmental protection obligations, including the safety of drinking water and minimising any harm to the community and the environment associated with our sewerage services, so far as reasonably practicable. </w:t>
      </w:r>
    </w:p>
    <w:p w14:paraId="1E372388" w14:textId="77777777" w:rsidR="00046BD5" w:rsidRPr="00DE108C" w:rsidRDefault="00046BD5" w:rsidP="00ED094E">
      <w:pPr>
        <w:pStyle w:val="Caption"/>
      </w:pPr>
      <w:bookmarkStart w:id="425" w:name="_Toc207893015"/>
      <w:bookmarkStart w:id="426" w:name="_Toc208490539"/>
      <w:bookmarkStart w:id="427" w:name="_Toc208490877"/>
      <w:bookmarkStart w:id="428" w:name="_Toc208911035"/>
      <w:bookmarkStart w:id="429" w:name="_Toc210051341"/>
      <w:r w:rsidRPr="00D30A04">
        <w:lastRenderedPageBreak/>
        <w:t>Figure 6.1: Total actual and proposed capital expenditure by service category including desalination capitalisation ($millions, real 2025-26)</w:t>
      </w:r>
      <w:bookmarkEnd w:id="425"/>
      <w:bookmarkEnd w:id="426"/>
      <w:bookmarkEnd w:id="427"/>
      <w:bookmarkEnd w:id="428"/>
      <w:bookmarkEnd w:id="429"/>
    </w:p>
    <w:p w14:paraId="445ADAB8" w14:textId="2BBB55C0" w:rsidR="00046BD5" w:rsidRPr="00DE108C" w:rsidRDefault="00941AA3" w:rsidP="00ED094E">
      <w:r>
        <w:rPr>
          <w:noProof/>
        </w:rPr>
        <w:drawing>
          <wp:inline distT="0" distB="0" distL="0" distR="0" wp14:anchorId="4CD57354" wp14:editId="1FCE54BE">
            <wp:extent cx="9251950" cy="2568271"/>
            <wp:effectExtent l="0" t="0" r="6350" b="3810"/>
            <wp:docPr id="1360082018" name="Chart 1" descr="A bar chart titled &quot;Total actual and proposed capital expenditure by service category including desalination capitalisation ($millions, real 2025–26).&quot; It shows the time period from 2021–22 to 2035–36, grouped into three regulatory periods: 2021–26 (actuals), 2026–31, and 2031–36. &#10;Each bar is segmented by service category. &#10;The chart shows a general gradual upward trend in total capital expenditure over time, peaking in 2035–36 at $2,095 million, and increasing for all services.">
              <a:extLst xmlns:a="http://schemas.openxmlformats.org/drawingml/2006/main">
                <a:ext uri="{FF2B5EF4-FFF2-40B4-BE49-F238E27FC236}">
                  <a16:creationId xmlns:a16="http://schemas.microsoft.com/office/drawing/2014/main" id="{5753D2A4-2FD3-3087-311D-2E4DD8D2A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D5CAC6A" w14:textId="7915657C" w:rsidR="005B5E97" w:rsidRDefault="005B5E97" w:rsidP="00ED094E"/>
    <w:p w14:paraId="6C85952A" w14:textId="77777777" w:rsidR="00046BD5" w:rsidRPr="00DE108C" w:rsidRDefault="00046BD5" w:rsidP="00ED094E">
      <w:pPr>
        <w:pStyle w:val="Caption"/>
      </w:pPr>
      <w:bookmarkStart w:id="430" w:name="_Toc207893016"/>
      <w:bookmarkStart w:id="431" w:name="_Toc208490540"/>
      <w:bookmarkStart w:id="432" w:name="_Toc208490878"/>
      <w:bookmarkStart w:id="433" w:name="_Toc208911036"/>
      <w:bookmarkStart w:id="434" w:name="_Toc210051342"/>
      <w:r w:rsidRPr="00D30A04">
        <w:t>Figure 6.2: Actual and proposed capital expenditure including desalination capitalisation by cost driver ($millions, real 2025-26)</w:t>
      </w:r>
      <w:bookmarkEnd w:id="430"/>
      <w:bookmarkEnd w:id="431"/>
      <w:bookmarkEnd w:id="432"/>
      <w:bookmarkEnd w:id="433"/>
      <w:bookmarkEnd w:id="434"/>
    </w:p>
    <w:p w14:paraId="66ED5ED9" w14:textId="344B3E6F" w:rsidR="009100BF" w:rsidRPr="009100BF" w:rsidRDefault="009100BF" w:rsidP="009100BF">
      <w:pPr>
        <w:pStyle w:val="BodyText"/>
        <w:rPr>
          <w:lang w:eastAsia="fr-CA"/>
        </w:rPr>
      </w:pPr>
      <w:r>
        <w:rPr>
          <w:noProof/>
        </w:rPr>
        <w:drawing>
          <wp:inline distT="0" distB="0" distL="0" distR="0" wp14:anchorId="7B0392A8" wp14:editId="4995D211">
            <wp:extent cx="9251950" cy="2504660"/>
            <wp:effectExtent l="0" t="0" r="6350" b="0"/>
            <wp:docPr id="1066079135" name="Chart 1" descr="A stacked bar chart titled &quot;Actual and proposed capital expenditure including desalination capitalisation by cost driver ($millions, real 2025–26).&quot; &#10;&#10;The chart shows increases in capital expenditure in all cost drivers over time.">
              <a:extLst xmlns:a="http://schemas.openxmlformats.org/drawingml/2006/main">
                <a:ext uri="{FF2B5EF4-FFF2-40B4-BE49-F238E27FC236}">
                  <a16:creationId xmlns:a16="http://schemas.microsoft.com/office/drawing/2014/main" id="{B79A3717-99AB-6BD4-232A-6C702E6EF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BB861AB" w14:textId="5785D5B1" w:rsidR="00046BD5" w:rsidRPr="00DE108C" w:rsidRDefault="00046BD5" w:rsidP="00ED094E">
      <w:pPr>
        <w:sectPr w:rsidR="00046BD5" w:rsidRPr="00DE108C" w:rsidSect="00046BD5">
          <w:pgSz w:w="16838" w:h="11906" w:orient="landscape" w:code="9"/>
          <w:pgMar w:top="1134" w:right="1134" w:bottom="1134" w:left="1134" w:header="567" w:footer="680" w:gutter="0"/>
          <w:cols w:space="708"/>
          <w:docGrid w:linePitch="360"/>
        </w:sectPr>
      </w:pPr>
    </w:p>
    <w:p w14:paraId="4B87CF3D" w14:textId="77777777" w:rsidR="00046BD5" w:rsidRPr="00DE108C" w:rsidRDefault="00046BD5">
      <w:pPr>
        <w:pStyle w:val="Heading3"/>
      </w:pPr>
      <w:r w:rsidRPr="00DE108C">
        <w:lastRenderedPageBreak/>
        <w:t>6.1.1 How our program was influenced by customers</w:t>
      </w:r>
    </w:p>
    <w:p w14:paraId="34262323" w14:textId="6B468E75" w:rsidR="00046BD5" w:rsidRPr="00DE108C" w:rsidRDefault="00046BD5" w:rsidP="00ED094E">
      <w:r w:rsidRPr="00DE108C">
        <w:t xml:space="preserve">We engaged on our proposed capital plans, and water corporations and end-user customers influenced our capital program. Expectations and direction were set in our early engagement phase (Stage 2: </w:t>
      </w:r>
      <w:r w:rsidR="1CA7F346">
        <w:t>V</w:t>
      </w:r>
      <w:r w:rsidRPr="00DE108C">
        <w:t>alues and priorities) by customers. We took feedback through our planning process with water corporations. Water corporations saw early drafts of our capital plan – directing and influencing our decisions around priorities, deliverability and risk.</w:t>
      </w:r>
    </w:p>
    <w:p w14:paraId="361ED699" w14:textId="77777777" w:rsidR="00046BD5" w:rsidRPr="00DE108C" w:rsidRDefault="00046BD5" w:rsidP="00ED094E">
      <w:r w:rsidRPr="00DE108C">
        <w:t>Water corporations led or influenced our decisions in the following key areas:</w:t>
      </w:r>
    </w:p>
    <w:p w14:paraId="581B801A" w14:textId="77777777" w:rsidR="00046BD5" w:rsidRPr="00DE108C" w:rsidRDefault="00046BD5" w:rsidP="00D411F5">
      <w:pPr>
        <w:pStyle w:val="ListBullet"/>
      </w:pPr>
      <w:r w:rsidRPr="00DE108C">
        <w:t xml:space="preserve">How Melbourne Water balances investment over the next two regulatory periods (2026-31 and 2031-36). Feedback on this directly impacted the level of investment we are proposing and its profile in PS26. </w:t>
      </w:r>
    </w:p>
    <w:p w14:paraId="320E3B17" w14:textId="5014D6AE" w:rsidR="00046BD5" w:rsidRPr="00DE108C" w:rsidRDefault="00046BD5" w:rsidP="00D411F5">
      <w:pPr>
        <w:pStyle w:val="ListBullet"/>
      </w:pPr>
      <w:r w:rsidRPr="00DE108C">
        <w:t xml:space="preserve">Water corporations told us that new and manufactured water is important, including long-term reliability of Class A recycled water from the Western Treatment Plant </w:t>
      </w:r>
      <w:r w:rsidR="7F145E18">
        <w:t xml:space="preserve">(WTP) </w:t>
      </w:r>
      <w:r w:rsidRPr="00DE108C">
        <w:t>and Eastern Treatment Plant</w:t>
      </w:r>
      <w:r w:rsidR="76CCA185">
        <w:t xml:space="preserve"> (ETP)</w:t>
      </w:r>
      <w:r>
        <w:t>.</w:t>
      </w:r>
      <w:r w:rsidRPr="00DE108C">
        <w:t xml:space="preserve"> We are further developing this work with the water corporations. </w:t>
      </w:r>
    </w:p>
    <w:p w14:paraId="66FDAC6E" w14:textId="3DC11FE7" w:rsidR="00046BD5" w:rsidRPr="00DE108C" w:rsidRDefault="00046BD5" w:rsidP="00D411F5">
      <w:pPr>
        <w:pStyle w:val="ListBullet"/>
      </w:pPr>
      <w:r w:rsidRPr="00DE108C">
        <w:t xml:space="preserve">Key capital programs, particularly the resilience of our network, were directly informed by our water corporation customers. </w:t>
      </w:r>
    </w:p>
    <w:p w14:paraId="2CCCF851" w14:textId="4C4DA7D5" w:rsidR="00046BD5" w:rsidRPr="00DE108C" w:rsidRDefault="00046BD5" w:rsidP="00ED094E">
      <w:r w:rsidRPr="00DE108C">
        <w:t>End</w:t>
      </w:r>
      <w:r w:rsidR="007C30BF" w:rsidRPr="00DE108C">
        <w:t>-</w:t>
      </w:r>
      <w:r w:rsidRPr="00DE108C">
        <w:t>use customers were also consulted on our proposed capital programs. Customers told us their priorities, which formed our Outcomes, and their comfort to pay for key programs, including waterways programs</w:t>
      </w:r>
      <w:r w:rsidR="12103F84">
        <w:t>,</w:t>
      </w:r>
      <w:r w:rsidRPr="00DE108C">
        <w:t xml:space="preserve"> such as Reimagining Your Creek, stormwater harvesting and land for community enjoyment. </w:t>
      </w:r>
    </w:p>
    <w:p w14:paraId="4E5EF4AC" w14:textId="77777777" w:rsidR="00046BD5" w:rsidRPr="00DE108C" w:rsidRDefault="00046BD5">
      <w:pPr>
        <w:pStyle w:val="Heading3"/>
      </w:pPr>
      <w:r w:rsidRPr="00DE108C">
        <w:t>6.1.2 Proposed expenditure is prudent, efficient and deliverable</w:t>
      </w:r>
    </w:p>
    <w:p w14:paraId="2BDD3BA2" w14:textId="3AB80FA3" w:rsidR="00046BD5" w:rsidRPr="00DE108C" w:rsidRDefault="00046BD5" w:rsidP="00ED094E">
      <w:r w:rsidRPr="00DE108C">
        <w:t xml:space="preserve">Melbourne Water has developed </w:t>
      </w:r>
      <w:r w:rsidR="3A834D85">
        <w:t>capex</w:t>
      </w:r>
      <w:r w:rsidRPr="00DE108C">
        <w:t xml:space="preserve"> forecasts </w:t>
      </w:r>
      <w:r w:rsidR="005369CA" w:rsidRPr="005369CA">
        <w:t>that are both prudent and efficient, in line</w:t>
      </w:r>
      <w:r w:rsidRPr="00DE108C">
        <w:t xml:space="preserve"> with the ESC’s guidance. </w:t>
      </w:r>
      <w:r w:rsidR="005369CA" w:rsidRPr="005369CA">
        <w:t>To support this, we followed</w:t>
      </w:r>
      <w:r w:rsidRPr="00DE108C">
        <w:t xml:space="preserve"> the </w:t>
      </w:r>
      <w:r w:rsidR="005369CA" w:rsidRPr="005369CA">
        <w:t>structured approach outlined</w:t>
      </w:r>
      <w:r w:rsidRPr="00DE108C">
        <w:t xml:space="preserve"> in Chapter 1 </w:t>
      </w:r>
      <w:r w:rsidR="7E4651A5">
        <w:t>(</w:t>
      </w:r>
      <w:r w:rsidRPr="00DE108C">
        <w:t>Management</w:t>
      </w:r>
      <w:r w:rsidR="4322618F">
        <w:t>)</w:t>
      </w:r>
      <w:r w:rsidR="005369CA">
        <w:t>,</w:t>
      </w:r>
      <w:r w:rsidR="005369CA" w:rsidRPr="005369CA">
        <w:t xml:space="preserve"> using</w:t>
      </w:r>
      <w:r w:rsidRPr="00DE108C">
        <w:t xml:space="preserve"> the best available </w:t>
      </w:r>
      <w:r w:rsidR="005369CA" w:rsidRPr="005369CA">
        <w:t xml:space="preserve">data and </w:t>
      </w:r>
      <w:r w:rsidRPr="00DE108C">
        <w:t>inputs</w:t>
      </w:r>
      <w:r w:rsidR="005369CA" w:rsidRPr="005369CA">
        <w:t>.</w:t>
      </w:r>
      <w:r w:rsidR="005369CA">
        <w:t xml:space="preserve"> </w:t>
      </w:r>
      <w:r w:rsidR="008F6FCD" w:rsidRPr="008F6FCD">
        <w:t xml:space="preserve">Our </w:t>
      </w:r>
      <w:r w:rsidRPr="00DE108C">
        <w:t xml:space="preserve">forecasts </w:t>
      </w:r>
      <w:r w:rsidR="008F6FCD" w:rsidRPr="008F6FCD">
        <w:t xml:space="preserve">are based </w:t>
      </w:r>
      <w:r w:rsidRPr="00DE108C">
        <w:t xml:space="preserve">on efficient cost assumptions and </w:t>
      </w:r>
      <w:r w:rsidR="008F6FCD" w:rsidRPr="008F6FCD">
        <w:t>refined through a robust</w:t>
      </w:r>
      <w:r w:rsidRPr="00DE108C">
        <w:t xml:space="preserve"> capex prioritisation framework</w:t>
      </w:r>
      <w:r w:rsidR="008F6FCD" w:rsidRPr="008F6FCD">
        <w:t>.</w:t>
      </w:r>
      <w:r w:rsidRPr="00DE108C">
        <w:t xml:space="preserve"> We tested deliverability, collaborated </w:t>
      </w:r>
      <w:r w:rsidR="008F6FCD" w:rsidRPr="008F6FCD">
        <w:t>extensively</w:t>
      </w:r>
      <w:r w:rsidRPr="00DE108C">
        <w:t xml:space="preserve"> with water corporations, and </w:t>
      </w:r>
      <w:r w:rsidR="008F6FCD" w:rsidRPr="008F6FCD">
        <w:t xml:space="preserve">validated </w:t>
      </w:r>
      <w:r w:rsidRPr="00DE108C">
        <w:t xml:space="preserve">our proposal </w:t>
      </w:r>
      <w:r w:rsidR="008F6FCD" w:rsidRPr="008F6FCD">
        <w:t xml:space="preserve">through </w:t>
      </w:r>
      <w:r w:rsidRPr="00DE108C">
        <w:t xml:space="preserve">public consultation to </w:t>
      </w:r>
      <w:r w:rsidR="008F6FCD" w:rsidRPr="008F6FCD">
        <w:t>ensure it delivers value for money</w:t>
      </w:r>
      <w:r w:rsidRPr="00DE108C">
        <w:t>.</w:t>
      </w:r>
    </w:p>
    <w:p w14:paraId="614584D3" w14:textId="77777777" w:rsidR="00046BD5" w:rsidRPr="00DE108C" w:rsidRDefault="00046BD5" w:rsidP="00ED094E">
      <w:r w:rsidRPr="00DE108C">
        <w:t>In addition, we have undertaken the following:</w:t>
      </w:r>
    </w:p>
    <w:p w14:paraId="43057DBA" w14:textId="77777777" w:rsidR="00046BD5" w:rsidRPr="00DE108C" w:rsidRDefault="00046BD5" w:rsidP="00D411F5">
      <w:pPr>
        <w:pStyle w:val="ListBullet"/>
      </w:pPr>
      <w:r w:rsidRPr="00DE108C">
        <w:t>All major projects have a detailed business case, and all programs have a detailed program-level expenditure case.</w:t>
      </w:r>
    </w:p>
    <w:p w14:paraId="44B511B3" w14:textId="77777777" w:rsidR="00046BD5" w:rsidRPr="00DE108C" w:rsidRDefault="00046BD5" w:rsidP="00D411F5">
      <w:pPr>
        <w:pStyle w:val="ListBullet"/>
      </w:pPr>
      <w:r w:rsidRPr="00DE108C">
        <w:t>We use P50 cost estimates for all projects and have optimised contingencies across the program.</w:t>
      </w:r>
    </w:p>
    <w:p w14:paraId="7174E4A7" w14:textId="40B394CA" w:rsidR="00046BD5" w:rsidRPr="00DE108C" w:rsidRDefault="00046BD5" w:rsidP="00D411F5">
      <w:pPr>
        <w:pStyle w:val="ListBullet"/>
      </w:pPr>
      <w:r w:rsidRPr="00DE108C">
        <w:t>For renewals, we seek ongoing efficiencies through competitive tendering and consider bundling projects to drive the lowest possible cost over the regulatory period. Unlike retail and regional urban water corporations that have high volumes of reticulation and distribution mains renewals, renewals for our bulk assets and treatment infrastructure require bespoke solutions. This need to renew ageing assets provides an opportunity to do things differently and provide additional benefits. For example, our Chlorine Risk Reduction Strategy replaces ageing high risk gas chlorination water and sewage disinfection systems with liquid sodium hypochlorite systems, significantly reducing safety and supply chain risks, as well as renewing essential assets.</w:t>
      </w:r>
    </w:p>
    <w:p w14:paraId="2C74D8B3" w14:textId="77777777" w:rsidR="00046BD5" w:rsidRPr="00DE108C" w:rsidRDefault="00046BD5" w:rsidP="00D411F5">
      <w:pPr>
        <w:pStyle w:val="ListBullet"/>
      </w:pPr>
      <w:r w:rsidRPr="00DE108C">
        <w:t xml:space="preserve">We adopt contracting models that use large panel arrangements with incentives to deliver cost savings to customers and that build on and extend our existing capital delivery model. </w:t>
      </w:r>
    </w:p>
    <w:p w14:paraId="19AA1296" w14:textId="1A90339C" w:rsidR="00046BD5" w:rsidRPr="00DE108C" w:rsidRDefault="00046BD5" w:rsidP="00D411F5">
      <w:pPr>
        <w:pStyle w:val="ListBullet"/>
      </w:pPr>
      <w:r w:rsidRPr="00DE108C">
        <w:t xml:space="preserve">We have optimised our capital program using a risk-based prioritisation of projects, leading to the reduction in scope or deferral of some major projects. To protect </w:t>
      </w:r>
      <w:r w:rsidRPr="00DE108C">
        <w:lastRenderedPageBreak/>
        <w:t xml:space="preserve">customers from bearing the cost of uncertainty, we have only included cost recovery for projects where prudency, efficiency and deliverability have been firmly established. Initiatives still under review are supported through development funding only. Further details on how we are managing financial and revenue risk associated with our </w:t>
      </w:r>
      <w:r w:rsidR="6A0E1825">
        <w:t>capex</w:t>
      </w:r>
      <w:r w:rsidRPr="00DE108C">
        <w:t xml:space="preserve"> program </w:t>
      </w:r>
      <w:r w:rsidR="6BED9FD6">
        <w:t xml:space="preserve">is </w:t>
      </w:r>
      <w:r w:rsidRPr="00DE108C">
        <w:t>in Section 5.</w:t>
      </w:r>
      <w:r w:rsidR="00306945">
        <w:t>3</w:t>
      </w:r>
      <w:r w:rsidRPr="00DE108C">
        <w:t>.2.1.</w:t>
      </w:r>
    </w:p>
    <w:p w14:paraId="2C97C9E1" w14:textId="008ECB22" w:rsidR="00046BD5" w:rsidRPr="00DE108C" w:rsidRDefault="00046BD5" w:rsidP="00ED094E">
      <w:r w:rsidRPr="00DE108C">
        <w:t xml:space="preserve">Melbourne Water understands the vital importance of ensuring our proposed capital program is prudent, efficient and deliverable. </w:t>
      </w:r>
      <w:r w:rsidR="00CF260E">
        <w:t>W</w:t>
      </w:r>
      <w:r w:rsidRPr="00DE108C">
        <w:t>e have conducted a thorough deliverability assessment to ensure our plans are realistic, balancing the scale of investment with our capacity to deliver effectively and efficiently. Based on this assessment, which has also drawn on the lessons learn</w:t>
      </w:r>
      <w:r w:rsidR="00E7119E">
        <w:t>t</w:t>
      </w:r>
      <w:r w:rsidRPr="00DE108C">
        <w:t xml:space="preserve"> from the 2021-26 regulatory period, we are confident in our ability to deliver the proposed capital program. Further details of our deliverability planning and assessments are provided in Chapter 1 </w:t>
      </w:r>
      <w:r w:rsidR="3501CA06">
        <w:t>(</w:t>
      </w:r>
      <w:r w:rsidRPr="00DE108C">
        <w:t>Management</w:t>
      </w:r>
      <w:r w:rsidR="2B57B6EC">
        <w:t>)</w:t>
      </w:r>
      <w:r>
        <w:t>.</w:t>
      </w:r>
      <w:r w:rsidRPr="00DE108C">
        <w:t xml:space="preserve"> Our detailed Deliverability Plan is also available on request.</w:t>
      </w:r>
    </w:p>
    <w:p w14:paraId="562877DB" w14:textId="77777777" w:rsidR="00046BD5" w:rsidRPr="00DE108C" w:rsidRDefault="00046BD5" w:rsidP="00ED094E"/>
    <w:p w14:paraId="698AF275" w14:textId="64CFA676" w:rsidR="00046BD5" w:rsidRPr="00DE108C" w:rsidRDefault="00046BD5">
      <w:pPr>
        <w:pStyle w:val="Heading2"/>
      </w:pPr>
      <w:bookmarkStart w:id="435" w:name="_Toc207892904"/>
      <w:bookmarkStart w:id="436" w:name="_Toc207853397"/>
      <w:r w:rsidRPr="00DE108C">
        <w:t xml:space="preserve">6.2 Our proposed capital expenditure aligns with our </w:t>
      </w:r>
      <w:bookmarkEnd w:id="435"/>
      <w:bookmarkEnd w:id="436"/>
      <w:r w:rsidR="00B604EB" w:rsidRPr="00DE108C">
        <w:t>O</w:t>
      </w:r>
      <w:r w:rsidRPr="00DE108C">
        <w:t>utcomes</w:t>
      </w:r>
    </w:p>
    <w:p w14:paraId="128473E8" w14:textId="0D31F7C1" w:rsidR="00046BD5" w:rsidRPr="00DE108C" w:rsidRDefault="00046BD5" w:rsidP="00ED094E">
      <w:r w:rsidRPr="00DE108C">
        <w:t xml:space="preserve">In this section, we provide an overview of the </w:t>
      </w:r>
      <w:r w:rsidR="04F962A0">
        <w:t>capex</w:t>
      </w:r>
      <w:r w:rsidRPr="00DE108C">
        <w:t xml:space="preserve"> forecasts by Outcome. We provide a summary followed by detailed forecasts by Outcome showing major projects and programs.</w:t>
      </w:r>
    </w:p>
    <w:p w14:paraId="7E5F595A" w14:textId="77777777" w:rsidR="00046BD5" w:rsidRPr="00DE108C" w:rsidRDefault="00046BD5">
      <w:pPr>
        <w:pStyle w:val="Heading3"/>
      </w:pPr>
      <w:r w:rsidRPr="00DE108C">
        <w:t>6.2.1 Overview</w:t>
      </w:r>
    </w:p>
    <w:p w14:paraId="2AF3DC3D" w14:textId="58CD711D" w:rsidR="00046BD5" w:rsidRPr="00DE108C" w:rsidRDefault="00046BD5" w:rsidP="00ED094E">
      <w:pPr>
        <w:rPr>
          <w:rFonts w:eastAsiaTheme="minorEastAsia" w:cstheme="minorBidi"/>
        </w:rPr>
      </w:pPr>
      <w:r w:rsidRPr="00DE108C">
        <w:t>As summarised in Table 6.1, our proposed customer Outcomes directly reflect the core services we provide. We have mapped our capital programs and expenditures for the next regulatory period directly to them.</w:t>
      </w:r>
      <w:r w:rsidRPr="00DE108C">
        <w:rPr>
          <w:rFonts w:eastAsiaTheme="minorEastAsia" w:cstheme="minorBidi"/>
        </w:rPr>
        <w:t xml:space="preserve"> We have not allocated any capital investment to Outcome 5, </w:t>
      </w:r>
      <w:r w:rsidRPr="00A10611">
        <w:rPr>
          <w:rFonts w:eastAsiaTheme="minorEastAsia" w:cstheme="minorBidi"/>
          <w:i/>
        </w:rPr>
        <w:t>a valued partner in water cycle services</w:t>
      </w:r>
      <w:r w:rsidRPr="00DE108C">
        <w:rPr>
          <w:rFonts w:eastAsiaTheme="minorEastAsia" w:cstheme="minorBidi"/>
        </w:rPr>
        <w:t>, as these activities relate to how</w:t>
      </w:r>
      <w:r w:rsidRPr="00DE108C">
        <w:rPr>
          <w:rFonts w:eastAsiaTheme="minorEastAsia" w:cstheme="minorBidi"/>
          <w:i/>
          <w:iCs/>
        </w:rPr>
        <w:t xml:space="preserve"> </w:t>
      </w:r>
      <w:r w:rsidRPr="00DE108C">
        <w:rPr>
          <w:rFonts w:eastAsiaTheme="minorEastAsia" w:cstheme="minorBidi"/>
        </w:rPr>
        <w:t>we work with our water corporations, communities and customers and is primarily reflected by operating expenditure</w:t>
      </w:r>
      <w:r w:rsidR="725E135F" w:rsidRPr="425138B5">
        <w:rPr>
          <w:rFonts w:eastAsiaTheme="minorEastAsia" w:cstheme="minorBidi"/>
        </w:rPr>
        <w:t xml:space="preserve"> (opex)</w:t>
      </w:r>
      <w:r w:rsidRPr="425138B5">
        <w:rPr>
          <w:rFonts w:eastAsiaTheme="minorEastAsia" w:cstheme="minorBidi"/>
        </w:rPr>
        <w:t>.</w:t>
      </w:r>
    </w:p>
    <w:p w14:paraId="6854E474" w14:textId="7C4E1BEF" w:rsidR="00046BD5" w:rsidRPr="00DE108C" w:rsidRDefault="00046BD5">
      <w:pPr>
        <w:pStyle w:val="Caption"/>
      </w:pPr>
      <w:bookmarkStart w:id="437" w:name="_Toc207893017"/>
      <w:bookmarkStart w:id="438" w:name="_Toc208490541"/>
      <w:bookmarkStart w:id="439" w:name="_Toc208490879"/>
      <w:bookmarkStart w:id="440" w:name="_Toc208911037"/>
      <w:bookmarkStart w:id="441" w:name="_Toc210051343"/>
      <w:r w:rsidRPr="00DE108C">
        <w:t xml:space="preserve">Table 6.1 Mapping of Outcomes to </w:t>
      </w:r>
      <w:r w:rsidR="003223AE" w:rsidRPr="00DE108C">
        <w:t>s</w:t>
      </w:r>
      <w:r w:rsidRPr="00DE108C">
        <w:t xml:space="preserve">ervices </w:t>
      </w:r>
      <w:r w:rsidR="003223AE" w:rsidRPr="00DE108C">
        <w:t>p</w:t>
      </w:r>
      <w:r w:rsidRPr="00DE108C">
        <w:t xml:space="preserve">rogram and </w:t>
      </w:r>
      <w:r w:rsidR="0156E1C6">
        <w:t>capex</w:t>
      </w:r>
      <w:r w:rsidRPr="00DE108C">
        <w:t xml:space="preserve"> for 2026-31 ($millions, real 2025-26)</w:t>
      </w:r>
      <w:bookmarkEnd w:id="437"/>
      <w:bookmarkEnd w:id="438"/>
      <w:bookmarkEnd w:id="439"/>
      <w:bookmarkEnd w:id="440"/>
      <w:bookmarkEnd w:id="441"/>
    </w:p>
    <w:tbl>
      <w:tblPr>
        <w:tblStyle w:val="MWTableGrid"/>
        <w:tblW w:w="9634" w:type="dxa"/>
        <w:tblLook w:val="04E0" w:firstRow="1" w:lastRow="1" w:firstColumn="1" w:lastColumn="0" w:noHBand="0" w:noVBand="1"/>
      </w:tblPr>
      <w:tblGrid>
        <w:gridCol w:w="3823"/>
        <w:gridCol w:w="3685"/>
        <w:gridCol w:w="2126"/>
      </w:tblGrid>
      <w:tr w:rsidR="00556A0D" w:rsidRPr="00DE108C" w14:paraId="4D4F1764" w14:textId="77777777">
        <w:trPr>
          <w:cnfStyle w:val="100000000000" w:firstRow="1" w:lastRow="0" w:firstColumn="0" w:lastColumn="0" w:oddVBand="0" w:evenVBand="0" w:oddHBand="0" w:evenHBand="0" w:firstRowFirstColumn="0" w:firstRowLastColumn="0" w:lastRowFirstColumn="0" w:lastRowLastColumn="0"/>
          <w:trHeight w:val="707"/>
        </w:trPr>
        <w:tc>
          <w:tcPr>
            <w:tcW w:w="3823" w:type="dxa"/>
          </w:tcPr>
          <w:p w14:paraId="1BCD1D3F" w14:textId="77777777" w:rsidR="00046BD5" w:rsidRPr="00A12A47" w:rsidRDefault="00046BD5" w:rsidP="00ED094E">
            <w:pPr>
              <w:rPr>
                <w:b/>
                <w:color w:val="FFFFFF" w:themeColor="background1"/>
                <w:sz w:val="16"/>
                <w:szCs w:val="16"/>
              </w:rPr>
            </w:pPr>
            <w:r w:rsidRPr="00A12A47">
              <w:rPr>
                <w:b/>
                <w:color w:val="FFFFFF" w:themeColor="background1"/>
                <w:sz w:val="16"/>
                <w:szCs w:val="16"/>
              </w:rPr>
              <w:t>Outcome</w:t>
            </w:r>
          </w:p>
        </w:tc>
        <w:tc>
          <w:tcPr>
            <w:tcW w:w="3685" w:type="dxa"/>
          </w:tcPr>
          <w:p w14:paraId="26E7AAF7" w14:textId="15A41F71" w:rsidR="00046BD5" w:rsidRPr="00A12A47" w:rsidRDefault="00046BD5" w:rsidP="00ED094E">
            <w:pPr>
              <w:rPr>
                <w:b/>
                <w:color w:val="FFFFFF" w:themeColor="background1"/>
                <w:sz w:val="16"/>
                <w:szCs w:val="16"/>
              </w:rPr>
            </w:pPr>
            <w:r w:rsidRPr="00A12A47">
              <w:rPr>
                <w:b/>
                <w:color w:val="FFFFFF" w:themeColor="background1"/>
                <w:sz w:val="16"/>
                <w:szCs w:val="16"/>
              </w:rPr>
              <w:t xml:space="preserve">Services </w:t>
            </w:r>
            <w:r w:rsidR="003223AE" w:rsidRPr="00A12A47">
              <w:rPr>
                <w:b/>
                <w:color w:val="FFFFFF" w:themeColor="background1"/>
                <w:sz w:val="16"/>
                <w:szCs w:val="16"/>
              </w:rPr>
              <w:t>p</w:t>
            </w:r>
            <w:r w:rsidRPr="00A12A47">
              <w:rPr>
                <w:b/>
                <w:color w:val="FFFFFF" w:themeColor="background1"/>
                <w:sz w:val="16"/>
                <w:szCs w:val="16"/>
              </w:rPr>
              <w:t>rogram*</w:t>
            </w:r>
          </w:p>
        </w:tc>
        <w:tc>
          <w:tcPr>
            <w:tcW w:w="2126" w:type="dxa"/>
          </w:tcPr>
          <w:p w14:paraId="20969E99" w14:textId="762C7D9A" w:rsidR="00046BD5" w:rsidRPr="00A12A47" w:rsidRDefault="00046BD5" w:rsidP="00ED094E">
            <w:pPr>
              <w:rPr>
                <w:b/>
                <w:color w:val="FFFFFF" w:themeColor="background1"/>
                <w:sz w:val="16"/>
                <w:szCs w:val="16"/>
              </w:rPr>
            </w:pPr>
            <w:r w:rsidRPr="00A12A47">
              <w:rPr>
                <w:b/>
                <w:color w:val="FFFFFF" w:themeColor="background1"/>
                <w:sz w:val="16"/>
                <w:szCs w:val="16"/>
              </w:rPr>
              <w:t xml:space="preserve">Capex </w:t>
            </w:r>
            <w:r w:rsidR="006660B8" w:rsidRPr="006660B8">
              <w:rPr>
                <w:b/>
                <w:color w:val="FFFFFF" w:themeColor="background1"/>
                <w:sz w:val="16"/>
                <w:szCs w:val="16"/>
              </w:rPr>
              <w:t>($millions, real 2025-26)</w:t>
            </w:r>
          </w:p>
        </w:tc>
      </w:tr>
      <w:tr w:rsidR="00046BD5" w:rsidRPr="00DE108C" w14:paraId="2941E563" w14:textId="77777777">
        <w:tc>
          <w:tcPr>
            <w:tcW w:w="3823" w:type="dxa"/>
          </w:tcPr>
          <w:p w14:paraId="6E413FED" w14:textId="77777777" w:rsidR="00046BD5" w:rsidRPr="00DE108C" w:rsidRDefault="00046BD5" w:rsidP="00ED094E">
            <w:pPr>
              <w:rPr>
                <w:sz w:val="16"/>
                <w:szCs w:val="16"/>
              </w:rPr>
            </w:pPr>
            <w:r w:rsidRPr="00DE108C">
              <w:rPr>
                <w:sz w:val="16"/>
                <w:szCs w:val="16"/>
              </w:rPr>
              <w:t>Outcome 1: Safe and reliable bulk water supplies for now and the long term</w:t>
            </w:r>
          </w:p>
        </w:tc>
        <w:tc>
          <w:tcPr>
            <w:tcW w:w="3685" w:type="dxa"/>
          </w:tcPr>
          <w:p w14:paraId="583E56D1" w14:textId="77777777" w:rsidR="00046BD5" w:rsidRPr="00DE108C" w:rsidRDefault="00046BD5" w:rsidP="00ED094E">
            <w:pPr>
              <w:rPr>
                <w:sz w:val="16"/>
                <w:szCs w:val="16"/>
              </w:rPr>
            </w:pPr>
            <w:r w:rsidRPr="00DE108C">
              <w:rPr>
                <w:sz w:val="16"/>
                <w:szCs w:val="16"/>
              </w:rPr>
              <w:t>Water (including capitalised desalination costs)</w:t>
            </w:r>
          </w:p>
          <w:p w14:paraId="6A95632B" w14:textId="10907C60" w:rsidR="00046BD5" w:rsidRPr="00DE108C" w:rsidRDefault="00046BD5" w:rsidP="00ED094E">
            <w:pPr>
              <w:rPr>
                <w:sz w:val="16"/>
                <w:szCs w:val="16"/>
              </w:rPr>
            </w:pPr>
            <w:r w:rsidRPr="00DE108C">
              <w:rPr>
                <w:sz w:val="16"/>
                <w:szCs w:val="16"/>
              </w:rPr>
              <w:t xml:space="preserve">Manufactured and </w:t>
            </w:r>
            <w:r w:rsidR="005263E3">
              <w:rPr>
                <w:sz w:val="16"/>
                <w:szCs w:val="16"/>
              </w:rPr>
              <w:t>N</w:t>
            </w:r>
            <w:r w:rsidRPr="425138B5">
              <w:rPr>
                <w:sz w:val="16"/>
                <w:szCs w:val="16"/>
              </w:rPr>
              <w:t xml:space="preserve">ew </w:t>
            </w:r>
            <w:r w:rsidR="005263E3">
              <w:rPr>
                <w:sz w:val="16"/>
                <w:szCs w:val="16"/>
              </w:rPr>
              <w:t>W</w:t>
            </w:r>
            <w:r w:rsidRPr="425138B5">
              <w:rPr>
                <w:sz w:val="16"/>
                <w:szCs w:val="16"/>
              </w:rPr>
              <w:t>ater</w:t>
            </w:r>
            <w:r w:rsidR="005263E3">
              <w:rPr>
                <w:sz w:val="16"/>
                <w:szCs w:val="16"/>
              </w:rPr>
              <w:t xml:space="preserve"> program</w:t>
            </w:r>
          </w:p>
        </w:tc>
        <w:tc>
          <w:tcPr>
            <w:tcW w:w="2126" w:type="dxa"/>
          </w:tcPr>
          <w:p w14:paraId="000A6143" w14:textId="77777777" w:rsidR="00046BD5" w:rsidRPr="00DE108C" w:rsidRDefault="00046BD5" w:rsidP="00ED094E">
            <w:pPr>
              <w:rPr>
                <w:sz w:val="16"/>
                <w:szCs w:val="16"/>
              </w:rPr>
            </w:pPr>
            <w:r w:rsidRPr="00DE108C">
              <w:rPr>
                <w:sz w:val="16"/>
                <w:szCs w:val="16"/>
              </w:rPr>
              <w:t>2,912</w:t>
            </w:r>
          </w:p>
        </w:tc>
      </w:tr>
      <w:tr w:rsidR="00556A0D" w:rsidRPr="00DE108C" w14:paraId="341AD6E5" w14:textId="77777777">
        <w:trPr>
          <w:cnfStyle w:val="000000010000" w:firstRow="0" w:lastRow="0" w:firstColumn="0" w:lastColumn="0" w:oddVBand="0" w:evenVBand="0" w:oddHBand="0" w:evenHBand="1" w:firstRowFirstColumn="0" w:firstRowLastColumn="0" w:lastRowFirstColumn="0" w:lastRowLastColumn="0"/>
        </w:trPr>
        <w:tc>
          <w:tcPr>
            <w:tcW w:w="3823" w:type="dxa"/>
          </w:tcPr>
          <w:p w14:paraId="6009DA96" w14:textId="77777777" w:rsidR="00046BD5" w:rsidRPr="00DE108C" w:rsidRDefault="00046BD5" w:rsidP="00ED094E">
            <w:pPr>
              <w:rPr>
                <w:sz w:val="16"/>
                <w:szCs w:val="16"/>
              </w:rPr>
            </w:pPr>
            <w:r w:rsidRPr="00DE108C">
              <w:rPr>
                <w:sz w:val="16"/>
                <w:szCs w:val="16"/>
              </w:rPr>
              <w:t>Outcome 2: Environmentally sustainable and reliable bulk sewerage services</w:t>
            </w:r>
          </w:p>
        </w:tc>
        <w:tc>
          <w:tcPr>
            <w:tcW w:w="3685" w:type="dxa"/>
          </w:tcPr>
          <w:p w14:paraId="751388E0" w14:textId="77777777" w:rsidR="00046BD5" w:rsidRPr="00DE108C" w:rsidRDefault="00046BD5" w:rsidP="00ED094E">
            <w:pPr>
              <w:rPr>
                <w:sz w:val="16"/>
                <w:szCs w:val="16"/>
              </w:rPr>
            </w:pPr>
            <w:r w:rsidRPr="00DE108C">
              <w:rPr>
                <w:sz w:val="16"/>
                <w:szCs w:val="16"/>
              </w:rPr>
              <w:t>Sewerage (including capitalised sewerage costs)</w:t>
            </w:r>
          </w:p>
        </w:tc>
        <w:tc>
          <w:tcPr>
            <w:tcW w:w="2126" w:type="dxa"/>
          </w:tcPr>
          <w:p w14:paraId="0976F828" w14:textId="77777777" w:rsidR="00046BD5" w:rsidRPr="00DE108C" w:rsidRDefault="00046BD5" w:rsidP="00ED094E">
            <w:pPr>
              <w:rPr>
                <w:sz w:val="16"/>
                <w:szCs w:val="16"/>
              </w:rPr>
            </w:pPr>
            <w:r w:rsidRPr="00DE108C">
              <w:rPr>
                <w:sz w:val="16"/>
                <w:szCs w:val="16"/>
              </w:rPr>
              <w:t>2,738</w:t>
            </w:r>
          </w:p>
        </w:tc>
      </w:tr>
      <w:tr w:rsidR="00046BD5" w:rsidRPr="00DE108C" w14:paraId="56CABBCC" w14:textId="77777777">
        <w:tc>
          <w:tcPr>
            <w:tcW w:w="3823" w:type="dxa"/>
          </w:tcPr>
          <w:p w14:paraId="04B2EA29" w14:textId="77777777" w:rsidR="00046BD5" w:rsidRPr="00DE108C" w:rsidRDefault="00046BD5" w:rsidP="00ED094E">
            <w:pPr>
              <w:rPr>
                <w:sz w:val="16"/>
                <w:szCs w:val="16"/>
              </w:rPr>
            </w:pPr>
            <w:r w:rsidRPr="00DE108C">
              <w:rPr>
                <w:sz w:val="16"/>
                <w:szCs w:val="16"/>
              </w:rPr>
              <w:t>Outcome 3: Healthy, resilient waterways</w:t>
            </w:r>
          </w:p>
        </w:tc>
        <w:tc>
          <w:tcPr>
            <w:tcW w:w="3685" w:type="dxa"/>
          </w:tcPr>
          <w:p w14:paraId="5ECDC7A3" w14:textId="77777777" w:rsidR="00046BD5" w:rsidRPr="00DE108C" w:rsidRDefault="00046BD5" w:rsidP="00ED094E">
            <w:pPr>
              <w:rPr>
                <w:sz w:val="16"/>
                <w:szCs w:val="16"/>
              </w:rPr>
            </w:pPr>
            <w:r w:rsidRPr="00DE108C">
              <w:rPr>
                <w:sz w:val="16"/>
                <w:szCs w:val="16"/>
              </w:rPr>
              <w:t>Waterways (including Diversions and Government Contributions)</w:t>
            </w:r>
          </w:p>
        </w:tc>
        <w:tc>
          <w:tcPr>
            <w:tcW w:w="2126" w:type="dxa"/>
          </w:tcPr>
          <w:p w14:paraId="1770A085" w14:textId="77777777" w:rsidR="00046BD5" w:rsidRPr="00DE108C" w:rsidRDefault="00046BD5" w:rsidP="00ED094E">
            <w:pPr>
              <w:rPr>
                <w:sz w:val="16"/>
                <w:szCs w:val="16"/>
              </w:rPr>
            </w:pPr>
            <w:r w:rsidRPr="00DE108C">
              <w:rPr>
                <w:sz w:val="16"/>
                <w:szCs w:val="16"/>
              </w:rPr>
              <w:t>378</w:t>
            </w:r>
          </w:p>
        </w:tc>
      </w:tr>
      <w:tr w:rsidR="00556A0D" w:rsidRPr="00DE108C" w14:paraId="4067896C" w14:textId="77777777">
        <w:trPr>
          <w:cnfStyle w:val="000000010000" w:firstRow="0" w:lastRow="0" w:firstColumn="0" w:lastColumn="0" w:oddVBand="0" w:evenVBand="0" w:oddHBand="0" w:evenHBand="1" w:firstRowFirstColumn="0" w:firstRowLastColumn="0" w:lastRowFirstColumn="0" w:lastRowLastColumn="0"/>
        </w:trPr>
        <w:tc>
          <w:tcPr>
            <w:tcW w:w="3823" w:type="dxa"/>
          </w:tcPr>
          <w:p w14:paraId="3A9364C4" w14:textId="77777777" w:rsidR="00046BD5" w:rsidRPr="00DE108C" w:rsidRDefault="00046BD5" w:rsidP="00ED094E">
            <w:pPr>
              <w:rPr>
                <w:sz w:val="16"/>
                <w:szCs w:val="16"/>
              </w:rPr>
            </w:pPr>
            <w:r w:rsidRPr="00DE108C">
              <w:rPr>
                <w:sz w:val="16"/>
                <w:szCs w:val="16"/>
              </w:rPr>
              <w:t>Outcome 4: Urban drainage and flood resilience</w:t>
            </w:r>
          </w:p>
        </w:tc>
        <w:tc>
          <w:tcPr>
            <w:tcW w:w="3685" w:type="dxa"/>
          </w:tcPr>
          <w:p w14:paraId="438D7D02" w14:textId="77777777" w:rsidR="00046BD5" w:rsidRPr="00DE108C" w:rsidRDefault="00046BD5" w:rsidP="00ED094E">
            <w:pPr>
              <w:rPr>
                <w:sz w:val="16"/>
                <w:szCs w:val="16"/>
              </w:rPr>
            </w:pPr>
            <w:r w:rsidRPr="00DE108C">
              <w:rPr>
                <w:sz w:val="16"/>
                <w:szCs w:val="16"/>
              </w:rPr>
              <w:t>Drainage</w:t>
            </w:r>
          </w:p>
          <w:p w14:paraId="26018C58" w14:textId="77777777" w:rsidR="00046BD5" w:rsidRPr="00DE108C" w:rsidRDefault="00046BD5" w:rsidP="00ED094E">
            <w:pPr>
              <w:rPr>
                <w:sz w:val="16"/>
                <w:szCs w:val="16"/>
              </w:rPr>
            </w:pPr>
            <w:r w:rsidRPr="00DE108C">
              <w:rPr>
                <w:sz w:val="16"/>
                <w:szCs w:val="16"/>
              </w:rPr>
              <w:t>Urban Development</w:t>
            </w:r>
          </w:p>
        </w:tc>
        <w:tc>
          <w:tcPr>
            <w:tcW w:w="2126" w:type="dxa"/>
          </w:tcPr>
          <w:p w14:paraId="2471E4E9" w14:textId="77777777" w:rsidR="00046BD5" w:rsidRPr="00DE108C" w:rsidRDefault="00046BD5" w:rsidP="00ED094E">
            <w:pPr>
              <w:rPr>
                <w:sz w:val="16"/>
                <w:szCs w:val="16"/>
              </w:rPr>
            </w:pPr>
            <w:r w:rsidRPr="00DE108C">
              <w:rPr>
                <w:sz w:val="16"/>
                <w:szCs w:val="16"/>
              </w:rPr>
              <w:t>1,828</w:t>
            </w:r>
          </w:p>
        </w:tc>
      </w:tr>
      <w:tr w:rsidR="00046BD5" w:rsidRPr="00DE108C" w14:paraId="1C7896D7" w14:textId="77777777">
        <w:tc>
          <w:tcPr>
            <w:tcW w:w="3823" w:type="dxa"/>
          </w:tcPr>
          <w:p w14:paraId="5F0FD8B6" w14:textId="77777777" w:rsidR="00046BD5" w:rsidRPr="00DE108C" w:rsidRDefault="00046BD5" w:rsidP="00ED094E">
            <w:pPr>
              <w:rPr>
                <w:sz w:val="16"/>
                <w:szCs w:val="16"/>
              </w:rPr>
            </w:pPr>
            <w:r w:rsidRPr="00DE108C">
              <w:rPr>
                <w:sz w:val="16"/>
                <w:szCs w:val="16"/>
              </w:rPr>
              <w:lastRenderedPageBreak/>
              <w:t>Outcome 5: A valued partner in water cycle services</w:t>
            </w:r>
          </w:p>
        </w:tc>
        <w:tc>
          <w:tcPr>
            <w:tcW w:w="3685" w:type="dxa"/>
          </w:tcPr>
          <w:p w14:paraId="7DF9AE35" w14:textId="77777777" w:rsidR="00046BD5" w:rsidRPr="00DE108C" w:rsidRDefault="00046BD5" w:rsidP="00ED094E">
            <w:pPr>
              <w:rPr>
                <w:sz w:val="16"/>
                <w:szCs w:val="16"/>
              </w:rPr>
            </w:pPr>
            <w:r w:rsidRPr="00DE108C">
              <w:rPr>
                <w:sz w:val="16"/>
                <w:szCs w:val="16"/>
              </w:rPr>
              <w:t>-</w:t>
            </w:r>
          </w:p>
        </w:tc>
        <w:tc>
          <w:tcPr>
            <w:tcW w:w="2126" w:type="dxa"/>
          </w:tcPr>
          <w:p w14:paraId="6E9D1D43" w14:textId="77777777" w:rsidR="00046BD5" w:rsidRPr="00DE108C" w:rsidRDefault="00046BD5" w:rsidP="00ED094E">
            <w:pPr>
              <w:rPr>
                <w:sz w:val="16"/>
                <w:szCs w:val="16"/>
              </w:rPr>
            </w:pPr>
            <w:r w:rsidRPr="00DE108C">
              <w:rPr>
                <w:sz w:val="16"/>
                <w:szCs w:val="16"/>
              </w:rPr>
              <w:t>-</w:t>
            </w:r>
          </w:p>
        </w:tc>
      </w:tr>
      <w:tr w:rsidR="00556A0D" w:rsidRPr="00DE108C" w14:paraId="47F304B1" w14:textId="77777777">
        <w:trPr>
          <w:cnfStyle w:val="000000010000" w:firstRow="0" w:lastRow="0" w:firstColumn="0" w:lastColumn="0" w:oddVBand="0" w:evenVBand="0" w:oddHBand="0" w:evenHBand="1" w:firstRowFirstColumn="0" w:firstRowLastColumn="0" w:lastRowFirstColumn="0" w:lastRowLastColumn="0"/>
        </w:trPr>
        <w:tc>
          <w:tcPr>
            <w:tcW w:w="3823" w:type="dxa"/>
          </w:tcPr>
          <w:p w14:paraId="593F878D" w14:textId="77777777" w:rsidR="00046BD5" w:rsidRPr="00300B6E" w:rsidRDefault="00046BD5" w:rsidP="00ED094E">
            <w:pPr>
              <w:rPr>
                <w:b/>
                <w:sz w:val="16"/>
                <w:szCs w:val="16"/>
              </w:rPr>
            </w:pPr>
            <w:r w:rsidRPr="00300B6E">
              <w:rPr>
                <w:b/>
                <w:sz w:val="16"/>
                <w:szCs w:val="16"/>
              </w:rPr>
              <w:t>Total</w:t>
            </w:r>
          </w:p>
        </w:tc>
        <w:tc>
          <w:tcPr>
            <w:tcW w:w="3685" w:type="dxa"/>
          </w:tcPr>
          <w:p w14:paraId="75401711" w14:textId="77777777" w:rsidR="00046BD5" w:rsidRPr="00300B6E" w:rsidRDefault="00046BD5">
            <w:pPr>
              <w:rPr>
                <w:b/>
                <w:sz w:val="16"/>
                <w:szCs w:val="16"/>
              </w:rPr>
            </w:pPr>
          </w:p>
        </w:tc>
        <w:tc>
          <w:tcPr>
            <w:tcW w:w="2126" w:type="dxa"/>
          </w:tcPr>
          <w:p w14:paraId="36C1E821" w14:textId="77777777" w:rsidR="00046BD5" w:rsidRPr="00300B6E" w:rsidRDefault="00046BD5" w:rsidP="00ED094E">
            <w:pPr>
              <w:rPr>
                <w:b/>
                <w:sz w:val="16"/>
                <w:szCs w:val="16"/>
              </w:rPr>
            </w:pPr>
            <w:r w:rsidRPr="00300B6E">
              <w:rPr>
                <w:b/>
                <w:sz w:val="16"/>
                <w:szCs w:val="16"/>
              </w:rPr>
              <w:t>7,856</w:t>
            </w:r>
          </w:p>
        </w:tc>
      </w:tr>
    </w:tbl>
    <w:p w14:paraId="5107D7D0" w14:textId="50A20063" w:rsidR="00046BD5" w:rsidRPr="00DE108C" w:rsidRDefault="00046BD5" w:rsidP="00ED094E">
      <w:pPr>
        <w:rPr>
          <w:sz w:val="16"/>
          <w:szCs w:val="16"/>
        </w:rPr>
      </w:pPr>
      <w:r w:rsidRPr="425138B5">
        <w:rPr>
          <w:sz w:val="16"/>
          <w:szCs w:val="16"/>
        </w:rPr>
        <w:t xml:space="preserve">* </w:t>
      </w:r>
      <w:r w:rsidR="56A9FF00" w:rsidRPr="425138B5">
        <w:rPr>
          <w:sz w:val="16"/>
          <w:szCs w:val="16"/>
        </w:rPr>
        <w:t>Capex</w:t>
      </w:r>
      <w:r w:rsidRPr="425138B5">
        <w:rPr>
          <w:sz w:val="16"/>
          <w:szCs w:val="16"/>
        </w:rPr>
        <w:t xml:space="preserve"> associated with supporting corporate and Information Technology </w:t>
      </w:r>
      <w:r w:rsidR="43C7168E" w:rsidRPr="425138B5">
        <w:rPr>
          <w:sz w:val="16"/>
          <w:szCs w:val="16"/>
        </w:rPr>
        <w:t>(IT)</w:t>
      </w:r>
      <w:r w:rsidRPr="425138B5">
        <w:rPr>
          <w:sz w:val="16"/>
          <w:szCs w:val="16"/>
        </w:rPr>
        <w:t xml:space="preserve"> services (including capitalised </w:t>
      </w:r>
      <w:r w:rsidR="7C9E06D8" w:rsidRPr="425138B5">
        <w:rPr>
          <w:sz w:val="16"/>
          <w:szCs w:val="16"/>
        </w:rPr>
        <w:t>IT</w:t>
      </w:r>
      <w:r w:rsidR="00A064F8">
        <w:rPr>
          <w:sz w:val="16"/>
          <w:szCs w:val="16"/>
        </w:rPr>
        <w:t xml:space="preserve"> </w:t>
      </w:r>
      <w:r w:rsidRPr="425138B5">
        <w:rPr>
          <w:sz w:val="16"/>
          <w:szCs w:val="16"/>
        </w:rPr>
        <w:t>operational costs) have been allocated across all services in accordance with our cost allocation methodology.</w:t>
      </w:r>
    </w:p>
    <w:p w14:paraId="34EF146A" w14:textId="71F5C54E" w:rsidR="00046BD5" w:rsidRPr="00DE108C" w:rsidRDefault="00046BD5" w:rsidP="00ED094E">
      <w:r w:rsidRPr="00DE108C">
        <w:t>Figure 6.</w:t>
      </w:r>
      <w:r w:rsidR="00DB791E" w:rsidRPr="00DE108C">
        <w:t>3</w:t>
      </w:r>
      <w:r w:rsidRPr="00DE108C">
        <w:t xml:space="preserve"> presents our total proposed </w:t>
      </w:r>
      <w:r w:rsidR="64E24588">
        <w:t>capex</w:t>
      </w:r>
      <w:r w:rsidRPr="00DE108C">
        <w:t xml:space="preserve"> over the 2026-31 regulatory period by Outcome and service. </w:t>
      </w:r>
    </w:p>
    <w:p w14:paraId="52EEF5C8" w14:textId="0872823D" w:rsidR="00046BD5" w:rsidRPr="00DE108C" w:rsidRDefault="00046BD5" w:rsidP="00ED094E">
      <w:pPr>
        <w:pStyle w:val="Caption"/>
      </w:pPr>
      <w:bookmarkStart w:id="442" w:name="_Toc207893018"/>
      <w:bookmarkStart w:id="443" w:name="_Toc208490542"/>
      <w:bookmarkStart w:id="444" w:name="_Toc208490880"/>
      <w:bookmarkStart w:id="445" w:name="_Toc208911038"/>
      <w:bookmarkStart w:id="446" w:name="_Toc210051344"/>
      <w:r w:rsidRPr="00DE108C">
        <w:t>Figure 6.</w:t>
      </w:r>
      <w:r w:rsidR="00DB791E" w:rsidRPr="00DE108C">
        <w:t>3</w:t>
      </w:r>
      <w:r w:rsidRPr="00DE108C">
        <w:t xml:space="preserve">: Total PS26 </w:t>
      </w:r>
      <w:r w:rsidR="09E8CCF1" w:rsidRPr="00DE108C">
        <w:t>capex</w:t>
      </w:r>
      <w:r w:rsidRPr="00DE108C">
        <w:t xml:space="preserve"> by customer </w:t>
      </w:r>
      <w:r w:rsidR="00A27964">
        <w:t>O</w:t>
      </w:r>
      <w:r w:rsidRPr="00DE108C">
        <w:t>utcome and service ($millions, real 2025-26)</w:t>
      </w:r>
      <w:r w:rsidRPr="00DE108C">
        <w:rPr>
          <w:rStyle w:val="FootnoteReference"/>
          <w:b/>
        </w:rPr>
        <w:footnoteReference w:id="9"/>
      </w:r>
      <w:bookmarkEnd w:id="442"/>
      <w:bookmarkEnd w:id="443"/>
      <w:bookmarkEnd w:id="444"/>
      <w:bookmarkEnd w:id="445"/>
      <w:bookmarkEnd w:id="446"/>
    </w:p>
    <w:p w14:paraId="3457DA3D" w14:textId="72145420" w:rsidR="00046BD5" w:rsidRPr="00DE108C" w:rsidRDefault="00046BD5" w:rsidP="00ED094E">
      <w:r w:rsidRPr="00DE108C">
        <w:rPr>
          <w:noProof/>
        </w:rPr>
        <w:drawing>
          <wp:inline distT="0" distB="0" distL="0" distR="0" wp14:anchorId="3F50FF29" wp14:editId="13A8B63D">
            <wp:extent cx="6120130" cy="2797791"/>
            <wp:effectExtent l="0" t="0" r="0" b="3175"/>
            <wp:docPr id="990133438" name="Chart 1" descr="A bar chart titled &quot;Total PS26 capex by customer Outcome and service ($millions, real 2025–26).&quot; It shows capital expenditure (capex) for four customer outcomes: Water, Sewerage, Waterways, and Drainage and Urban Development. Each bar is segmented by expenditure category: Renewals, Growth, Improvements/Compliance, and Capitalised Desalination Costs (where applicable).&#10;&#10;&#10;Water: Total capex $2,912 million&#10;&#10;Renewals: $826 million&#10;Growth: $828 million&#10;Improvements/Compliance: $638 million&#10;Capitalised Desalination Costs: $621 million&#10;&#10;&#10;&#10;Sewerage: Total capex $2,738 million&#10;&#10;Renewals: $1,143 million&#10;Growth: $919 million&#10;Improvements/Compliance: $677 million&#10;&#10;&#10;&#10;Waterways: Total capex $378 million&#10;&#10;Renewals: $4 million&#10;Growth: $95 million&#10;Improvements/Compliance: $279 million&#10;&#10;&#10;&#10;Drainage and Urban Development: Total capex $1,828 million&#10;&#10;Renewals: $153 million&#10;Growth: $1,450 million&#10;Improvements/Compliance: $226 million">
              <a:extLst xmlns:a="http://schemas.openxmlformats.org/drawingml/2006/main">
                <a:ext uri="{FF2B5EF4-FFF2-40B4-BE49-F238E27FC236}">
                  <a16:creationId xmlns:a16="http://schemas.microsoft.com/office/drawing/2014/main" id="{B06A10CA-5FBB-4E0F-870B-E0C7F2D3F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95C352C" w14:textId="77777777" w:rsidR="00046BD5" w:rsidRPr="00DE108C" w:rsidRDefault="00046BD5"/>
    <w:p w14:paraId="517098BF" w14:textId="77777777" w:rsidR="00046BD5" w:rsidRPr="00DE108C" w:rsidRDefault="00046BD5"/>
    <w:p w14:paraId="67A0C754" w14:textId="2DAA9AB2" w:rsidR="00046BD5" w:rsidRPr="00DE108C" w:rsidRDefault="00046BD5" w:rsidP="00ED094E">
      <w:r w:rsidRPr="00DE108C">
        <w:br w:type="page"/>
      </w:r>
      <w:r w:rsidRPr="00DE108C">
        <w:lastRenderedPageBreak/>
        <w:t>Melbourne Water plans and delivers capital expenditure by way of programs that directly align with our services and our Outcomes. This structured approach ties expenditure to a clear service goal and Outcome, enabling us to deliver essential services effectively</w:t>
      </w:r>
      <w:r w:rsidR="4ED5D0BB">
        <w:t>,</w:t>
      </w:r>
      <w:r w:rsidRPr="00DE108C">
        <w:t xml:space="preserve"> while also meeting community needs and supporting sustainable development. </w:t>
      </w:r>
    </w:p>
    <w:p w14:paraId="1E0BC998" w14:textId="04FD58BD" w:rsidR="00046BD5" w:rsidRPr="00DE108C" w:rsidRDefault="00046BD5" w:rsidP="00ED094E">
      <w:r w:rsidRPr="00DE108C">
        <w:t>Figure 6.</w:t>
      </w:r>
      <w:r w:rsidR="00DB791E" w:rsidRPr="00DE108C">
        <w:t>4</w:t>
      </w:r>
      <w:r w:rsidRPr="00DE108C">
        <w:t xml:space="preserve"> shows our proposed PS26 </w:t>
      </w:r>
      <w:r w:rsidR="6BBDC1CD">
        <w:t>capex</w:t>
      </w:r>
      <w:r w:rsidRPr="00DE108C">
        <w:t xml:space="preserve"> profile by year and Outcome.</w:t>
      </w:r>
    </w:p>
    <w:p w14:paraId="45418B29" w14:textId="77777777" w:rsidR="00046BD5" w:rsidRPr="00DE108C" w:rsidRDefault="00046BD5" w:rsidP="00ED094E"/>
    <w:p w14:paraId="7E846D8C" w14:textId="0641F560" w:rsidR="00046BD5" w:rsidRPr="00DE108C" w:rsidRDefault="00046BD5" w:rsidP="00ED094E">
      <w:pPr>
        <w:pStyle w:val="Caption"/>
      </w:pPr>
      <w:bookmarkStart w:id="447" w:name="_Toc207893019"/>
      <w:bookmarkStart w:id="448" w:name="_Toc208490543"/>
      <w:bookmarkStart w:id="449" w:name="_Toc208490881"/>
      <w:bookmarkStart w:id="450" w:name="_Toc208911039"/>
      <w:bookmarkStart w:id="451" w:name="_Toc210051345"/>
      <w:r w:rsidRPr="00DE108C">
        <w:t>Figure 6.</w:t>
      </w:r>
      <w:r w:rsidR="00DB791E" w:rsidRPr="00DE108C">
        <w:t>4</w:t>
      </w:r>
      <w:r w:rsidRPr="00DE108C">
        <w:t xml:space="preserve">: Annual proposed PS26 </w:t>
      </w:r>
      <w:r w:rsidR="2EE5A579" w:rsidRPr="00DE108C">
        <w:t>capex</w:t>
      </w:r>
      <w:r w:rsidRPr="00DE108C">
        <w:t xml:space="preserve"> by </w:t>
      </w:r>
      <w:r w:rsidR="00057F84" w:rsidRPr="00DE108C">
        <w:t>O</w:t>
      </w:r>
      <w:r w:rsidRPr="00DE108C">
        <w:t>utcome ($millions, real 2025-26)</w:t>
      </w:r>
      <w:r w:rsidRPr="00DE108C">
        <w:rPr>
          <w:rStyle w:val="FootnoteReference"/>
          <w:b/>
        </w:rPr>
        <w:footnoteReference w:id="10"/>
      </w:r>
      <w:bookmarkEnd w:id="447"/>
      <w:bookmarkEnd w:id="448"/>
      <w:bookmarkEnd w:id="449"/>
      <w:bookmarkEnd w:id="450"/>
      <w:bookmarkEnd w:id="451"/>
    </w:p>
    <w:p w14:paraId="396B82E7" w14:textId="77777777" w:rsidR="00046BD5" w:rsidRPr="00DE108C" w:rsidRDefault="00046BD5" w:rsidP="00ED094E">
      <w:r w:rsidRPr="00DE108C">
        <w:rPr>
          <w:noProof/>
        </w:rPr>
        <w:drawing>
          <wp:inline distT="0" distB="0" distL="0" distR="0" wp14:anchorId="04EC6E80" wp14:editId="50CCE4FF">
            <wp:extent cx="6120130" cy="3802380"/>
            <wp:effectExtent l="0" t="0" r="0" b="7620"/>
            <wp:docPr id="558096062" name="Chart 1" descr="Figure 6.4 is a stacked bar chart titled &quot;Annual proposed PS26 capex by Outcome ($millions, real 2025–26).&quot; It displays projected capital expenditure from 2027 to 2031, broken down by four customer outcomes:&#10;&#10;Outcome 1: Water (dark blue)&#10;Outcome 2: Sewerage (light blue)&#10;Outcome 3: Waterways (green)&#10;Outcome 4: Drainage and Urban Development (yellow-green)&#10;&#10;The y-axis ranges from 0 to 1,800 million dollars. Each year’s bar shows the total expenditure segmented by outcome:&#10;&#10;&#10;2027: $1,428 million&#10;&#10;Water: $320M&#10;Sewerage: $552M&#10;Waterways: $131M&#10;Drainage &amp; Urban Development: $425M&#10;&#10;&#10;&#10;2028: $1,570 million&#10;&#10;Water: $543M&#10;Sewerage: $494M&#10;Waterways: $110M&#10;Drainage &amp; Urban Development: $424M&#10;&#10;&#10;&#10;2029: $1,607 million&#10;&#10;Water: $680M&#10;Sewerage: $549M&#10;Waterways: $47M&#10;Drainage &amp; Urban Development: $331M&#10;&#10;&#10;&#10;2030: $1,651 million&#10;&#10;Water: $653M&#10;Sewerage: $613M&#10;Waterways: $52M&#10;Drainage &amp; Urban Development: $333M&#10;&#10;&#10;&#10;2031: $1,600 million&#10;&#10;Water: $716M&#10;Sewerage: $530M&#10;Waterways: $38M&#10;Drainage &amp; Urban Development: $315M">
              <a:extLst xmlns:a="http://schemas.openxmlformats.org/drawingml/2006/main">
                <a:ext uri="{FF2B5EF4-FFF2-40B4-BE49-F238E27FC236}">
                  <a16:creationId xmlns:a16="http://schemas.microsoft.com/office/drawing/2014/main" id="{6D6A54E8-8BB2-53C4-9F5D-9070C3734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C89B93F" w14:textId="59C74B88" w:rsidR="00046BD5" w:rsidRPr="00DE108C" w:rsidRDefault="00046BD5" w:rsidP="00ED094E">
      <w:r w:rsidRPr="00DE108C">
        <w:t>A detailed summary of our proposed capital expenditure can be found in our Program Summaries available on request.</w:t>
      </w:r>
      <w:bookmarkStart w:id="452" w:name="_Toc196745235"/>
    </w:p>
    <w:p w14:paraId="7A94A436" w14:textId="77777777" w:rsidR="00046BD5" w:rsidRPr="00DE108C" w:rsidRDefault="00046BD5">
      <w:pPr>
        <w:pStyle w:val="BodyText"/>
        <w:rPr>
          <w:sz w:val="22"/>
          <w:szCs w:val="22"/>
        </w:rPr>
      </w:pPr>
    </w:p>
    <w:p w14:paraId="336CB569" w14:textId="7D9F10ED" w:rsidR="00046BD5" w:rsidRPr="00DE108C" w:rsidRDefault="00046BD5">
      <w:pPr>
        <w:pStyle w:val="Heading3"/>
      </w:pPr>
      <w:r w:rsidRPr="00DE108C">
        <w:t xml:space="preserve">6.2.2 Outcome 1: Bulk </w:t>
      </w:r>
      <w:r w:rsidR="00363731" w:rsidRPr="00DE108C">
        <w:t>w</w:t>
      </w:r>
      <w:r w:rsidRPr="00DE108C">
        <w:t xml:space="preserve">ater </w:t>
      </w:r>
      <w:r w:rsidR="00363731" w:rsidRPr="00DE108C">
        <w:t>s</w:t>
      </w:r>
      <w:r w:rsidRPr="00DE108C">
        <w:t>ervices</w:t>
      </w:r>
    </w:p>
    <w:p w14:paraId="6C78587B" w14:textId="77777777" w:rsidR="00046BD5" w:rsidRPr="00DE108C" w:rsidRDefault="00046BD5" w:rsidP="00ED094E">
      <w:r w:rsidRPr="00DE108C">
        <w:t>We are proposing $2,820 million</w:t>
      </w:r>
      <w:r w:rsidRPr="00DE108C">
        <w:rPr>
          <w:rStyle w:val="FootnoteReference"/>
          <w:sz w:val="22"/>
          <w:szCs w:val="22"/>
        </w:rPr>
        <w:footnoteReference w:id="11"/>
      </w:r>
      <w:r w:rsidRPr="00DE108C">
        <w:t xml:space="preserve"> to fund the</w:t>
      </w:r>
      <w:r w:rsidRPr="00DE108C">
        <w:rPr>
          <w:b/>
          <w:bCs/>
        </w:rPr>
        <w:t xml:space="preserve"> Water Program </w:t>
      </w:r>
      <w:r w:rsidRPr="00DE108C">
        <w:t xml:space="preserve">(including capitalised desalination water costs) and </w:t>
      </w:r>
      <w:r w:rsidRPr="00DE108C">
        <w:rPr>
          <w:b/>
          <w:bCs/>
        </w:rPr>
        <w:t>Manufactured and New Water Sources Program</w:t>
      </w:r>
      <w:r w:rsidRPr="00DE108C">
        <w:t xml:space="preserve">. </w:t>
      </w:r>
    </w:p>
    <w:p w14:paraId="5FE750A1" w14:textId="532E2BBA" w:rsidR="00046BD5" w:rsidRPr="00DE108C" w:rsidRDefault="00046BD5" w:rsidP="00ED094E">
      <w:r w:rsidRPr="00DE108C">
        <w:t xml:space="preserve">These programs aim to tackle the pressing water management challenges facing our communities in pursuit of Outcome 1 to </w:t>
      </w:r>
      <w:r w:rsidRPr="00DE108C">
        <w:rPr>
          <w:i/>
          <w:iCs/>
        </w:rPr>
        <w:t xml:space="preserve">provide safe and reliable bulk water supplies </w:t>
      </w:r>
      <w:r w:rsidR="00CD2990">
        <w:rPr>
          <w:i/>
          <w:iCs/>
        </w:rPr>
        <w:t xml:space="preserve">for </w:t>
      </w:r>
      <w:r w:rsidRPr="00DE108C">
        <w:rPr>
          <w:i/>
          <w:iCs/>
        </w:rPr>
        <w:t>now and the long term</w:t>
      </w:r>
      <w:r w:rsidRPr="00DE108C">
        <w:t xml:space="preserve">. </w:t>
      </w:r>
    </w:p>
    <w:p w14:paraId="480D2AB2" w14:textId="77777777" w:rsidR="00046BD5" w:rsidRPr="00DE108C" w:rsidRDefault="00046BD5" w:rsidP="00ED094E">
      <w:r w:rsidRPr="00DE108C">
        <w:lastRenderedPageBreak/>
        <w:t xml:space="preserve">The </w:t>
      </w:r>
      <w:r w:rsidRPr="00DE108C">
        <w:rPr>
          <w:b/>
          <w:bCs/>
        </w:rPr>
        <w:t>Water Program</w:t>
      </w:r>
      <w:r w:rsidRPr="00DE108C">
        <w:t xml:space="preserve"> manages investment in Melbourne's water supply catchments, major dams, treatment facilities and distribution pipelines, pump stations and service reservoirs, ensuring reliable access to safe drinking water for over 5 million residents. </w:t>
      </w:r>
    </w:p>
    <w:p w14:paraId="3C2BD252" w14:textId="5578C47C" w:rsidR="00046BD5" w:rsidRPr="00DE108C" w:rsidRDefault="00046BD5" w:rsidP="00ED094E">
      <w:r w:rsidRPr="00DE108C">
        <w:t>The Water Program reflects three sub-services and capitalised desalination security payments:</w:t>
      </w:r>
    </w:p>
    <w:p w14:paraId="78305D97" w14:textId="77777777" w:rsidR="00046BD5" w:rsidRPr="00DE108C" w:rsidRDefault="00046BD5" w:rsidP="00D411F5">
      <w:pPr>
        <w:pStyle w:val="ListBullet"/>
      </w:pPr>
      <w:r w:rsidRPr="00DE108C">
        <w:t xml:space="preserve">The collection (production) and storage of raw water to be transferred prior to treatment. This includes expenditure relating to our dams, weirs, open channel </w:t>
      </w:r>
      <w:r w:rsidRPr="00DE108C">
        <w:rPr>
          <w:rFonts w:eastAsia="Verdana"/>
        </w:rPr>
        <w:t>aqueducts, pipes and mechanical and electrical assets associated with controlling flow. It also includes supporting infrastructure, such as buildings, roads, electrical supply and control systems.</w:t>
      </w:r>
    </w:p>
    <w:p w14:paraId="728366D5" w14:textId="77777777" w:rsidR="00046BD5" w:rsidRPr="00DE108C" w:rsidRDefault="00046BD5" w:rsidP="00D411F5">
      <w:pPr>
        <w:pStyle w:val="ListBullet"/>
      </w:pPr>
      <w:r w:rsidRPr="00DE108C">
        <w:t>The treatment of raw water to high-quality drinking water. This includes expenditure relating to:</w:t>
      </w:r>
    </w:p>
    <w:p w14:paraId="360CF8AF" w14:textId="77777777" w:rsidR="00046BD5" w:rsidRPr="00DE108C" w:rsidRDefault="00046BD5" w:rsidP="00D411F5">
      <w:pPr>
        <w:pStyle w:val="ListBullet2"/>
      </w:pPr>
      <w:r w:rsidRPr="00DE108C">
        <w:t>our catchment controls, such as fences and catch drains</w:t>
      </w:r>
    </w:p>
    <w:p w14:paraId="2AAD1C6E" w14:textId="77777777" w:rsidR="00046BD5" w:rsidRPr="00DE108C" w:rsidRDefault="00046BD5" w:rsidP="00D411F5">
      <w:pPr>
        <w:pStyle w:val="ListBullet2"/>
      </w:pPr>
      <w:r w:rsidRPr="00DE108C">
        <w:t>on-reservoir monitoring assets, such as Vertical Profiling systems</w:t>
      </w:r>
    </w:p>
    <w:p w14:paraId="4E286D0B" w14:textId="77777777" w:rsidR="00046BD5" w:rsidRPr="00DE108C" w:rsidRDefault="00046BD5" w:rsidP="00D411F5">
      <w:pPr>
        <w:pStyle w:val="ListBullet2"/>
      </w:pPr>
      <w:r w:rsidRPr="00DE108C">
        <w:t>in-reservoir assets, such as aerators and variable offtakes</w:t>
      </w:r>
    </w:p>
    <w:p w14:paraId="7FEC2AF7" w14:textId="77777777" w:rsidR="00046BD5" w:rsidRPr="00DE108C" w:rsidRDefault="00046BD5" w:rsidP="00D411F5">
      <w:pPr>
        <w:pStyle w:val="ListBullet2"/>
      </w:pPr>
      <w:r w:rsidRPr="00DE108C">
        <w:t>treatment plants.</w:t>
      </w:r>
    </w:p>
    <w:p w14:paraId="22393C1F" w14:textId="1516BD7D" w:rsidR="00046BD5" w:rsidRPr="00DE108C" w:rsidRDefault="00046BD5" w:rsidP="00D411F5">
      <w:pPr>
        <w:pStyle w:val="ListBullet"/>
        <w:rPr>
          <w:rFonts w:eastAsia="Verdana"/>
        </w:rPr>
      </w:pPr>
      <w:r w:rsidRPr="00DE108C">
        <w:t xml:space="preserve">The transfer of high-quality drinking water to Melbourne's retail water </w:t>
      </w:r>
      <w:r w:rsidR="3CA26BCD">
        <w:t>corporations</w:t>
      </w:r>
      <w:r>
        <w:t xml:space="preserve"> </w:t>
      </w:r>
      <w:r w:rsidRPr="00DE108C">
        <w:t xml:space="preserve">and regional water authorities. This includes expenditure </w:t>
      </w:r>
      <w:r w:rsidRPr="00DE108C">
        <w:rPr>
          <w:rFonts w:eastAsia="Verdana"/>
        </w:rPr>
        <w:t>relating to:</w:t>
      </w:r>
    </w:p>
    <w:p w14:paraId="08C42471" w14:textId="77777777" w:rsidR="00046BD5" w:rsidRPr="00DE108C" w:rsidRDefault="00046BD5" w:rsidP="00D411F5">
      <w:pPr>
        <w:pStyle w:val="ListBullet2"/>
        <w:rPr>
          <w:rFonts w:eastAsia="Verdana"/>
        </w:rPr>
      </w:pPr>
      <w:r w:rsidRPr="00DE108C">
        <w:rPr>
          <w:rFonts w:eastAsia="Verdana"/>
        </w:rPr>
        <w:t>service reservoirs</w:t>
      </w:r>
    </w:p>
    <w:p w14:paraId="67B6B8D9" w14:textId="77777777" w:rsidR="00046BD5" w:rsidRPr="00DE108C" w:rsidRDefault="00046BD5" w:rsidP="00D411F5">
      <w:pPr>
        <w:pStyle w:val="ListBullet2"/>
        <w:rPr>
          <w:rFonts w:eastAsia="Verdana"/>
        </w:rPr>
      </w:pPr>
      <w:r w:rsidRPr="00DE108C">
        <w:rPr>
          <w:rFonts w:eastAsia="Verdana"/>
        </w:rPr>
        <w:t>pump stations</w:t>
      </w:r>
    </w:p>
    <w:p w14:paraId="67DE46B4" w14:textId="77777777" w:rsidR="00046BD5" w:rsidRPr="00DE108C" w:rsidRDefault="00046BD5" w:rsidP="00D411F5">
      <w:pPr>
        <w:pStyle w:val="ListBullet2"/>
        <w:rPr>
          <w:rFonts w:eastAsia="Verdana"/>
        </w:rPr>
      </w:pPr>
      <w:r w:rsidRPr="00DE108C">
        <w:rPr>
          <w:rFonts w:eastAsia="Verdana"/>
        </w:rPr>
        <w:t>network corridors</w:t>
      </w:r>
    </w:p>
    <w:p w14:paraId="554B5A7B" w14:textId="77777777" w:rsidR="00046BD5" w:rsidRPr="00DE108C" w:rsidRDefault="00046BD5" w:rsidP="00D411F5">
      <w:pPr>
        <w:pStyle w:val="ListBullet2"/>
        <w:rPr>
          <w:rFonts w:eastAsia="Verdana"/>
        </w:rPr>
      </w:pPr>
      <w:r w:rsidRPr="00DE108C">
        <w:rPr>
          <w:rFonts w:eastAsia="Verdana"/>
        </w:rPr>
        <w:t>supporting assets, such as valve complexes, pressure reducing stations, surge towers, hydro generation plants and billing flowmeters.</w:t>
      </w:r>
    </w:p>
    <w:p w14:paraId="46DAFA86" w14:textId="7CDDDF49" w:rsidR="00046BD5" w:rsidRPr="00DE108C" w:rsidRDefault="00046BD5" w:rsidP="00D411F5">
      <w:pPr>
        <w:pStyle w:val="ListBullet"/>
        <w:rPr>
          <w:rFonts w:eastAsia="Verdana"/>
        </w:rPr>
      </w:pPr>
      <w:r w:rsidRPr="00DE108C">
        <w:t xml:space="preserve">Capitalised desalination security payments – as outlined in </w:t>
      </w:r>
      <w:r w:rsidR="3AFD12B8">
        <w:t>S</w:t>
      </w:r>
      <w:r w:rsidRPr="00DE108C">
        <w:t>ection 6.3.</w:t>
      </w:r>
      <w:r w:rsidR="12E22FF0">
        <w:t xml:space="preserve"> (Capitalising desalination costs).</w:t>
      </w:r>
    </w:p>
    <w:p w14:paraId="59C9B85A" w14:textId="77777777" w:rsidR="00046BD5" w:rsidRPr="00DE108C" w:rsidRDefault="00046BD5" w:rsidP="00ED094E">
      <w:r w:rsidRPr="00DE108C">
        <w:t xml:space="preserve">The </w:t>
      </w:r>
      <w:r w:rsidRPr="00DE108C">
        <w:rPr>
          <w:b/>
        </w:rPr>
        <w:t>Manufactured and New Water Program</w:t>
      </w:r>
      <w:r w:rsidRPr="00DE108C">
        <w:t xml:space="preserve"> manages investment in Melbourne’s water security. It reflects the following two key investments in PS26:</w:t>
      </w:r>
    </w:p>
    <w:p w14:paraId="2AB22E16" w14:textId="52592086" w:rsidR="00046BD5" w:rsidRPr="00DE108C" w:rsidRDefault="00046BD5" w:rsidP="00D411F5">
      <w:pPr>
        <w:pStyle w:val="ListBullet"/>
      </w:pPr>
      <w:r w:rsidRPr="00DE108C">
        <w:t xml:space="preserve">Detailed investigations in preparation for </w:t>
      </w:r>
      <w:r w:rsidR="00624BD6">
        <w:t xml:space="preserve">the region’s next large-scale water supply, consistent with the </w:t>
      </w:r>
      <w:r w:rsidR="00624BD6">
        <w:rPr>
          <w:i/>
          <w:iCs/>
        </w:rPr>
        <w:t>Water Security Plan</w:t>
      </w:r>
      <w:r w:rsidR="619992EF">
        <w:t>.</w:t>
      </w:r>
    </w:p>
    <w:p w14:paraId="109ED038" w14:textId="21555242" w:rsidR="00046BD5" w:rsidRPr="00DE108C" w:rsidRDefault="00046BD5" w:rsidP="00D411F5">
      <w:pPr>
        <w:pStyle w:val="ListBullet"/>
      </w:pPr>
      <w:r w:rsidRPr="00DE108C">
        <w:t xml:space="preserve">Recycled water production at </w:t>
      </w:r>
      <w:r w:rsidR="01C441A0">
        <w:t>WTP</w:t>
      </w:r>
      <w:r w:rsidRPr="00DE108C">
        <w:t>.</w:t>
      </w:r>
    </w:p>
    <w:p w14:paraId="37A6C019" w14:textId="6B52CBD8" w:rsidR="00046BD5" w:rsidRPr="00DE108C" w:rsidRDefault="00046BD5" w:rsidP="00ED094E">
      <w:r w:rsidRPr="00DE108C">
        <w:t>This investment will focus on improving and modernising ag</w:t>
      </w:r>
      <w:r w:rsidR="56E39D84" w:rsidRPr="00DE108C">
        <w:t>e</w:t>
      </w:r>
      <w:r w:rsidRPr="00DE108C">
        <w:t>ing infrastructure, implementing sustainable water resource management practices, and securing reliable access to clean and safe drinking water. By addressing these critical issues, this program seeks to promote public health, support economic growth, and ensure long-term water security for future generations.</w:t>
      </w:r>
    </w:p>
    <w:p w14:paraId="13244B10" w14:textId="66CBFA04" w:rsidR="00046BD5" w:rsidRPr="00DE108C" w:rsidRDefault="00046BD5">
      <w:r w:rsidRPr="00DE108C">
        <w:t>Figure 6.</w:t>
      </w:r>
      <w:r w:rsidR="00DB791E" w:rsidRPr="00DE108C">
        <w:t>5</w:t>
      </w:r>
      <w:r w:rsidRPr="00DE108C">
        <w:t xml:space="preserve"> shows the annual profile of </w:t>
      </w:r>
      <w:r w:rsidR="3411A4FE">
        <w:t>capex</w:t>
      </w:r>
      <w:r w:rsidRPr="00DE108C">
        <w:t xml:space="preserve"> proposed under Outcome 1 over the regulatory period.</w:t>
      </w:r>
    </w:p>
    <w:p w14:paraId="72605F54" w14:textId="3A434717" w:rsidR="00046BD5" w:rsidRPr="00DE108C" w:rsidRDefault="00046BD5" w:rsidP="00ED094E">
      <w:pPr>
        <w:pStyle w:val="Caption"/>
        <w:rPr>
          <w:sz w:val="22"/>
          <w:szCs w:val="22"/>
        </w:rPr>
      </w:pPr>
      <w:bookmarkStart w:id="453" w:name="_Toc207893020"/>
      <w:bookmarkStart w:id="454" w:name="_Toc208490544"/>
      <w:bookmarkStart w:id="455" w:name="_Toc208490882"/>
      <w:bookmarkStart w:id="456" w:name="_Toc208911040"/>
      <w:bookmarkStart w:id="457" w:name="_Toc210051346"/>
      <w:r w:rsidRPr="00DE108C">
        <w:lastRenderedPageBreak/>
        <w:t>Figure 6.</w:t>
      </w:r>
      <w:r w:rsidR="00DB791E" w:rsidRPr="00DE108C">
        <w:t>5</w:t>
      </w:r>
      <w:r w:rsidRPr="00DE108C">
        <w:t xml:space="preserve">: Outcome 1 </w:t>
      </w:r>
      <w:r w:rsidR="11C4E7E8">
        <w:t>capex</w:t>
      </w:r>
      <w:r w:rsidRPr="00DE108C">
        <w:t xml:space="preserve"> by sub-service over 2026-31 excluding corporate and IT allocated expenditure ($millions, real</w:t>
      </w:r>
      <w:r w:rsidR="007514A1">
        <w:t xml:space="preserve"> </w:t>
      </w:r>
      <w:r w:rsidRPr="00DE108C">
        <w:t>2025-26)</w:t>
      </w:r>
      <w:bookmarkEnd w:id="453"/>
      <w:bookmarkEnd w:id="454"/>
      <w:bookmarkEnd w:id="455"/>
      <w:bookmarkEnd w:id="456"/>
      <w:bookmarkEnd w:id="457"/>
    </w:p>
    <w:p w14:paraId="76361465" w14:textId="77777777" w:rsidR="00046BD5" w:rsidRPr="00DE108C" w:rsidRDefault="00046BD5" w:rsidP="00ED094E">
      <w:r w:rsidRPr="00DE108C">
        <w:rPr>
          <w:noProof/>
        </w:rPr>
        <w:drawing>
          <wp:inline distT="0" distB="0" distL="0" distR="0" wp14:anchorId="2F38F5A8" wp14:editId="4A63F064">
            <wp:extent cx="6120130" cy="4044950"/>
            <wp:effectExtent l="0" t="0" r="0" b="0"/>
            <wp:docPr id="689369615" name="Chart 1" descr="A stacked bar chart titled &quot;Outcome 1 capex by sub-service over 2026–31 excluding corporate and IT allocated expenditure ($millions, real 2025–26).&quot; It shows annual capital expenditure from 2027 to 2031 across five water-related sub-services:&#10;&#10;Water Production and Storage (dark blue)&#10;Water Quality (light blue)&#10;Water Transfer (cyan)&#10;Manufactured and New Water Sources (green)&#10;Capitalised Desalination Costs (grey)&#10;&#10;Annual breakdown:&#10;&#10;&#10;2027: Total $301 million&#10;&#10;Desalination: $81M&#10;New Water Sources: $42M&#10;Transfer: $51M&#10;Quality: $60M&#10;Production &amp; Storage: $67M&#10;&#10;&#10;&#10;2028: Total $521 million&#10;&#10;Desalination: $112M&#10;New Water Sources: $45M&#10;Transfer: $97M&#10;Quality: $133M&#10;Production &amp; Storage: $134M&#10;&#10;&#10;&#10;2029: Total $662 million&#10;&#10;Desalination: $130M&#10;New Water Sources: $71M&#10;Transfer: $210M&#10;Quality: $153M&#10;Production &amp; Storage: $98M&#10;&#10;&#10;&#10;2030: Total $637 million&#10;&#10;Desalination: $140M&#10;New Water Sources: $74M&#10;Transfer: $166M&#10;Quality: $111M&#10;Production &amp; Storage: $146M&#10;&#10;&#10;&#10;2031: Total $600 million&#10;&#10;Desalination: $158M&#10;New Water Sources: $34M&#10;Transfer: $229M&#10;Quality: $85M&#10;Production &amp; Storage: $194M">
              <a:extLst xmlns:a="http://schemas.openxmlformats.org/drawingml/2006/main">
                <a:ext uri="{FF2B5EF4-FFF2-40B4-BE49-F238E27FC236}">
                  <a16:creationId xmlns:a16="http://schemas.microsoft.com/office/drawing/2014/main" id="{A76946E8-C13D-9042-FB6C-5120F7DA36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3B962B3" w14:textId="77777777" w:rsidR="00046BD5" w:rsidRPr="00DE108C" w:rsidRDefault="00046BD5">
      <w:pPr>
        <w:pStyle w:val="BodyText"/>
        <w:rPr>
          <w:sz w:val="22"/>
          <w:szCs w:val="22"/>
        </w:rPr>
      </w:pPr>
    </w:p>
    <w:p w14:paraId="4A0C382E" w14:textId="3F5D4123" w:rsidR="00046BD5" w:rsidRPr="00DE108C" w:rsidRDefault="00046BD5" w:rsidP="00ED094E">
      <w:r w:rsidRPr="00DE108C">
        <w:t xml:space="preserve">Major capital works make up 85 per cent of our </w:t>
      </w:r>
      <w:r w:rsidR="14A9F370">
        <w:t>W</w:t>
      </w:r>
      <w:r>
        <w:t xml:space="preserve">ater </w:t>
      </w:r>
      <w:r w:rsidR="0CBBB19A">
        <w:t>P</w:t>
      </w:r>
      <w:r w:rsidRPr="00DE108C">
        <w:t>rogram, focusing on large-scale infrastructure projects designed to enhance water supply and management systems. The remaining portion is allocated to smaller, localised initiatives, including maintenance and system upgrades.</w:t>
      </w:r>
    </w:p>
    <w:p w14:paraId="51D41DAB" w14:textId="38153EC9" w:rsidR="00046BD5" w:rsidRPr="00DE108C" w:rsidRDefault="00046BD5" w:rsidP="00ED094E">
      <w:r w:rsidRPr="00DE108C">
        <w:t>Our Top 5 Projects (shown in Table 6.</w:t>
      </w:r>
      <w:r w:rsidR="005863C5" w:rsidRPr="00DE108C">
        <w:t>2</w:t>
      </w:r>
      <w:r w:rsidRPr="00DE108C">
        <w:t xml:space="preserve">) make up 25 per cent of the </w:t>
      </w:r>
      <w:r w:rsidR="1BAC5941">
        <w:t>W</w:t>
      </w:r>
      <w:r>
        <w:t xml:space="preserve">ater </w:t>
      </w:r>
      <w:r w:rsidR="002E0A1F">
        <w:t>P</w:t>
      </w:r>
      <w:r w:rsidRPr="00DE108C">
        <w:t xml:space="preserve">rogram. </w:t>
      </w:r>
    </w:p>
    <w:p w14:paraId="5183049C" w14:textId="626F2F50" w:rsidR="00046BD5" w:rsidRPr="00DE108C" w:rsidRDefault="00046BD5" w:rsidP="00ED094E">
      <w:pPr>
        <w:pStyle w:val="Caption"/>
      </w:pPr>
      <w:bookmarkStart w:id="458" w:name="_Toc207893021"/>
      <w:bookmarkStart w:id="459" w:name="_Toc208490545"/>
      <w:bookmarkStart w:id="460" w:name="_Toc208490883"/>
      <w:bookmarkStart w:id="461" w:name="_Toc208911041"/>
      <w:bookmarkStart w:id="462" w:name="_Toc210051347"/>
      <w:r w:rsidRPr="00DE108C">
        <w:lastRenderedPageBreak/>
        <w:t>Figure 6.</w:t>
      </w:r>
      <w:r w:rsidR="00DB791E" w:rsidRPr="00DE108C">
        <w:t>6</w:t>
      </w:r>
      <w:r w:rsidRPr="00DE108C">
        <w:t>: Annual water capex split by business driver excluding corporate and IT spend and desalination capitalisation ($millions, real 2025-26)</w:t>
      </w:r>
      <w:bookmarkEnd w:id="458"/>
      <w:bookmarkEnd w:id="459"/>
      <w:bookmarkEnd w:id="460"/>
      <w:bookmarkEnd w:id="461"/>
      <w:bookmarkEnd w:id="462"/>
    </w:p>
    <w:p w14:paraId="2A54A632" w14:textId="77777777" w:rsidR="00046BD5" w:rsidRPr="00DE108C" w:rsidRDefault="00046BD5" w:rsidP="00ED094E">
      <w:r w:rsidRPr="00DE108C">
        <w:rPr>
          <w:noProof/>
        </w:rPr>
        <w:drawing>
          <wp:inline distT="0" distB="0" distL="0" distR="0" wp14:anchorId="0596290E" wp14:editId="770A08F0">
            <wp:extent cx="6120130" cy="3966845"/>
            <wp:effectExtent l="0" t="0" r="0" b="0"/>
            <wp:docPr id="334626394" name="Chart 1" descr="A bar chart titled &quot;Annual water capex split by business driver excluding corporate and IT spend and desalination capitalisation ($millions, real 2025–26).&quot; It shows projected capital expenditure for Water from 2027 to 2031, broken down into three business drivers:&#10;&#10;Renewals&#10;Growth&#10;Improvements/Compliance&#10;&#10;Annual breakdown:&#10;&#10;&#10;2027: Total $220 million&#10;&#10;Renewals: $62M&#10;Growth: $60M&#10;Improvements/Compliance: $98M&#10;&#10;&#10;&#10;2028: Total $408 million&#10;&#10;Renewals: $123M&#10;Growth: $104M&#10;Improvements/Compliance: $181M&#10;&#10;&#10;&#10;2029: Total $531 million&#10;&#10;Renewals: $137M&#10;Growth: $228M&#10;Improvements/Compliance: $166M&#10;&#10;&#10;&#10;2030: Total $496 million&#10;&#10;Renewals: $212M&#10;Growth: $184M&#10;Improvements/Compliance: $100M&#10;&#10;&#10;&#10;2031: Total $543 million&#10;&#10;Renewals: $255M&#10;Growth: $251M&#10;Improvements/Compliance: $37M">
              <a:extLst xmlns:a="http://schemas.openxmlformats.org/drawingml/2006/main">
                <a:ext uri="{FF2B5EF4-FFF2-40B4-BE49-F238E27FC236}">
                  <a16:creationId xmlns:a16="http://schemas.microsoft.com/office/drawing/2014/main" id="{BA3DF5FC-60B5-4226-9439-D5F773AC6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C78979F" w14:textId="4377DC88" w:rsidR="00046BD5" w:rsidRPr="00DE108C" w:rsidRDefault="00046BD5" w:rsidP="00ED094E">
      <w:r w:rsidRPr="00DE108C">
        <w:t>Melbourne Water’s water system investment in the PS26 period is underpinned by a combination of major capital projects and targeted programs. Table 6.2 highlights our </w:t>
      </w:r>
      <w:r w:rsidR="110BC3CD">
        <w:t>T</w:t>
      </w:r>
      <w:r>
        <w:t xml:space="preserve">op </w:t>
      </w:r>
      <w:r w:rsidR="47985BB7">
        <w:t>5</w:t>
      </w:r>
      <w:r w:rsidRPr="00DE108C">
        <w:t xml:space="preserve"> water infrastructure projects, which represent the most significant capital investments in the portfolio. These projects address critical needs, such as dam safety, using existing water resources efficiently and effectively, water quality management, emergency response capacity, and long-term supply reliability. Each of these needs play a vital role in safeguarding Melbourne’s water future as we face the challenges of population growth, climate variability and </w:t>
      </w:r>
      <w:r>
        <w:t>ag</w:t>
      </w:r>
      <w:r w:rsidR="16D17CB9">
        <w:t>e</w:t>
      </w:r>
      <w:r>
        <w:t>ing</w:t>
      </w:r>
      <w:r w:rsidRPr="00DE108C">
        <w:t xml:space="preserve"> infrastructure.</w:t>
      </w:r>
    </w:p>
    <w:p w14:paraId="095D5EDF" w14:textId="77777777" w:rsidR="00046BD5" w:rsidRPr="00DE108C" w:rsidRDefault="00046BD5" w:rsidP="00ED094E">
      <w:pPr>
        <w:pStyle w:val="Caption"/>
      </w:pPr>
      <w:bookmarkStart w:id="463" w:name="_Toc190878399"/>
      <w:bookmarkStart w:id="464" w:name="_Toc207893022"/>
      <w:bookmarkStart w:id="465" w:name="_Toc208490546"/>
      <w:bookmarkStart w:id="466" w:name="_Toc208490884"/>
      <w:bookmarkStart w:id="467" w:name="_Toc208911042"/>
      <w:bookmarkStart w:id="468" w:name="_Toc210051348"/>
      <w:r w:rsidRPr="00DE108C">
        <w:t xml:space="preserve">Table 6.2: Water </w:t>
      </w:r>
      <w:bookmarkEnd w:id="463"/>
      <w:r w:rsidRPr="00DE108C">
        <w:t>major capital projects as part of the Top 15 Major Projects ($millions, real 2025-26)</w:t>
      </w:r>
      <w:bookmarkEnd w:id="464"/>
      <w:bookmarkEnd w:id="465"/>
      <w:bookmarkEnd w:id="466"/>
      <w:bookmarkEnd w:id="467"/>
      <w:bookmarkEnd w:id="468"/>
    </w:p>
    <w:tbl>
      <w:tblPr>
        <w:tblStyle w:val="MWTableGrid"/>
        <w:tblW w:w="5000" w:type="pct"/>
        <w:tblLook w:val="0420" w:firstRow="1" w:lastRow="0" w:firstColumn="0" w:lastColumn="0" w:noHBand="0" w:noVBand="1"/>
      </w:tblPr>
      <w:tblGrid>
        <w:gridCol w:w="1583"/>
        <w:gridCol w:w="1288"/>
        <w:gridCol w:w="1560"/>
        <w:gridCol w:w="5197"/>
      </w:tblGrid>
      <w:tr w:rsidR="00556A0D" w:rsidRPr="00DE108C" w14:paraId="2570F0B0" w14:textId="77777777">
        <w:trPr>
          <w:cnfStyle w:val="100000000000" w:firstRow="1" w:lastRow="0" w:firstColumn="0" w:lastColumn="0" w:oddVBand="0" w:evenVBand="0" w:oddHBand="0" w:evenHBand="0" w:firstRowFirstColumn="0" w:firstRowLastColumn="0" w:lastRowFirstColumn="0" w:lastRowLastColumn="0"/>
          <w:cantSplit/>
        </w:trPr>
        <w:tc>
          <w:tcPr>
            <w:tcW w:w="822" w:type="pct"/>
          </w:tcPr>
          <w:p w14:paraId="5E0D35A6" w14:textId="77777777" w:rsidR="00046BD5" w:rsidRPr="00DE108C" w:rsidRDefault="00046BD5">
            <w:pPr>
              <w:pStyle w:val="TableText"/>
              <w:rPr>
                <w:color w:val="FFFFFF" w:themeColor="background1"/>
                <w:szCs w:val="16"/>
              </w:rPr>
            </w:pPr>
            <w:r w:rsidRPr="00DE108C">
              <w:rPr>
                <w:color w:val="FFFFFF" w:themeColor="background1"/>
                <w:szCs w:val="16"/>
              </w:rPr>
              <w:t>Top Water Projects</w:t>
            </w:r>
          </w:p>
        </w:tc>
        <w:tc>
          <w:tcPr>
            <w:tcW w:w="669" w:type="pct"/>
            <w:vAlign w:val="center"/>
          </w:tcPr>
          <w:p w14:paraId="3BD01AB0" w14:textId="77777777" w:rsidR="00046BD5" w:rsidRPr="00DE108C" w:rsidRDefault="00046BD5">
            <w:pPr>
              <w:pStyle w:val="TableText"/>
              <w:rPr>
                <w:color w:val="FFFFFF" w:themeColor="background1"/>
                <w:szCs w:val="16"/>
              </w:rPr>
            </w:pPr>
            <w:r w:rsidRPr="00DE108C">
              <w:rPr>
                <w:color w:val="FFFFFF" w:themeColor="background1"/>
                <w:szCs w:val="16"/>
              </w:rPr>
              <w:t>PS26 capex</w:t>
            </w:r>
          </w:p>
        </w:tc>
        <w:tc>
          <w:tcPr>
            <w:tcW w:w="810" w:type="pct"/>
            <w:vAlign w:val="center"/>
          </w:tcPr>
          <w:p w14:paraId="399CB5AB" w14:textId="77777777" w:rsidR="00046BD5" w:rsidRPr="00DE108C" w:rsidRDefault="00046BD5">
            <w:pPr>
              <w:pStyle w:val="TableText"/>
              <w:rPr>
                <w:color w:val="FFFFFF" w:themeColor="background1"/>
                <w:szCs w:val="16"/>
              </w:rPr>
            </w:pPr>
            <w:r w:rsidRPr="00DE108C">
              <w:rPr>
                <w:color w:val="FFFFFF" w:themeColor="background1"/>
                <w:szCs w:val="16"/>
              </w:rPr>
              <w:t>Construction start</w:t>
            </w:r>
          </w:p>
        </w:tc>
        <w:tc>
          <w:tcPr>
            <w:tcW w:w="2699" w:type="pct"/>
          </w:tcPr>
          <w:p w14:paraId="4BF231E5" w14:textId="77777777" w:rsidR="00046BD5" w:rsidRPr="00DE108C" w:rsidRDefault="00046BD5">
            <w:pPr>
              <w:pStyle w:val="TableText"/>
              <w:rPr>
                <w:color w:val="FFFFFF" w:themeColor="background1"/>
                <w:szCs w:val="16"/>
              </w:rPr>
            </w:pPr>
            <w:r w:rsidRPr="00DE108C">
              <w:rPr>
                <w:color w:val="FFFFFF" w:themeColor="background1"/>
                <w:szCs w:val="16"/>
              </w:rPr>
              <w:t>Description</w:t>
            </w:r>
          </w:p>
        </w:tc>
      </w:tr>
      <w:tr w:rsidR="00046BD5" w:rsidRPr="00DE108C" w14:paraId="51A84178" w14:textId="77777777">
        <w:trPr>
          <w:cantSplit/>
        </w:trPr>
        <w:tc>
          <w:tcPr>
            <w:tcW w:w="822" w:type="pct"/>
            <w:vAlign w:val="center"/>
          </w:tcPr>
          <w:p w14:paraId="78CE6940" w14:textId="77777777" w:rsidR="00046BD5" w:rsidRPr="00DE108C" w:rsidRDefault="00046BD5">
            <w:pPr>
              <w:pStyle w:val="TableText"/>
              <w:rPr>
                <w:szCs w:val="16"/>
              </w:rPr>
            </w:pPr>
            <w:r w:rsidRPr="00DE108C">
              <w:rPr>
                <w:szCs w:val="16"/>
              </w:rPr>
              <w:t xml:space="preserve">Maroondah </w:t>
            </w:r>
            <w:r w:rsidRPr="00DE108C">
              <w:rPr>
                <w:szCs w:val="16"/>
              </w:rPr>
              <w:br/>
              <w:t>Reservoir Outlet and Aqueduct Stage 3A</w:t>
            </w:r>
          </w:p>
        </w:tc>
        <w:tc>
          <w:tcPr>
            <w:tcW w:w="669" w:type="pct"/>
            <w:vAlign w:val="center"/>
          </w:tcPr>
          <w:p w14:paraId="21A8A9DF" w14:textId="77777777" w:rsidR="00046BD5" w:rsidRPr="00DE108C" w:rsidRDefault="00046BD5">
            <w:pPr>
              <w:pStyle w:val="TableText"/>
              <w:rPr>
                <w:szCs w:val="16"/>
              </w:rPr>
            </w:pPr>
            <w:r w:rsidRPr="00DE108C">
              <w:rPr>
                <w:szCs w:val="16"/>
              </w:rPr>
              <w:t>156.7</w:t>
            </w:r>
          </w:p>
        </w:tc>
        <w:tc>
          <w:tcPr>
            <w:tcW w:w="810" w:type="pct"/>
            <w:vAlign w:val="center"/>
          </w:tcPr>
          <w:p w14:paraId="5E899FF5" w14:textId="77777777" w:rsidR="00046BD5" w:rsidRPr="00DE108C" w:rsidRDefault="00046BD5">
            <w:pPr>
              <w:pStyle w:val="TableText"/>
              <w:rPr>
                <w:szCs w:val="16"/>
              </w:rPr>
            </w:pPr>
            <w:r w:rsidRPr="00DE108C">
              <w:rPr>
                <w:szCs w:val="16"/>
              </w:rPr>
              <w:t>2028-29</w:t>
            </w:r>
          </w:p>
        </w:tc>
        <w:tc>
          <w:tcPr>
            <w:tcW w:w="2699" w:type="pct"/>
          </w:tcPr>
          <w:p w14:paraId="60CA72F0" w14:textId="1BC9406F" w:rsidR="00046BD5" w:rsidRPr="00DE108C" w:rsidRDefault="00D035C4">
            <w:pPr>
              <w:pStyle w:val="TableText"/>
              <w:rPr>
                <w:szCs w:val="16"/>
              </w:rPr>
            </w:pPr>
            <w:r w:rsidRPr="00D035C4">
              <w:rPr>
                <w:szCs w:val="16"/>
              </w:rPr>
              <w:t>New replacement outlet for the Maroondah Reservoir and partial replacement of the aqueduct to improve system efficiency, operational and maintenance safety, water quality, and deteriorating asset condition.</w:t>
            </w:r>
          </w:p>
        </w:tc>
      </w:tr>
      <w:tr w:rsidR="00556A0D" w:rsidRPr="00DE108C" w14:paraId="39903884" w14:textId="77777777">
        <w:trPr>
          <w:cnfStyle w:val="000000010000" w:firstRow="0" w:lastRow="0" w:firstColumn="0" w:lastColumn="0" w:oddVBand="0" w:evenVBand="0" w:oddHBand="0" w:evenHBand="1" w:firstRowFirstColumn="0" w:firstRowLastColumn="0" w:lastRowFirstColumn="0" w:lastRowLastColumn="0"/>
          <w:cantSplit/>
        </w:trPr>
        <w:tc>
          <w:tcPr>
            <w:tcW w:w="822" w:type="pct"/>
            <w:vAlign w:val="center"/>
          </w:tcPr>
          <w:p w14:paraId="3EE48218" w14:textId="77777777" w:rsidR="00046BD5" w:rsidRPr="00DE108C" w:rsidRDefault="00046BD5">
            <w:pPr>
              <w:pStyle w:val="TableText"/>
              <w:rPr>
                <w:szCs w:val="16"/>
              </w:rPr>
            </w:pPr>
            <w:r w:rsidRPr="00DE108C">
              <w:rPr>
                <w:szCs w:val="16"/>
              </w:rPr>
              <w:t>Cardinia Dam Safety Upgrade Works</w:t>
            </w:r>
          </w:p>
        </w:tc>
        <w:tc>
          <w:tcPr>
            <w:tcW w:w="669" w:type="pct"/>
            <w:vAlign w:val="center"/>
          </w:tcPr>
          <w:p w14:paraId="5F5FA2F7" w14:textId="77777777" w:rsidR="00046BD5" w:rsidRPr="00DE108C" w:rsidRDefault="00046BD5">
            <w:pPr>
              <w:pStyle w:val="TableText"/>
              <w:rPr>
                <w:szCs w:val="16"/>
              </w:rPr>
            </w:pPr>
            <w:r w:rsidRPr="00DE108C">
              <w:rPr>
                <w:szCs w:val="16"/>
              </w:rPr>
              <w:t>191.0</w:t>
            </w:r>
          </w:p>
        </w:tc>
        <w:tc>
          <w:tcPr>
            <w:tcW w:w="810" w:type="pct"/>
            <w:vAlign w:val="center"/>
          </w:tcPr>
          <w:p w14:paraId="72FBCC2C" w14:textId="77777777" w:rsidR="00046BD5" w:rsidRPr="00DE108C" w:rsidRDefault="00046BD5">
            <w:pPr>
              <w:pStyle w:val="TableText"/>
              <w:rPr>
                <w:szCs w:val="16"/>
              </w:rPr>
            </w:pPr>
            <w:r w:rsidRPr="00DE108C">
              <w:rPr>
                <w:szCs w:val="16"/>
              </w:rPr>
              <w:t>2026-27</w:t>
            </w:r>
          </w:p>
        </w:tc>
        <w:tc>
          <w:tcPr>
            <w:tcW w:w="2699" w:type="pct"/>
          </w:tcPr>
          <w:p w14:paraId="40D4AA26" w14:textId="3B7B110D" w:rsidR="00046BD5" w:rsidRPr="00DE108C" w:rsidRDefault="00D035C4">
            <w:pPr>
              <w:pStyle w:val="TableText"/>
              <w:rPr>
                <w:szCs w:val="16"/>
              </w:rPr>
            </w:pPr>
            <w:r w:rsidRPr="00D035C4">
              <w:rPr>
                <w:szCs w:val="16"/>
              </w:rPr>
              <w:t>Critical works to enable current restrictions on operating levels to be removed and reinstatement of full capacity to support efficient use of existing water resources.</w:t>
            </w:r>
          </w:p>
        </w:tc>
      </w:tr>
      <w:tr w:rsidR="00046BD5" w:rsidRPr="00DE108C" w14:paraId="79BFB908" w14:textId="77777777">
        <w:trPr>
          <w:cantSplit/>
        </w:trPr>
        <w:tc>
          <w:tcPr>
            <w:tcW w:w="822" w:type="pct"/>
            <w:vAlign w:val="center"/>
          </w:tcPr>
          <w:p w14:paraId="6CD4E915" w14:textId="77777777" w:rsidR="00046BD5" w:rsidRPr="00DE108C" w:rsidRDefault="00046BD5">
            <w:pPr>
              <w:pStyle w:val="TableText"/>
              <w:rPr>
                <w:szCs w:val="16"/>
              </w:rPr>
            </w:pPr>
            <w:r w:rsidRPr="00DE108C">
              <w:rPr>
                <w:szCs w:val="16"/>
              </w:rPr>
              <w:lastRenderedPageBreak/>
              <w:t>Link Main</w:t>
            </w:r>
            <w:r w:rsidRPr="00DE108C">
              <w:rPr>
                <w:szCs w:val="16"/>
              </w:rPr>
              <w:br/>
              <w:t>Stage 1</w:t>
            </w:r>
          </w:p>
        </w:tc>
        <w:tc>
          <w:tcPr>
            <w:tcW w:w="669" w:type="pct"/>
            <w:vAlign w:val="center"/>
          </w:tcPr>
          <w:p w14:paraId="3EFEAF42" w14:textId="77777777" w:rsidR="00046BD5" w:rsidRPr="00DE108C" w:rsidRDefault="00046BD5">
            <w:pPr>
              <w:pStyle w:val="TableText"/>
              <w:rPr>
                <w:szCs w:val="16"/>
              </w:rPr>
            </w:pPr>
            <w:r w:rsidRPr="00DE108C">
              <w:rPr>
                <w:szCs w:val="16"/>
              </w:rPr>
              <w:t>163.1</w:t>
            </w:r>
          </w:p>
        </w:tc>
        <w:tc>
          <w:tcPr>
            <w:tcW w:w="810" w:type="pct"/>
            <w:vAlign w:val="center"/>
          </w:tcPr>
          <w:p w14:paraId="4B964EB8" w14:textId="77777777" w:rsidR="00046BD5" w:rsidRPr="00DE108C" w:rsidRDefault="00046BD5">
            <w:pPr>
              <w:pStyle w:val="TableText"/>
              <w:rPr>
                <w:szCs w:val="16"/>
              </w:rPr>
            </w:pPr>
            <w:r w:rsidRPr="00DE108C">
              <w:rPr>
                <w:szCs w:val="16"/>
              </w:rPr>
              <w:t>2028-29</w:t>
            </w:r>
          </w:p>
        </w:tc>
        <w:tc>
          <w:tcPr>
            <w:tcW w:w="2699" w:type="pct"/>
          </w:tcPr>
          <w:p w14:paraId="6056B738" w14:textId="21016453" w:rsidR="00046BD5" w:rsidRPr="00DE108C" w:rsidRDefault="00DD737E">
            <w:pPr>
              <w:pStyle w:val="TableText"/>
              <w:rPr>
                <w:szCs w:val="16"/>
              </w:rPr>
            </w:pPr>
            <w:r w:rsidRPr="00DD737E">
              <w:rPr>
                <w:szCs w:val="16"/>
              </w:rPr>
              <w:t>New treated water transfer pipeline between the Silvan and Winneke supply zones to enhance network flexibility, increase permissible outage windows without impacting customers, reduce reliance on single points of failure and significantly boost resilience, especially under bushfire risk scenarios.</w:t>
            </w:r>
          </w:p>
        </w:tc>
      </w:tr>
      <w:tr w:rsidR="00556A0D" w:rsidRPr="00DE108C" w14:paraId="1BFE63B5" w14:textId="77777777">
        <w:trPr>
          <w:cnfStyle w:val="000000010000" w:firstRow="0" w:lastRow="0" w:firstColumn="0" w:lastColumn="0" w:oddVBand="0" w:evenVBand="0" w:oddHBand="0" w:evenHBand="1" w:firstRowFirstColumn="0" w:firstRowLastColumn="0" w:lastRowFirstColumn="0" w:lastRowLastColumn="0"/>
          <w:cantSplit/>
        </w:trPr>
        <w:tc>
          <w:tcPr>
            <w:tcW w:w="822" w:type="pct"/>
            <w:vAlign w:val="center"/>
          </w:tcPr>
          <w:p w14:paraId="4B2A5201" w14:textId="77777777" w:rsidR="00046BD5" w:rsidRPr="00DE108C" w:rsidRDefault="00046BD5">
            <w:pPr>
              <w:pStyle w:val="TableText"/>
              <w:rPr>
                <w:szCs w:val="16"/>
              </w:rPr>
            </w:pPr>
            <w:r w:rsidRPr="00DE108C">
              <w:rPr>
                <w:szCs w:val="16"/>
              </w:rPr>
              <w:t>Cardinia Pump Station Upgrade</w:t>
            </w:r>
          </w:p>
        </w:tc>
        <w:tc>
          <w:tcPr>
            <w:tcW w:w="669" w:type="pct"/>
            <w:vAlign w:val="center"/>
          </w:tcPr>
          <w:p w14:paraId="3198D1FF" w14:textId="494A5602" w:rsidR="00046BD5" w:rsidRPr="00DE108C" w:rsidRDefault="00AA1419">
            <w:pPr>
              <w:pStyle w:val="TableText"/>
              <w:rPr>
                <w:szCs w:val="16"/>
              </w:rPr>
            </w:pPr>
            <w:r w:rsidRPr="00DE108C">
              <w:rPr>
                <w:szCs w:val="16"/>
              </w:rPr>
              <w:t>98.</w:t>
            </w:r>
            <w:r w:rsidR="00046BD5" w:rsidRPr="00DE108C">
              <w:rPr>
                <w:szCs w:val="16"/>
              </w:rPr>
              <w:t>7</w:t>
            </w:r>
          </w:p>
        </w:tc>
        <w:tc>
          <w:tcPr>
            <w:tcW w:w="810" w:type="pct"/>
            <w:vAlign w:val="center"/>
          </w:tcPr>
          <w:p w14:paraId="4EBCF11D" w14:textId="77777777" w:rsidR="00046BD5" w:rsidRPr="00DE108C" w:rsidRDefault="00046BD5">
            <w:pPr>
              <w:pStyle w:val="TableText"/>
              <w:rPr>
                <w:szCs w:val="16"/>
              </w:rPr>
            </w:pPr>
            <w:r w:rsidRPr="00DE108C">
              <w:rPr>
                <w:szCs w:val="16"/>
              </w:rPr>
              <w:t>2027-28</w:t>
            </w:r>
          </w:p>
        </w:tc>
        <w:tc>
          <w:tcPr>
            <w:tcW w:w="2699" w:type="pct"/>
          </w:tcPr>
          <w:p w14:paraId="417AB855" w14:textId="002EB3D2" w:rsidR="00046BD5" w:rsidRPr="00DE108C" w:rsidRDefault="00DD737E">
            <w:pPr>
              <w:pStyle w:val="TableText"/>
            </w:pPr>
            <w:r>
              <w:t>Expands pump station capacity from 300 ML/day to 500</w:t>
            </w:r>
            <w:r w:rsidR="0080065C">
              <w:t> </w:t>
            </w:r>
            <w:r>
              <w:t>ML/day</w:t>
            </w:r>
            <w:r w:rsidR="441F4D56">
              <w:t>,</w:t>
            </w:r>
            <w:r>
              <w:t xml:space="preserve"> which transfers flow from Cardinia to Silvan, including </w:t>
            </w:r>
            <w:r w:rsidR="6CDF5640">
              <w:t>V</w:t>
            </w:r>
            <w:r w:rsidR="7C52E9E3">
              <w:t xml:space="preserve">ictorian </w:t>
            </w:r>
            <w:r w:rsidR="6CDF5640">
              <w:t>D</w:t>
            </w:r>
            <w:r w:rsidR="43BBB84D">
              <w:t xml:space="preserve">esalination </w:t>
            </w:r>
            <w:r w:rsidR="6CDF5640">
              <w:t>P</w:t>
            </w:r>
            <w:r w:rsidR="258AF3D6">
              <w:t>roject (</w:t>
            </w:r>
            <w:r>
              <w:t>VDP</w:t>
            </w:r>
            <w:r w:rsidR="258AF3D6">
              <w:t>)</w:t>
            </w:r>
            <w:r>
              <w:t xml:space="preserve"> flows into Cardinia. This will enhance distribution of existing water resources in the east of Melbourne to service growth in the west and increase capacity to access stored water in the event of a major water quality incident in the eastern catchments</w:t>
            </w:r>
            <w:r w:rsidR="3A5F334F">
              <w:t>,</w:t>
            </w:r>
            <w:r>
              <w:t xml:space="preserve"> such as bushfire.</w:t>
            </w:r>
          </w:p>
        </w:tc>
      </w:tr>
      <w:tr w:rsidR="00046BD5" w:rsidRPr="00DE108C" w14:paraId="078F2A1B" w14:textId="77777777">
        <w:trPr>
          <w:cantSplit/>
        </w:trPr>
        <w:tc>
          <w:tcPr>
            <w:tcW w:w="822" w:type="pct"/>
            <w:vAlign w:val="center"/>
          </w:tcPr>
          <w:p w14:paraId="0943CD88" w14:textId="611EAABE" w:rsidR="00046BD5" w:rsidRPr="00DE108C" w:rsidRDefault="00046BD5">
            <w:pPr>
              <w:pStyle w:val="TableText"/>
              <w:rPr>
                <w:szCs w:val="16"/>
              </w:rPr>
            </w:pPr>
            <w:r w:rsidRPr="00DE108C">
              <w:rPr>
                <w:szCs w:val="16"/>
              </w:rPr>
              <w:t>Olinda-Mitcham water mains replacement - Stage 2</w:t>
            </w:r>
          </w:p>
        </w:tc>
        <w:tc>
          <w:tcPr>
            <w:tcW w:w="669" w:type="pct"/>
            <w:vAlign w:val="center"/>
          </w:tcPr>
          <w:p w14:paraId="0930856B" w14:textId="77777777" w:rsidR="00046BD5" w:rsidRPr="00DE108C" w:rsidRDefault="00046BD5">
            <w:pPr>
              <w:pStyle w:val="TableText"/>
              <w:rPr>
                <w:szCs w:val="16"/>
              </w:rPr>
            </w:pPr>
            <w:r w:rsidRPr="00DE108C">
              <w:rPr>
                <w:szCs w:val="16"/>
              </w:rPr>
              <w:t>83.3</w:t>
            </w:r>
          </w:p>
        </w:tc>
        <w:tc>
          <w:tcPr>
            <w:tcW w:w="810" w:type="pct"/>
            <w:vAlign w:val="center"/>
          </w:tcPr>
          <w:p w14:paraId="257B1764" w14:textId="77777777" w:rsidR="00046BD5" w:rsidRPr="00DE108C" w:rsidRDefault="00046BD5">
            <w:pPr>
              <w:pStyle w:val="TableText"/>
              <w:rPr>
                <w:szCs w:val="16"/>
              </w:rPr>
            </w:pPr>
            <w:r w:rsidRPr="00DE108C">
              <w:rPr>
                <w:szCs w:val="16"/>
              </w:rPr>
              <w:t>2028-29</w:t>
            </w:r>
          </w:p>
        </w:tc>
        <w:tc>
          <w:tcPr>
            <w:tcW w:w="2699" w:type="pct"/>
          </w:tcPr>
          <w:p w14:paraId="7E3D0FAC" w14:textId="77777777" w:rsidR="00046BD5" w:rsidRPr="00DE108C" w:rsidRDefault="00046BD5">
            <w:pPr>
              <w:pStyle w:val="TableText"/>
              <w:rPr>
                <w:szCs w:val="16"/>
              </w:rPr>
            </w:pPr>
            <w:r w:rsidRPr="00DE108C">
              <w:rPr>
                <w:szCs w:val="16"/>
              </w:rPr>
              <w:t>This project is stage 2 of the replacement of Olinda-Mitcham pipelines, which performs a critical role in the water supply system, ensuring that Melbourne Water meets its service obligations for water supply under the Bulk Water Supply Agreement (BWSA), as they have reached the end of their service life due to extensive condition deterioration.</w:t>
            </w:r>
          </w:p>
        </w:tc>
      </w:tr>
    </w:tbl>
    <w:p w14:paraId="1A4F0196" w14:textId="77777777" w:rsidR="00046BD5" w:rsidRPr="00DE108C" w:rsidRDefault="00046BD5" w:rsidP="00ED094E">
      <w:r w:rsidRPr="00DE108C">
        <w:t>In addition to these major projects, a further $1,240 million will be invested through a suite of strategic programs that support system-wide performance and resilience. These programs focus on diversifying water sources, enhancing water quality, improving water transfer resilience across Melbourne and maintaining production and storage assets. While individually smaller in scale, these initiatives are essential to meet customer expectations, comply with evolving regulatory standards and ensure equitable access to water across Melbourne and surrounding regions. The table below outlines the major programs that will deliver these outcomes.</w:t>
      </w:r>
    </w:p>
    <w:p w14:paraId="63FC9EAC" w14:textId="77777777" w:rsidR="00046BD5" w:rsidRPr="00DE108C" w:rsidRDefault="00046BD5" w:rsidP="00ED094E">
      <w:pPr>
        <w:pStyle w:val="Caption"/>
      </w:pPr>
      <w:bookmarkStart w:id="469" w:name="_Toc207893023"/>
      <w:bookmarkStart w:id="470" w:name="_Toc208490547"/>
      <w:bookmarkStart w:id="471" w:name="_Toc208490885"/>
      <w:bookmarkStart w:id="472" w:name="_Toc208911043"/>
      <w:bookmarkStart w:id="473" w:name="_Toc210051349"/>
      <w:r w:rsidRPr="00DE108C">
        <w:lastRenderedPageBreak/>
        <w:t>Table 6.3: Major water sub-service programs ($millions, real 2025-26)</w:t>
      </w:r>
      <w:bookmarkEnd w:id="469"/>
      <w:bookmarkEnd w:id="470"/>
      <w:bookmarkEnd w:id="471"/>
      <w:bookmarkEnd w:id="472"/>
      <w:bookmarkEnd w:id="473"/>
    </w:p>
    <w:tbl>
      <w:tblPr>
        <w:tblStyle w:val="MWTableGrid"/>
        <w:tblW w:w="5000" w:type="pct"/>
        <w:tblCellMar>
          <w:top w:w="0" w:type="dxa"/>
          <w:bottom w:w="0" w:type="dxa"/>
        </w:tblCellMar>
        <w:tblLook w:val="0420" w:firstRow="1" w:lastRow="0" w:firstColumn="0" w:lastColumn="0" w:noHBand="0" w:noVBand="1"/>
      </w:tblPr>
      <w:tblGrid>
        <w:gridCol w:w="1568"/>
        <w:gridCol w:w="1519"/>
        <w:gridCol w:w="1444"/>
        <w:gridCol w:w="5097"/>
      </w:tblGrid>
      <w:tr w:rsidR="00A043F7" w:rsidRPr="00DE108C" w14:paraId="31D578FE" w14:textId="77777777" w:rsidTr="0080065C">
        <w:trPr>
          <w:cnfStyle w:val="100000000000" w:firstRow="1" w:lastRow="0" w:firstColumn="0" w:lastColumn="0" w:oddVBand="0" w:evenVBand="0" w:oddHBand="0" w:evenHBand="0" w:firstRowFirstColumn="0" w:firstRowLastColumn="0" w:lastRowFirstColumn="0" w:lastRowLastColumn="0"/>
          <w:cantSplit/>
        </w:trPr>
        <w:tc>
          <w:tcPr>
            <w:tcW w:w="814" w:type="pct"/>
          </w:tcPr>
          <w:p w14:paraId="6D601BC0" w14:textId="77777777" w:rsidR="00046BD5" w:rsidRPr="00DE108C" w:rsidRDefault="00046BD5">
            <w:pPr>
              <w:pStyle w:val="TableText"/>
              <w:rPr>
                <w:color w:val="FFFFFF" w:themeColor="background1"/>
                <w:szCs w:val="16"/>
              </w:rPr>
            </w:pPr>
            <w:r w:rsidRPr="00DE108C">
              <w:rPr>
                <w:color w:val="FFFFFF" w:themeColor="background1"/>
                <w:szCs w:val="16"/>
              </w:rPr>
              <w:t>Major sub-service Program (T1)</w:t>
            </w:r>
          </w:p>
        </w:tc>
        <w:tc>
          <w:tcPr>
            <w:tcW w:w="789" w:type="pct"/>
            <w:vAlign w:val="center"/>
          </w:tcPr>
          <w:p w14:paraId="1B158AD7" w14:textId="77777777" w:rsidR="00046BD5" w:rsidRPr="00DE108C" w:rsidRDefault="00046BD5">
            <w:pPr>
              <w:pStyle w:val="TableText"/>
              <w:rPr>
                <w:color w:val="FFFFFF" w:themeColor="background1"/>
              </w:rPr>
            </w:pPr>
            <w:r w:rsidRPr="425138B5">
              <w:rPr>
                <w:color w:val="FFFFFF" w:themeColor="background1"/>
              </w:rPr>
              <w:t>PS21 actual/forecast capex</w:t>
            </w:r>
            <w:r w:rsidRPr="425138B5">
              <w:rPr>
                <w:color w:val="FFFFFF" w:themeColor="background1"/>
                <w:vertAlign w:val="superscript"/>
              </w:rPr>
              <w:t xml:space="preserve"> a</w:t>
            </w:r>
          </w:p>
        </w:tc>
        <w:tc>
          <w:tcPr>
            <w:tcW w:w="750" w:type="pct"/>
            <w:vAlign w:val="center"/>
          </w:tcPr>
          <w:p w14:paraId="247C17C6" w14:textId="77777777" w:rsidR="00046BD5" w:rsidRPr="00DE108C" w:rsidRDefault="00046BD5">
            <w:pPr>
              <w:pStyle w:val="TableText"/>
              <w:rPr>
                <w:color w:val="FFFFFF" w:themeColor="background1"/>
                <w:szCs w:val="16"/>
              </w:rPr>
            </w:pPr>
            <w:r w:rsidRPr="00DE108C">
              <w:rPr>
                <w:color w:val="FFFFFF" w:themeColor="background1"/>
                <w:szCs w:val="16"/>
              </w:rPr>
              <w:t>PS26 capex (excluding major projects)</w:t>
            </w:r>
          </w:p>
        </w:tc>
        <w:tc>
          <w:tcPr>
            <w:tcW w:w="2647" w:type="pct"/>
          </w:tcPr>
          <w:p w14:paraId="47A8CD36" w14:textId="77777777" w:rsidR="00046BD5" w:rsidRPr="00DE108C" w:rsidRDefault="00046BD5">
            <w:pPr>
              <w:pStyle w:val="TableText"/>
              <w:rPr>
                <w:color w:val="FFFFFF" w:themeColor="background1"/>
                <w:szCs w:val="16"/>
              </w:rPr>
            </w:pPr>
            <w:r w:rsidRPr="00DE108C">
              <w:rPr>
                <w:color w:val="FFFFFF" w:themeColor="background1"/>
                <w:szCs w:val="16"/>
              </w:rPr>
              <w:t>Description</w:t>
            </w:r>
          </w:p>
        </w:tc>
      </w:tr>
      <w:tr w:rsidR="00046BD5" w:rsidRPr="00DE108C" w14:paraId="25AD0F16" w14:textId="77777777" w:rsidTr="0080065C">
        <w:trPr>
          <w:cantSplit/>
        </w:trPr>
        <w:tc>
          <w:tcPr>
            <w:tcW w:w="814" w:type="pct"/>
            <w:vAlign w:val="center"/>
          </w:tcPr>
          <w:p w14:paraId="658F8316" w14:textId="77777777" w:rsidR="00046BD5" w:rsidRPr="00DE108C" w:rsidRDefault="00046BD5" w:rsidP="00ED094E">
            <w:pPr>
              <w:rPr>
                <w:sz w:val="16"/>
                <w:szCs w:val="16"/>
              </w:rPr>
            </w:pPr>
            <w:r w:rsidRPr="00DE108C">
              <w:rPr>
                <w:sz w:val="16"/>
                <w:szCs w:val="16"/>
              </w:rPr>
              <w:t>Manufactured and New Water Sources</w:t>
            </w:r>
          </w:p>
        </w:tc>
        <w:tc>
          <w:tcPr>
            <w:tcW w:w="789" w:type="pct"/>
            <w:vAlign w:val="center"/>
          </w:tcPr>
          <w:p w14:paraId="4DA4C286" w14:textId="77777777" w:rsidR="00046BD5" w:rsidRPr="00DE108C" w:rsidRDefault="00046BD5" w:rsidP="00ED094E">
            <w:pPr>
              <w:pStyle w:val="TableText"/>
              <w:rPr>
                <w:szCs w:val="16"/>
              </w:rPr>
            </w:pPr>
            <w:r w:rsidRPr="00DE108C">
              <w:rPr>
                <w:szCs w:val="16"/>
              </w:rPr>
              <w:t>-</w:t>
            </w:r>
          </w:p>
        </w:tc>
        <w:tc>
          <w:tcPr>
            <w:tcW w:w="750" w:type="pct"/>
            <w:vAlign w:val="center"/>
          </w:tcPr>
          <w:p w14:paraId="44C77F39" w14:textId="77777777" w:rsidR="00046BD5" w:rsidRPr="00DE108C" w:rsidRDefault="00046BD5" w:rsidP="00ED094E">
            <w:pPr>
              <w:pStyle w:val="TableText"/>
              <w:rPr>
                <w:szCs w:val="16"/>
              </w:rPr>
            </w:pPr>
            <w:r w:rsidRPr="00DE108C">
              <w:rPr>
                <w:szCs w:val="16"/>
              </w:rPr>
              <w:t>266.0</w:t>
            </w:r>
          </w:p>
        </w:tc>
        <w:tc>
          <w:tcPr>
            <w:tcW w:w="2647" w:type="pct"/>
          </w:tcPr>
          <w:p w14:paraId="346880CE" w14:textId="77777777" w:rsidR="00046BD5" w:rsidRPr="00DE108C" w:rsidRDefault="00046BD5" w:rsidP="0080065C">
            <w:pPr>
              <w:pStyle w:val="Tablebullet"/>
            </w:pPr>
            <w:r w:rsidRPr="00DE108C">
              <w:t>Customers told us we should be investing in ‘readiness’ for new climate-independent water sources and to continue to supply recycled water.</w:t>
            </w:r>
          </w:p>
          <w:p w14:paraId="2822232C" w14:textId="6837E96E" w:rsidR="00046BD5" w:rsidRPr="00DE108C" w:rsidRDefault="00046BD5" w:rsidP="0080065C">
            <w:pPr>
              <w:pStyle w:val="Tablebullet"/>
            </w:pPr>
            <w:r w:rsidRPr="00DE108C">
              <w:t xml:space="preserve">In line with the Victorian Government’s </w:t>
            </w:r>
            <w:r w:rsidRPr="00C81936">
              <w:rPr>
                <w:i/>
              </w:rPr>
              <w:t>Water Security Plan</w:t>
            </w:r>
            <w:r w:rsidRPr="00DE108C">
              <w:t>, we will invest in detailed investigations for new large</w:t>
            </w:r>
            <w:r w:rsidR="0CF346BD" w:rsidRPr="425138B5">
              <w:t>-</w:t>
            </w:r>
            <w:r w:rsidRPr="00DE108C">
              <w:t xml:space="preserve">scale water </w:t>
            </w:r>
            <w:r w:rsidR="00D0390E">
              <w:t>suppl</w:t>
            </w:r>
            <w:r w:rsidR="00D24C90">
              <w:t>ies</w:t>
            </w:r>
            <w:r w:rsidRPr="00DE108C">
              <w:t>.</w:t>
            </w:r>
          </w:p>
          <w:p w14:paraId="40AC1BA3" w14:textId="4E9D4084" w:rsidR="00046BD5" w:rsidRPr="00DE108C" w:rsidRDefault="00046BD5" w:rsidP="0080065C">
            <w:pPr>
              <w:pStyle w:val="Tablebullet"/>
            </w:pPr>
            <w:r w:rsidRPr="00DE108C">
              <w:t xml:space="preserve">The </w:t>
            </w:r>
            <w:r w:rsidR="0C4A7122" w:rsidRPr="425138B5">
              <w:t>WTP</w:t>
            </w:r>
            <w:r w:rsidRPr="00DE108C">
              <w:t xml:space="preserve"> Class A Recycled Water is ageing and failing to meet service expectations. This program aims to make essential renewals to secure supply from the service and to investigate higher value longer term options in line with the Victorian Government’s </w:t>
            </w:r>
            <w:r w:rsidRPr="00967DB9">
              <w:rPr>
                <w:i/>
              </w:rPr>
              <w:t>Water Security Plan</w:t>
            </w:r>
            <w:r w:rsidRPr="00DE108C">
              <w:t xml:space="preserve"> and </w:t>
            </w:r>
            <w:r w:rsidRPr="00967DB9">
              <w:rPr>
                <w:i/>
              </w:rPr>
              <w:t>Central and Gippsland Region Sustainable Water Strategy</w:t>
            </w:r>
            <w:r w:rsidR="6C8FA2F2" w:rsidRPr="425138B5">
              <w:t xml:space="preserve"> (CGRSWS</w:t>
            </w:r>
            <w:r w:rsidR="00967DB9">
              <w:t>)</w:t>
            </w:r>
            <w:r w:rsidRPr="00DE108C">
              <w:t>.</w:t>
            </w:r>
          </w:p>
        </w:tc>
      </w:tr>
      <w:tr w:rsidR="00A043F7" w:rsidRPr="00DE108C" w14:paraId="192959D2" w14:textId="77777777" w:rsidTr="0080065C">
        <w:trPr>
          <w:cnfStyle w:val="000000010000" w:firstRow="0" w:lastRow="0" w:firstColumn="0" w:lastColumn="0" w:oddVBand="0" w:evenVBand="0" w:oddHBand="0" w:evenHBand="1" w:firstRowFirstColumn="0" w:firstRowLastColumn="0" w:lastRowFirstColumn="0" w:lastRowLastColumn="0"/>
          <w:cantSplit/>
        </w:trPr>
        <w:tc>
          <w:tcPr>
            <w:tcW w:w="814" w:type="pct"/>
            <w:vAlign w:val="center"/>
          </w:tcPr>
          <w:p w14:paraId="7B2894C8" w14:textId="77777777" w:rsidR="00046BD5" w:rsidRPr="00DE108C" w:rsidRDefault="00046BD5" w:rsidP="00ED094E">
            <w:pPr>
              <w:rPr>
                <w:sz w:val="16"/>
                <w:szCs w:val="16"/>
              </w:rPr>
            </w:pPr>
            <w:r w:rsidRPr="00DE108C">
              <w:rPr>
                <w:sz w:val="16"/>
                <w:szCs w:val="16"/>
              </w:rPr>
              <w:t>Production and Storage</w:t>
            </w:r>
          </w:p>
        </w:tc>
        <w:tc>
          <w:tcPr>
            <w:tcW w:w="789" w:type="pct"/>
            <w:vAlign w:val="center"/>
          </w:tcPr>
          <w:p w14:paraId="5EE0BC08" w14:textId="3336DBE3" w:rsidR="00046BD5" w:rsidRPr="00DE108C" w:rsidRDefault="00CE1F10" w:rsidP="00ED094E">
            <w:pPr>
              <w:pStyle w:val="TableText"/>
              <w:rPr>
                <w:szCs w:val="16"/>
              </w:rPr>
            </w:pPr>
            <w:r w:rsidRPr="00D30A04">
              <w:rPr>
                <w:szCs w:val="16"/>
              </w:rPr>
              <w:t>164.</w:t>
            </w:r>
            <w:r w:rsidR="005B2369" w:rsidRPr="00D30A04">
              <w:rPr>
                <w:szCs w:val="16"/>
              </w:rPr>
              <w:t>0</w:t>
            </w:r>
          </w:p>
        </w:tc>
        <w:tc>
          <w:tcPr>
            <w:tcW w:w="750" w:type="pct"/>
            <w:vAlign w:val="center"/>
          </w:tcPr>
          <w:p w14:paraId="6E9A7704" w14:textId="77777777" w:rsidR="00046BD5" w:rsidRPr="00DE108C" w:rsidRDefault="00046BD5" w:rsidP="00ED094E">
            <w:pPr>
              <w:pStyle w:val="TableText"/>
              <w:rPr>
                <w:szCs w:val="16"/>
              </w:rPr>
            </w:pPr>
            <w:r w:rsidRPr="00DE108C">
              <w:rPr>
                <w:szCs w:val="16"/>
              </w:rPr>
              <w:t>192.4</w:t>
            </w:r>
          </w:p>
        </w:tc>
        <w:tc>
          <w:tcPr>
            <w:tcW w:w="2647" w:type="pct"/>
          </w:tcPr>
          <w:p w14:paraId="36D4B4D0" w14:textId="77777777" w:rsidR="00046BD5" w:rsidRPr="00DE108C" w:rsidRDefault="00046BD5" w:rsidP="0080065C">
            <w:pPr>
              <w:pStyle w:val="Tablebullet"/>
            </w:pPr>
            <w:r w:rsidRPr="00DE108C">
              <w:t>Customers told us it was important for us to efficiently store and transfer water, including minimising losses and making sure our assets are safe and secure. The Water Production and Storage Program sets out the investments needed to make sure our dams, weirs, aqueducts and raw water pipelines function effectively.</w:t>
            </w:r>
          </w:p>
        </w:tc>
      </w:tr>
      <w:tr w:rsidR="00046BD5" w:rsidRPr="00DE108C" w14:paraId="1C28E354" w14:textId="77777777" w:rsidTr="0080065C">
        <w:trPr>
          <w:cantSplit/>
        </w:trPr>
        <w:tc>
          <w:tcPr>
            <w:tcW w:w="814" w:type="pct"/>
            <w:vAlign w:val="center"/>
          </w:tcPr>
          <w:p w14:paraId="626780FD" w14:textId="77777777" w:rsidR="00046BD5" w:rsidRPr="00DE108C" w:rsidRDefault="00046BD5" w:rsidP="00ED094E">
            <w:pPr>
              <w:rPr>
                <w:sz w:val="16"/>
                <w:szCs w:val="16"/>
              </w:rPr>
            </w:pPr>
            <w:r w:rsidRPr="00DE108C">
              <w:rPr>
                <w:sz w:val="16"/>
                <w:szCs w:val="16"/>
              </w:rPr>
              <w:t>Water Quality</w:t>
            </w:r>
          </w:p>
        </w:tc>
        <w:tc>
          <w:tcPr>
            <w:tcW w:w="789" w:type="pct"/>
            <w:vAlign w:val="center"/>
          </w:tcPr>
          <w:p w14:paraId="37CC507D" w14:textId="400D26F5" w:rsidR="00046BD5" w:rsidRPr="00DE108C" w:rsidRDefault="002D4B0B" w:rsidP="00ED094E">
            <w:pPr>
              <w:pStyle w:val="TableText"/>
              <w:rPr>
                <w:szCs w:val="16"/>
              </w:rPr>
            </w:pPr>
            <w:r w:rsidRPr="00D30A04">
              <w:rPr>
                <w:szCs w:val="16"/>
              </w:rPr>
              <w:t>303.</w:t>
            </w:r>
            <w:r w:rsidR="005B2369" w:rsidRPr="00D30A04">
              <w:rPr>
                <w:szCs w:val="16"/>
              </w:rPr>
              <w:t>3</w:t>
            </w:r>
          </w:p>
        </w:tc>
        <w:tc>
          <w:tcPr>
            <w:tcW w:w="750" w:type="pct"/>
            <w:vAlign w:val="center"/>
          </w:tcPr>
          <w:p w14:paraId="34389870" w14:textId="77777777" w:rsidR="00046BD5" w:rsidRPr="00DE108C" w:rsidRDefault="00046BD5" w:rsidP="00ED094E">
            <w:pPr>
              <w:pStyle w:val="TableText"/>
              <w:rPr>
                <w:szCs w:val="16"/>
              </w:rPr>
            </w:pPr>
            <w:r w:rsidRPr="00DE108C">
              <w:rPr>
                <w:szCs w:val="16"/>
              </w:rPr>
              <w:t>541.7</w:t>
            </w:r>
          </w:p>
        </w:tc>
        <w:tc>
          <w:tcPr>
            <w:tcW w:w="2647" w:type="pct"/>
          </w:tcPr>
          <w:p w14:paraId="7A3CD009" w14:textId="77777777" w:rsidR="00046BD5" w:rsidRPr="00DE108C" w:rsidRDefault="00046BD5" w:rsidP="0080065C">
            <w:pPr>
              <w:pStyle w:val="Tablebullet"/>
            </w:pPr>
            <w:r w:rsidRPr="00DE108C">
              <w:t xml:space="preserve">Customers told us that water quality should be our highest priority. The Water Quality Program ensures we can treat increased demand for water to higher standards per the revised </w:t>
            </w:r>
            <w:r w:rsidRPr="00DE108C">
              <w:rPr>
                <w:i/>
                <w:iCs/>
              </w:rPr>
              <w:t xml:space="preserve">Drinking Water Quality Guidelines, </w:t>
            </w:r>
            <w:r w:rsidRPr="00DE108C">
              <w:t>which will come into effect during the regulatory period.</w:t>
            </w:r>
          </w:p>
          <w:p w14:paraId="0A05D0D3" w14:textId="77777777" w:rsidR="00046BD5" w:rsidRPr="00DE108C" w:rsidRDefault="00046BD5" w:rsidP="0080065C">
            <w:pPr>
              <w:pStyle w:val="Tablebullet"/>
            </w:pPr>
            <w:r w:rsidRPr="00DE108C">
              <w:t>Works include advanced treatment technologies to guarantee quality, real-time monitoring, improved disinfection methods and robust catchment protection.</w:t>
            </w:r>
          </w:p>
        </w:tc>
      </w:tr>
      <w:tr w:rsidR="00556A0D" w:rsidRPr="00DE108C" w14:paraId="1BFFCFD0" w14:textId="77777777" w:rsidTr="0080065C">
        <w:trPr>
          <w:cnfStyle w:val="000000010000" w:firstRow="0" w:lastRow="0" w:firstColumn="0" w:lastColumn="0" w:oddVBand="0" w:evenVBand="0" w:oddHBand="0" w:evenHBand="1" w:firstRowFirstColumn="0" w:firstRowLastColumn="0" w:lastRowFirstColumn="0" w:lastRowLastColumn="0"/>
          <w:cantSplit/>
        </w:trPr>
        <w:tc>
          <w:tcPr>
            <w:tcW w:w="814" w:type="pct"/>
            <w:tcBorders>
              <w:bottom w:val="single" w:sz="4" w:space="0" w:color="231F20" w:themeColor="text1"/>
            </w:tcBorders>
            <w:vAlign w:val="center"/>
          </w:tcPr>
          <w:p w14:paraId="67A5DB97" w14:textId="77777777" w:rsidR="00046BD5" w:rsidRPr="00DE108C" w:rsidRDefault="00046BD5" w:rsidP="00ED094E">
            <w:pPr>
              <w:rPr>
                <w:sz w:val="16"/>
                <w:szCs w:val="16"/>
              </w:rPr>
            </w:pPr>
            <w:r w:rsidRPr="00DE108C">
              <w:rPr>
                <w:sz w:val="16"/>
                <w:szCs w:val="16"/>
              </w:rPr>
              <w:t>Water Transfer</w:t>
            </w:r>
          </w:p>
        </w:tc>
        <w:tc>
          <w:tcPr>
            <w:tcW w:w="789" w:type="pct"/>
            <w:tcBorders>
              <w:bottom w:val="single" w:sz="4" w:space="0" w:color="231F20" w:themeColor="text1"/>
            </w:tcBorders>
            <w:vAlign w:val="center"/>
          </w:tcPr>
          <w:p w14:paraId="60E61408" w14:textId="697A5C46" w:rsidR="00046BD5" w:rsidRPr="00DE108C" w:rsidRDefault="00046BD5" w:rsidP="00ED094E">
            <w:pPr>
              <w:pStyle w:val="TableText"/>
              <w:rPr>
                <w:szCs w:val="16"/>
              </w:rPr>
            </w:pPr>
            <w:r w:rsidRPr="00DE108C">
              <w:rPr>
                <w:szCs w:val="16"/>
              </w:rPr>
              <w:t>53</w:t>
            </w:r>
            <w:r w:rsidR="007C4903" w:rsidRPr="00DE108C">
              <w:rPr>
                <w:szCs w:val="16"/>
              </w:rPr>
              <w:t>1.2</w:t>
            </w:r>
          </w:p>
        </w:tc>
        <w:tc>
          <w:tcPr>
            <w:tcW w:w="750" w:type="pct"/>
            <w:tcBorders>
              <w:bottom w:val="single" w:sz="4" w:space="0" w:color="231F20" w:themeColor="text1"/>
            </w:tcBorders>
            <w:vAlign w:val="center"/>
          </w:tcPr>
          <w:p w14:paraId="759B717C" w14:textId="77777777" w:rsidR="00046BD5" w:rsidRPr="00DE108C" w:rsidRDefault="00046BD5" w:rsidP="00ED094E">
            <w:pPr>
              <w:pStyle w:val="TableText"/>
              <w:rPr>
                <w:szCs w:val="16"/>
              </w:rPr>
            </w:pPr>
            <w:r w:rsidRPr="00DE108C">
              <w:rPr>
                <w:szCs w:val="16"/>
              </w:rPr>
              <w:t>505.7</w:t>
            </w:r>
          </w:p>
        </w:tc>
        <w:tc>
          <w:tcPr>
            <w:tcW w:w="2647" w:type="pct"/>
            <w:tcBorders>
              <w:bottom w:val="single" w:sz="4" w:space="0" w:color="231F20" w:themeColor="text1"/>
            </w:tcBorders>
          </w:tcPr>
          <w:p w14:paraId="675DA88B" w14:textId="77777777" w:rsidR="00046BD5" w:rsidRPr="00DE108C" w:rsidRDefault="00046BD5" w:rsidP="0080065C">
            <w:pPr>
              <w:pStyle w:val="Tablebullet"/>
            </w:pPr>
            <w:r w:rsidRPr="00DE108C">
              <w:t xml:space="preserve">Customers told us it is important for us to plan for long-term water needs for our region and to ensure we consider geographic equity in our decisions. The Water Transfer Program enables us to deliver high quality, reliable, treated water to all parts of the region we serve, including Melbourne’s growing west and the Geelong region. </w:t>
            </w:r>
          </w:p>
          <w:p w14:paraId="0F17B823" w14:textId="77777777" w:rsidR="00046BD5" w:rsidRPr="00DE108C" w:rsidRDefault="00046BD5" w:rsidP="0080065C">
            <w:pPr>
              <w:pStyle w:val="Tablebullet"/>
            </w:pPr>
            <w:r w:rsidRPr="00DE108C">
              <w:t>Works include enhancing water transfer efficiency by upgrading pipelines, optimising pump performance, increasing network flexibility and minimising leakage with smart pressure management systems.</w:t>
            </w:r>
          </w:p>
        </w:tc>
      </w:tr>
    </w:tbl>
    <w:p w14:paraId="253E6E13" w14:textId="671188D2" w:rsidR="0080065C" w:rsidRDefault="0080065C" w:rsidP="00ED094E">
      <w:r w:rsidRPr="00DE108C">
        <w:rPr>
          <w:sz w:val="16"/>
          <w:szCs w:val="16"/>
          <w:vertAlign w:val="superscript"/>
        </w:rPr>
        <w:t>a</w:t>
      </w:r>
      <w:r w:rsidRPr="00DE108C">
        <w:rPr>
          <w:sz w:val="16"/>
          <w:szCs w:val="16"/>
        </w:rPr>
        <w:t xml:space="preserve"> Includes major projects.</w:t>
      </w:r>
    </w:p>
    <w:p w14:paraId="25EA3A51" w14:textId="40375180" w:rsidR="00860DB9" w:rsidRPr="00DE108C" w:rsidRDefault="00046BD5" w:rsidP="00ED094E">
      <w:r w:rsidRPr="00DE108C">
        <w:t>The water programs outlined in Table 6.3 include development costs for uncertain projects, including</w:t>
      </w:r>
      <w:r w:rsidR="00860DB9" w:rsidRPr="00DE108C">
        <w:t>:</w:t>
      </w:r>
    </w:p>
    <w:p w14:paraId="24F5B37F" w14:textId="77777777" w:rsidR="00860DB9" w:rsidRPr="00DE108C" w:rsidRDefault="00046BD5" w:rsidP="00D411F5">
      <w:pPr>
        <w:pStyle w:val="ListBullet"/>
      </w:pPr>
      <w:r w:rsidRPr="00DE108C">
        <w:lastRenderedPageBreak/>
        <w:t>Maroondah Aqueduct Stage 3B Upgrade</w:t>
      </w:r>
    </w:p>
    <w:p w14:paraId="4410BDE7" w14:textId="77777777" w:rsidR="00860DB9" w:rsidRPr="00DE108C" w:rsidRDefault="00046BD5" w:rsidP="00D411F5">
      <w:pPr>
        <w:pStyle w:val="ListBullet"/>
      </w:pPr>
      <w:r w:rsidRPr="00DE108C">
        <w:t>Coranderrk-Maroondah Pipeline</w:t>
      </w:r>
    </w:p>
    <w:p w14:paraId="29187777" w14:textId="77777777" w:rsidR="00860DB9" w:rsidRPr="00DE108C" w:rsidRDefault="00046BD5" w:rsidP="00D411F5">
      <w:pPr>
        <w:pStyle w:val="ListBullet"/>
      </w:pPr>
      <w:r w:rsidRPr="00DE108C">
        <w:t>Sydenham Pump Station</w:t>
      </w:r>
    </w:p>
    <w:p w14:paraId="378F0665" w14:textId="77777777" w:rsidR="00860DB9" w:rsidRPr="00DE108C" w:rsidRDefault="00046BD5" w:rsidP="00D411F5">
      <w:pPr>
        <w:pStyle w:val="ListBullet"/>
      </w:pPr>
      <w:r w:rsidRPr="00DE108C">
        <w:t>Dandenong No 1 Tank Refurbishment</w:t>
      </w:r>
    </w:p>
    <w:p w14:paraId="7012FE68" w14:textId="77777777" w:rsidR="00860DB9" w:rsidRPr="00DE108C" w:rsidRDefault="00046BD5" w:rsidP="00D411F5">
      <w:pPr>
        <w:pStyle w:val="ListBullet"/>
      </w:pPr>
      <w:r w:rsidRPr="00DE108C">
        <w:t>Kallista Supply Resilience</w:t>
      </w:r>
    </w:p>
    <w:p w14:paraId="35E9BA5A" w14:textId="76A380B5" w:rsidR="00046BD5" w:rsidRPr="00DE108C" w:rsidRDefault="00046BD5" w:rsidP="00D411F5">
      <w:pPr>
        <w:pStyle w:val="ListBullet"/>
      </w:pPr>
      <w:r w:rsidRPr="00DE108C">
        <w:t>Healesville Supply Resilience</w:t>
      </w:r>
      <w:r w:rsidR="74002937">
        <w:t>.</w:t>
      </w:r>
    </w:p>
    <w:p w14:paraId="4B1EB407" w14:textId="43C2F771" w:rsidR="00860DB9" w:rsidRPr="00DE108C" w:rsidRDefault="005A5F0A" w:rsidP="00860DB9">
      <w:r w:rsidRPr="00DE108C">
        <w:t xml:space="preserve">We are delivering the Bulk Supply Agreement Modernisation Project, which includes a workstream on Collaborative Planning and confirmation of principles for asset </w:t>
      </w:r>
      <w:r w:rsidR="6978D0FC" w:rsidRPr="00DE108C">
        <w:t>o</w:t>
      </w:r>
      <w:r w:rsidR="30E70D8B" w:rsidRPr="00DE108C">
        <w:t xml:space="preserve">wnership and asset </w:t>
      </w:r>
      <w:r w:rsidRPr="00DE108C">
        <w:t>transfers</w:t>
      </w:r>
      <w:r w:rsidR="009323F3" w:rsidRPr="00DE108C">
        <w:t>, to be</w:t>
      </w:r>
      <w:r w:rsidRPr="00DE108C">
        <w:t xml:space="preserve"> resolve</w:t>
      </w:r>
      <w:r w:rsidR="009323F3" w:rsidRPr="00DE108C">
        <w:t>d</w:t>
      </w:r>
      <w:r w:rsidRPr="00DE108C">
        <w:t xml:space="preserve"> in time for </w:t>
      </w:r>
      <w:r w:rsidR="009323F3" w:rsidRPr="00DE108C">
        <w:t>water corporation</w:t>
      </w:r>
      <w:r w:rsidRPr="00DE108C">
        <w:t xml:space="preserve"> 2028 </w:t>
      </w:r>
      <w:r w:rsidR="33006A91">
        <w:t>P</w:t>
      </w:r>
      <w:r>
        <w:t xml:space="preserve">rice </w:t>
      </w:r>
      <w:r w:rsidR="3CE7FA2A">
        <w:t>S</w:t>
      </w:r>
      <w:r>
        <w:t>ubmissions</w:t>
      </w:r>
      <w:r w:rsidR="000C6DA7">
        <w:t>.</w:t>
      </w:r>
      <w:r w:rsidR="000C6DA7" w:rsidRPr="00DE108C">
        <w:t xml:space="preserve"> We may </w:t>
      </w:r>
      <w:r w:rsidR="00E632F4" w:rsidRPr="00C12E62">
        <w:t>in</w:t>
      </w:r>
      <w:r w:rsidR="000C6DA7" w:rsidRPr="00C12E62">
        <w:t>cur</w:t>
      </w:r>
      <w:r w:rsidR="000C6DA7" w:rsidRPr="00DE108C">
        <w:t xml:space="preserve"> additional </w:t>
      </w:r>
      <w:r w:rsidR="1D40F5ED">
        <w:t>capex</w:t>
      </w:r>
      <w:r w:rsidR="000C6DA7" w:rsidRPr="00DE108C">
        <w:t xml:space="preserve"> during the regulatory period if assets are</w:t>
      </w:r>
      <w:r w:rsidR="0030117E" w:rsidRPr="00DE108C">
        <w:t xml:space="preserve"> agreed to be</w:t>
      </w:r>
      <w:r w:rsidR="000C6DA7" w:rsidRPr="00DE108C">
        <w:t xml:space="preserve"> transferred between water corporations </w:t>
      </w:r>
      <w:r w:rsidR="0030117E" w:rsidRPr="00DE108C">
        <w:t>as a result.</w:t>
      </w:r>
    </w:p>
    <w:p w14:paraId="629EE29D" w14:textId="77777777" w:rsidR="00046BD5" w:rsidRPr="00DE108C" w:rsidRDefault="00046BD5" w:rsidP="00ED094E">
      <w:r w:rsidRPr="00DE108C">
        <w:t xml:space="preserve">Business cases for all major projects and programs are available upon request. </w:t>
      </w:r>
    </w:p>
    <w:p w14:paraId="04688BA9" w14:textId="77777777" w:rsidR="00046BD5" w:rsidRPr="00DE108C" w:rsidRDefault="00046BD5">
      <w:pPr>
        <w:pStyle w:val="Heading4"/>
        <w:rPr>
          <w:szCs w:val="22"/>
        </w:rPr>
      </w:pPr>
      <w:r w:rsidRPr="00DE108C">
        <w:rPr>
          <w:szCs w:val="22"/>
        </w:rPr>
        <w:t>6.2.2.1 Manufactured and New Water</w:t>
      </w:r>
    </w:p>
    <w:p w14:paraId="39C29814" w14:textId="2CC636D5" w:rsidR="00046BD5" w:rsidRPr="00DE108C" w:rsidRDefault="00046BD5" w:rsidP="00ED094E">
      <w:r w:rsidRPr="00DE108C">
        <w:t xml:space="preserve">As part of our </w:t>
      </w:r>
      <w:r w:rsidRPr="00DE108C">
        <w:rPr>
          <w:b/>
          <w:bCs/>
        </w:rPr>
        <w:t>Manufactured and New Water Program</w:t>
      </w:r>
      <w:r w:rsidRPr="00DE108C">
        <w:t xml:space="preserve"> we are proposing $16.5 million for the recycled water program (see Figure 6.</w:t>
      </w:r>
      <w:r w:rsidR="004E5C61" w:rsidRPr="00DE108C">
        <w:t>7</w:t>
      </w:r>
      <w:r w:rsidRPr="00DE108C">
        <w:t xml:space="preserve"> for proposed annual capex) associated with the Class A recycled water treatment plant at </w:t>
      </w:r>
      <w:r w:rsidR="205E391F">
        <w:t>WTP</w:t>
      </w:r>
      <w:r w:rsidRPr="00DE108C">
        <w:t xml:space="preserve">. </w:t>
      </w:r>
    </w:p>
    <w:p w14:paraId="79510E41" w14:textId="2466F1B4" w:rsidR="00046BD5" w:rsidRPr="00DE108C" w:rsidRDefault="00046BD5" w:rsidP="00ED094E">
      <w:r w:rsidRPr="00DE108C">
        <w:t xml:space="preserve">The </w:t>
      </w:r>
      <w:r w:rsidR="6A65305D">
        <w:t>WTP</w:t>
      </w:r>
      <w:r w:rsidRPr="00DE108C">
        <w:t xml:space="preserve"> Class A plant is ageing and failing to meet levels of service. </w:t>
      </w:r>
    </w:p>
    <w:p w14:paraId="359CCF65" w14:textId="57A2B00D" w:rsidR="00046BD5" w:rsidRPr="00DE108C" w:rsidRDefault="00046BD5" w:rsidP="00ED094E">
      <w:r w:rsidRPr="00DE108C">
        <w:t xml:space="preserve">Under our Manufactured and New Water Program there are several possible pathways with the strategic direction of the </w:t>
      </w:r>
      <w:r w:rsidR="783F0511">
        <w:t>WTP</w:t>
      </w:r>
      <w:r w:rsidRPr="00DE108C">
        <w:t xml:space="preserve"> Class A plant:</w:t>
      </w:r>
    </w:p>
    <w:p w14:paraId="5BCD323A" w14:textId="77777777" w:rsidR="005D29B7" w:rsidRDefault="00046BD5">
      <w:pPr>
        <w:pStyle w:val="ListNumber"/>
        <w:numPr>
          <w:ilvl w:val="0"/>
          <w:numId w:val="18"/>
        </w:numPr>
        <w:rPr>
          <w:rFonts w:eastAsiaTheme="minorEastAsia"/>
        </w:rPr>
      </w:pPr>
      <w:r w:rsidRPr="00DE108C">
        <w:t>A</w:t>
      </w:r>
      <w:r w:rsidRPr="00F77978">
        <w:rPr>
          <w:rFonts w:eastAsiaTheme="minorEastAsia"/>
        </w:rPr>
        <w:t xml:space="preserve"> renewal to ensure ongoing operations of the plant to maintain current levels of service, which fail to meet customer expectations.</w:t>
      </w:r>
    </w:p>
    <w:p w14:paraId="6A0CC16C" w14:textId="3E4C535D" w:rsidR="005D29B7" w:rsidRDefault="00046BD5">
      <w:pPr>
        <w:pStyle w:val="ListNumber"/>
        <w:numPr>
          <w:ilvl w:val="0"/>
          <w:numId w:val="18"/>
        </w:numPr>
        <w:ind w:left="630" w:hanging="450"/>
      </w:pPr>
      <w:r w:rsidRPr="00DE108C">
        <w:t>A comprehensive improvement, improving levels of service</w:t>
      </w:r>
      <w:r w:rsidR="32E61290">
        <w:t>,</w:t>
      </w:r>
      <w:r w:rsidRPr="00DE108C">
        <w:t xml:space="preserve"> which would come at a significantly higher cost.</w:t>
      </w:r>
    </w:p>
    <w:p w14:paraId="06652AB9" w14:textId="5A2F2AAF" w:rsidR="00046BD5" w:rsidRPr="00DE108C" w:rsidRDefault="00046BD5">
      <w:pPr>
        <w:pStyle w:val="ListNumber"/>
        <w:numPr>
          <w:ilvl w:val="0"/>
          <w:numId w:val="18"/>
        </w:numPr>
        <w:ind w:left="630" w:hanging="450"/>
      </w:pPr>
      <w:r w:rsidRPr="005D29B7">
        <w:rPr>
          <w:rFonts w:eastAsiaTheme="minorEastAsia"/>
        </w:rPr>
        <w:t>A regional solution via the proposed Werribee Reconfiguration Project</w:t>
      </w:r>
      <w:r w:rsidR="2E909702" w:rsidRPr="005D29B7">
        <w:rPr>
          <w:rFonts w:eastAsiaTheme="minorEastAsia"/>
        </w:rPr>
        <w:t>,</w:t>
      </w:r>
      <w:r w:rsidRPr="005D29B7">
        <w:rPr>
          <w:rFonts w:eastAsiaTheme="minorEastAsia"/>
        </w:rPr>
        <w:t xml:space="preserve"> which would provide multiple benefits</w:t>
      </w:r>
      <w:r w:rsidR="7C6500E2" w:rsidRPr="005D29B7">
        <w:rPr>
          <w:rFonts w:eastAsiaTheme="minorEastAsia"/>
        </w:rPr>
        <w:t>,</w:t>
      </w:r>
      <w:r w:rsidRPr="005D29B7">
        <w:rPr>
          <w:rFonts w:eastAsiaTheme="minorEastAsia"/>
        </w:rPr>
        <w:t xml:space="preserve"> including offsetting drinking water consum</w:t>
      </w:r>
      <w:r w:rsidRPr="00DE108C">
        <w:t xml:space="preserve">ption, returning water to the environment and creating a strategic water reserve as outlined in the </w:t>
      </w:r>
      <w:r w:rsidR="4E86BA73">
        <w:t>CGRSWS</w:t>
      </w:r>
      <w:r>
        <w:t>.</w:t>
      </w:r>
    </w:p>
    <w:p w14:paraId="7224B08E" w14:textId="0D8743CE" w:rsidR="00046BD5" w:rsidRPr="00DE108C" w:rsidRDefault="00046BD5" w:rsidP="00ED094E">
      <w:r w:rsidRPr="00DE108C">
        <w:t>There is uncertainty around which pathway will be adopted. Therefore, we are committing to development costs of this project and some necessary tactical renewals</w:t>
      </w:r>
      <w:r w:rsidR="76622296">
        <w:t>,</w:t>
      </w:r>
      <w:r w:rsidRPr="00DE108C">
        <w:t xml:space="preserve"> including the chlorine contact basin, blue green algae management and </w:t>
      </w:r>
      <w:r w:rsidR="00BE3DDC">
        <w:t>p</w:t>
      </w:r>
      <w:r w:rsidRPr="00DE108C">
        <w:t>H management</w:t>
      </w:r>
      <w:r w:rsidR="142E4517">
        <w:t>,</w:t>
      </w:r>
      <w:r w:rsidRPr="00DE108C">
        <w:t xml:space="preserve"> while we work through longer term solutions with stakeholders and customers. </w:t>
      </w:r>
    </w:p>
    <w:p w14:paraId="04961E04" w14:textId="15005D2F" w:rsidR="00046BD5" w:rsidRPr="00DE108C" w:rsidRDefault="00046BD5" w:rsidP="00ED094E">
      <w:pPr>
        <w:pStyle w:val="Caption"/>
      </w:pPr>
      <w:bookmarkStart w:id="474" w:name="_Ref190872909"/>
      <w:bookmarkStart w:id="475" w:name="_Toc207893024"/>
      <w:bookmarkStart w:id="476" w:name="_Toc208490548"/>
      <w:bookmarkStart w:id="477" w:name="_Toc208490886"/>
      <w:bookmarkStart w:id="478" w:name="_Toc208911044"/>
      <w:bookmarkStart w:id="479" w:name="_Toc210051350"/>
      <w:r w:rsidRPr="00DE108C">
        <w:lastRenderedPageBreak/>
        <w:t>Figure 6.</w:t>
      </w:r>
      <w:bookmarkEnd w:id="474"/>
      <w:r w:rsidR="00DB791E" w:rsidRPr="00DE108C">
        <w:t>7</w:t>
      </w:r>
      <w:r w:rsidRPr="00DE108C">
        <w:t>: Annual manufactured and new water capex ($millions, real 2025-26)</w:t>
      </w:r>
      <w:bookmarkEnd w:id="475"/>
      <w:bookmarkEnd w:id="476"/>
      <w:bookmarkEnd w:id="477"/>
      <w:bookmarkEnd w:id="478"/>
      <w:bookmarkEnd w:id="479"/>
    </w:p>
    <w:p w14:paraId="0E0A3E9F" w14:textId="77777777" w:rsidR="00046BD5" w:rsidRPr="00DE108C" w:rsidRDefault="00046BD5" w:rsidP="00ED094E">
      <w:r w:rsidRPr="00DE108C">
        <w:rPr>
          <w:noProof/>
        </w:rPr>
        <w:drawing>
          <wp:inline distT="0" distB="0" distL="0" distR="0" wp14:anchorId="7640C6A4" wp14:editId="5705CC82">
            <wp:extent cx="6120130" cy="3143250"/>
            <wp:effectExtent l="0" t="0" r="0" b="0"/>
            <wp:docPr id="452793883" name="Chart 1" descr="A bar chart titled &quot;Annual manufactured and new water capex ($millions, real 2025–26).&quot; It shows projected capital expenditure from 2027 to 2031 for two sub-categories:&#10;&#10;Water Augmentation (dark blue)&#10;Recycled Water WTP Class A Plant Renewal (light blue)&#10;&#10;Annual breakdown:&#10;&#10;&#10;2027: Total $42.0 million&#10;&#10;Water Augmentation: $41.0M&#10;Recycled Water Renewal: $1.0M&#10;&#10;&#10;&#10;2028: Total $44.7 million&#10;&#10;Water Augmentation: $42.8M&#10;Recycled Water Renewal: $1.9M&#10;&#10;&#10;&#10;2029: Total $70.6 million&#10;&#10;Water Augmentation: $65.9M&#10;Recycled Water Renewal: $4.6M&#10;&#10;&#10;&#10;2030: Total $74.3 million&#10;&#10;Water Augmentation: $69.8M&#10;Recycled Water Renewal: $4.5M&#10;&#10;&#10;&#10;2031: Total $34.5 million&#10;&#10;Water Augmentation: $30.1M&#10;Recycled Water Renewal: $4.4M">
              <a:extLst xmlns:a="http://schemas.openxmlformats.org/drawingml/2006/main">
                <a:ext uri="{FF2B5EF4-FFF2-40B4-BE49-F238E27FC236}">
                  <a16:creationId xmlns:a16="http://schemas.microsoft.com/office/drawing/2014/main" id="{E98C441F-6996-D84F-8994-5165BD78E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bookmarkEnd w:id="452"/>
    <w:p w14:paraId="3A1111F5" w14:textId="77777777" w:rsidR="00046BD5" w:rsidRPr="00DE108C" w:rsidRDefault="00046BD5" w:rsidP="00ED094E"/>
    <w:p w14:paraId="3BEAC6AF" w14:textId="4361A5E6" w:rsidR="00046BD5" w:rsidRPr="00DE108C" w:rsidRDefault="00046BD5">
      <w:pPr>
        <w:pStyle w:val="Heading3"/>
      </w:pPr>
      <w:r w:rsidRPr="00DE108C">
        <w:t xml:space="preserve">6.2.3 Outcome 2: Bulk </w:t>
      </w:r>
      <w:r w:rsidR="007353F1" w:rsidRPr="00DE108C">
        <w:t>s</w:t>
      </w:r>
      <w:r w:rsidRPr="00DE108C">
        <w:t xml:space="preserve">ewerage </w:t>
      </w:r>
      <w:r w:rsidR="007353F1" w:rsidRPr="00DE108C">
        <w:t>s</w:t>
      </w:r>
      <w:r w:rsidRPr="00DE108C">
        <w:t>ervices</w:t>
      </w:r>
    </w:p>
    <w:p w14:paraId="38D509E2" w14:textId="67DE7E94" w:rsidR="00046BD5" w:rsidRPr="00DE108C" w:rsidRDefault="00046BD5" w:rsidP="00ED094E">
      <w:r w:rsidRPr="00DE108C">
        <w:t>We are proposing a $2,617 million</w:t>
      </w:r>
      <w:r w:rsidRPr="00DE108C">
        <w:rPr>
          <w:rStyle w:val="FootnoteReference"/>
        </w:rPr>
        <w:footnoteReference w:id="12"/>
      </w:r>
      <w:r w:rsidRPr="00DE108C">
        <w:t xml:space="preserve"> investment in the </w:t>
      </w:r>
      <w:r w:rsidR="2A726754" w:rsidRPr="00DE108C">
        <w:rPr>
          <w:b/>
          <w:bCs/>
        </w:rPr>
        <w:t>S</w:t>
      </w:r>
      <w:r w:rsidRPr="00DE108C">
        <w:rPr>
          <w:b/>
          <w:bCs/>
        </w:rPr>
        <w:t xml:space="preserve">ewerage </w:t>
      </w:r>
      <w:r w:rsidR="563B4EF6" w:rsidRPr="00DE108C">
        <w:rPr>
          <w:b/>
          <w:bCs/>
        </w:rPr>
        <w:t>P</w:t>
      </w:r>
      <w:r w:rsidRPr="00DE108C">
        <w:rPr>
          <w:b/>
          <w:bCs/>
        </w:rPr>
        <w:t>rogram</w:t>
      </w:r>
      <w:r w:rsidRPr="00DE108C">
        <w:t>, marking a significant step toward improving the sustainability and resilience of our infrastructure, while also servicing a growing Melbourne. This is in pursuit of Outcome 2</w:t>
      </w:r>
      <w:r w:rsidR="68BABCE8" w:rsidRPr="00DE108C">
        <w:t>,</w:t>
      </w:r>
      <w:r w:rsidRPr="00DE108C">
        <w:t xml:space="preserve"> </w:t>
      </w:r>
      <w:r w:rsidRPr="00DE108C">
        <w:rPr>
          <w:i/>
          <w:iCs/>
        </w:rPr>
        <w:t>to provide environmentally sustainable and reliable bulk sewerage services.</w:t>
      </w:r>
      <w:r w:rsidRPr="00DE108C">
        <w:t xml:space="preserve"> The proposed annual capital expenditure is shown in Figure 6.</w:t>
      </w:r>
      <w:r w:rsidR="0070103F" w:rsidRPr="00DE108C">
        <w:t>8</w:t>
      </w:r>
      <w:r w:rsidRPr="00DE108C">
        <w:t>.</w:t>
      </w:r>
    </w:p>
    <w:p w14:paraId="5FE8E290" w14:textId="77777777" w:rsidR="00046BD5" w:rsidRPr="00DE108C" w:rsidRDefault="00046BD5" w:rsidP="00ED094E">
      <w:r w:rsidRPr="00DE108C">
        <w:t>The</w:t>
      </w:r>
      <w:r w:rsidRPr="00DE108C">
        <w:rPr>
          <w:b/>
          <w:bCs/>
        </w:rPr>
        <w:t xml:space="preserve"> Sewerage Program</w:t>
      </w:r>
      <w:r w:rsidRPr="00DE108C">
        <w:t xml:space="preserve"> manages the investments relating to essential sanitation services through the collection, treatment, and disposal of sewage and trade waste, and supporting public health and environmental protection.</w:t>
      </w:r>
    </w:p>
    <w:p w14:paraId="0448A8C0" w14:textId="77777777" w:rsidR="00046BD5" w:rsidRPr="00DE108C" w:rsidRDefault="00046BD5" w:rsidP="00ED094E">
      <w:r w:rsidRPr="00DE108C">
        <w:t>The sewerage program reflects three sub-services:</w:t>
      </w:r>
    </w:p>
    <w:p w14:paraId="727E7995" w14:textId="5DAAF1A5" w:rsidR="00046BD5" w:rsidRPr="00DE108C" w:rsidRDefault="00046BD5" w:rsidP="00D411F5">
      <w:pPr>
        <w:pStyle w:val="ListBullet"/>
      </w:pPr>
      <w:r w:rsidRPr="00DE108C">
        <w:t>our major treatment plant in the East (</w:t>
      </w:r>
      <w:r w:rsidR="454B31C2">
        <w:t>ETP</w:t>
      </w:r>
      <w:r w:rsidRPr="00DE108C">
        <w:t>)</w:t>
      </w:r>
    </w:p>
    <w:p w14:paraId="790B2CEE" w14:textId="020526C7" w:rsidR="00046BD5" w:rsidRPr="00DE108C" w:rsidRDefault="00046BD5" w:rsidP="00D411F5">
      <w:pPr>
        <w:pStyle w:val="ListBullet"/>
      </w:pPr>
      <w:r w:rsidRPr="00DE108C">
        <w:t>our major treatment plant in the West (</w:t>
      </w:r>
      <w:r w:rsidR="1F6E6046">
        <w:t>WTP</w:t>
      </w:r>
      <w:r w:rsidRPr="00DE108C">
        <w:t>)</w:t>
      </w:r>
    </w:p>
    <w:p w14:paraId="3CC7A491" w14:textId="0848092A" w:rsidR="00046BD5" w:rsidRPr="00DE108C" w:rsidRDefault="00046BD5" w:rsidP="00D411F5">
      <w:pPr>
        <w:pStyle w:val="ListBullet"/>
        <w:rPr>
          <w:rFonts w:eastAsia="Verdana"/>
        </w:rPr>
      </w:pPr>
      <w:r w:rsidRPr="00DE108C">
        <w:rPr>
          <w:rFonts w:eastAsia="Verdana"/>
        </w:rPr>
        <w:t xml:space="preserve">our extensive transfer network, transferring sewage from the water corporation assets to </w:t>
      </w:r>
      <w:r w:rsidR="0A6957C5" w:rsidRPr="425138B5">
        <w:rPr>
          <w:rFonts w:eastAsia="Verdana"/>
        </w:rPr>
        <w:t>ETP</w:t>
      </w:r>
      <w:r w:rsidRPr="00DE108C">
        <w:rPr>
          <w:rFonts w:eastAsia="Verdana"/>
        </w:rPr>
        <w:t xml:space="preserve"> or </w:t>
      </w:r>
      <w:r w:rsidR="711AD521" w:rsidRPr="425138B5">
        <w:rPr>
          <w:rFonts w:eastAsia="Verdana"/>
        </w:rPr>
        <w:t>WTP</w:t>
      </w:r>
      <w:r w:rsidRPr="00DE108C">
        <w:rPr>
          <w:rFonts w:eastAsia="Verdana"/>
        </w:rPr>
        <w:t>. It includes assets, such as gravity and rising main pipelines (conduits), pumping stations, flow meters, air treatment facilities and associated supporting infrastructure.</w:t>
      </w:r>
    </w:p>
    <w:p w14:paraId="52011D20" w14:textId="7461A35C" w:rsidR="00046BD5" w:rsidRPr="00DE108C" w:rsidRDefault="00046BD5" w:rsidP="00ED094E">
      <w:r w:rsidRPr="00DE108C">
        <w:t>Over the 2021-26</w:t>
      </w:r>
      <w:r w:rsidR="00CF0CDF">
        <w:t xml:space="preserve"> regulatory</w:t>
      </w:r>
      <w:r w:rsidRPr="00DE108C">
        <w:t xml:space="preserve"> period, we made significant investments at </w:t>
      </w:r>
      <w:r w:rsidR="2A36E722">
        <w:t>WTP</w:t>
      </w:r>
      <w:r w:rsidRPr="00DE108C">
        <w:t>, the largest sewage treatment plant in Australia. These investments featured heavily in our major projects for that period. W</w:t>
      </w:r>
      <w:r w:rsidRPr="425138B5">
        <w:rPr>
          <w:rFonts w:ascii="Verdana" w:hAnsi="Verdana"/>
        </w:rPr>
        <w:t>e invested in additional nutrient reduction treatment systems to maintain treated water discharge limits to Port Phillip Bay</w:t>
      </w:r>
      <w:r w:rsidR="02343CF8" w:rsidRPr="425138B5">
        <w:rPr>
          <w:rFonts w:ascii="Verdana" w:hAnsi="Verdana"/>
        </w:rPr>
        <w:t>,</w:t>
      </w:r>
      <w:r w:rsidRPr="425138B5">
        <w:rPr>
          <w:rFonts w:ascii="Verdana" w:hAnsi="Verdana"/>
        </w:rPr>
        <w:t xml:space="preserve"> as well as starting delivery of new preliminary, primary and sludge treatment systems</w:t>
      </w:r>
      <w:r w:rsidR="2C592255" w:rsidRPr="425138B5">
        <w:rPr>
          <w:rFonts w:ascii="Verdana" w:hAnsi="Verdana"/>
        </w:rPr>
        <w:t>,</w:t>
      </w:r>
      <w:r w:rsidRPr="425138B5">
        <w:rPr>
          <w:rFonts w:ascii="Verdana" w:hAnsi="Verdana"/>
        </w:rPr>
        <w:t xml:space="preserve"> which will continue into </w:t>
      </w:r>
      <w:r w:rsidR="00CF0CDF">
        <w:rPr>
          <w:rFonts w:ascii="Verdana" w:hAnsi="Verdana"/>
        </w:rPr>
        <w:t xml:space="preserve">the </w:t>
      </w:r>
      <w:r w:rsidRPr="425138B5">
        <w:rPr>
          <w:rFonts w:ascii="Verdana" w:hAnsi="Verdana"/>
        </w:rPr>
        <w:t>2026-31</w:t>
      </w:r>
      <w:r w:rsidR="00CF0CDF">
        <w:rPr>
          <w:rFonts w:ascii="Verdana" w:hAnsi="Verdana"/>
        </w:rPr>
        <w:t xml:space="preserve"> regulatory period</w:t>
      </w:r>
      <w:r w:rsidRPr="425138B5">
        <w:rPr>
          <w:rFonts w:ascii="Verdana" w:hAnsi="Verdana"/>
        </w:rPr>
        <w:t xml:space="preserve">. These new, modern, mechanised and more costly treatment systems are a </w:t>
      </w:r>
      <w:r w:rsidRPr="425138B5">
        <w:rPr>
          <w:rFonts w:ascii="Verdana" w:hAnsi="Verdana"/>
        </w:rPr>
        <w:lastRenderedPageBreak/>
        <w:t xml:space="preserve">significant milestone </w:t>
      </w:r>
      <w:r w:rsidR="39CAE740" w:rsidRPr="425138B5">
        <w:rPr>
          <w:rFonts w:ascii="Verdana" w:hAnsi="Verdana"/>
        </w:rPr>
        <w:t>WTP</w:t>
      </w:r>
      <w:r w:rsidRPr="425138B5">
        <w:rPr>
          <w:rFonts w:ascii="Verdana" w:hAnsi="Verdana"/>
        </w:rPr>
        <w:t>'s transition away from dependence on lagoon-based treatment systems</w:t>
      </w:r>
      <w:r w:rsidR="35B39B5F" w:rsidRPr="425138B5">
        <w:rPr>
          <w:rFonts w:ascii="Verdana" w:hAnsi="Verdana"/>
        </w:rPr>
        <w:t>,</w:t>
      </w:r>
      <w:r w:rsidRPr="425138B5">
        <w:rPr>
          <w:rFonts w:ascii="Verdana" w:hAnsi="Verdana"/>
        </w:rPr>
        <w:t xml:space="preserve"> which is necessary to reduce </w:t>
      </w:r>
      <w:r w:rsidR="6DD60AE7" w:rsidRPr="425138B5">
        <w:rPr>
          <w:rFonts w:ascii="Verdana" w:hAnsi="Verdana"/>
        </w:rPr>
        <w:t>WTP</w:t>
      </w:r>
      <w:r w:rsidRPr="425138B5">
        <w:rPr>
          <w:rFonts w:ascii="Verdana" w:hAnsi="Verdana"/>
        </w:rPr>
        <w:t>'s impact on the community and the environment.</w:t>
      </w:r>
      <w:r w:rsidRPr="00DE108C">
        <w:t xml:space="preserve"> </w:t>
      </w:r>
    </w:p>
    <w:p w14:paraId="0FC73549" w14:textId="141F2E50" w:rsidR="00046BD5" w:rsidRPr="00DE108C" w:rsidRDefault="00046BD5" w:rsidP="00ED094E">
      <w:r w:rsidRPr="00DE108C">
        <w:t xml:space="preserve">A major focus now is the </w:t>
      </w:r>
      <w:r w:rsidR="7672FE58">
        <w:t>ETP</w:t>
      </w:r>
      <w:r w:rsidRPr="00DE108C">
        <w:t xml:space="preserve"> program, the second largest treatment plant in Australia. This vital facility is responsible for managing 40 per cent of the region's wastewater. The planned upgrades aim to expand its capacity to service growing demands, improve its resilience to high flow wet weather events, which have challenged the plant in recent years, and enhance its environmental performance. These improvements will ensure the plant can meet both current and future demands and regulatory requirements, while also promoting sustainable water management practices.</w:t>
      </w:r>
    </w:p>
    <w:p w14:paraId="6853F122" w14:textId="5532CB39" w:rsidR="00046BD5" w:rsidRPr="00DE108C" w:rsidRDefault="00046BD5" w:rsidP="00ED094E">
      <w:pPr>
        <w:pStyle w:val="Caption"/>
      </w:pPr>
      <w:bookmarkStart w:id="480" w:name="_Toc207893025"/>
      <w:bookmarkStart w:id="481" w:name="_Toc208490549"/>
      <w:bookmarkStart w:id="482" w:name="_Toc208490887"/>
      <w:bookmarkStart w:id="483" w:name="_Toc208911045"/>
      <w:bookmarkStart w:id="484" w:name="_Toc210051351"/>
      <w:r w:rsidRPr="00DE108C">
        <w:t>Figure 6.</w:t>
      </w:r>
      <w:r w:rsidR="00DB791E" w:rsidRPr="00DE108C">
        <w:t>8</w:t>
      </w:r>
      <w:r w:rsidRPr="00DE108C">
        <w:t xml:space="preserve">: Outcome 2 </w:t>
      </w:r>
      <w:r w:rsidR="47FD2B38">
        <w:t>capex</w:t>
      </w:r>
      <w:r w:rsidRPr="00DE108C">
        <w:t xml:space="preserve"> by sub-service over 2026-31 excluding corporate and IT allocated expenditure ($millions, real</w:t>
      </w:r>
      <w:r w:rsidR="00CF0CDF">
        <w:t xml:space="preserve"> </w:t>
      </w:r>
      <w:r w:rsidRPr="00DE108C">
        <w:t>2025-26)</w:t>
      </w:r>
      <w:bookmarkEnd w:id="480"/>
      <w:bookmarkEnd w:id="481"/>
      <w:bookmarkEnd w:id="482"/>
      <w:bookmarkEnd w:id="483"/>
      <w:bookmarkEnd w:id="484"/>
    </w:p>
    <w:p w14:paraId="7756875B" w14:textId="77777777" w:rsidR="00046BD5" w:rsidRPr="00DE108C" w:rsidRDefault="00046BD5" w:rsidP="00ED094E">
      <w:r w:rsidRPr="00DE108C">
        <w:rPr>
          <w:noProof/>
        </w:rPr>
        <w:drawing>
          <wp:inline distT="0" distB="0" distL="0" distR="0" wp14:anchorId="6CC45468" wp14:editId="148371AB">
            <wp:extent cx="6120130" cy="4169410"/>
            <wp:effectExtent l="0" t="0" r="0" b="2540"/>
            <wp:docPr id="58230407" name="Chart 1" descr="A stacked bar chart titled &quot;Outcome 2 capex by sub-service over 2026–31 excluding corporate and IT allocated expenditure ($millions, real 2025–26).&quot; It shows annual capital expenditure from 2027 to 2031 across four sewerage-related sub-services:&#10;&#10;Eastern Treatment Plant (dark blue)&#10;Western Treatment Plant (medium blue)&#10;Sewerage Transfer (light blue)&#10;Capitalised Sewerage Costs (grey)&#10;&#10;Annual breakdown:&#10;&#10;&#10;2027: Total $526 million&#10;&#10;Eastern Treatment Plant: $79M&#10;Western Treatment Plant: $258M&#10;Sewerage Transfer: $185M&#10;Capitalised Sewerage Costs: $5M&#10;&#10;&#10;&#10;2028: Total $465 million&#10;&#10;Eastern Treatment Plant: $96M&#10;Western Treatment Plant: $175M&#10;Sewerage Transfer: $190M&#10;Capitalised Sewerage Costs: $5M&#10;&#10;&#10;&#10;2029: Total $524 million&#10;&#10;Eastern Treatment Plant: $224M&#10;Western Treatment Plant: $169M&#10;Sewerage Transfer: $110M&#10;Capitalised Sewerage Costs: $21M&#10;&#10;&#10;&#10;2030: Total $591 million&#10;&#10;Eastern Treatment Plant: $310M&#10;Western Treatment Plant: $143M&#10;Sewerage Transfer: $116M&#10;Capitalised Sewerage Costs: $21M&#10;&#10;&#10;&#10;2031: Total $511 million&#10;&#10;Eastern Treatment Plant: $231M&#10;Western Treatment Plant: $132M&#10;Sewerage Transfer: $141M&#10;Capitalised Sewerage Costs: $7M">
              <a:extLst xmlns:a="http://schemas.openxmlformats.org/drawingml/2006/main">
                <a:ext uri="{FF2B5EF4-FFF2-40B4-BE49-F238E27FC236}">
                  <a16:creationId xmlns:a16="http://schemas.microsoft.com/office/drawing/2014/main" id="{107948ED-E088-6711-A297-096EB02C6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D939E60" w14:textId="1B961F8D" w:rsidR="00046BD5" w:rsidRPr="00DE108C" w:rsidRDefault="00046BD5" w:rsidP="00ED094E">
      <w:r w:rsidRPr="00DE108C">
        <w:t xml:space="preserve">Our Sewerage Program is a combination of large-scale and smaller initiatives, with 78 per cent dedicated to major capital works, such as infrastructure upgrades and new system installations. The remaining portion focuses on smaller projects and ongoing programs aimed at maintaining, enhancing and ensuring the long-term efficiency of our sewerage systems. Our Top 5 Projects make up 37 per cent of the sewerage program. </w:t>
      </w:r>
    </w:p>
    <w:p w14:paraId="332FAD81" w14:textId="4179847E" w:rsidR="00046BD5" w:rsidRPr="00DE108C" w:rsidRDefault="00046BD5">
      <w:r w:rsidRPr="00DE108C">
        <w:t xml:space="preserve">The breakdown of sewerage </w:t>
      </w:r>
      <w:r w:rsidR="23566771">
        <w:t>capex</w:t>
      </w:r>
      <w:r w:rsidRPr="00DE108C">
        <w:t xml:space="preserve"> by primary business driver is included in Figure 6.</w:t>
      </w:r>
      <w:r w:rsidR="00DB791E" w:rsidRPr="00DE108C">
        <w:t>9</w:t>
      </w:r>
      <w:r w:rsidRPr="00DE108C">
        <w:t>, with a balance of renewals, growth and improvements/compliance.</w:t>
      </w:r>
    </w:p>
    <w:p w14:paraId="47200587" w14:textId="431687E0" w:rsidR="00046BD5" w:rsidRPr="00DE108C" w:rsidRDefault="00046BD5" w:rsidP="00ED094E">
      <w:pPr>
        <w:pStyle w:val="Caption"/>
      </w:pPr>
      <w:bookmarkStart w:id="485" w:name="_Toc207893026"/>
      <w:bookmarkStart w:id="486" w:name="_Toc208490550"/>
      <w:bookmarkStart w:id="487" w:name="_Toc208490888"/>
      <w:bookmarkStart w:id="488" w:name="_Toc208911046"/>
      <w:bookmarkStart w:id="489" w:name="_Toc210051352"/>
      <w:r w:rsidRPr="00DE108C">
        <w:lastRenderedPageBreak/>
        <w:t>Figure 6.</w:t>
      </w:r>
      <w:r w:rsidR="00DB791E" w:rsidRPr="00DE108C">
        <w:t>9</w:t>
      </w:r>
      <w:r w:rsidRPr="00DE108C">
        <w:t>: Annual sewerage capex split by business driver</w:t>
      </w:r>
      <w:r w:rsidR="52D50310">
        <w:t>,</w:t>
      </w:r>
      <w:r w:rsidRPr="00DE108C">
        <w:t xml:space="preserve"> excluding corporate and IT allocated expenditure ($millions, real 2025-26)</w:t>
      </w:r>
      <w:bookmarkEnd w:id="485"/>
      <w:bookmarkEnd w:id="486"/>
      <w:bookmarkEnd w:id="487"/>
      <w:bookmarkEnd w:id="488"/>
      <w:bookmarkEnd w:id="489"/>
    </w:p>
    <w:p w14:paraId="3280F9D0" w14:textId="77777777" w:rsidR="00046BD5" w:rsidRPr="00DE108C" w:rsidRDefault="00046BD5" w:rsidP="00ED094E">
      <w:r w:rsidRPr="00DE108C">
        <w:rPr>
          <w:noProof/>
        </w:rPr>
        <w:drawing>
          <wp:inline distT="0" distB="0" distL="0" distR="0" wp14:anchorId="344A67FC" wp14:editId="11AC69D1">
            <wp:extent cx="6120130" cy="3966845"/>
            <wp:effectExtent l="0" t="0" r="0" b="0"/>
            <wp:docPr id="2129230516" name="Chart 1" descr="A bar chart titled &quot;Annual sewerage capex split by business driver, excluding corporate and IT allocated expenditure ($millions, real 2025–26).&quot; It shows projected annual capital expenditure for sewerage from 2027 to 2031, broken down into three business drivers:&#10;&#10;Renewals&#10;Growth&#10;Improvements/Compliance&#10;&#10;Annual breakdown:&#10;&#10;&#10;2027: Total $526 million&#10;&#10;Renewals: $246M&#10;Growth: $210M&#10;Improvements/Compliance: $69M&#10;&#10;&#10;&#10;2028: Total $465 million&#10;&#10;Renewals: $276M&#10;Growth: $120M&#10;Improvements/Compliance: $70M&#10;&#10;&#10;&#10;2029: Total $524 million&#10;&#10;Renewals: $191M&#10;Growth: $194M&#10;Improvements/Compliance: $139M&#10;&#10;&#10;&#10;2030: Total $591 million&#10;&#10;Renewals: $202M&#10;Growth: $226M&#10;Improvements/Compliance: $163M&#10;&#10;&#10;&#10;2031: Total $511 million&#10;&#10;Renewals: $180M&#10;Growth: $169M&#10;Improvements/Compliance: $162M">
              <a:extLst xmlns:a="http://schemas.openxmlformats.org/drawingml/2006/main">
                <a:ext uri="{FF2B5EF4-FFF2-40B4-BE49-F238E27FC236}">
                  <a16:creationId xmlns:a16="http://schemas.microsoft.com/office/drawing/2014/main" id="{B742DB30-2FFE-47C9-A161-68BDD1597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8FC7E60" w14:textId="419F9CEB" w:rsidR="00046BD5" w:rsidRPr="00DE108C" w:rsidRDefault="00046BD5" w:rsidP="00ED094E">
      <w:r w:rsidRPr="00DE108C">
        <w:t>Table 6.4 outlines the </w:t>
      </w:r>
      <w:r w:rsidR="640C2262">
        <w:t>T</w:t>
      </w:r>
      <w:r>
        <w:t xml:space="preserve">op </w:t>
      </w:r>
      <w:r w:rsidR="0B6D97F6">
        <w:t>5</w:t>
      </w:r>
      <w:r w:rsidRPr="00DE108C">
        <w:t xml:space="preserve"> high-priority sewerage infrastructure projects currently planned or underway across Melbourne Water’s network. These projects represent the most significant investments in the PS26 period, targeting critical upgrades and capacity expansions at both </w:t>
      </w:r>
      <w:r w:rsidR="3EB2507F">
        <w:t>ETP and WTP</w:t>
      </w:r>
      <w:r w:rsidRPr="00DE108C">
        <w:t>, as well as key trunk sewer assets. Each project addresses pressing operational challenges</w:t>
      </w:r>
      <w:r w:rsidR="569F688E">
        <w:t xml:space="preserve"> </w:t>
      </w:r>
      <w:r>
        <w:t>—</w:t>
      </w:r>
      <w:r w:rsidR="569F688E">
        <w:t xml:space="preserve"> </w:t>
      </w:r>
      <w:r w:rsidRPr="00DE108C">
        <w:t>such as capacity constraints, asset degradation, and resilience to extreme weather events</w:t>
      </w:r>
      <w:r w:rsidR="6211BD0B">
        <w:t xml:space="preserve"> </w:t>
      </w:r>
      <w:r>
        <w:t>—</w:t>
      </w:r>
      <w:r w:rsidR="6211BD0B">
        <w:t xml:space="preserve"> </w:t>
      </w:r>
      <w:r w:rsidRPr="00DE108C">
        <w:t>making them vital to maintaining service continuity and protecting public and environmental health.</w:t>
      </w:r>
    </w:p>
    <w:p w14:paraId="2988EC3D" w14:textId="77777777" w:rsidR="00046BD5" w:rsidRPr="00DE108C" w:rsidRDefault="00046BD5" w:rsidP="00ED094E">
      <w:pPr>
        <w:pStyle w:val="Caption"/>
      </w:pPr>
      <w:bookmarkStart w:id="490" w:name="_Toc388954531"/>
      <w:bookmarkStart w:id="491" w:name="_Toc395512129"/>
      <w:bookmarkStart w:id="492" w:name="_Toc395513377"/>
      <w:bookmarkStart w:id="493" w:name="_Toc190878398"/>
      <w:bookmarkStart w:id="494" w:name="_Toc207893027"/>
      <w:bookmarkStart w:id="495" w:name="_Toc208490551"/>
      <w:bookmarkStart w:id="496" w:name="_Toc208490889"/>
      <w:bookmarkStart w:id="497" w:name="_Toc208911047"/>
      <w:bookmarkStart w:id="498" w:name="_Toc210051353"/>
      <w:bookmarkEnd w:id="490"/>
      <w:bookmarkEnd w:id="491"/>
      <w:bookmarkEnd w:id="492"/>
      <w:r w:rsidRPr="00DE108C">
        <w:t>Table 6.4: Major sewer capital projects</w:t>
      </w:r>
      <w:bookmarkEnd w:id="493"/>
      <w:r w:rsidRPr="00DE108C">
        <w:t xml:space="preserve"> as part of the Top 15 Major Projects ($millions, real 2025-26)</w:t>
      </w:r>
      <w:bookmarkEnd w:id="494"/>
      <w:bookmarkEnd w:id="495"/>
      <w:bookmarkEnd w:id="496"/>
      <w:bookmarkEnd w:id="497"/>
      <w:bookmarkEnd w:id="498"/>
    </w:p>
    <w:tbl>
      <w:tblPr>
        <w:tblStyle w:val="MWTableGrid"/>
        <w:tblW w:w="5000" w:type="pct"/>
        <w:tblLook w:val="0420" w:firstRow="1" w:lastRow="0" w:firstColumn="0" w:lastColumn="0" w:noHBand="0" w:noVBand="1"/>
      </w:tblPr>
      <w:tblGrid>
        <w:gridCol w:w="1686"/>
        <w:gridCol w:w="1148"/>
        <w:gridCol w:w="1689"/>
        <w:gridCol w:w="5105"/>
      </w:tblGrid>
      <w:tr w:rsidR="00556A0D" w:rsidRPr="00DE108C" w14:paraId="66BD747D" w14:textId="77777777">
        <w:trPr>
          <w:cnfStyle w:val="100000000000" w:firstRow="1" w:lastRow="0" w:firstColumn="0" w:lastColumn="0" w:oddVBand="0" w:evenVBand="0" w:oddHBand="0" w:evenHBand="0" w:firstRowFirstColumn="0" w:firstRowLastColumn="0" w:lastRowFirstColumn="0" w:lastRowLastColumn="0"/>
          <w:cantSplit/>
        </w:trPr>
        <w:tc>
          <w:tcPr>
            <w:tcW w:w="876" w:type="pct"/>
          </w:tcPr>
          <w:p w14:paraId="04DB9EF4" w14:textId="77777777" w:rsidR="00046BD5" w:rsidRPr="00DE108C" w:rsidRDefault="00046BD5">
            <w:pPr>
              <w:pStyle w:val="TableText"/>
              <w:rPr>
                <w:color w:val="FFFFFF" w:themeColor="background1"/>
                <w:szCs w:val="16"/>
              </w:rPr>
            </w:pPr>
            <w:r w:rsidRPr="00DE108C">
              <w:rPr>
                <w:color w:val="FFFFFF" w:themeColor="background1"/>
                <w:szCs w:val="16"/>
              </w:rPr>
              <w:t>Top Sewerage Projects</w:t>
            </w:r>
          </w:p>
        </w:tc>
        <w:tc>
          <w:tcPr>
            <w:tcW w:w="596" w:type="pct"/>
            <w:vAlign w:val="center"/>
          </w:tcPr>
          <w:p w14:paraId="786DB25B" w14:textId="77777777" w:rsidR="00046BD5" w:rsidRPr="00DE108C" w:rsidRDefault="00046BD5">
            <w:pPr>
              <w:pStyle w:val="TableText"/>
              <w:rPr>
                <w:color w:val="FFFFFF" w:themeColor="background1"/>
                <w:szCs w:val="16"/>
              </w:rPr>
            </w:pPr>
            <w:r w:rsidRPr="00DE108C">
              <w:rPr>
                <w:color w:val="FFFFFF" w:themeColor="background1"/>
                <w:szCs w:val="16"/>
              </w:rPr>
              <w:t>PS26 spend</w:t>
            </w:r>
          </w:p>
        </w:tc>
        <w:tc>
          <w:tcPr>
            <w:tcW w:w="877" w:type="pct"/>
            <w:vAlign w:val="center"/>
          </w:tcPr>
          <w:p w14:paraId="23604459" w14:textId="77777777" w:rsidR="00046BD5" w:rsidRPr="00DE108C" w:rsidRDefault="00046BD5">
            <w:pPr>
              <w:pStyle w:val="TableText"/>
              <w:rPr>
                <w:color w:val="FFFFFF" w:themeColor="background1"/>
                <w:szCs w:val="16"/>
              </w:rPr>
            </w:pPr>
            <w:r w:rsidRPr="00DE108C">
              <w:rPr>
                <w:color w:val="FFFFFF" w:themeColor="background1"/>
                <w:szCs w:val="16"/>
              </w:rPr>
              <w:t>Construction start</w:t>
            </w:r>
          </w:p>
        </w:tc>
        <w:tc>
          <w:tcPr>
            <w:tcW w:w="2652" w:type="pct"/>
          </w:tcPr>
          <w:p w14:paraId="3F2AC467" w14:textId="77777777" w:rsidR="00046BD5" w:rsidRPr="00DE108C" w:rsidRDefault="00046BD5">
            <w:pPr>
              <w:pStyle w:val="TableText"/>
              <w:rPr>
                <w:color w:val="FFFFFF" w:themeColor="background1"/>
                <w:szCs w:val="16"/>
              </w:rPr>
            </w:pPr>
            <w:r w:rsidRPr="00DE108C">
              <w:rPr>
                <w:color w:val="FFFFFF" w:themeColor="background1"/>
                <w:szCs w:val="16"/>
              </w:rPr>
              <w:t>Description</w:t>
            </w:r>
          </w:p>
        </w:tc>
      </w:tr>
      <w:tr w:rsidR="00046BD5" w:rsidRPr="00DE108C" w14:paraId="70E4CF0D" w14:textId="77777777">
        <w:trPr>
          <w:cantSplit/>
        </w:trPr>
        <w:tc>
          <w:tcPr>
            <w:tcW w:w="876" w:type="pct"/>
            <w:vAlign w:val="center"/>
          </w:tcPr>
          <w:p w14:paraId="0D2ACDC8" w14:textId="2353ACD7" w:rsidR="00046BD5" w:rsidRPr="00DE108C" w:rsidRDefault="43857190">
            <w:pPr>
              <w:pStyle w:val="TableText"/>
            </w:pPr>
            <w:r>
              <w:t>WTP</w:t>
            </w:r>
            <w:r w:rsidR="00046BD5">
              <w:t xml:space="preserve"> Full Preliminary Treatment Augmentation</w:t>
            </w:r>
          </w:p>
        </w:tc>
        <w:tc>
          <w:tcPr>
            <w:tcW w:w="596" w:type="pct"/>
            <w:vAlign w:val="center"/>
          </w:tcPr>
          <w:p w14:paraId="3E253A7D" w14:textId="77777777" w:rsidR="00046BD5" w:rsidRPr="00DE108C" w:rsidRDefault="00046BD5">
            <w:pPr>
              <w:pStyle w:val="TableText"/>
              <w:rPr>
                <w:szCs w:val="16"/>
              </w:rPr>
            </w:pPr>
            <w:r w:rsidRPr="00DE108C">
              <w:rPr>
                <w:szCs w:val="16"/>
              </w:rPr>
              <w:t>291.2</w:t>
            </w:r>
          </w:p>
        </w:tc>
        <w:tc>
          <w:tcPr>
            <w:tcW w:w="877" w:type="pct"/>
            <w:vAlign w:val="center"/>
          </w:tcPr>
          <w:p w14:paraId="3541962B" w14:textId="77777777" w:rsidR="00046BD5" w:rsidRPr="00DE108C" w:rsidRDefault="00046BD5">
            <w:pPr>
              <w:pStyle w:val="TableText"/>
              <w:rPr>
                <w:szCs w:val="16"/>
              </w:rPr>
            </w:pPr>
            <w:r w:rsidRPr="00DE108C">
              <w:rPr>
                <w:szCs w:val="16"/>
              </w:rPr>
              <w:t>2027-28</w:t>
            </w:r>
          </w:p>
        </w:tc>
        <w:tc>
          <w:tcPr>
            <w:tcW w:w="2652" w:type="pct"/>
          </w:tcPr>
          <w:p w14:paraId="302AB169" w14:textId="14A4DE4C" w:rsidR="00046BD5" w:rsidRPr="00DE108C" w:rsidRDefault="00046BD5">
            <w:pPr>
              <w:pStyle w:val="TableText"/>
            </w:pPr>
            <w:r>
              <w:t>This project involves upgrading the preliminary treatment process</w:t>
            </w:r>
            <w:r w:rsidR="27F1A560">
              <w:t xml:space="preserve"> (</w:t>
            </w:r>
            <w:r>
              <w:t>grit and screenings</w:t>
            </w:r>
            <w:r w:rsidR="16BBB5CC">
              <w:t>)</w:t>
            </w:r>
            <w:r w:rsidR="37C5C809">
              <w:t xml:space="preserve"> </w:t>
            </w:r>
            <w:r>
              <w:t xml:space="preserve">for </w:t>
            </w:r>
            <w:r w:rsidR="4A15903E">
              <w:t>WTP</w:t>
            </w:r>
            <w:r>
              <w:t>. Capacity will expand from 260 ML/d to 1,100 ML/d, ensuring the system meets future demand</w:t>
            </w:r>
            <w:r w:rsidR="70AED44D">
              <w:t>,</w:t>
            </w:r>
            <w:r>
              <w:t xml:space="preserve"> as well as supporting the plant’s transition from dependence on lagoon treatment systems to managed mechanised systems that reduce impacts on the community and environment. The project is currently in the design phase.</w:t>
            </w:r>
          </w:p>
        </w:tc>
      </w:tr>
      <w:tr w:rsidR="00556A0D" w:rsidRPr="00DE108C" w14:paraId="00F9A331" w14:textId="77777777">
        <w:trPr>
          <w:cnfStyle w:val="000000010000" w:firstRow="0" w:lastRow="0" w:firstColumn="0" w:lastColumn="0" w:oddVBand="0" w:evenVBand="0" w:oddHBand="0" w:evenHBand="1" w:firstRowFirstColumn="0" w:firstRowLastColumn="0" w:lastRowFirstColumn="0" w:lastRowLastColumn="0"/>
          <w:cantSplit/>
        </w:trPr>
        <w:tc>
          <w:tcPr>
            <w:tcW w:w="876" w:type="pct"/>
            <w:vAlign w:val="center"/>
          </w:tcPr>
          <w:p w14:paraId="14E8119F" w14:textId="13F0D7C3" w:rsidR="00046BD5" w:rsidRPr="00DE108C" w:rsidRDefault="60A106F6">
            <w:pPr>
              <w:pStyle w:val="TableText"/>
            </w:pPr>
            <w:r>
              <w:lastRenderedPageBreak/>
              <w:t xml:space="preserve">ETP </w:t>
            </w:r>
            <w:r w:rsidR="00046BD5" w:rsidRPr="00DE108C">
              <w:t>P</w:t>
            </w:r>
            <w:r w:rsidR="788B60D3" w:rsidRPr="00DE108C">
              <w:t xml:space="preserve">rimary </w:t>
            </w:r>
            <w:r w:rsidR="00046BD5" w:rsidRPr="00DE108C">
              <w:t>S</w:t>
            </w:r>
            <w:r w:rsidR="69DF8E4A" w:rsidRPr="00DE108C">
              <w:t xml:space="preserve">ettling </w:t>
            </w:r>
            <w:r w:rsidR="00046BD5" w:rsidRPr="00DE108C">
              <w:t>T</w:t>
            </w:r>
            <w:r w:rsidR="33BB482A" w:rsidRPr="00DE108C">
              <w:t>ank</w:t>
            </w:r>
            <w:r w:rsidR="00046BD5" w:rsidRPr="00DE108C">
              <w:t xml:space="preserve"> and Grit Tank Augmentation</w:t>
            </w:r>
          </w:p>
        </w:tc>
        <w:tc>
          <w:tcPr>
            <w:tcW w:w="596" w:type="pct"/>
            <w:vAlign w:val="center"/>
          </w:tcPr>
          <w:p w14:paraId="25F8C9D2" w14:textId="77777777" w:rsidR="00046BD5" w:rsidRPr="00DE108C" w:rsidRDefault="00046BD5">
            <w:pPr>
              <w:pStyle w:val="TableText"/>
              <w:rPr>
                <w:szCs w:val="16"/>
              </w:rPr>
            </w:pPr>
            <w:r w:rsidRPr="00DE108C">
              <w:rPr>
                <w:szCs w:val="16"/>
              </w:rPr>
              <w:t>177.7</w:t>
            </w:r>
          </w:p>
        </w:tc>
        <w:tc>
          <w:tcPr>
            <w:tcW w:w="877" w:type="pct"/>
            <w:vAlign w:val="center"/>
          </w:tcPr>
          <w:p w14:paraId="54633496" w14:textId="77777777" w:rsidR="00046BD5" w:rsidRPr="00DE108C" w:rsidRDefault="00046BD5">
            <w:pPr>
              <w:pStyle w:val="TableText"/>
              <w:rPr>
                <w:szCs w:val="16"/>
              </w:rPr>
            </w:pPr>
            <w:r w:rsidRPr="00DE108C">
              <w:rPr>
                <w:szCs w:val="16"/>
              </w:rPr>
              <w:t>2028-29</w:t>
            </w:r>
          </w:p>
        </w:tc>
        <w:tc>
          <w:tcPr>
            <w:tcW w:w="2652" w:type="pct"/>
            <w:vAlign w:val="center"/>
          </w:tcPr>
          <w:p w14:paraId="7CE53A47" w14:textId="199218A0" w:rsidR="00046BD5" w:rsidRPr="00DE108C" w:rsidRDefault="00046BD5">
            <w:pPr>
              <w:pStyle w:val="TableText"/>
            </w:pPr>
            <w:r>
              <w:t xml:space="preserve">To address the growing flow and load demands within the catchment, this project will expand the critical treatment capacity at </w:t>
            </w:r>
            <w:r w:rsidR="6507698D">
              <w:t>ETP</w:t>
            </w:r>
            <w:r>
              <w:t>. The upgrade will also enhance system resilience to increasingly frequent high-flow events, maintaining consistent performance under a broader range of conditions.</w:t>
            </w:r>
          </w:p>
        </w:tc>
      </w:tr>
      <w:tr w:rsidR="00046BD5" w:rsidRPr="00DE108C" w14:paraId="3493622C" w14:textId="77777777">
        <w:trPr>
          <w:cantSplit/>
        </w:trPr>
        <w:tc>
          <w:tcPr>
            <w:tcW w:w="876" w:type="pct"/>
            <w:vAlign w:val="center"/>
          </w:tcPr>
          <w:p w14:paraId="03F649C6" w14:textId="14C7823A" w:rsidR="00046BD5" w:rsidRPr="00DE108C" w:rsidRDefault="63336EBA">
            <w:pPr>
              <w:pStyle w:val="TableText"/>
            </w:pPr>
            <w:r>
              <w:t>WTP</w:t>
            </w:r>
            <w:r w:rsidR="00046BD5">
              <w:t xml:space="preserve"> Primary Treatment Capacity Augmentation</w:t>
            </w:r>
          </w:p>
        </w:tc>
        <w:tc>
          <w:tcPr>
            <w:tcW w:w="596" w:type="pct"/>
            <w:vAlign w:val="center"/>
          </w:tcPr>
          <w:p w14:paraId="1A78E289" w14:textId="77777777" w:rsidR="00046BD5" w:rsidRPr="00DE108C" w:rsidRDefault="00046BD5">
            <w:pPr>
              <w:pStyle w:val="TableText"/>
              <w:rPr>
                <w:szCs w:val="16"/>
              </w:rPr>
            </w:pPr>
            <w:r w:rsidRPr="00DE108C">
              <w:rPr>
                <w:szCs w:val="16"/>
              </w:rPr>
              <w:t>113.6</w:t>
            </w:r>
          </w:p>
        </w:tc>
        <w:tc>
          <w:tcPr>
            <w:tcW w:w="877" w:type="pct"/>
            <w:vAlign w:val="center"/>
          </w:tcPr>
          <w:p w14:paraId="2A976A2F" w14:textId="19FBA797" w:rsidR="00046BD5" w:rsidRPr="00DE108C" w:rsidRDefault="00046BD5">
            <w:pPr>
              <w:pStyle w:val="TableText"/>
              <w:rPr>
                <w:szCs w:val="16"/>
              </w:rPr>
            </w:pPr>
            <w:r w:rsidRPr="00DE108C">
              <w:rPr>
                <w:szCs w:val="16"/>
              </w:rPr>
              <w:t>2023-24</w:t>
            </w:r>
          </w:p>
        </w:tc>
        <w:tc>
          <w:tcPr>
            <w:tcW w:w="2652" w:type="pct"/>
            <w:vAlign w:val="center"/>
          </w:tcPr>
          <w:p w14:paraId="0DD1616E" w14:textId="287F53E8" w:rsidR="00046BD5" w:rsidRPr="00DE108C" w:rsidRDefault="00046BD5">
            <w:pPr>
              <w:pStyle w:val="TableText"/>
            </w:pPr>
            <w:r>
              <w:t>This project increases primary treatment capacity by 30</w:t>
            </w:r>
            <w:r w:rsidR="0080065C">
              <w:t> </w:t>
            </w:r>
            <w:r>
              <w:t>per</w:t>
            </w:r>
            <w:r w:rsidR="0080065C">
              <w:t> </w:t>
            </w:r>
            <w:r>
              <w:t xml:space="preserve">cent, diverting raw sewage away from the overloaded anaerobic lagoons to a new mechanised treatment system that reduces the frequency of odour-intensive maintenance works associated with the lagoons and progresses the </w:t>
            </w:r>
            <w:r w:rsidR="46D5D704">
              <w:t>WTP’</w:t>
            </w:r>
            <w:r>
              <w:t>s transition away from dependence on lagoon treatment systems. This project is in the construction phase.</w:t>
            </w:r>
          </w:p>
        </w:tc>
      </w:tr>
      <w:tr w:rsidR="00556A0D" w:rsidRPr="00DE108C" w14:paraId="32DFCA83" w14:textId="77777777">
        <w:trPr>
          <w:cnfStyle w:val="000000010000" w:firstRow="0" w:lastRow="0" w:firstColumn="0" w:lastColumn="0" w:oddVBand="0" w:evenVBand="0" w:oddHBand="0" w:evenHBand="1" w:firstRowFirstColumn="0" w:firstRowLastColumn="0" w:lastRowFirstColumn="0" w:lastRowLastColumn="0"/>
          <w:cantSplit/>
        </w:trPr>
        <w:tc>
          <w:tcPr>
            <w:tcW w:w="876" w:type="pct"/>
            <w:vAlign w:val="center"/>
          </w:tcPr>
          <w:p w14:paraId="152A0814" w14:textId="419D36DA" w:rsidR="00046BD5" w:rsidRPr="00DE108C" w:rsidRDefault="00046BD5">
            <w:pPr>
              <w:pStyle w:val="TableText"/>
            </w:pPr>
            <w:r w:rsidRPr="00DE108C">
              <w:t>W</w:t>
            </w:r>
            <w:r w:rsidR="0E3DF058" w:rsidRPr="00DE108C">
              <w:t xml:space="preserve">estern </w:t>
            </w:r>
            <w:r w:rsidRPr="00DE108C">
              <w:t>T</w:t>
            </w:r>
            <w:r w:rsidR="4DC1252E" w:rsidRPr="00DE108C">
              <w:t xml:space="preserve">runk </w:t>
            </w:r>
            <w:r w:rsidRPr="00DE108C">
              <w:t>S</w:t>
            </w:r>
            <w:r w:rsidR="40CC968D" w:rsidRPr="00DE108C">
              <w:t>ewer</w:t>
            </w:r>
            <w:r w:rsidRPr="00DE108C">
              <w:t xml:space="preserve"> Shallow Conduit Rehabilitation</w:t>
            </w:r>
          </w:p>
        </w:tc>
        <w:tc>
          <w:tcPr>
            <w:tcW w:w="596" w:type="pct"/>
            <w:vAlign w:val="center"/>
          </w:tcPr>
          <w:p w14:paraId="0884B5CB" w14:textId="77777777" w:rsidR="00046BD5" w:rsidRPr="00DE108C" w:rsidRDefault="00046BD5">
            <w:pPr>
              <w:pStyle w:val="TableText"/>
              <w:rPr>
                <w:szCs w:val="16"/>
              </w:rPr>
            </w:pPr>
            <w:r w:rsidRPr="00DE108C">
              <w:rPr>
                <w:szCs w:val="16"/>
              </w:rPr>
              <w:t>204.4</w:t>
            </w:r>
          </w:p>
        </w:tc>
        <w:tc>
          <w:tcPr>
            <w:tcW w:w="877" w:type="pct"/>
            <w:vAlign w:val="center"/>
          </w:tcPr>
          <w:p w14:paraId="663EEE02" w14:textId="5B926CB8" w:rsidR="00046BD5" w:rsidRPr="00DE108C" w:rsidRDefault="00046BD5">
            <w:pPr>
              <w:pStyle w:val="TableText"/>
              <w:rPr>
                <w:szCs w:val="16"/>
              </w:rPr>
            </w:pPr>
            <w:r w:rsidRPr="00DE108C">
              <w:rPr>
                <w:szCs w:val="16"/>
              </w:rPr>
              <w:t>202</w:t>
            </w:r>
            <w:r w:rsidR="00D820D0" w:rsidRPr="00DE108C">
              <w:rPr>
                <w:szCs w:val="16"/>
              </w:rPr>
              <w:t>6-27</w:t>
            </w:r>
          </w:p>
        </w:tc>
        <w:tc>
          <w:tcPr>
            <w:tcW w:w="2652" w:type="pct"/>
            <w:vAlign w:val="center"/>
          </w:tcPr>
          <w:p w14:paraId="173DA496" w14:textId="39D5F2D6" w:rsidR="00046BD5" w:rsidRPr="00DE108C" w:rsidRDefault="00046BD5">
            <w:pPr>
              <w:pStyle w:val="TableText"/>
            </w:pPr>
            <w:r w:rsidRPr="00DE108C">
              <w:t xml:space="preserve">This project will rehabilitate 4.4 km of the </w:t>
            </w:r>
            <w:r w:rsidR="4FC51168" w:rsidRPr="00DE108C">
              <w:t xml:space="preserve">Western Trunk Sewer </w:t>
            </w:r>
            <w:r w:rsidR="4DC747D2" w:rsidRPr="00DE108C">
              <w:t>(</w:t>
            </w:r>
            <w:r w:rsidRPr="00DE108C">
              <w:t>WTS</w:t>
            </w:r>
            <w:r w:rsidR="572E6246" w:rsidRPr="00DE108C">
              <w:t>)</w:t>
            </w:r>
            <w:r w:rsidRPr="00DE108C">
              <w:t xml:space="preserve"> shallow conduit between ma</w:t>
            </w:r>
            <w:r w:rsidR="0F7DD16F" w:rsidRPr="00DE108C">
              <w:t>i</w:t>
            </w:r>
            <w:r w:rsidRPr="00DE108C">
              <w:t>n</w:t>
            </w:r>
            <w:r w:rsidR="7A11A0D8" w:rsidRPr="00DE108C">
              <w:t xml:space="preserve">tenance </w:t>
            </w:r>
            <w:r w:rsidRPr="00DE108C">
              <w:t xml:space="preserve">holes WTS014 and WTS001, as well as 14 associated maintenance structures. The rehabilitation will address critical safety and reliability risks for this essential sewer main - the sole conduit transporting sewage to </w:t>
            </w:r>
            <w:r w:rsidR="2A58F70E">
              <w:t>WTP</w:t>
            </w:r>
            <w:r w:rsidRPr="00DE108C">
              <w:t>.</w:t>
            </w:r>
          </w:p>
        </w:tc>
      </w:tr>
      <w:tr w:rsidR="00046BD5" w:rsidRPr="00DE108C" w14:paraId="550E72EF" w14:textId="77777777">
        <w:trPr>
          <w:cantSplit/>
        </w:trPr>
        <w:tc>
          <w:tcPr>
            <w:tcW w:w="876" w:type="pct"/>
            <w:vAlign w:val="center"/>
          </w:tcPr>
          <w:p w14:paraId="4E68CA06" w14:textId="5FD1CF49" w:rsidR="00046BD5" w:rsidRPr="00DE108C" w:rsidRDefault="21013F4F">
            <w:pPr>
              <w:pStyle w:val="TableText"/>
            </w:pPr>
            <w:r>
              <w:t>ETP</w:t>
            </w:r>
            <w:r w:rsidR="00046BD5">
              <w:t xml:space="preserve"> Sludge Dewatering Upgrade</w:t>
            </w:r>
          </w:p>
        </w:tc>
        <w:tc>
          <w:tcPr>
            <w:tcW w:w="596" w:type="pct"/>
            <w:vAlign w:val="center"/>
          </w:tcPr>
          <w:p w14:paraId="251B1821" w14:textId="77777777" w:rsidR="00046BD5" w:rsidRPr="00DE108C" w:rsidRDefault="00046BD5">
            <w:pPr>
              <w:pStyle w:val="TableText"/>
              <w:rPr>
                <w:szCs w:val="16"/>
              </w:rPr>
            </w:pPr>
            <w:r w:rsidRPr="00DE108C">
              <w:rPr>
                <w:szCs w:val="16"/>
              </w:rPr>
              <w:t>176.6</w:t>
            </w:r>
          </w:p>
        </w:tc>
        <w:tc>
          <w:tcPr>
            <w:tcW w:w="877" w:type="pct"/>
            <w:vAlign w:val="center"/>
          </w:tcPr>
          <w:p w14:paraId="1B797C90" w14:textId="6BDC300A" w:rsidR="00046BD5" w:rsidRPr="00DE108C" w:rsidRDefault="00226D93">
            <w:pPr>
              <w:pStyle w:val="TableText"/>
              <w:rPr>
                <w:szCs w:val="16"/>
              </w:rPr>
            </w:pPr>
            <w:r w:rsidRPr="00DE108C">
              <w:rPr>
                <w:szCs w:val="16"/>
              </w:rPr>
              <w:t>2025-26</w:t>
            </w:r>
          </w:p>
        </w:tc>
        <w:tc>
          <w:tcPr>
            <w:tcW w:w="2652" w:type="pct"/>
            <w:vAlign w:val="center"/>
          </w:tcPr>
          <w:p w14:paraId="1EAC5A3C" w14:textId="0F0A11AB" w:rsidR="00046BD5" w:rsidRPr="00DE108C" w:rsidRDefault="00046BD5">
            <w:pPr>
              <w:pStyle w:val="TableText"/>
            </w:pPr>
            <w:r>
              <w:t xml:space="preserve">This upgrade will introduce enhanced dewatering equipment for digested sludge at </w:t>
            </w:r>
            <w:r w:rsidR="3221D45F">
              <w:t>ETP</w:t>
            </w:r>
            <w:r>
              <w:t>, accommodating future growth in loads to keep the system operating smoothly and preparing for future transition to thermal sludge treatment.</w:t>
            </w:r>
          </w:p>
        </w:tc>
      </w:tr>
    </w:tbl>
    <w:p w14:paraId="265C0B13" w14:textId="14E77E7B" w:rsidR="00046BD5" w:rsidRPr="00DE108C" w:rsidRDefault="00046BD5" w:rsidP="00ED094E">
      <w:r w:rsidRPr="00DE108C">
        <w:t xml:space="preserve">Beyond the Top 5 Projects, the remaining $1,653 million in the Sewerage Program will be delivered through a broad portfolio of smaller, yet strategically significant sub-service programs. These initiatives are essential to maintain and enhance the overall performance, reliability, and sustainability of Melbourne Water’s sewerage network. While individually less prominent, these programs collectively address critical service areas (for example, asset renewal, capacity upgrades, environmental protection and regulatory compliance) across </w:t>
      </w:r>
      <w:r w:rsidR="7A3CBE3F">
        <w:t>ETP</w:t>
      </w:r>
      <w:r w:rsidRPr="00DE108C">
        <w:t xml:space="preserve">, </w:t>
      </w:r>
      <w:r w:rsidR="40215087">
        <w:t>WTP</w:t>
      </w:r>
      <w:r w:rsidRPr="00DE108C">
        <w:t xml:space="preserve"> and the bulk sewage transfer system. They are designed to support continued service delivery in line with customer expectations, accommodate recent and future growth, and mitigate risks associated with ageing infrastructure and climate-related pressures. Table 6.</w:t>
      </w:r>
      <w:r w:rsidR="00BA3697" w:rsidRPr="00DE108C">
        <w:t>5</w:t>
      </w:r>
      <w:r w:rsidRPr="00DE108C">
        <w:t xml:space="preserve"> outlines the major programs contributing to these outcomes.</w:t>
      </w:r>
    </w:p>
    <w:p w14:paraId="34219FFC" w14:textId="77777777" w:rsidR="00046BD5" w:rsidRPr="00DE108C" w:rsidRDefault="00046BD5" w:rsidP="00ED094E">
      <w:pPr>
        <w:pStyle w:val="Caption"/>
      </w:pPr>
      <w:bookmarkStart w:id="499" w:name="_Toc207893028"/>
      <w:bookmarkStart w:id="500" w:name="_Toc208490552"/>
      <w:bookmarkStart w:id="501" w:name="_Toc208490890"/>
      <w:bookmarkStart w:id="502" w:name="_Toc208911048"/>
      <w:bookmarkStart w:id="503" w:name="_Toc210051354"/>
      <w:r w:rsidRPr="00DE108C">
        <w:lastRenderedPageBreak/>
        <w:t>Table 6.5: Major Sewer sub-service programs ($millions, real 2025-26)</w:t>
      </w:r>
      <w:bookmarkEnd w:id="499"/>
      <w:bookmarkEnd w:id="500"/>
      <w:bookmarkEnd w:id="501"/>
      <w:bookmarkEnd w:id="502"/>
      <w:bookmarkEnd w:id="503"/>
    </w:p>
    <w:tbl>
      <w:tblPr>
        <w:tblStyle w:val="MWTableGrid"/>
        <w:tblW w:w="5000" w:type="pct"/>
        <w:tblCellMar>
          <w:top w:w="0" w:type="dxa"/>
          <w:bottom w:w="0" w:type="dxa"/>
        </w:tblCellMar>
        <w:tblLook w:val="0420" w:firstRow="1" w:lastRow="0" w:firstColumn="0" w:lastColumn="0" w:noHBand="0" w:noVBand="1"/>
      </w:tblPr>
      <w:tblGrid>
        <w:gridCol w:w="1464"/>
        <w:gridCol w:w="799"/>
        <w:gridCol w:w="1423"/>
        <w:gridCol w:w="5942"/>
      </w:tblGrid>
      <w:tr w:rsidR="00A043F7" w:rsidRPr="00DE108C" w14:paraId="658D1913" w14:textId="77777777" w:rsidTr="000503F3">
        <w:trPr>
          <w:cnfStyle w:val="100000000000" w:firstRow="1" w:lastRow="0" w:firstColumn="0" w:lastColumn="0" w:oddVBand="0" w:evenVBand="0" w:oddHBand="0" w:evenHBand="0" w:firstRowFirstColumn="0" w:firstRowLastColumn="0" w:lastRowFirstColumn="0" w:lastRowLastColumn="0"/>
          <w:cantSplit/>
        </w:trPr>
        <w:tc>
          <w:tcPr>
            <w:tcW w:w="760" w:type="pct"/>
          </w:tcPr>
          <w:p w14:paraId="09035659" w14:textId="77777777" w:rsidR="00046BD5" w:rsidRPr="00DE108C" w:rsidRDefault="00046BD5">
            <w:pPr>
              <w:pStyle w:val="TableText"/>
              <w:rPr>
                <w:color w:val="FFFFFF" w:themeColor="background1"/>
                <w:szCs w:val="16"/>
              </w:rPr>
            </w:pPr>
            <w:r w:rsidRPr="00DE108C">
              <w:rPr>
                <w:color w:val="FFFFFF" w:themeColor="background1"/>
                <w:szCs w:val="16"/>
              </w:rPr>
              <w:t>Major sub-service Program (T1)</w:t>
            </w:r>
          </w:p>
        </w:tc>
        <w:tc>
          <w:tcPr>
            <w:tcW w:w="415" w:type="pct"/>
            <w:vAlign w:val="center"/>
          </w:tcPr>
          <w:p w14:paraId="601458F7" w14:textId="77777777" w:rsidR="00046BD5" w:rsidRPr="00DE108C" w:rsidRDefault="00046BD5">
            <w:pPr>
              <w:pStyle w:val="TableText"/>
              <w:rPr>
                <w:color w:val="FFFFFF" w:themeColor="background1"/>
                <w:szCs w:val="16"/>
              </w:rPr>
            </w:pPr>
            <w:r w:rsidRPr="00DE108C">
              <w:rPr>
                <w:color w:val="FFFFFF" w:themeColor="background1"/>
                <w:szCs w:val="16"/>
              </w:rPr>
              <w:t>PS21 capex</w:t>
            </w:r>
            <w:r w:rsidRPr="00DE108C">
              <w:rPr>
                <w:color w:val="FFFFFF" w:themeColor="background1"/>
                <w:szCs w:val="16"/>
                <w:vertAlign w:val="superscript"/>
              </w:rPr>
              <w:t>a</w:t>
            </w:r>
          </w:p>
        </w:tc>
        <w:tc>
          <w:tcPr>
            <w:tcW w:w="739" w:type="pct"/>
            <w:vAlign w:val="center"/>
          </w:tcPr>
          <w:p w14:paraId="07A5E442" w14:textId="77777777" w:rsidR="00046BD5" w:rsidRPr="00DE108C" w:rsidRDefault="00046BD5">
            <w:pPr>
              <w:pStyle w:val="TableText"/>
              <w:rPr>
                <w:color w:val="FFFFFF" w:themeColor="background1"/>
                <w:szCs w:val="16"/>
              </w:rPr>
            </w:pPr>
            <w:r w:rsidRPr="00DE108C">
              <w:rPr>
                <w:color w:val="FFFFFF" w:themeColor="background1"/>
                <w:szCs w:val="16"/>
              </w:rPr>
              <w:t>PS26 capex (excluding major projects)</w:t>
            </w:r>
          </w:p>
        </w:tc>
        <w:tc>
          <w:tcPr>
            <w:tcW w:w="3086" w:type="pct"/>
          </w:tcPr>
          <w:p w14:paraId="02327A5E" w14:textId="77777777" w:rsidR="00046BD5" w:rsidRPr="00DE108C" w:rsidRDefault="00046BD5">
            <w:pPr>
              <w:pStyle w:val="TableText"/>
              <w:rPr>
                <w:color w:val="FFFFFF" w:themeColor="background1"/>
                <w:szCs w:val="16"/>
              </w:rPr>
            </w:pPr>
            <w:r w:rsidRPr="00DE108C">
              <w:rPr>
                <w:color w:val="FFFFFF" w:themeColor="background1"/>
                <w:szCs w:val="16"/>
              </w:rPr>
              <w:t>Description</w:t>
            </w:r>
          </w:p>
        </w:tc>
      </w:tr>
      <w:tr w:rsidR="00046BD5" w:rsidRPr="00DE108C" w14:paraId="37E61C62" w14:textId="77777777" w:rsidTr="000503F3">
        <w:trPr>
          <w:cantSplit/>
        </w:trPr>
        <w:tc>
          <w:tcPr>
            <w:tcW w:w="760" w:type="pct"/>
            <w:vAlign w:val="center"/>
          </w:tcPr>
          <w:p w14:paraId="7107DF32" w14:textId="737FEAE6" w:rsidR="00046BD5" w:rsidRPr="00DE108C" w:rsidRDefault="5690259A">
            <w:pPr>
              <w:pStyle w:val="TableText"/>
            </w:pPr>
            <w:r>
              <w:t>ETP</w:t>
            </w:r>
          </w:p>
        </w:tc>
        <w:tc>
          <w:tcPr>
            <w:tcW w:w="415" w:type="pct"/>
            <w:vAlign w:val="center"/>
          </w:tcPr>
          <w:p w14:paraId="560A6438" w14:textId="751D4490" w:rsidR="00046BD5" w:rsidRPr="00DE108C" w:rsidRDefault="00046BD5">
            <w:pPr>
              <w:pStyle w:val="TableText"/>
              <w:rPr>
                <w:szCs w:val="16"/>
              </w:rPr>
            </w:pPr>
            <w:r w:rsidRPr="00D30A04">
              <w:rPr>
                <w:szCs w:val="16"/>
              </w:rPr>
              <w:t>373.</w:t>
            </w:r>
            <w:r w:rsidR="001F4DF2" w:rsidRPr="00D30A04">
              <w:rPr>
                <w:szCs w:val="16"/>
              </w:rPr>
              <w:t>6</w:t>
            </w:r>
          </w:p>
        </w:tc>
        <w:tc>
          <w:tcPr>
            <w:tcW w:w="739" w:type="pct"/>
            <w:vAlign w:val="center"/>
          </w:tcPr>
          <w:p w14:paraId="67B39747" w14:textId="77777777" w:rsidR="00046BD5" w:rsidRPr="00DE108C" w:rsidRDefault="00046BD5">
            <w:pPr>
              <w:pStyle w:val="TableText"/>
              <w:rPr>
                <w:szCs w:val="16"/>
              </w:rPr>
            </w:pPr>
            <w:r w:rsidRPr="00DE108C">
              <w:rPr>
                <w:szCs w:val="16"/>
              </w:rPr>
              <w:t>609.2</w:t>
            </w:r>
            <w:r w:rsidRPr="00DE108C">
              <w:rPr>
                <w:szCs w:val="16"/>
                <w:vertAlign w:val="superscript"/>
              </w:rPr>
              <w:t>b</w:t>
            </w:r>
          </w:p>
        </w:tc>
        <w:tc>
          <w:tcPr>
            <w:tcW w:w="3086" w:type="pct"/>
            <w:vAlign w:val="center"/>
          </w:tcPr>
          <w:p w14:paraId="6FBF5DF3" w14:textId="4FE4D8AD" w:rsidR="00046BD5" w:rsidRPr="00DE108C" w:rsidRDefault="00046BD5" w:rsidP="0080065C">
            <w:pPr>
              <w:pStyle w:val="Tablebullet"/>
            </w:pPr>
            <w:r w:rsidRPr="00DE108C">
              <w:t xml:space="preserve">The program of works - projects and program allocations - outside the Top 5 Projects that support the continuing delivery of services to the </w:t>
            </w:r>
            <w:r w:rsidR="224F5AD6" w:rsidRPr="425138B5">
              <w:t>ETP</w:t>
            </w:r>
            <w:r w:rsidRPr="00DE108C">
              <w:t xml:space="preserve"> in line with customer expectations and regulatory and compliance obligations.</w:t>
            </w:r>
          </w:p>
          <w:p w14:paraId="1B842758" w14:textId="77777777" w:rsidR="00046BD5" w:rsidRPr="00DE108C" w:rsidRDefault="00046BD5" w:rsidP="0080065C">
            <w:pPr>
              <w:pStyle w:val="Tablebullet"/>
            </w:pPr>
            <w:r w:rsidRPr="00DE108C">
              <w:t>Specific focus areas include influent screening systems, chlorine disinfection system renewal and risk reduction, increasing solids handling capacity and site power supply capacity and resilience to service demand growth and maintain reliable operations.</w:t>
            </w:r>
          </w:p>
        </w:tc>
      </w:tr>
      <w:tr w:rsidR="00A043F7" w:rsidRPr="00DE108C" w14:paraId="5354AE1B" w14:textId="77777777" w:rsidTr="000503F3">
        <w:trPr>
          <w:cnfStyle w:val="000000010000" w:firstRow="0" w:lastRow="0" w:firstColumn="0" w:lastColumn="0" w:oddVBand="0" w:evenVBand="0" w:oddHBand="0" w:evenHBand="1" w:firstRowFirstColumn="0" w:firstRowLastColumn="0" w:lastRowFirstColumn="0" w:lastRowLastColumn="0"/>
          <w:cantSplit/>
        </w:trPr>
        <w:tc>
          <w:tcPr>
            <w:tcW w:w="760" w:type="pct"/>
            <w:vAlign w:val="center"/>
          </w:tcPr>
          <w:p w14:paraId="11DBA509" w14:textId="1959406A" w:rsidR="00046BD5" w:rsidRPr="00DE108C" w:rsidRDefault="00EE45DB">
            <w:pPr>
              <w:pStyle w:val="TableText"/>
            </w:pPr>
            <w:r>
              <w:t xml:space="preserve"> WTP</w:t>
            </w:r>
          </w:p>
        </w:tc>
        <w:tc>
          <w:tcPr>
            <w:tcW w:w="415" w:type="pct"/>
            <w:vAlign w:val="center"/>
          </w:tcPr>
          <w:p w14:paraId="3256FE0C" w14:textId="2659B0FD" w:rsidR="00046BD5" w:rsidRPr="00DE108C" w:rsidRDefault="001F4DF2">
            <w:pPr>
              <w:pStyle w:val="TableText"/>
            </w:pPr>
            <w:r w:rsidRPr="00D30A04">
              <w:t>925.</w:t>
            </w:r>
            <w:r w:rsidR="00AE5C3F" w:rsidRPr="00D30A04">
              <w:t>6</w:t>
            </w:r>
          </w:p>
        </w:tc>
        <w:tc>
          <w:tcPr>
            <w:tcW w:w="739" w:type="pct"/>
            <w:vAlign w:val="center"/>
          </w:tcPr>
          <w:p w14:paraId="4E5CD98A" w14:textId="77777777" w:rsidR="00046BD5" w:rsidRPr="00DE108C" w:rsidRDefault="00046BD5">
            <w:pPr>
              <w:pStyle w:val="TableText"/>
              <w:rPr>
                <w:szCs w:val="16"/>
              </w:rPr>
            </w:pPr>
            <w:r w:rsidRPr="00DE108C">
              <w:rPr>
                <w:szCs w:val="16"/>
              </w:rPr>
              <w:t>507.2</w:t>
            </w:r>
            <w:r w:rsidRPr="00DE108C">
              <w:rPr>
                <w:szCs w:val="16"/>
                <w:vertAlign w:val="superscript"/>
              </w:rPr>
              <w:t xml:space="preserve"> b</w:t>
            </w:r>
          </w:p>
        </w:tc>
        <w:tc>
          <w:tcPr>
            <w:tcW w:w="3086" w:type="pct"/>
            <w:vAlign w:val="center"/>
          </w:tcPr>
          <w:p w14:paraId="5B127266" w14:textId="44D029B4" w:rsidR="00046BD5" w:rsidRPr="00DE108C" w:rsidRDefault="00046BD5" w:rsidP="0080065C">
            <w:pPr>
              <w:pStyle w:val="Tablebullet"/>
            </w:pPr>
            <w:r w:rsidRPr="00DE108C">
              <w:t xml:space="preserve">The program of works - projects and program allocations - outside the Top 5 Projects that support the continuing delivery of services to </w:t>
            </w:r>
            <w:r w:rsidR="2106813B" w:rsidRPr="425138B5">
              <w:t>WTP</w:t>
            </w:r>
            <w:r w:rsidRPr="00DE108C">
              <w:t xml:space="preserve"> in line with customer expectations and regulatory and compliance obligations.</w:t>
            </w:r>
          </w:p>
          <w:p w14:paraId="6DBBA924" w14:textId="626389E5" w:rsidR="00046BD5" w:rsidRPr="00DE108C" w:rsidRDefault="00046BD5" w:rsidP="0080065C">
            <w:pPr>
              <w:pStyle w:val="Tablebullet"/>
            </w:pPr>
            <w:r w:rsidRPr="00DE108C">
              <w:t xml:space="preserve">Specific focus areas include renewing the ageing biogas handling plant, increasing site power supply capacity and resilience to service demand growth and maintaining reliable operations. </w:t>
            </w:r>
          </w:p>
        </w:tc>
      </w:tr>
      <w:tr w:rsidR="00046BD5" w:rsidRPr="00DE108C" w14:paraId="4FA1711E" w14:textId="77777777" w:rsidTr="000503F3">
        <w:trPr>
          <w:cantSplit/>
          <w:trHeight w:val="1328"/>
        </w:trPr>
        <w:tc>
          <w:tcPr>
            <w:tcW w:w="760" w:type="pct"/>
            <w:tcBorders>
              <w:bottom w:val="single" w:sz="4" w:space="0" w:color="231F20" w:themeColor="text1"/>
            </w:tcBorders>
            <w:vAlign w:val="center"/>
          </w:tcPr>
          <w:p w14:paraId="72A82E87" w14:textId="77777777" w:rsidR="00046BD5" w:rsidRPr="00DE108C" w:rsidRDefault="00046BD5">
            <w:pPr>
              <w:pStyle w:val="TableText"/>
              <w:rPr>
                <w:szCs w:val="16"/>
              </w:rPr>
            </w:pPr>
            <w:r w:rsidRPr="00DE108C">
              <w:rPr>
                <w:szCs w:val="16"/>
              </w:rPr>
              <w:t>Sewerage Transfer</w:t>
            </w:r>
          </w:p>
        </w:tc>
        <w:tc>
          <w:tcPr>
            <w:tcW w:w="415" w:type="pct"/>
            <w:tcBorders>
              <w:bottom w:val="single" w:sz="4" w:space="0" w:color="231F20" w:themeColor="text1"/>
            </w:tcBorders>
            <w:vAlign w:val="center"/>
          </w:tcPr>
          <w:p w14:paraId="390DE063" w14:textId="77777777" w:rsidR="00046BD5" w:rsidRPr="00DE108C" w:rsidRDefault="00046BD5">
            <w:pPr>
              <w:pStyle w:val="TableText"/>
              <w:rPr>
                <w:szCs w:val="16"/>
              </w:rPr>
            </w:pPr>
            <w:r w:rsidRPr="00DE108C">
              <w:rPr>
                <w:szCs w:val="16"/>
              </w:rPr>
              <w:t>587.4</w:t>
            </w:r>
          </w:p>
        </w:tc>
        <w:tc>
          <w:tcPr>
            <w:tcW w:w="739" w:type="pct"/>
            <w:tcBorders>
              <w:bottom w:val="single" w:sz="4" w:space="0" w:color="231F20" w:themeColor="text1"/>
            </w:tcBorders>
            <w:vAlign w:val="center"/>
          </w:tcPr>
          <w:p w14:paraId="64660CCE" w14:textId="77777777" w:rsidR="00046BD5" w:rsidRPr="00DE108C" w:rsidRDefault="00046BD5">
            <w:pPr>
              <w:pStyle w:val="TableText"/>
              <w:rPr>
                <w:szCs w:val="16"/>
              </w:rPr>
            </w:pPr>
            <w:r w:rsidRPr="00DE108C">
              <w:rPr>
                <w:szCs w:val="16"/>
              </w:rPr>
              <w:t>536.8</w:t>
            </w:r>
          </w:p>
        </w:tc>
        <w:tc>
          <w:tcPr>
            <w:tcW w:w="3086" w:type="pct"/>
            <w:tcBorders>
              <w:bottom w:val="single" w:sz="4" w:space="0" w:color="231F20" w:themeColor="text1"/>
            </w:tcBorders>
            <w:vAlign w:val="center"/>
          </w:tcPr>
          <w:p w14:paraId="3A0628AE" w14:textId="77777777" w:rsidR="00046BD5" w:rsidRPr="00DE108C" w:rsidRDefault="00046BD5" w:rsidP="0080065C">
            <w:pPr>
              <w:pStyle w:val="Tablebullet"/>
            </w:pPr>
            <w:r w:rsidRPr="00DE108C">
              <w:t xml:space="preserve">The program of works - projects and program allocations - outside the Top 5 Projects that support the continuing safe functioning of the bulk sewage transfer network. </w:t>
            </w:r>
          </w:p>
          <w:p w14:paraId="19537FFE" w14:textId="77777777" w:rsidR="00046BD5" w:rsidRPr="00DE108C" w:rsidRDefault="00046BD5" w:rsidP="0080065C">
            <w:pPr>
              <w:pStyle w:val="Tablebullet"/>
            </w:pPr>
            <w:r w:rsidRPr="00DE108C">
              <w:t>Renewal of the sewerage network to address ageing infrastructure and avoid high impact failures.</w:t>
            </w:r>
          </w:p>
          <w:p w14:paraId="3361F284" w14:textId="77777777" w:rsidR="00046BD5" w:rsidRPr="00DE108C" w:rsidRDefault="00046BD5" w:rsidP="0080065C">
            <w:pPr>
              <w:pStyle w:val="Tablebullet"/>
            </w:pPr>
            <w:r w:rsidRPr="00DE108C">
              <w:t>Additional capacity to comply with containment standards and minimise community and environmental impacts during peak rainfall events.</w:t>
            </w:r>
          </w:p>
        </w:tc>
      </w:tr>
    </w:tbl>
    <w:p w14:paraId="3829FB95" w14:textId="47FA7F0A" w:rsidR="0080065C" w:rsidRPr="0080065C" w:rsidRDefault="0080065C" w:rsidP="0080065C">
      <w:pPr>
        <w:pStyle w:val="TableText"/>
        <w:rPr>
          <w:szCs w:val="16"/>
        </w:rPr>
      </w:pPr>
      <w:r w:rsidRPr="0080065C">
        <w:rPr>
          <w:szCs w:val="16"/>
          <w:vertAlign w:val="superscript"/>
        </w:rPr>
        <w:t xml:space="preserve">a </w:t>
      </w:r>
      <w:r w:rsidRPr="0080065C">
        <w:rPr>
          <w:szCs w:val="16"/>
        </w:rPr>
        <w:t>Includes major projects.</w:t>
      </w:r>
      <w:r>
        <w:rPr>
          <w:szCs w:val="16"/>
        </w:rPr>
        <w:br/>
      </w:r>
      <w:r w:rsidRPr="0080065C">
        <w:rPr>
          <w:szCs w:val="16"/>
          <w:vertAlign w:val="superscript"/>
        </w:rPr>
        <w:t>b</w:t>
      </w:r>
      <w:r w:rsidRPr="0080065C">
        <w:rPr>
          <w:szCs w:val="16"/>
        </w:rPr>
        <w:t xml:space="preserve"> Includes capitalised operating expenditure at ETP and WTP.</w:t>
      </w:r>
    </w:p>
    <w:p w14:paraId="430D95E0" w14:textId="77777777" w:rsidR="0080065C" w:rsidRDefault="0080065C" w:rsidP="00ED094E"/>
    <w:p w14:paraId="51AD7CF0" w14:textId="6FE86F95" w:rsidR="00046BD5" w:rsidRPr="00DE108C" w:rsidRDefault="00046BD5" w:rsidP="00ED094E">
      <w:r w:rsidRPr="00DE108C">
        <w:t>The sewer</w:t>
      </w:r>
      <w:r w:rsidR="2B9D86D9" w:rsidRPr="00DE108C">
        <w:t>age</w:t>
      </w:r>
      <w:r w:rsidRPr="00DE108C">
        <w:t xml:space="preserve"> programs include development costs for uncertain projects, including: </w:t>
      </w:r>
    </w:p>
    <w:p w14:paraId="079ED324" w14:textId="4D9634D9" w:rsidR="00046BD5" w:rsidRPr="00DE108C" w:rsidRDefault="65BA2A4F" w:rsidP="00D411F5">
      <w:pPr>
        <w:pStyle w:val="ListBullet"/>
      </w:pPr>
      <w:r>
        <w:t>ETP</w:t>
      </w:r>
      <w:r w:rsidR="00046BD5" w:rsidRPr="00DE108C">
        <w:t xml:space="preserve"> Secondary Augmentation</w:t>
      </w:r>
    </w:p>
    <w:p w14:paraId="7316B848" w14:textId="77777777" w:rsidR="00046BD5" w:rsidRPr="00DE108C" w:rsidRDefault="00046BD5" w:rsidP="00D411F5">
      <w:pPr>
        <w:pStyle w:val="ListBullet"/>
      </w:pPr>
      <w:r w:rsidRPr="00DE108C">
        <w:t>Darebin Intercepting Sewer</w:t>
      </w:r>
    </w:p>
    <w:p w14:paraId="49A8A8CD" w14:textId="16764AB1" w:rsidR="00046BD5" w:rsidRPr="00DE108C" w:rsidRDefault="3893BA0B" w:rsidP="00D411F5">
      <w:pPr>
        <w:pStyle w:val="ListBullet"/>
      </w:pPr>
      <w:r>
        <w:t>WTP</w:t>
      </w:r>
      <w:r w:rsidR="00046BD5" w:rsidRPr="00DE108C">
        <w:t xml:space="preserve"> Aerated Static Pile Scum Treatment</w:t>
      </w:r>
    </w:p>
    <w:p w14:paraId="6660AA0B" w14:textId="77777777" w:rsidR="00046BD5" w:rsidRPr="00DE108C" w:rsidRDefault="00046BD5" w:rsidP="00D411F5">
      <w:pPr>
        <w:pStyle w:val="ListBullet"/>
      </w:pPr>
      <w:r w:rsidRPr="00DE108C">
        <w:t>Williamstown Main Extension</w:t>
      </w:r>
    </w:p>
    <w:p w14:paraId="25686594" w14:textId="62DBE6CE" w:rsidR="00046BD5" w:rsidRPr="00DE108C" w:rsidRDefault="3FF80F0D" w:rsidP="00D411F5">
      <w:pPr>
        <w:pStyle w:val="ListBullet"/>
      </w:pPr>
      <w:r>
        <w:t>ETP</w:t>
      </w:r>
      <w:r w:rsidR="00046BD5" w:rsidRPr="00DE108C">
        <w:t xml:space="preserve"> Sludge </w:t>
      </w:r>
      <w:r w:rsidR="00E73247" w:rsidRPr="00DE108C">
        <w:t>R</w:t>
      </w:r>
      <w:r w:rsidR="00E73247">
        <w:t xml:space="preserve">otary </w:t>
      </w:r>
      <w:r w:rsidR="00046BD5" w:rsidRPr="00DE108C">
        <w:t>T</w:t>
      </w:r>
      <w:r w:rsidR="00E73247">
        <w:t>hickener</w:t>
      </w:r>
      <w:r w:rsidR="00046BD5" w:rsidRPr="00DE108C">
        <w:t xml:space="preserve"> Capacity Upgrade</w:t>
      </w:r>
    </w:p>
    <w:p w14:paraId="310DA2BA" w14:textId="79AA2438" w:rsidR="00046BD5" w:rsidRPr="00DE108C" w:rsidRDefault="076D496A" w:rsidP="00D411F5">
      <w:pPr>
        <w:pStyle w:val="ListBullet"/>
      </w:pPr>
      <w:r>
        <w:t>WTP</w:t>
      </w:r>
      <w:r w:rsidR="00046BD5" w:rsidRPr="00DE108C">
        <w:t xml:space="preserve"> Solids Treatment Augmentation</w:t>
      </w:r>
    </w:p>
    <w:p w14:paraId="732889BE" w14:textId="77777777" w:rsidR="00046BD5" w:rsidRPr="00DE108C" w:rsidRDefault="00046BD5" w:rsidP="00D411F5">
      <w:pPr>
        <w:pStyle w:val="ListBullet"/>
      </w:pPr>
      <w:r w:rsidRPr="00DE108C">
        <w:t>South Yarra Main Sewer Renewal</w:t>
      </w:r>
    </w:p>
    <w:p w14:paraId="7539257F" w14:textId="0F3C6EA9" w:rsidR="00046BD5" w:rsidRPr="00DE108C" w:rsidRDefault="3FFC472D" w:rsidP="00D411F5">
      <w:pPr>
        <w:pStyle w:val="ListBullet"/>
      </w:pPr>
      <w:r>
        <w:t>WTP</w:t>
      </w:r>
      <w:r w:rsidR="00046BD5" w:rsidRPr="00DE108C">
        <w:t xml:space="preserve"> Primary and Secondary Treatment Augmentations.</w:t>
      </w:r>
    </w:p>
    <w:p w14:paraId="29971482" w14:textId="1C6DF5AE" w:rsidR="00EE6859" w:rsidRPr="00DE108C" w:rsidRDefault="00EE6859" w:rsidP="00EE6859">
      <w:r w:rsidRPr="00DE108C">
        <w:t xml:space="preserve">We may </w:t>
      </w:r>
      <w:r w:rsidR="00723691" w:rsidRPr="00C12E62">
        <w:t>in</w:t>
      </w:r>
      <w:r w:rsidRPr="00C12E62">
        <w:t>cur</w:t>
      </w:r>
      <w:r w:rsidRPr="00DE108C">
        <w:t xml:space="preserve"> additional </w:t>
      </w:r>
      <w:r w:rsidR="4AA3367B">
        <w:t>capex</w:t>
      </w:r>
      <w:r w:rsidRPr="00DE108C">
        <w:t xml:space="preserve"> during the regulatory period if assets are agreed to be transferred between water corporations as a result</w:t>
      </w:r>
      <w:r w:rsidR="009E483A" w:rsidRPr="00DE108C">
        <w:t xml:space="preserve"> of the Bulk Supply Agreement modernisation project</w:t>
      </w:r>
      <w:r w:rsidRPr="00DE108C">
        <w:t>.</w:t>
      </w:r>
    </w:p>
    <w:p w14:paraId="0B3B9A71" w14:textId="1847BFFD" w:rsidR="00046BD5" w:rsidRPr="00DE108C" w:rsidRDefault="00046BD5" w:rsidP="00ED094E">
      <w:r w:rsidRPr="00DE108C">
        <w:t xml:space="preserve">Business cases for all major projects and programs are available upon request. </w:t>
      </w:r>
    </w:p>
    <w:p w14:paraId="08A0A996" w14:textId="75C7BBFB" w:rsidR="00046BD5" w:rsidRPr="00DE108C" w:rsidRDefault="00046BD5">
      <w:pPr>
        <w:pStyle w:val="Heading3"/>
      </w:pPr>
      <w:r w:rsidRPr="00DE108C">
        <w:lastRenderedPageBreak/>
        <w:t xml:space="preserve">6.2.4 Outcome 3: Waterways </w:t>
      </w:r>
      <w:r w:rsidR="00DF2425" w:rsidRPr="00DE108C">
        <w:t>s</w:t>
      </w:r>
      <w:r w:rsidRPr="00DE108C">
        <w:t>ervices</w:t>
      </w:r>
    </w:p>
    <w:p w14:paraId="16968C61" w14:textId="61D25B53" w:rsidR="00046BD5" w:rsidRPr="00DE108C" w:rsidRDefault="00046BD5" w:rsidP="00ED094E">
      <w:r w:rsidRPr="00DE108C">
        <w:t>We are proposing a total of $349</w:t>
      </w:r>
      <w:r w:rsidRPr="00DE108C">
        <w:rPr>
          <w:rStyle w:val="FootnoteReference"/>
          <w:sz w:val="22"/>
          <w:szCs w:val="22"/>
        </w:rPr>
        <w:footnoteReference w:id="13"/>
      </w:r>
      <w:r w:rsidRPr="00DE108C">
        <w:t xml:space="preserve"> million (including $2 million in Diversion Services) across the </w:t>
      </w:r>
      <w:r w:rsidRPr="00DE108C">
        <w:rPr>
          <w:b/>
        </w:rPr>
        <w:t>Waterways Program</w:t>
      </w:r>
      <w:r w:rsidRPr="00DE108C">
        <w:t xml:space="preserve">, which will focus on managing our waterway health and stormwater quality. This is in pursuit of Outcome 3 to ensure we have </w:t>
      </w:r>
      <w:r w:rsidRPr="00DE108C">
        <w:rPr>
          <w:i/>
          <w:iCs/>
        </w:rPr>
        <w:t>healthy, resilient waterways</w:t>
      </w:r>
      <w:r w:rsidRPr="00DE108C">
        <w:t xml:space="preserve">. </w:t>
      </w:r>
    </w:p>
    <w:p w14:paraId="28941126" w14:textId="73FA8270" w:rsidR="00046BD5" w:rsidRPr="00DE108C" w:rsidRDefault="00046BD5" w:rsidP="00ED094E">
      <w:r w:rsidRPr="00DE108C">
        <w:t xml:space="preserve">The </w:t>
      </w:r>
      <w:r w:rsidRPr="00DE108C">
        <w:rPr>
          <w:b/>
          <w:bCs/>
        </w:rPr>
        <w:t>Waterways Program</w:t>
      </w:r>
      <w:r w:rsidRPr="00DE108C">
        <w:t xml:space="preserve"> focuses on maintaining and improving the health of rivers, creeks, and estuaries across the Port Phillip and Western</w:t>
      </w:r>
      <w:r w:rsidR="00FA4628">
        <w:t xml:space="preserve"> P</w:t>
      </w:r>
      <w:r w:rsidRPr="00DE108C">
        <w:t>ort region, while also supporting recreational and cultural values. The program consists of four sub-services:</w:t>
      </w:r>
    </w:p>
    <w:p w14:paraId="5362A337" w14:textId="77777777" w:rsidR="00046BD5" w:rsidRPr="00DE108C" w:rsidRDefault="00046BD5" w:rsidP="00D411F5">
      <w:pPr>
        <w:pStyle w:val="ListBullet"/>
      </w:pPr>
      <w:r w:rsidRPr="00DE108C">
        <w:t>Waterways Management</w:t>
      </w:r>
    </w:p>
    <w:p w14:paraId="0A1C489B" w14:textId="77777777" w:rsidR="00046BD5" w:rsidRPr="00DE108C" w:rsidRDefault="00046BD5" w:rsidP="00D411F5">
      <w:pPr>
        <w:pStyle w:val="ListBullet"/>
      </w:pPr>
      <w:r w:rsidRPr="00DE108C">
        <w:t>Stormwater Management</w:t>
      </w:r>
    </w:p>
    <w:p w14:paraId="7A1A0AB1" w14:textId="77777777" w:rsidR="00046BD5" w:rsidRPr="00DE108C" w:rsidRDefault="00046BD5" w:rsidP="00D411F5">
      <w:pPr>
        <w:pStyle w:val="ListBullet"/>
      </w:pPr>
      <w:r w:rsidRPr="00DE108C">
        <w:t>Land and Biodiversity Management</w:t>
      </w:r>
    </w:p>
    <w:p w14:paraId="7501708A" w14:textId="1DE7F2D9" w:rsidR="00046BD5" w:rsidRPr="00DE108C" w:rsidRDefault="00046BD5" w:rsidP="00D411F5">
      <w:pPr>
        <w:pStyle w:val="ListBullet"/>
      </w:pPr>
      <w:r>
        <w:t>Community Access and Recreation</w:t>
      </w:r>
      <w:r w:rsidR="440C7444">
        <w:t>.</w:t>
      </w:r>
    </w:p>
    <w:p w14:paraId="12471243" w14:textId="015E55A3" w:rsidR="00046BD5" w:rsidRPr="00DE108C" w:rsidRDefault="00046BD5" w:rsidP="00D411F5">
      <w:r w:rsidRPr="00DE108C">
        <w:t>These four sub-services reflect:</w:t>
      </w:r>
    </w:p>
    <w:p w14:paraId="4B9447F7" w14:textId="1E251D1C" w:rsidR="00046BD5" w:rsidRPr="00DE108C" w:rsidRDefault="702B05E7" w:rsidP="00D411F5">
      <w:pPr>
        <w:pStyle w:val="ListBullet"/>
      </w:pPr>
      <w:r>
        <w:t>a</w:t>
      </w:r>
      <w:r w:rsidR="00046BD5" w:rsidRPr="00DE108C">
        <w:t>ssets supporting land, waterways</w:t>
      </w:r>
      <w:r w:rsidR="008E7DA5">
        <w:t xml:space="preserve">, </w:t>
      </w:r>
      <w:r w:rsidR="008E7DA5" w:rsidRPr="008E7DA5">
        <w:t>natural and constructed wetlands, estuaries and biodiversity management</w:t>
      </w:r>
      <w:r w:rsidR="00046BD5" w:rsidRPr="00DE108C">
        <w:t xml:space="preserve"> in the Port Phillip and Western</w:t>
      </w:r>
      <w:r w:rsidR="00FA4628">
        <w:t xml:space="preserve"> P</w:t>
      </w:r>
      <w:r w:rsidR="00046BD5" w:rsidRPr="00DE108C">
        <w:t xml:space="preserve">ort catchments to enable conservation, rehabilitation and the sustainable use of natural resources </w:t>
      </w:r>
    </w:p>
    <w:p w14:paraId="1299AE58" w14:textId="2C8CA2A3" w:rsidR="00046BD5" w:rsidRDefault="575CCB90" w:rsidP="00D411F5">
      <w:pPr>
        <w:pStyle w:val="ListBullet"/>
      </w:pPr>
      <w:r>
        <w:t>a</w:t>
      </w:r>
      <w:r w:rsidR="00046BD5" w:rsidRPr="00DE108C">
        <w:t>ssets for the purposes of storing, treating and distributing stormwater to protect waterways and, in some cases, harvesting to enable reuse for non-drinking purposes</w:t>
      </w:r>
    </w:p>
    <w:p w14:paraId="16294258" w14:textId="755AB33D" w:rsidR="00CF78E6" w:rsidRPr="00DE108C" w:rsidRDefault="000B0887" w:rsidP="00D411F5">
      <w:pPr>
        <w:pStyle w:val="ListBullet"/>
      </w:pPr>
      <w:r>
        <w:t>as</w:t>
      </w:r>
      <w:r w:rsidR="00CF78E6" w:rsidRPr="00CF78E6">
        <w:t>sets supporting safe access and enjoyment of the community to blue-green spaces.</w:t>
      </w:r>
    </w:p>
    <w:p w14:paraId="2CC210C1" w14:textId="36368F52" w:rsidR="00046BD5" w:rsidRPr="00DE108C" w:rsidRDefault="00046BD5" w:rsidP="00ED094E">
      <w:r w:rsidRPr="00DE108C">
        <w:t>This expenditure supports critical infrastructure projects and environmental initiatives to protect and enhance our waterways ensuring sustainable outcomes for communities and ecosystems alike.</w:t>
      </w:r>
    </w:p>
    <w:p w14:paraId="2C098B17" w14:textId="67901848" w:rsidR="00046BD5" w:rsidRPr="00DE108C" w:rsidRDefault="00046BD5">
      <w:r w:rsidRPr="00DE108C">
        <w:t>Figure 6.1</w:t>
      </w:r>
      <w:r w:rsidR="00DB791E" w:rsidRPr="00DE108C">
        <w:t>0</w:t>
      </w:r>
      <w:r w:rsidRPr="00DE108C">
        <w:t xml:space="preserve"> shows our proposed </w:t>
      </w:r>
      <w:r w:rsidR="661156F3">
        <w:t>capex</w:t>
      </w:r>
      <w:r w:rsidRPr="00DE108C">
        <w:t xml:space="preserve"> under Outcome 3 over the regulatory period.</w:t>
      </w:r>
    </w:p>
    <w:p w14:paraId="0529B612" w14:textId="362E860B" w:rsidR="00046BD5" w:rsidRPr="00DE108C" w:rsidRDefault="00046BD5" w:rsidP="00ED094E">
      <w:pPr>
        <w:rPr>
          <w:sz w:val="22"/>
          <w:szCs w:val="22"/>
        </w:rPr>
      </w:pPr>
      <w:bookmarkStart w:id="504" w:name="_Toc207893029"/>
      <w:bookmarkStart w:id="505" w:name="_Toc208490553"/>
      <w:bookmarkStart w:id="506" w:name="_Toc208490891"/>
      <w:bookmarkStart w:id="507" w:name="_Toc208911049"/>
      <w:bookmarkStart w:id="508" w:name="_Toc210051355"/>
      <w:r w:rsidRPr="00DE108C">
        <w:rPr>
          <w:rStyle w:val="CaptionChar"/>
        </w:rPr>
        <w:lastRenderedPageBreak/>
        <w:t>Figure 6.1</w:t>
      </w:r>
      <w:r w:rsidR="00DB791E" w:rsidRPr="00DE108C">
        <w:rPr>
          <w:rStyle w:val="CaptionChar"/>
        </w:rPr>
        <w:t>0</w:t>
      </w:r>
      <w:r w:rsidRPr="00DE108C">
        <w:rPr>
          <w:rStyle w:val="CaptionChar"/>
        </w:rPr>
        <w:t xml:space="preserve">: Outcome 3 </w:t>
      </w:r>
      <w:r w:rsidR="4952006B" w:rsidRPr="00DE108C">
        <w:rPr>
          <w:rStyle w:val="CaptionChar"/>
        </w:rPr>
        <w:t>capex</w:t>
      </w:r>
      <w:r w:rsidRPr="00DE108C">
        <w:rPr>
          <w:rStyle w:val="CaptionChar"/>
        </w:rPr>
        <w:t xml:space="preserve"> by sub-service over 2026-31</w:t>
      </w:r>
      <w:r w:rsidR="4DC701CD" w:rsidRPr="00DE108C">
        <w:rPr>
          <w:rStyle w:val="CaptionChar"/>
        </w:rPr>
        <w:t>,</w:t>
      </w:r>
      <w:r w:rsidRPr="00DE108C">
        <w:rPr>
          <w:rStyle w:val="CaptionChar"/>
        </w:rPr>
        <w:t xml:space="preserve"> excluding corporate and IT allocated expenditure ($millions, real</w:t>
      </w:r>
      <w:r w:rsidR="008C2596">
        <w:rPr>
          <w:rStyle w:val="CaptionChar"/>
        </w:rPr>
        <w:t xml:space="preserve"> </w:t>
      </w:r>
      <w:r w:rsidRPr="00DE108C">
        <w:rPr>
          <w:rStyle w:val="CaptionChar"/>
        </w:rPr>
        <w:t>2025-26)</w:t>
      </w:r>
      <w:bookmarkEnd w:id="504"/>
      <w:bookmarkEnd w:id="505"/>
      <w:bookmarkEnd w:id="506"/>
      <w:bookmarkEnd w:id="507"/>
      <w:bookmarkEnd w:id="508"/>
      <w:r w:rsidRPr="00DE108C">
        <w:br/>
      </w:r>
      <w:r w:rsidRPr="00DE108C">
        <w:rPr>
          <w:noProof/>
        </w:rPr>
        <w:drawing>
          <wp:inline distT="0" distB="0" distL="0" distR="0" wp14:anchorId="54FAB2DE" wp14:editId="1E642F59">
            <wp:extent cx="6120130" cy="3679825"/>
            <wp:effectExtent l="0" t="0" r="0" b="0"/>
            <wp:docPr id="1578893718" name="Chart 1" descr="A stacked bar chart titled &quot;Outcome 3 capex by sub-service over 2026–31, excluding corporate and IT allocated expenditure ($millions, real 2025–26).&quot; It shows projected annual capital expenditure from 2027 to 2031 across four sub-services:&#10;&#10;Waterways Management (dark blue)&#10;Stormwater (light blue)&#10;Land &amp; Biodiversity Management (green)&#10;Community Access &amp; Recreation (lime green)&#10;&#10;Annual breakdown:&#10;&#10;&#10;2027: Total $125 million&#10;&#10;Waterways Management: $44M&#10;Stormwater: $38M&#10;Land &amp; Biodiversity: $3M&#10;Community Access &amp; Recreation: $39M&#10;&#10;&#10;&#10;2028: Total $103 million&#10;&#10;Waterways Management: $38M&#10;Stormwater: $16M&#10;Land &amp; Biodiversity: $3M&#10;Community Access &amp; Recreation: $46M&#10;&#10;&#10;&#10;2029: Total $42 million&#10;&#10;Waterways Management: $23M&#10;Stormwater: $11M&#10;Land &amp; Biodiversity: $3M&#10;Community Access &amp; Recreation: $5M&#10;&#10;&#10;&#10;2030: Total $47 million&#10;&#10;Waterways Management: $22M&#10;Stormwater: $21M&#10;Land &amp; Biodiversity: $3M&#10;Community Access &amp; Recreation: $1M&#10;&#10;&#10;&#10;2031: Total $33 million&#10;&#10;Waterways Management: $18M&#10;Stormwater: $12M&#10;Land &amp; Biodiversity: $3M&#10;Community Access &amp; Recreation: $0M">
              <a:extLst xmlns:a="http://schemas.openxmlformats.org/drawingml/2006/main">
                <a:ext uri="{FF2B5EF4-FFF2-40B4-BE49-F238E27FC236}">
                  <a16:creationId xmlns:a16="http://schemas.microsoft.com/office/drawing/2014/main" id="{89713634-C47C-4EE6-AC8C-FE02D88D0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C3A734F" w14:textId="77777777" w:rsidR="00046BD5" w:rsidRPr="00DE108C" w:rsidRDefault="00046BD5" w:rsidP="00ED094E"/>
    <w:p w14:paraId="59665BF7" w14:textId="0F54919F" w:rsidR="00046BD5" w:rsidRPr="00DE108C" w:rsidRDefault="00046BD5" w:rsidP="00ED094E">
      <w:r w:rsidRPr="00DE108C">
        <w:t xml:space="preserve">Our Waterways Program combines large-scale capital works, which make up </w:t>
      </w:r>
      <w:r w:rsidR="00555BFF" w:rsidRPr="00DE108C">
        <w:t>54</w:t>
      </w:r>
      <w:r w:rsidRPr="00DE108C">
        <w:t xml:space="preserve"> per cent of the initiative, with smaller projects and maintenance efforts. We are completing several large-scale projects early in the regulatory period before waterways </w:t>
      </w:r>
      <w:r w:rsidR="24CA844D">
        <w:t>capex</w:t>
      </w:r>
      <w:r w:rsidRPr="00DE108C">
        <w:t xml:space="preserve"> returns to longer term trends. The major capital works focus on addressing critical infrastructure needs, ensuring long-term resilience and functionality. The smaller projects play a vital role in the ongoing care and improvement of local waterways systems. Together, these efforts are designed to enhance water flow and promote environmental sustainability within our communities.</w:t>
      </w:r>
    </w:p>
    <w:p w14:paraId="46E2EA65" w14:textId="3A633E47" w:rsidR="00046BD5" w:rsidRPr="00DE108C" w:rsidRDefault="00046BD5">
      <w:r w:rsidRPr="00DE108C">
        <w:t>Figure 6.1</w:t>
      </w:r>
      <w:r w:rsidR="00DB791E" w:rsidRPr="00DE108C">
        <w:t>1</w:t>
      </w:r>
      <w:r w:rsidRPr="00DE108C">
        <w:t xml:space="preserve"> shows the split of waterways </w:t>
      </w:r>
      <w:r w:rsidR="1AC33684">
        <w:t xml:space="preserve">capex </w:t>
      </w:r>
      <w:r w:rsidRPr="00DE108C">
        <w:t>by business driver. The majority of expenditure in the Waterways Program has a primary business driver of improvements/compliance.</w:t>
      </w:r>
    </w:p>
    <w:p w14:paraId="0A471277" w14:textId="77777777" w:rsidR="00046BD5" w:rsidRPr="00DE108C" w:rsidRDefault="00046BD5" w:rsidP="00ED094E"/>
    <w:p w14:paraId="639C16AD" w14:textId="5640F1B5" w:rsidR="00046BD5" w:rsidRPr="00DE108C" w:rsidRDefault="00046BD5" w:rsidP="00ED094E">
      <w:pPr>
        <w:pStyle w:val="Caption"/>
      </w:pPr>
      <w:bookmarkStart w:id="509" w:name="_Toc207893030"/>
      <w:bookmarkStart w:id="510" w:name="_Toc208490554"/>
      <w:bookmarkStart w:id="511" w:name="_Toc208490892"/>
      <w:bookmarkStart w:id="512" w:name="_Toc208911050"/>
      <w:bookmarkStart w:id="513" w:name="_Toc210051356"/>
      <w:r w:rsidRPr="00DE108C">
        <w:lastRenderedPageBreak/>
        <w:t>Figure 6.1</w:t>
      </w:r>
      <w:r w:rsidR="00DB791E" w:rsidRPr="00DE108C">
        <w:t>1</w:t>
      </w:r>
      <w:r w:rsidRPr="00DE108C">
        <w:t>: Annual waterways capex split by business driver ($millions, real 2025-26)</w:t>
      </w:r>
      <w:bookmarkEnd w:id="509"/>
      <w:bookmarkEnd w:id="510"/>
      <w:bookmarkEnd w:id="511"/>
      <w:bookmarkEnd w:id="512"/>
      <w:bookmarkEnd w:id="513"/>
    </w:p>
    <w:p w14:paraId="761ED492" w14:textId="77777777" w:rsidR="00046BD5" w:rsidRPr="00DE108C" w:rsidRDefault="00046BD5" w:rsidP="00ED094E">
      <w:r w:rsidRPr="00DE108C">
        <w:rPr>
          <w:noProof/>
        </w:rPr>
        <w:drawing>
          <wp:inline distT="0" distB="0" distL="0" distR="0" wp14:anchorId="7373E876" wp14:editId="04793A8F">
            <wp:extent cx="6120130" cy="3900805"/>
            <wp:effectExtent l="0" t="0" r="0" b="4445"/>
            <wp:docPr id="2059386961" name="Chart 1" descr="A bar chart titled &quot;Annual waterways capex split by business driver ($millions, real 2025–26).&quot; It shows projected capital expenditure for waterways from 2027 to 2031, split into two business drivers:&#10;&#10;Renewals&#10;Growth&#10;&#10;Annual breakdown:&#10;&#10;&#10;2027: Total $125 million&#10;&#10;Renewals: $20M&#10;Growth: $105M&#10;&#10;&#10;&#10;2028: Total $103 million&#10;&#10;Renewals: $18M&#10;Growth: $85M&#10;&#10;&#10;&#10;2029: Total $42 million&#10;&#10;Renewals: $12M&#10;Growth: $29M&#10;&#10;&#10;&#10;2030: Total $47 million&#10;&#10;Renewals: $21M&#10;Growth: $24M&#10;&#10;&#10;&#10;2031: Total $33 million&#10;&#10;Renewals: $13M&#10;Growth: $19M">
              <a:extLst xmlns:a="http://schemas.openxmlformats.org/drawingml/2006/main">
                <a:ext uri="{FF2B5EF4-FFF2-40B4-BE49-F238E27FC236}">
                  <a16:creationId xmlns:a16="http://schemas.microsoft.com/office/drawing/2014/main" id="{2A2ED8F4-C3FC-4BC3-A662-FBB03EFD6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7CDCA32" w14:textId="4FA2A522" w:rsidR="00046BD5" w:rsidRPr="00DE108C" w:rsidRDefault="00046BD5" w:rsidP="00ED094E">
      <w:pPr>
        <w:rPr>
          <w:b/>
          <w:bCs/>
        </w:rPr>
      </w:pPr>
      <w:r w:rsidRPr="00DE108C">
        <w:t>Table 6.6 highlights the </w:t>
      </w:r>
      <w:r w:rsidR="26E0E467">
        <w:t>Top 2</w:t>
      </w:r>
      <w:r w:rsidRPr="00DE108C">
        <w:t xml:space="preserve"> capital projects across our </w:t>
      </w:r>
      <w:r w:rsidRPr="00DE108C">
        <w:rPr>
          <w:b/>
          <w:bCs/>
        </w:rPr>
        <w:t xml:space="preserve">Waterways Programs. </w:t>
      </w:r>
      <w:r w:rsidRPr="00DE108C">
        <w:t xml:space="preserve">Combined with our Top 3 capital programs across our </w:t>
      </w:r>
      <w:r w:rsidRPr="00DE108C">
        <w:rPr>
          <w:b/>
          <w:bCs/>
        </w:rPr>
        <w:t>Drainage</w:t>
      </w:r>
      <w:r w:rsidRPr="00DE108C">
        <w:t xml:space="preserve"> </w:t>
      </w:r>
      <w:r w:rsidRPr="00DE108C">
        <w:rPr>
          <w:b/>
          <w:bCs/>
        </w:rPr>
        <w:t xml:space="preserve">Program, </w:t>
      </w:r>
      <w:r w:rsidRPr="00DE108C">
        <w:t xml:space="preserve">these make up our Top 5 capital projects across our </w:t>
      </w:r>
      <w:r w:rsidRPr="00DE108C">
        <w:rPr>
          <w:b/>
          <w:bCs/>
        </w:rPr>
        <w:t>waterways and drainage service.</w:t>
      </w:r>
    </w:p>
    <w:p w14:paraId="4CD29C08" w14:textId="77777777" w:rsidR="00046BD5" w:rsidRPr="00DE108C" w:rsidRDefault="00046BD5" w:rsidP="00ED094E">
      <w:r w:rsidRPr="00DE108C">
        <w:t xml:space="preserve">These projects represent the most significant and immediate interventions across the network. They target opportunities for environmental and amenity improvement. </w:t>
      </w:r>
    </w:p>
    <w:p w14:paraId="46B8BDC4" w14:textId="77777777" w:rsidR="00046BD5" w:rsidRPr="00DE108C" w:rsidRDefault="00046BD5" w:rsidP="00ED094E">
      <w:r w:rsidRPr="00DE108C">
        <w:t>As part of its preparation for the 2026–31 Price Submission, Melbourne Water undertook a comprehensive assessment of drainage assets to identify priority areas for financial investment into amenity. This assessment was guided by the Amenity Needs Framework and Index, developed in collaboration with Mosaic Insights, the Victorian Government, and local councils. The framework uses spatial data and community indicators to rank sites based on their potential to deliver amenity benefits.</w:t>
      </w:r>
    </w:p>
    <w:p w14:paraId="3854E065" w14:textId="77777777" w:rsidR="00046BD5" w:rsidRPr="00DE108C" w:rsidRDefault="00046BD5" w:rsidP="00ED094E"/>
    <w:p w14:paraId="2B315484" w14:textId="77777777" w:rsidR="00046BD5" w:rsidRPr="00DE108C" w:rsidRDefault="00046BD5" w:rsidP="00ED094E">
      <w:pPr>
        <w:pStyle w:val="Caption"/>
      </w:pPr>
      <w:bookmarkStart w:id="514" w:name="_Toc190878400"/>
      <w:bookmarkStart w:id="515" w:name="_Toc207893031"/>
      <w:bookmarkStart w:id="516" w:name="_Toc208490555"/>
      <w:bookmarkStart w:id="517" w:name="_Toc208490893"/>
      <w:bookmarkStart w:id="518" w:name="_Toc208911051"/>
      <w:bookmarkStart w:id="519" w:name="_Toc210051357"/>
      <w:r w:rsidRPr="00DE108C">
        <w:lastRenderedPageBreak/>
        <w:t xml:space="preserve">Table 6.6: Major waterways </w:t>
      </w:r>
      <w:bookmarkEnd w:id="514"/>
      <w:r w:rsidRPr="00DE108C">
        <w:t>capital projects as part of the Top 15 Major Projects ($millions, real 2025-26)</w:t>
      </w:r>
      <w:bookmarkEnd w:id="515"/>
      <w:bookmarkEnd w:id="516"/>
      <w:bookmarkEnd w:id="517"/>
      <w:bookmarkEnd w:id="518"/>
      <w:bookmarkEnd w:id="519"/>
    </w:p>
    <w:tbl>
      <w:tblPr>
        <w:tblStyle w:val="MWTableGrid"/>
        <w:tblW w:w="5000" w:type="pct"/>
        <w:tblLook w:val="0420" w:firstRow="1" w:lastRow="0" w:firstColumn="0" w:lastColumn="0" w:noHBand="0" w:noVBand="1"/>
      </w:tblPr>
      <w:tblGrid>
        <w:gridCol w:w="1401"/>
        <w:gridCol w:w="1839"/>
        <w:gridCol w:w="1011"/>
        <w:gridCol w:w="1537"/>
        <w:gridCol w:w="3840"/>
      </w:tblGrid>
      <w:tr w:rsidR="00087FD3" w:rsidRPr="00DE108C" w14:paraId="7FCF4C7F" w14:textId="77777777">
        <w:trPr>
          <w:cnfStyle w:val="100000000000" w:firstRow="1" w:lastRow="0" w:firstColumn="0" w:lastColumn="0" w:oddVBand="0" w:evenVBand="0" w:oddHBand="0" w:evenHBand="0" w:firstRowFirstColumn="0" w:firstRowLastColumn="0" w:lastRowFirstColumn="0" w:lastRowLastColumn="0"/>
          <w:cantSplit/>
        </w:trPr>
        <w:tc>
          <w:tcPr>
            <w:tcW w:w="728" w:type="pct"/>
          </w:tcPr>
          <w:p w14:paraId="1E840CEB" w14:textId="77777777" w:rsidR="00046BD5" w:rsidRPr="00DE108C" w:rsidRDefault="00046BD5">
            <w:pPr>
              <w:pStyle w:val="TableText"/>
              <w:rPr>
                <w:b/>
                <w:bCs/>
                <w:color w:val="FFFFFF" w:themeColor="background1"/>
                <w:szCs w:val="16"/>
              </w:rPr>
            </w:pPr>
            <w:r w:rsidRPr="00DE108C">
              <w:rPr>
                <w:b/>
                <w:bCs/>
                <w:color w:val="FFFFFF" w:themeColor="background1"/>
                <w:szCs w:val="16"/>
              </w:rPr>
              <w:t>Program</w:t>
            </w:r>
          </w:p>
        </w:tc>
        <w:tc>
          <w:tcPr>
            <w:tcW w:w="955" w:type="pct"/>
          </w:tcPr>
          <w:p w14:paraId="4AF0595B" w14:textId="51214687" w:rsidR="00046BD5" w:rsidRPr="00113FD7" w:rsidRDefault="00046BD5">
            <w:pPr>
              <w:pStyle w:val="TableText"/>
              <w:rPr>
                <w:b/>
                <w:bCs/>
                <w:color w:val="FFFFFF" w:themeColor="background1"/>
                <w:szCs w:val="16"/>
              </w:rPr>
            </w:pPr>
            <w:r w:rsidRPr="00113FD7">
              <w:rPr>
                <w:b/>
                <w:bCs/>
                <w:color w:val="FFFFFF" w:themeColor="background1"/>
                <w:szCs w:val="16"/>
              </w:rPr>
              <w:t>Top WWD Projects</w:t>
            </w:r>
          </w:p>
        </w:tc>
        <w:tc>
          <w:tcPr>
            <w:tcW w:w="525" w:type="pct"/>
            <w:vAlign w:val="center"/>
          </w:tcPr>
          <w:p w14:paraId="01A0C491" w14:textId="77777777" w:rsidR="00046BD5" w:rsidRPr="00113FD7" w:rsidRDefault="00046BD5">
            <w:pPr>
              <w:pStyle w:val="TableText"/>
              <w:rPr>
                <w:b/>
                <w:bCs/>
                <w:color w:val="FFFFFF" w:themeColor="background1"/>
                <w:szCs w:val="16"/>
              </w:rPr>
            </w:pPr>
            <w:r w:rsidRPr="00113FD7">
              <w:rPr>
                <w:b/>
                <w:bCs/>
                <w:color w:val="FFFFFF" w:themeColor="background1"/>
                <w:szCs w:val="16"/>
              </w:rPr>
              <w:t>PS26 capex</w:t>
            </w:r>
          </w:p>
        </w:tc>
        <w:tc>
          <w:tcPr>
            <w:tcW w:w="798" w:type="pct"/>
            <w:vAlign w:val="center"/>
          </w:tcPr>
          <w:p w14:paraId="0FA18D40" w14:textId="77777777" w:rsidR="00046BD5" w:rsidRPr="00113FD7" w:rsidRDefault="00046BD5">
            <w:pPr>
              <w:pStyle w:val="TableText"/>
              <w:rPr>
                <w:b/>
                <w:bCs/>
                <w:color w:val="FFFFFF" w:themeColor="background1"/>
                <w:szCs w:val="16"/>
              </w:rPr>
            </w:pPr>
            <w:r w:rsidRPr="00113FD7">
              <w:rPr>
                <w:b/>
                <w:bCs/>
                <w:color w:val="FFFFFF" w:themeColor="background1"/>
                <w:szCs w:val="16"/>
              </w:rPr>
              <w:t>Construction start</w:t>
            </w:r>
          </w:p>
        </w:tc>
        <w:tc>
          <w:tcPr>
            <w:tcW w:w="1994" w:type="pct"/>
          </w:tcPr>
          <w:p w14:paraId="43B487EC" w14:textId="77777777" w:rsidR="00046BD5" w:rsidRPr="00113FD7" w:rsidRDefault="00046BD5">
            <w:pPr>
              <w:pStyle w:val="TableText"/>
              <w:rPr>
                <w:b/>
                <w:bCs/>
                <w:color w:val="FFFFFF" w:themeColor="background1"/>
                <w:szCs w:val="16"/>
              </w:rPr>
            </w:pPr>
            <w:r w:rsidRPr="00113FD7">
              <w:rPr>
                <w:b/>
                <w:bCs/>
                <w:color w:val="FFFFFF" w:themeColor="background1"/>
                <w:szCs w:val="16"/>
              </w:rPr>
              <w:t>Description</w:t>
            </w:r>
          </w:p>
        </w:tc>
      </w:tr>
      <w:tr w:rsidR="00046BD5" w:rsidRPr="00DE108C" w14:paraId="57914B9D" w14:textId="77777777">
        <w:trPr>
          <w:cantSplit/>
        </w:trPr>
        <w:tc>
          <w:tcPr>
            <w:tcW w:w="728" w:type="pct"/>
            <w:vAlign w:val="center"/>
          </w:tcPr>
          <w:p w14:paraId="4EB6B1E7" w14:textId="77777777" w:rsidR="00046BD5" w:rsidRPr="00DE108C" w:rsidRDefault="00046BD5">
            <w:pPr>
              <w:pStyle w:val="TableText"/>
              <w:rPr>
                <w:rFonts w:eastAsiaTheme="minorEastAsia"/>
                <w:b/>
                <w:bCs/>
                <w:szCs w:val="16"/>
              </w:rPr>
            </w:pPr>
            <w:r w:rsidRPr="00DE108C">
              <w:rPr>
                <w:rFonts w:eastAsiaTheme="minorEastAsia"/>
                <w:b/>
                <w:bCs/>
                <w:szCs w:val="16"/>
              </w:rPr>
              <w:t>Waterway</w:t>
            </w:r>
          </w:p>
        </w:tc>
        <w:tc>
          <w:tcPr>
            <w:tcW w:w="955" w:type="pct"/>
            <w:vAlign w:val="center"/>
          </w:tcPr>
          <w:p w14:paraId="51D3B7DE" w14:textId="77777777" w:rsidR="00046BD5" w:rsidRPr="00DE108C" w:rsidRDefault="00046BD5">
            <w:pPr>
              <w:pStyle w:val="TableText"/>
              <w:rPr>
                <w:rFonts w:eastAsiaTheme="minorEastAsia"/>
                <w:szCs w:val="16"/>
              </w:rPr>
            </w:pPr>
            <w:r w:rsidRPr="00DE108C">
              <w:rPr>
                <w:rFonts w:eastAsiaTheme="minorEastAsia"/>
                <w:szCs w:val="16"/>
              </w:rPr>
              <w:t>Reimagining Eumemmerring Creek</w:t>
            </w:r>
          </w:p>
        </w:tc>
        <w:tc>
          <w:tcPr>
            <w:tcW w:w="525" w:type="pct"/>
            <w:vAlign w:val="center"/>
          </w:tcPr>
          <w:p w14:paraId="4241AE65" w14:textId="77777777" w:rsidR="00046BD5" w:rsidRPr="00DE108C" w:rsidRDefault="00046BD5">
            <w:pPr>
              <w:pStyle w:val="TableText"/>
              <w:rPr>
                <w:szCs w:val="16"/>
              </w:rPr>
            </w:pPr>
            <w:r w:rsidRPr="00DE108C">
              <w:rPr>
                <w:szCs w:val="16"/>
              </w:rPr>
              <w:t>26.6</w:t>
            </w:r>
          </w:p>
        </w:tc>
        <w:tc>
          <w:tcPr>
            <w:tcW w:w="798" w:type="pct"/>
            <w:vAlign w:val="center"/>
          </w:tcPr>
          <w:p w14:paraId="6CCC1DFF" w14:textId="77777777" w:rsidR="00046BD5" w:rsidRPr="00DE108C" w:rsidRDefault="00046BD5">
            <w:pPr>
              <w:pStyle w:val="TableText"/>
              <w:rPr>
                <w:szCs w:val="16"/>
              </w:rPr>
            </w:pPr>
            <w:r w:rsidRPr="00DE108C">
              <w:rPr>
                <w:rFonts w:eastAsiaTheme="minorEastAsia"/>
                <w:szCs w:val="16"/>
              </w:rPr>
              <w:t>2026-27</w:t>
            </w:r>
          </w:p>
        </w:tc>
        <w:tc>
          <w:tcPr>
            <w:tcW w:w="1994" w:type="pct"/>
            <w:vAlign w:val="center"/>
          </w:tcPr>
          <w:p w14:paraId="6DA7C083" w14:textId="5E06686D" w:rsidR="00046BD5" w:rsidRPr="00DE108C" w:rsidRDefault="00046BD5">
            <w:pPr>
              <w:pStyle w:val="TableText"/>
              <w:rPr>
                <w:szCs w:val="16"/>
              </w:rPr>
            </w:pPr>
            <w:r w:rsidRPr="00DE108C">
              <w:rPr>
                <w:szCs w:val="16"/>
              </w:rPr>
              <w:t>This project will transform 1,940 metres of low flow underground drain and high flow grassed channel into a natural waterway, creating a space to improve environmental health and enhance community access in the City of Casey, which has a high Amenity Needs Index. The restored waterway will provide opportunities for recreational use, such as walking, cycling and enjoying nature, while also supporting local biodiversity and improving stormwater management. Melbourne Water has forecast $9.9 million of Victorian Government contributions that will offset the investment.</w:t>
            </w:r>
          </w:p>
        </w:tc>
      </w:tr>
      <w:tr w:rsidR="00087FD3" w:rsidRPr="00DE108C" w14:paraId="69F23AA9" w14:textId="77777777">
        <w:trPr>
          <w:cnfStyle w:val="000000010000" w:firstRow="0" w:lastRow="0" w:firstColumn="0" w:lastColumn="0" w:oddVBand="0" w:evenVBand="0" w:oddHBand="0" w:evenHBand="1" w:firstRowFirstColumn="0" w:firstRowLastColumn="0" w:lastRowFirstColumn="0" w:lastRowLastColumn="0"/>
          <w:cantSplit/>
        </w:trPr>
        <w:tc>
          <w:tcPr>
            <w:tcW w:w="728" w:type="pct"/>
            <w:vAlign w:val="center"/>
          </w:tcPr>
          <w:p w14:paraId="7C0EA0C5" w14:textId="77777777" w:rsidR="00046BD5" w:rsidRPr="00DE108C" w:rsidRDefault="00046BD5">
            <w:pPr>
              <w:pStyle w:val="TableText"/>
              <w:rPr>
                <w:rFonts w:eastAsiaTheme="minorEastAsia"/>
                <w:b/>
                <w:bCs/>
                <w:szCs w:val="16"/>
              </w:rPr>
            </w:pPr>
            <w:r w:rsidRPr="00DE108C">
              <w:rPr>
                <w:rFonts w:eastAsiaTheme="minorEastAsia"/>
                <w:b/>
                <w:bCs/>
                <w:szCs w:val="16"/>
              </w:rPr>
              <w:t>Waterway</w:t>
            </w:r>
          </w:p>
        </w:tc>
        <w:tc>
          <w:tcPr>
            <w:tcW w:w="955" w:type="pct"/>
            <w:vAlign w:val="center"/>
          </w:tcPr>
          <w:p w14:paraId="583AA47E" w14:textId="77777777" w:rsidR="00046BD5" w:rsidRPr="00DE108C" w:rsidRDefault="00046BD5">
            <w:pPr>
              <w:pStyle w:val="TableText"/>
              <w:rPr>
                <w:szCs w:val="16"/>
              </w:rPr>
            </w:pPr>
            <w:r w:rsidRPr="00DE108C">
              <w:rPr>
                <w:rFonts w:eastAsiaTheme="minorEastAsia"/>
                <w:szCs w:val="16"/>
              </w:rPr>
              <w:t>Reimagining Tarralla Creek Stage 2</w:t>
            </w:r>
          </w:p>
        </w:tc>
        <w:tc>
          <w:tcPr>
            <w:tcW w:w="525" w:type="pct"/>
            <w:vAlign w:val="center"/>
          </w:tcPr>
          <w:p w14:paraId="5CC56A96" w14:textId="77777777" w:rsidR="00046BD5" w:rsidRPr="00DE108C" w:rsidRDefault="00046BD5">
            <w:pPr>
              <w:pStyle w:val="TableText"/>
              <w:rPr>
                <w:rFonts w:eastAsiaTheme="minorEastAsia"/>
                <w:szCs w:val="16"/>
              </w:rPr>
            </w:pPr>
            <w:r w:rsidRPr="00DE108C">
              <w:rPr>
                <w:rFonts w:eastAsiaTheme="minorEastAsia"/>
                <w:szCs w:val="16"/>
              </w:rPr>
              <w:t>30.6</w:t>
            </w:r>
          </w:p>
        </w:tc>
        <w:tc>
          <w:tcPr>
            <w:tcW w:w="798" w:type="pct"/>
            <w:vAlign w:val="center"/>
          </w:tcPr>
          <w:p w14:paraId="1C96DD27" w14:textId="77777777" w:rsidR="00046BD5" w:rsidRPr="00DE108C" w:rsidRDefault="00046BD5">
            <w:pPr>
              <w:pStyle w:val="TableText"/>
              <w:rPr>
                <w:szCs w:val="16"/>
              </w:rPr>
            </w:pPr>
            <w:r w:rsidRPr="00DE108C">
              <w:rPr>
                <w:rFonts w:eastAsiaTheme="minorEastAsia"/>
                <w:szCs w:val="16"/>
              </w:rPr>
              <w:t>2026-27</w:t>
            </w:r>
          </w:p>
        </w:tc>
        <w:tc>
          <w:tcPr>
            <w:tcW w:w="1994" w:type="pct"/>
            <w:vAlign w:val="center"/>
          </w:tcPr>
          <w:p w14:paraId="62AEE0C8" w14:textId="7D36E47B" w:rsidR="00046BD5" w:rsidRPr="00DE108C" w:rsidRDefault="00046BD5">
            <w:pPr>
              <w:pStyle w:val="TableText"/>
            </w:pPr>
            <w:r w:rsidRPr="00DE108C">
              <w:t>This stage of the project will transform 886 metres of underground drain into a vibrant natural waterway, creating a space that improves environmental health and enhances community access. The restored waterway will provide opportunities for recreational use, such as walking, cycling and enjoying nature, while also supporting local biodiversity and improving stormwater management. Melbourne Water has forecast $9.6 million of Victorian Government contributions that will offset the investment.</w:t>
            </w:r>
          </w:p>
        </w:tc>
      </w:tr>
    </w:tbl>
    <w:p w14:paraId="0CC155B7" w14:textId="77777777" w:rsidR="00046BD5" w:rsidRPr="00DE108C" w:rsidRDefault="00046BD5">
      <w:pPr>
        <w:pStyle w:val="BodyText"/>
        <w:rPr>
          <w:sz w:val="22"/>
          <w:szCs w:val="22"/>
        </w:rPr>
      </w:pPr>
    </w:p>
    <w:p w14:paraId="70020BAB" w14:textId="77777777" w:rsidR="00046BD5" w:rsidRPr="00DE108C" w:rsidRDefault="00046BD5" w:rsidP="00ED094E">
      <w:r w:rsidRPr="00DE108C">
        <w:t xml:space="preserve">In addition to these major projects and the land development program, a further $292 million will be delivered through four sub-service program areas that underpin the broader </w:t>
      </w:r>
      <w:r w:rsidRPr="00DE108C">
        <w:rPr>
          <w:b/>
          <w:bCs/>
        </w:rPr>
        <w:t>Waterways Program</w:t>
      </w:r>
      <w:r w:rsidRPr="00DE108C">
        <w:t>. These programs focus on balancing waterway health and community benefits, while ensuring the long-term sustainability of Melbourne’s stormwater systems.</w:t>
      </w:r>
    </w:p>
    <w:p w14:paraId="1986962F" w14:textId="77777777" w:rsidR="00046BD5" w:rsidRPr="00DE108C" w:rsidRDefault="00046BD5" w:rsidP="00ED094E">
      <w:r w:rsidRPr="00DE108C">
        <w:t>Table 6.7 outlines these programs, which reflect both regulatory obligations and community priorities, such as improving stormwater quality, restoring riparian vegetation and adapting to climate change impacts, such as sea level rise and shifting rainfall patterns.</w:t>
      </w:r>
    </w:p>
    <w:p w14:paraId="5B3C54AD" w14:textId="77777777" w:rsidR="00046BD5" w:rsidRPr="00DE108C" w:rsidRDefault="00046BD5" w:rsidP="00ED094E"/>
    <w:p w14:paraId="34895541" w14:textId="77777777" w:rsidR="00046BD5" w:rsidRPr="00DE108C" w:rsidRDefault="00046BD5" w:rsidP="00ED094E">
      <w:pPr>
        <w:pStyle w:val="Caption"/>
      </w:pPr>
      <w:bookmarkStart w:id="520" w:name="_Toc207893032"/>
      <w:bookmarkStart w:id="521" w:name="_Toc208490556"/>
      <w:bookmarkStart w:id="522" w:name="_Toc208490894"/>
      <w:bookmarkStart w:id="523" w:name="_Toc208911052"/>
      <w:bookmarkStart w:id="524" w:name="_Toc210051358"/>
      <w:r w:rsidRPr="00DE108C">
        <w:lastRenderedPageBreak/>
        <w:t>Table 6.7: Major waterways sub-service programs ($millions, real 2025-26)</w:t>
      </w:r>
      <w:bookmarkEnd w:id="520"/>
      <w:bookmarkEnd w:id="521"/>
      <w:bookmarkEnd w:id="522"/>
      <w:bookmarkEnd w:id="523"/>
      <w:bookmarkEnd w:id="524"/>
    </w:p>
    <w:tbl>
      <w:tblPr>
        <w:tblStyle w:val="MWTableGrid"/>
        <w:tblW w:w="9628" w:type="dxa"/>
        <w:tblCellMar>
          <w:top w:w="0" w:type="dxa"/>
          <w:bottom w:w="0" w:type="dxa"/>
        </w:tblCellMar>
        <w:tblLook w:val="0420" w:firstRow="1" w:lastRow="0" w:firstColumn="0" w:lastColumn="0" w:noHBand="0" w:noVBand="1"/>
      </w:tblPr>
      <w:tblGrid>
        <w:gridCol w:w="1553"/>
        <w:gridCol w:w="1410"/>
        <w:gridCol w:w="1245"/>
        <w:gridCol w:w="5420"/>
      </w:tblGrid>
      <w:tr w:rsidR="00A043F7" w:rsidRPr="00DE108C" w14:paraId="274233C1" w14:textId="77777777" w:rsidTr="00B46F82">
        <w:trPr>
          <w:cnfStyle w:val="100000000000" w:firstRow="1" w:lastRow="0" w:firstColumn="0" w:lastColumn="0" w:oddVBand="0" w:evenVBand="0" w:oddHBand="0" w:evenHBand="0" w:firstRowFirstColumn="0" w:firstRowLastColumn="0" w:lastRowFirstColumn="0" w:lastRowLastColumn="0"/>
          <w:cantSplit/>
        </w:trPr>
        <w:tc>
          <w:tcPr>
            <w:tcW w:w="1553" w:type="dxa"/>
          </w:tcPr>
          <w:p w14:paraId="13986161" w14:textId="77777777" w:rsidR="00046BD5" w:rsidRPr="00DE108C" w:rsidRDefault="00046BD5">
            <w:pPr>
              <w:pStyle w:val="TableText"/>
              <w:rPr>
                <w:color w:val="FFFFFF" w:themeColor="background1"/>
                <w:szCs w:val="16"/>
              </w:rPr>
            </w:pPr>
            <w:r w:rsidRPr="00DE108C">
              <w:rPr>
                <w:color w:val="FFFFFF" w:themeColor="background1"/>
                <w:szCs w:val="16"/>
              </w:rPr>
              <w:t>Major sub-service Program (T1)</w:t>
            </w:r>
          </w:p>
        </w:tc>
        <w:tc>
          <w:tcPr>
            <w:tcW w:w="1410" w:type="dxa"/>
            <w:vAlign w:val="center"/>
          </w:tcPr>
          <w:p w14:paraId="57DC73A5" w14:textId="77777777" w:rsidR="00046BD5" w:rsidRPr="00DE108C" w:rsidRDefault="00046BD5">
            <w:pPr>
              <w:pStyle w:val="TableText"/>
              <w:rPr>
                <w:color w:val="FFFFFF" w:themeColor="background1"/>
                <w:szCs w:val="16"/>
              </w:rPr>
            </w:pPr>
            <w:r w:rsidRPr="00DE108C">
              <w:rPr>
                <w:color w:val="FFFFFF" w:themeColor="background1"/>
                <w:szCs w:val="16"/>
              </w:rPr>
              <w:t>PS21 capex</w:t>
            </w:r>
            <w:r w:rsidRPr="00DE108C">
              <w:rPr>
                <w:szCs w:val="16"/>
                <w:vertAlign w:val="superscript"/>
              </w:rPr>
              <w:t xml:space="preserve"> </w:t>
            </w:r>
            <w:r w:rsidRPr="00DE108C">
              <w:rPr>
                <w:color w:val="FFFFFF" w:themeColor="background1"/>
                <w:szCs w:val="16"/>
                <w:vertAlign w:val="superscript"/>
              </w:rPr>
              <w:t>a</w:t>
            </w:r>
          </w:p>
        </w:tc>
        <w:tc>
          <w:tcPr>
            <w:tcW w:w="1245" w:type="dxa"/>
            <w:vAlign w:val="center"/>
          </w:tcPr>
          <w:p w14:paraId="3F4D5DA1" w14:textId="77777777" w:rsidR="00046BD5" w:rsidRPr="00DE108C" w:rsidRDefault="00046BD5">
            <w:pPr>
              <w:pStyle w:val="TableText"/>
              <w:rPr>
                <w:color w:val="FFFFFF" w:themeColor="background1"/>
                <w:szCs w:val="16"/>
              </w:rPr>
            </w:pPr>
            <w:r w:rsidRPr="00DE108C">
              <w:rPr>
                <w:color w:val="FFFFFF" w:themeColor="background1"/>
                <w:szCs w:val="16"/>
              </w:rPr>
              <w:t>PS26 capex (excluding major projects)</w:t>
            </w:r>
          </w:p>
        </w:tc>
        <w:tc>
          <w:tcPr>
            <w:tcW w:w="5420" w:type="dxa"/>
          </w:tcPr>
          <w:p w14:paraId="160DB76B" w14:textId="77777777" w:rsidR="00046BD5" w:rsidRPr="00DE108C" w:rsidRDefault="00046BD5">
            <w:pPr>
              <w:pStyle w:val="TableText"/>
              <w:rPr>
                <w:color w:val="FFFFFF" w:themeColor="background1"/>
                <w:szCs w:val="16"/>
              </w:rPr>
            </w:pPr>
            <w:r w:rsidRPr="00DE108C">
              <w:rPr>
                <w:color w:val="FFFFFF" w:themeColor="background1"/>
                <w:szCs w:val="16"/>
              </w:rPr>
              <w:t>Description</w:t>
            </w:r>
          </w:p>
        </w:tc>
      </w:tr>
      <w:tr w:rsidR="00046BD5" w:rsidRPr="00DE108C" w14:paraId="7AA002E4" w14:textId="77777777" w:rsidTr="00ED094E">
        <w:trPr>
          <w:cantSplit/>
        </w:trPr>
        <w:tc>
          <w:tcPr>
            <w:tcW w:w="1553" w:type="dxa"/>
            <w:vAlign w:val="center"/>
          </w:tcPr>
          <w:p w14:paraId="31C82936" w14:textId="4FC1C3B5" w:rsidR="00046BD5" w:rsidRPr="00DE108C" w:rsidRDefault="00046BD5">
            <w:pPr>
              <w:pStyle w:val="TableText"/>
            </w:pPr>
            <w:r>
              <w:t xml:space="preserve">Stormwater </w:t>
            </w:r>
            <w:r w:rsidR="4F85BA3A">
              <w:t>Q</w:t>
            </w:r>
            <w:r>
              <w:t>uality</w:t>
            </w:r>
          </w:p>
        </w:tc>
        <w:tc>
          <w:tcPr>
            <w:tcW w:w="1410" w:type="dxa"/>
            <w:vAlign w:val="center"/>
          </w:tcPr>
          <w:p w14:paraId="66E1DC00" w14:textId="77777777" w:rsidR="00046BD5" w:rsidRPr="00DE108C" w:rsidRDefault="00046BD5">
            <w:pPr>
              <w:pStyle w:val="TableText"/>
              <w:rPr>
                <w:szCs w:val="16"/>
              </w:rPr>
            </w:pPr>
            <w:r w:rsidRPr="00DE108C">
              <w:rPr>
                <w:szCs w:val="16"/>
              </w:rPr>
              <w:t>66.6</w:t>
            </w:r>
          </w:p>
        </w:tc>
        <w:tc>
          <w:tcPr>
            <w:tcW w:w="1245" w:type="dxa"/>
            <w:vAlign w:val="center"/>
          </w:tcPr>
          <w:p w14:paraId="01C1CE9C" w14:textId="77777777" w:rsidR="00046BD5" w:rsidRPr="00DE108C" w:rsidRDefault="00046BD5">
            <w:pPr>
              <w:pStyle w:val="TableText"/>
              <w:rPr>
                <w:szCs w:val="16"/>
              </w:rPr>
            </w:pPr>
            <w:r w:rsidRPr="00DE108C">
              <w:rPr>
                <w:szCs w:val="16"/>
              </w:rPr>
              <w:t>98.0</w:t>
            </w:r>
          </w:p>
        </w:tc>
        <w:tc>
          <w:tcPr>
            <w:tcW w:w="5420" w:type="dxa"/>
            <w:vAlign w:val="center"/>
          </w:tcPr>
          <w:p w14:paraId="031FEBA6" w14:textId="77777777" w:rsidR="00046BD5" w:rsidRPr="00DE108C" w:rsidRDefault="00046BD5" w:rsidP="00ED094E">
            <w:pPr>
              <w:rPr>
                <w:sz w:val="16"/>
                <w:szCs w:val="16"/>
              </w:rPr>
            </w:pPr>
            <w:r w:rsidRPr="00DE108C">
              <w:rPr>
                <w:sz w:val="16"/>
                <w:szCs w:val="16"/>
              </w:rPr>
              <w:t>Works under this Program include stormwater management systems to treat stormwater nutrients and sediments, build capacity and reduce agricultural runoff to maintain a healthy river system and receiving waters.</w:t>
            </w:r>
          </w:p>
        </w:tc>
      </w:tr>
      <w:tr w:rsidR="00A043F7" w:rsidRPr="00DE108C" w14:paraId="654DD7E2" w14:textId="77777777" w:rsidTr="0080065C">
        <w:trPr>
          <w:cnfStyle w:val="000000010000" w:firstRow="0" w:lastRow="0" w:firstColumn="0" w:lastColumn="0" w:oddVBand="0" w:evenVBand="0" w:oddHBand="0" w:evenHBand="1" w:firstRowFirstColumn="0" w:firstRowLastColumn="0" w:lastRowFirstColumn="0" w:lastRowLastColumn="0"/>
          <w:cantSplit/>
          <w:trHeight w:val="4939"/>
        </w:trPr>
        <w:tc>
          <w:tcPr>
            <w:tcW w:w="1553" w:type="dxa"/>
            <w:vAlign w:val="center"/>
          </w:tcPr>
          <w:p w14:paraId="679BCF85" w14:textId="77777777" w:rsidR="00046BD5" w:rsidRPr="00DE108C" w:rsidRDefault="00046BD5">
            <w:pPr>
              <w:pStyle w:val="TableText"/>
              <w:rPr>
                <w:szCs w:val="16"/>
              </w:rPr>
            </w:pPr>
            <w:r w:rsidRPr="00DE108C">
              <w:rPr>
                <w:szCs w:val="16"/>
              </w:rPr>
              <w:t>Waterways Management</w:t>
            </w:r>
          </w:p>
          <w:p w14:paraId="5F750CD6" w14:textId="77777777" w:rsidR="00046BD5" w:rsidRPr="00DE108C" w:rsidRDefault="00046BD5">
            <w:pPr>
              <w:pStyle w:val="TableText"/>
              <w:rPr>
                <w:szCs w:val="16"/>
              </w:rPr>
            </w:pPr>
            <w:r w:rsidRPr="00DE108C">
              <w:rPr>
                <w:szCs w:val="16"/>
              </w:rPr>
              <w:t>(includes Diversions)</w:t>
            </w:r>
          </w:p>
        </w:tc>
        <w:tc>
          <w:tcPr>
            <w:tcW w:w="1410" w:type="dxa"/>
            <w:vMerge w:val="restart"/>
            <w:vAlign w:val="center"/>
          </w:tcPr>
          <w:p w14:paraId="287A60AF" w14:textId="77777777" w:rsidR="00046BD5" w:rsidRPr="00DE108C" w:rsidRDefault="00046BD5">
            <w:pPr>
              <w:pStyle w:val="TableText"/>
              <w:rPr>
                <w:szCs w:val="16"/>
              </w:rPr>
            </w:pPr>
            <w:r w:rsidRPr="00DE108C">
              <w:rPr>
                <w:szCs w:val="16"/>
              </w:rPr>
              <w:t>211.2</w:t>
            </w:r>
          </w:p>
        </w:tc>
        <w:tc>
          <w:tcPr>
            <w:tcW w:w="1245" w:type="dxa"/>
            <w:vAlign w:val="center"/>
          </w:tcPr>
          <w:p w14:paraId="79DBE579" w14:textId="77777777" w:rsidR="00046BD5" w:rsidRPr="00DE108C" w:rsidRDefault="00046BD5">
            <w:pPr>
              <w:pStyle w:val="TableText"/>
              <w:rPr>
                <w:szCs w:val="16"/>
              </w:rPr>
            </w:pPr>
            <w:r w:rsidRPr="00DE108C">
              <w:rPr>
                <w:szCs w:val="16"/>
              </w:rPr>
              <w:t>144.2</w:t>
            </w:r>
          </w:p>
          <w:p w14:paraId="03FF533D" w14:textId="77777777" w:rsidR="00046BD5" w:rsidRPr="00DE108C" w:rsidRDefault="00046BD5">
            <w:pPr>
              <w:pStyle w:val="TableText"/>
              <w:rPr>
                <w:szCs w:val="16"/>
              </w:rPr>
            </w:pPr>
            <w:r w:rsidRPr="00DE108C">
              <w:rPr>
                <w:szCs w:val="16"/>
              </w:rPr>
              <w:t>(including 1.9 in diversions)</w:t>
            </w:r>
          </w:p>
        </w:tc>
        <w:tc>
          <w:tcPr>
            <w:tcW w:w="5420" w:type="dxa"/>
            <w:vAlign w:val="center"/>
          </w:tcPr>
          <w:p w14:paraId="7528FD6F" w14:textId="77777777" w:rsidR="00046BD5" w:rsidRPr="00DE108C" w:rsidRDefault="00046BD5" w:rsidP="00ED094E">
            <w:pPr>
              <w:rPr>
                <w:sz w:val="16"/>
                <w:szCs w:val="16"/>
              </w:rPr>
            </w:pPr>
            <w:r w:rsidRPr="00DE108C">
              <w:rPr>
                <w:sz w:val="16"/>
                <w:szCs w:val="16"/>
              </w:rPr>
              <w:t>We have a range of obligations we must meet to ensure waterway health is protected. The community also told us they expect us to make improvements to waterways, including riparian vegetation restoration and stream rehabilitation.</w:t>
            </w:r>
          </w:p>
          <w:p w14:paraId="408F86F5" w14:textId="77777777" w:rsidR="00046BD5" w:rsidRPr="00DE108C" w:rsidRDefault="00046BD5" w:rsidP="00ED094E">
            <w:pPr>
              <w:rPr>
                <w:sz w:val="16"/>
                <w:szCs w:val="16"/>
              </w:rPr>
            </w:pPr>
            <w:r w:rsidRPr="00DE108C">
              <w:rPr>
                <w:sz w:val="16"/>
                <w:szCs w:val="16"/>
              </w:rPr>
              <w:t>Works under this Program include investments to:</w:t>
            </w:r>
          </w:p>
          <w:p w14:paraId="5D3933C1" w14:textId="77777777" w:rsidR="00046BD5" w:rsidRPr="00DE108C" w:rsidRDefault="00046BD5" w:rsidP="0080065C">
            <w:pPr>
              <w:pStyle w:val="Tablebullet"/>
            </w:pPr>
            <w:r w:rsidRPr="00DE108C">
              <w:t>Support climate adaptation, build resilience, improve and maintain fish passage, mitigate threats to and from physical form and other key values, and meet environmental flow recommendations to improve waterway health.</w:t>
            </w:r>
          </w:p>
          <w:p w14:paraId="76834947" w14:textId="5ED32831" w:rsidR="00046BD5" w:rsidRPr="00DE108C" w:rsidRDefault="00046BD5" w:rsidP="0080065C">
            <w:pPr>
              <w:pStyle w:val="Tablebullet"/>
            </w:pPr>
            <w:r w:rsidRPr="00DE108C">
              <w:t xml:space="preserve">Renew natural wetland habitat and protect Ramsar wetlands for waterway ecological processes, coordinate management of estuary habitat connectivity, water quality and floodplain vegetation communities, and control </w:t>
            </w:r>
            <w:r w:rsidR="7F126689" w:rsidRPr="425138B5">
              <w:t xml:space="preserve">the </w:t>
            </w:r>
            <w:r w:rsidRPr="00DE108C">
              <w:t>impact of pests on roosting sites for birds.</w:t>
            </w:r>
          </w:p>
          <w:p w14:paraId="259F24A7" w14:textId="36E1164F" w:rsidR="00046BD5" w:rsidRPr="00DE108C" w:rsidRDefault="00046BD5" w:rsidP="0080065C">
            <w:pPr>
              <w:pStyle w:val="Tablebullet"/>
            </w:pPr>
            <w:r w:rsidRPr="00DE108C">
              <w:t xml:space="preserve">Establish and renew vegetation along waterways to support waterway health in alignment with performance objective targets within the </w:t>
            </w:r>
            <w:r w:rsidRPr="00DE108C">
              <w:rPr>
                <w:i/>
                <w:iCs/>
              </w:rPr>
              <w:t>Healthy Waterways Strategy 2018</w:t>
            </w:r>
            <w:r w:rsidRPr="00DE108C">
              <w:t>.</w:t>
            </w:r>
          </w:p>
        </w:tc>
      </w:tr>
      <w:tr w:rsidR="00046BD5" w:rsidRPr="00DE108C" w14:paraId="7E215D22" w14:textId="77777777" w:rsidTr="00ED094E">
        <w:trPr>
          <w:cantSplit/>
        </w:trPr>
        <w:tc>
          <w:tcPr>
            <w:tcW w:w="1553" w:type="dxa"/>
            <w:vAlign w:val="center"/>
          </w:tcPr>
          <w:p w14:paraId="765FE24C" w14:textId="577DC414" w:rsidR="00046BD5" w:rsidRPr="00DE108C" w:rsidRDefault="00046BD5">
            <w:pPr>
              <w:pStyle w:val="TableText"/>
            </w:pPr>
            <w:r>
              <w:t xml:space="preserve">Land </w:t>
            </w:r>
            <w:r w:rsidR="2FFE5D69">
              <w:t>and</w:t>
            </w:r>
            <w:r>
              <w:t xml:space="preserve"> Biodiversity Management</w:t>
            </w:r>
          </w:p>
        </w:tc>
        <w:tc>
          <w:tcPr>
            <w:tcW w:w="1410" w:type="dxa"/>
            <w:vMerge/>
            <w:vAlign w:val="center"/>
          </w:tcPr>
          <w:p w14:paraId="57797EB6" w14:textId="77777777" w:rsidR="00046BD5" w:rsidRPr="00DE108C" w:rsidRDefault="00046BD5">
            <w:pPr>
              <w:pStyle w:val="TableText"/>
              <w:rPr>
                <w:szCs w:val="16"/>
              </w:rPr>
            </w:pPr>
          </w:p>
        </w:tc>
        <w:tc>
          <w:tcPr>
            <w:tcW w:w="1245" w:type="dxa"/>
            <w:vAlign w:val="center"/>
          </w:tcPr>
          <w:p w14:paraId="6AFEE4C1" w14:textId="77777777" w:rsidR="00046BD5" w:rsidRPr="00DE108C" w:rsidRDefault="00046BD5">
            <w:pPr>
              <w:pStyle w:val="TableText"/>
              <w:rPr>
                <w:szCs w:val="16"/>
              </w:rPr>
            </w:pPr>
            <w:r w:rsidRPr="00DE108C">
              <w:rPr>
                <w:szCs w:val="16"/>
              </w:rPr>
              <w:t>15.3</w:t>
            </w:r>
          </w:p>
        </w:tc>
        <w:tc>
          <w:tcPr>
            <w:tcW w:w="5420" w:type="dxa"/>
            <w:vAlign w:val="center"/>
          </w:tcPr>
          <w:p w14:paraId="4F9ABBBF" w14:textId="77777777" w:rsidR="00046BD5" w:rsidRPr="00DE108C" w:rsidRDefault="00046BD5" w:rsidP="00ED094E">
            <w:pPr>
              <w:rPr>
                <w:sz w:val="16"/>
                <w:szCs w:val="16"/>
              </w:rPr>
            </w:pPr>
            <w:r w:rsidRPr="00DE108C">
              <w:rPr>
                <w:sz w:val="16"/>
                <w:szCs w:val="16"/>
              </w:rPr>
              <w:t>Works under this Program include investments to</w:t>
            </w:r>
            <w:r w:rsidRPr="00DE108C">
              <w:rPr>
                <w:rFonts w:eastAsia="Verdana"/>
                <w:sz w:val="16"/>
                <w:szCs w:val="16"/>
              </w:rPr>
              <w:t xml:space="preserve"> protect and enhance sites of biodiversity significance (SOBs) associated with the region's waterways.</w:t>
            </w:r>
          </w:p>
        </w:tc>
      </w:tr>
      <w:tr w:rsidR="00055179" w:rsidRPr="00DE108C" w14:paraId="67B9FCF3"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1553" w:type="dxa"/>
            <w:tcBorders>
              <w:bottom w:val="single" w:sz="4" w:space="0" w:color="231F20" w:themeColor="text1"/>
            </w:tcBorders>
            <w:vAlign w:val="center"/>
          </w:tcPr>
          <w:p w14:paraId="60FEDDE1" w14:textId="77777777" w:rsidR="00046BD5" w:rsidRPr="00DE108C" w:rsidRDefault="00046BD5">
            <w:pPr>
              <w:pStyle w:val="TableText"/>
              <w:rPr>
                <w:szCs w:val="16"/>
              </w:rPr>
            </w:pPr>
            <w:r w:rsidRPr="00DE108C">
              <w:rPr>
                <w:szCs w:val="16"/>
              </w:rPr>
              <w:t>Community Access and Recreation</w:t>
            </w:r>
          </w:p>
        </w:tc>
        <w:tc>
          <w:tcPr>
            <w:tcW w:w="1410" w:type="dxa"/>
            <w:vMerge/>
            <w:vAlign w:val="center"/>
          </w:tcPr>
          <w:p w14:paraId="2C92FCBF" w14:textId="77777777" w:rsidR="00046BD5" w:rsidRPr="00DE108C" w:rsidRDefault="00046BD5">
            <w:pPr>
              <w:pStyle w:val="TableText"/>
              <w:rPr>
                <w:szCs w:val="16"/>
              </w:rPr>
            </w:pPr>
          </w:p>
        </w:tc>
        <w:tc>
          <w:tcPr>
            <w:tcW w:w="1245" w:type="dxa"/>
            <w:tcBorders>
              <w:bottom w:val="single" w:sz="4" w:space="0" w:color="231F20" w:themeColor="text1"/>
            </w:tcBorders>
            <w:vAlign w:val="center"/>
          </w:tcPr>
          <w:p w14:paraId="1DF6F678" w14:textId="77777777" w:rsidR="00046BD5" w:rsidRPr="00DE108C" w:rsidRDefault="00046BD5">
            <w:pPr>
              <w:pStyle w:val="TableText"/>
              <w:rPr>
                <w:szCs w:val="16"/>
              </w:rPr>
            </w:pPr>
            <w:r w:rsidRPr="00DE108C">
              <w:rPr>
                <w:szCs w:val="16"/>
              </w:rPr>
              <w:t>34.7</w:t>
            </w:r>
          </w:p>
        </w:tc>
        <w:tc>
          <w:tcPr>
            <w:tcW w:w="5420" w:type="dxa"/>
            <w:tcBorders>
              <w:bottom w:val="single" w:sz="4" w:space="0" w:color="231F20" w:themeColor="text1"/>
            </w:tcBorders>
            <w:vAlign w:val="center"/>
          </w:tcPr>
          <w:p w14:paraId="265A0D39" w14:textId="77777777" w:rsidR="00046BD5" w:rsidRPr="00DE108C" w:rsidRDefault="00046BD5" w:rsidP="00ED094E">
            <w:pPr>
              <w:rPr>
                <w:sz w:val="16"/>
                <w:szCs w:val="16"/>
              </w:rPr>
            </w:pPr>
            <w:r w:rsidRPr="00DE108C">
              <w:rPr>
                <w:sz w:val="16"/>
                <w:szCs w:val="16"/>
              </w:rPr>
              <w:t>Works under this Program include investments to activate, transform, preserve, enhance amenity and improve management of Melbourne Water waterways and drainage land assets, creating more natural spaces for community enjoyment, recreational and amenity benefits. Melbourne Water has forecast $4.8 million of Victorian Government contributions that will offset the investment.</w:t>
            </w:r>
          </w:p>
        </w:tc>
      </w:tr>
    </w:tbl>
    <w:p w14:paraId="0D495F88" w14:textId="52E294A9" w:rsidR="0080065C" w:rsidRDefault="0080065C" w:rsidP="00ED094E">
      <w:pPr>
        <w:rPr>
          <w:sz w:val="16"/>
          <w:szCs w:val="16"/>
        </w:rPr>
      </w:pPr>
      <w:r w:rsidRPr="00DE108C">
        <w:rPr>
          <w:sz w:val="16"/>
          <w:szCs w:val="16"/>
          <w:vertAlign w:val="superscript"/>
        </w:rPr>
        <w:t xml:space="preserve">a </w:t>
      </w:r>
      <w:r w:rsidRPr="00DE108C">
        <w:rPr>
          <w:sz w:val="16"/>
          <w:szCs w:val="16"/>
        </w:rPr>
        <w:t>Includes major projects</w:t>
      </w:r>
      <w:r w:rsidRPr="425138B5">
        <w:rPr>
          <w:sz w:val="16"/>
          <w:szCs w:val="16"/>
        </w:rPr>
        <w:t>.</w:t>
      </w:r>
    </w:p>
    <w:p w14:paraId="69A9DE05" w14:textId="77777777" w:rsidR="0080065C" w:rsidRDefault="0080065C" w:rsidP="00ED094E"/>
    <w:p w14:paraId="139CE722" w14:textId="33D4FF0D" w:rsidR="00046BD5" w:rsidRPr="00DE108C" w:rsidRDefault="00046BD5" w:rsidP="00ED094E">
      <w:r w:rsidRPr="00DE108C">
        <w:t xml:space="preserve">Business cases for all major projects and programs are available upon request. </w:t>
      </w:r>
    </w:p>
    <w:p w14:paraId="055BCC7C" w14:textId="77777777" w:rsidR="00046BD5" w:rsidRPr="00DE108C" w:rsidRDefault="00046BD5" w:rsidP="00ED094E">
      <w:r w:rsidRPr="00DE108C">
        <w:br w:type="page"/>
      </w:r>
    </w:p>
    <w:p w14:paraId="2DC06F50" w14:textId="2F0CAAD8" w:rsidR="00046BD5" w:rsidRPr="00DE108C" w:rsidRDefault="00046BD5">
      <w:pPr>
        <w:pStyle w:val="Heading3"/>
      </w:pPr>
      <w:r w:rsidRPr="00DE108C">
        <w:lastRenderedPageBreak/>
        <w:t xml:space="preserve">6.2.5 Outcome 4: Drainage and Urban Development </w:t>
      </w:r>
      <w:r w:rsidR="00363731" w:rsidRPr="00DE108C">
        <w:t>s</w:t>
      </w:r>
      <w:r w:rsidRPr="00DE108C">
        <w:t>ervices</w:t>
      </w:r>
    </w:p>
    <w:p w14:paraId="4A7B27BA" w14:textId="4D2FBE8C" w:rsidR="00046BD5" w:rsidRPr="00DE108C" w:rsidRDefault="00046BD5" w:rsidP="00ED094E">
      <w:r w:rsidRPr="00DE108C">
        <w:t>We are proposing a total of $1,800 million</w:t>
      </w:r>
      <w:r w:rsidRPr="00DE108C">
        <w:rPr>
          <w:rStyle w:val="FootnoteReference"/>
          <w:sz w:val="22"/>
          <w:szCs w:val="22"/>
        </w:rPr>
        <w:footnoteReference w:id="14"/>
      </w:r>
      <w:r w:rsidRPr="00DE108C">
        <w:t xml:space="preserve"> across the </w:t>
      </w:r>
      <w:r w:rsidRPr="00DE108C">
        <w:rPr>
          <w:b/>
          <w:bCs/>
        </w:rPr>
        <w:t>Drainage and Urban Development Programs</w:t>
      </w:r>
      <w:r w:rsidRPr="00DE108C">
        <w:t xml:space="preserve"> in pursuit of Outcome 4 to ensure we support </w:t>
      </w:r>
      <w:r w:rsidRPr="00DE108C">
        <w:rPr>
          <w:i/>
          <w:iCs/>
        </w:rPr>
        <w:t>urban drainage and flood resilience</w:t>
      </w:r>
      <w:r w:rsidRPr="00DE108C">
        <w:t>. The annual breakdown of this expenditure is included in Figure 6.1</w:t>
      </w:r>
      <w:r w:rsidR="00DB791E" w:rsidRPr="00DE108C">
        <w:t>2</w:t>
      </w:r>
      <w:r w:rsidRPr="00DE108C">
        <w:t>.</w:t>
      </w:r>
    </w:p>
    <w:p w14:paraId="71AFF856" w14:textId="77777777" w:rsidR="00046BD5" w:rsidRPr="00DE108C" w:rsidRDefault="00046BD5" w:rsidP="00ED094E">
      <w:r w:rsidRPr="00DE108C">
        <w:t xml:space="preserve">The </w:t>
      </w:r>
      <w:r w:rsidRPr="00DE108C">
        <w:rPr>
          <w:b/>
          <w:bCs/>
        </w:rPr>
        <w:t>Drainage Program</w:t>
      </w:r>
      <w:r w:rsidRPr="00DE108C">
        <w:t xml:space="preserve"> ($305 million) provides flood protection and stormwater management services across the metropolitan area. This program maintains drainage infrastructure and flood management and control assets, reducing the risk of flooding to communities, while also implementing innovative solutions for safe urban water management.</w:t>
      </w:r>
    </w:p>
    <w:p w14:paraId="06D6FF6B" w14:textId="77777777" w:rsidR="00046BD5" w:rsidRPr="00DE108C" w:rsidRDefault="00046BD5" w:rsidP="00ED094E">
      <w:r w:rsidRPr="00DE108C">
        <w:t xml:space="preserve">The </w:t>
      </w:r>
      <w:r w:rsidRPr="00DE108C">
        <w:rPr>
          <w:b/>
          <w:bCs/>
        </w:rPr>
        <w:t>Urban Development</w:t>
      </w:r>
      <w:r w:rsidRPr="00DE108C">
        <w:t xml:space="preserve"> </w:t>
      </w:r>
      <w:r w:rsidRPr="00DE108C">
        <w:rPr>
          <w:b/>
          <w:bCs/>
        </w:rPr>
        <w:t>Program</w:t>
      </w:r>
      <w:r w:rsidRPr="00DE108C">
        <w:t xml:space="preserve"> ($1,495 million) reflects our investment in assets facilitating sustainable urban development and urban renewal that mitigate flood risks and protects water quality standards.</w:t>
      </w:r>
    </w:p>
    <w:p w14:paraId="01116F3C" w14:textId="77777777" w:rsidR="00046BD5" w:rsidRPr="00DE108C" w:rsidRDefault="00046BD5" w:rsidP="00ED094E">
      <w:r w:rsidRPr="00DE108C">
        <w:t>This expenditure will support critical drainage infrastructure projects to manage flood risk, ensuring sustainable outcomes for communities and ecosystems.</w:t>
      </w:r>
    </w:p>
    <w:p w14:paraId="14E50F97" w14:textId="77777777" w:rsidR="00046BD5" w:rsidRPr="00DE108C" w:rsidRDefault="00046BD5" w:rsidP="00ED094E"/>
    <w:p w14:paraId="3293CF93" w14:textId="6B86A47A" w:rsidR="00046BD5" w:rsidRPr="00DE108C" w:rsidRDefault="00046BD5" w:rsidP="00ED094E">
      <w:pPr>
        <w:pStyle w:val="Caption"/>
      </w:pPr>
      <w:bookmarkStart w:id="525" w:name="_Toc207893033"/>
      <w:bookmarkStart w:id="526" w:name="_Toc208490557"/>
      <w:bookmarkStart w:id="527" w:name="_Toc208490895"/>
      <w:bookmarkStart w:id="528" w:name="_Toc208911053"/>
      <w:bookmarkStart w:id="529" w:name="_Toc210051359"/>
      <w:r w:rsidRPr="00DE108C">
        <w:t>Figure 6.1</w:t>
      </w:r>
      <w:r w:rsidR="00DB791E" w:rsidRPr="00DE108C">
        <w:t>2</w:t>
      </w:r>
      <w:r w:rsidRPr="00DE108C">
        <w:t xml:space="preserve">: Outcome 4 </w:t>
      </w:r>
      <w:r w:rsidR="63447D32">
        <w:t>capex</w:t>
      </w:r>
      <w:r w:rsidRPr="00DE108C">
        <w:t xml:space="preserve"> by sub-service over 2026-31</w:t>
      </w:r>
      <w:r w:rsidR="3EF34A26">
        <w:t>,</w:t>
      </w:r>
      <w:r w:rsidRPr="00DE108C">
        <w:t xml:space="preserve"> excluding corporate and IT allocated expenditure ($millions, real</w:t>
      </w:r>
      <w:r w:rsidR="00254B43">
        <w:t xml:space="preserve"> </w:t>
      </w:r>
      <w:r w:rsidRPr="00DE108C">
        <w:t>2025-26)</w:t>
      </w:r>
      <w:bookmarkEnd w:id="525"/>
      <w:bookmarkEnd w:id="526"/>
      <w:bookmarkEnd w:id="527"/>
      <w:bookmarkEnd w:id="528"/>
      <w:bookmarkEnd w:id="529"/>
    </w:p>
    <w:p w14:paraId="6B8F16D3" w14:textId="77777777" w:rsidR="00046BD5" w:rsidRPr="00DE108C" w:rsidRDefault="00046BD5" w:rsidP="00ED094E">
      <w:r w:rsidRPr="00DE108C">
        <w:rPr>
          <w:noProof/>
        </w:rPr>
        <w:drawing>
          <wp:inline distT="0" distB="0" distL="0" distR="0" wp14:anchorId="530DE425" wp14:editId="39C82F88">
            <wp:extent cx="6120130" cy="4144010"/>
            <wp:effectExtent l="0" t="0" r="0" b="8890"/>
            <wp:docPr id="584978872" name="Chart 1" descr="A stacked bar chart titled &quot;Outcome 4 capex by sub-service over 2026–31, excluding corporate and IT allocated expenditure ($millions, real 2025–26).&quot; It shows projected annual capital expenditure from 2027 to 2031 across three sub-services:&#10;&#10;Urban Development&#10;Flood Risk Management&#10;Drainage Management&#10;&#10;Annual breakdown:&#10;&#10;&#10;2027: Total $419 million&#10;&#10;Urban Development: $328M&#10;Flood Risk Management: $52M&#10;Drainage Management: $39M&#10;&#10;&#10;&#10;2028: Total $417 million&#10;&#10;Urban Development: $348M&#10;Flood Risk Management: $41M&#10;Drainage Management: $28M&#10;&#10;&#10;&#10;2029: Total $325 million&#10;&#10;Urban Development: $289M&#10;Flood Risk Management: $23M&#10;Drainage Management: $14M&#10;&#10;&#10;&#10;2030: Total $327 million&#10;&#10;Urban Development: $274M&#10;Flood Risk Management: $23M&#10;Drainage Management: $30M&#10;&#10;&#10;&#10;2031: Total $311 million&#10;&#10;Urban Development: $257M&#10;Flood Risk Management: $12M&#10;Drainage Management: $42M">
              <a:extLst xmlns:a="http://schemas.openxmlformats.org/drawingml/2006/main">
                <a:ext uri="{FF2B5EF4-FFF2-40B4-BE49-F238E27FC236}">
                  <a16:creationId xmlns:a16="http://schemas.microsoft.com/office/drawing/2014/main" id="{E18E632E-B285-4FB8-9F5E-BEF21EB97F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B6B8BBB" w14:textId="5A5E54B7" w:rsidR="00046BD5" w:rsidRPr="00DE108C" w:rsidRDefault="00046BD5" w:rsidP="00ED094E">
      <w:r w:rsidRPr="00DE108C">
        <w:t>Most of our Outcome 4 spend relates to the</w:t>
      </w:r>
      <w:r w:rsidRPr="00DE108C">
        <w:rPr>
          <w:b/>
          <w:bCs/>
        </w:rPr>
        <w:t xml:space="preserve"> Urban Development Program </w:t>
      </w:r>
      <w:r w:rsidRPr="00DE108C">
        <w:t xml:space="preserve">and is made up of land development projects. Melbourne Water has a broad oversight role for these projects which are led by developers through the </w:t>
      </w:r>
      <w:r w:rsidR="00663B88">
        <w:t>Develop</w:t>
      </w:r>
      <w:r w:rsidR="00336397">
        <w:t>ment</w:t>
      </w:r>
      <w:r w:rsidRPr="00DE108C">
        <w:t xml:space="preserve"> Services Scheme</w:t>
      </w:r>
      <w:r w:rsidR="45A5BBC4" w:rsidRPr="00DE108C">
        <w:t xml:space="preserve"> (DSS)</w:t>
      </w:r>
      <w:r w:rsidRPr="00DE108C">
        <w:t xml:space="preserve">. These are </w:t>
      </w:r>
      <w:r w:rsidRPr="00DE108C">
        <w:lastRenderedPageBreak/>
        <w:t xml:space="preserve">offset over the economic life of the scheme by developer contributions. The forecast developer contributions offsetting the </w:t>
      </w:r>
      <w:r w:rsidR="006D3FB5">
        <w:t>Regulatory Asset Base (</w:t>
      </w:r>
      <w:r w:rsidRPr="00DE108C">
        <w:t>RAB</w:t>
      </w:r>
      <w:r w:rsidR="006D3FB5">
        <w:t>)</w:t>
      </w:r>
      <w:r w:rsidRPr="00DE108C">
        <w:t xml:space="preserve"> total $1,3</w:t>
      </w:r>
      <w:r w:rsidR="00EF38E9" w:rsidRPr="00DE108C">
        <w:t>17</w:t>
      </w:r>
      <w:r w:rsidRPr="00DE108C">
        <w:t xml:space="preserve"> million in the 2026-31 period</w:t>
      </w:r>
      <w:r w:rsidRPr="00DE108C">
        <w:rPr>
          <w:rStyle w:val="FootnoteReference"/>
        </w:rPr>
        <w:footnoteReference w:id="15"/>
      </w:r>
      <w:r w:rsidRPr="00DE108C">
        <w:t>. The broken-down developer contribution forecast is included in Section 8.2</w:t>
      </w:r>
      <w:r w:rsidR="70F732D3" w:rsidRPr="00DE108C">
        <w:t xml:space="preserve"> (Developer contributions)</w:t>
      </w:r>
      <w:r w:rsidRPr="00DE108C">
        <w:t xml:space="preserve">. </w:t>
      </w:r>
    </w:p>
    <w:p w14:paraId="17DC7CE6" w14:textId="4A72B226" w:rsidR="00046BD5" w:rsidRPr="00DE108C" w:rsidRDefault="00046BD5" w:rsidP="00ED094E">
      <w:r w:rsidRPr="00DE108C">
        <w:t xml:space="preserve">Our </w:t>
      </w:r>
      <w:r w:rsidRPr="00DE108C">
        <w:rPr>
          <w:b/>
          <w:bCs/>
        </w:rPr>
        <w:t>Drainage Programs</w:t>
      </w:r>
      <w:r w:rsidRPr="00DE108C">
        <w:t xml:space="preserve"> combine large-scale capital works, which make up </w:t>
      </w:r>
      <w:r w:rsidR="00F935A3" w:rsidRPr="00DE108C">
        <w:t>86</w:t>
      </w:r>
      <w:r w:rsidRPr="00DE108C">
        <w:t> per cent of the initiative, with smaller projects and maintenance efforts comprising the remainder. The major capital works focus on addressing critical infrastructure needs, ensuring long-term resilience and functionality. The smaller projects play a vital role in the ongoing care and improvement of local drainage systems. Together, these efforts are designed to mitigate flood risks and promote environmental sustainability within our communities.</w:t>
      </w:r>
    </w:p>
    <w:p w14:paraId="00B02FB1" w14:textId="77777777" w:rsidR="00046BD5" w:rsidRPr="00DE108C" w:rsidRDefault="00046BD5" w:rsidP="00ED094E"/>
    <w:p w14:paraId="02224C42" w14:textId="1AB9448D" w:rsidR="00046BD5" w:rsidRPr="00DE108C" w:rsidRDefault="00046BD5" w:rsidP="00ED094E">
      <w:pPr>
        <w:pStyle w:val="Caption"/>
      </w:pPr>
      <w:bookmarkStart w:id="530" w:name="_Toc207893034"/>
      <w:bookmarkStart w:id="531" w:name="_Toc208490558"/>
      <w:bookmarkStart w:id="532" w:name="_Toc208490896"/>
      <w:bookmarkStart w:id="533" w:name="_Toc208911054"/>
      <w:bookmarkStart w:id="534" w:name="_Toc210051360"/>
      <w:r w:rsidRPr="00DE108C">
        <w:t>Figure 6.1</w:t>
      </w:r>
      <w:r w:rsidR="00CA3956" w:rsidRPr="00DE108C">
        <w:t>3</w:t>
      </w:r>
      <w:r w:rsidRPr="00DE108C">
        <w:t>: Annual drainage and urban development capex split by business driver ($millions, real 2025-26)</w:t>
      </w:r>
      <w:bookmarkEnd w:id="530"/>
      <w:bookmarkEnd w:id="531"/>
      <w:bookmarkEnd w:id="532"/>
      <w:bookmarkEnd w:id="533"/>
      <w:bookmarkEnd w:id="534"/>
    </w:p>
    <w:p w14:paraId="78D420DE" w14:textId="77777777" w:rsidR="00046BD5" w:rsidRPr="00DE108C" w:rsidRDefault="00046BD5" w:rsidP="00ED094E">
      <w:r w:rsidRPr="00DE108C">
        <w:rPr>
          <w:noProof/>
        </w:rPr>
        <w:drawing>
          <wp:inline distT="0" distB="0" distL="0" distR="0" wp14:anchorId="40E05B3B" wp14:editId="4FD434FE">
            <wp:extent cx="6120130" cy="4027170"/>
            <wp:effectExtent l="0" t="0" r="0" b="0"/>
            <wp:docPr id="1403771839" name="Chart 1" descr="Bar chart titled &quot;Annual drainage and urban development capex split by business driver ($millions, real 2025–26)&quot; showing capital expenditure from 2027 to 2031. Each year is represented by a stacked bar divided into three segments:&#10;&#10;Renewals (dark blue)&#10;Growth (blue)&#10;Improvements/Compliance (light blue)&#10;&#10;Annual totals and breakdowns:&#10;&#10;2027: $419 million — Renewals: $37M, Growth: $323M, Improvements/Compliance: $59M&#10;2028: $417 million — Renewals: $26M, Growth: $344M, Improvements/Compliance: $47M&#10;2029: $325 million — Renewals: $9M, Growth: $285M, Improvements/Compliance: $32M&#10;2030: $327 million — Renewals: $29M, Growth: $261M, Improvements/Compliance: $38M&#10;2031: $311 million — Renewals: $41M, Growth: $238M, Improvements/Compliance: $33M">
              <a:extLst xmlns:a="http://schemas.openxmlformats.org/drawingml/2006/main">
                <a:ext uri="{FF2B5EF4-FFF2-40B4-BE49-F238E27FC236}">
                  <a16:creationId xmlns:a16="http://schemas.microsoft.com/office/drawing/2014/main" id="{9EB73E90-CD02-49D6-8761-B11F6A5FD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CFDE662" w14:textId="70FD41C7" w:rsidR="00046BD5" w:rsidRPr="00DE108C" w:rsidRDefault="00046BD5" w:rsidP="00ED094E">
      <w:pPr>
        <w:rPr>
          <w:b/>
          <w:bCs/>
        </w:rPr>
      </w:pPr>
      <w:r w:rsidRPr="00DE108C">
        <w:t xml:space="preserve">Table 6.8 highlights the Top 3 capital projects across our </w:t>
      </w:r>
      <w:r w:rsidRPr="00DE108C">
        <w:rPr>
          <w:b/>
          <w:bCs/>
        </w:rPr>
        <w:t xml:space="preserve">Drainage Programs. </w:t>
      </w:r>
      <w:r w:rsidRPr="00DE108C">
        <w:t xml:space="preserve">Combined with our Top 2 capital programs across our </w:t>
      </w:r>
      <w:r w:rsidRPr="00DE108C">
        <w:rPr>
          <w:b/>
          <w:bCs/>
        </w:rPr>
        <w:t>Waterways</w:t>
      </w:r>
      <w:r w:rsidRPr="00DE108C">
        <w:t xml:space="preserve"> </w:t>
      </w:r>
      <w:r w:rsidRPr="00DE108C">
        <w:rPr>
          <w:b/>
          <w:bCs/>
        </w:rPr>
        <w:t>Program</w:t>
      </w:r>
      <w:r w:rsidRPr="00DE108C">
        <w:t xml:space="preserve">, these make up our Top 5 capital projects across our </w:t>
      </w:r>
      <w:r w:rsidRPr="00DE108C">
        <w:rPr>
          <w:b/>
          <w:bCs/>
        </w:rPr>
        <w:t>waterways and drainage service.</w:t>
      </w:r>
    </w:p>
    <w:p w14:paraId="337C2754" w14:textId="77777777" w:rsidR="00046BD5" w:rsidRPr="00DE108C" w:rsidRDefault="00046BD5" w:rsidP="00ED094E">
      <w:r w:rsidRPr="00DE108C">
        <w:t>These projects represent the most significant and immediate interventions across the network. They target areas with high flood risk and ageing infrastructure, particularly in densely populated or vulnerable catchments.</w:t>
      </w:r>
    </w:p>
    <w:p w14:paraId="3CFD8062" w14:textId="77777777" w:rsidR="00046BD5" w:rsidRPr="00DE108C" w:rsidRDefault="00046BD5" w:rsidP="00ED094E">
      <w:pPr>
        <w:pStyle w:val="Caption"/>
      </w:pPr>
      <w:bookmarkStart w:id="535" w:name="_Toc207893035"/>
      <w:bookmarkStart w:id="536" w:name="_Toc208490559"/>
      <w:bookmarkStart w:id="537" w:name="_Toc208490897"/>
      <w:bookmarkStart w:id="538" w:name="_Toc208911055"/>
      <w:bookmarkStart w:id="539" w:name="_Toc210051361"/>
      <w:r w:rsidRPr="00DE108C">
        <w:lastRenderedPageBreak/>
        <w:t>Table 6.8: Major drainage capital projects as part of the Top 15 Major Projects ($millions, real 2025-26)</w:t>
      </w:r>
      <w:r w:rsidRPr="00DE108C">
        <w:rPr>
          <w:rStyle w:val="FootnoteReference"/>
        </w:rPr>
        <w:footnoteReference w:id="16"/>
      </w:r>
      <w:bookmarkEnd w:id="535"/>
      <w:bookmarkEnd w:id="536"/>
      <w:bookmarkEnd w:id="537"/>
      <w:bookmarkEnd w:id="538"/>
      <w:bookmarkEnd w:id="539"/>
    </w:p>
    <w:tbl>
      <w:tblPr>
        <w:tblStyle w:val="MWTableGrid"/>
        <w:tblW w:w="5000" w:type="pct"/>
        <w:tblLook w:val="0420" w:firstRow="1" w:lastRow="0" w:firstColumn="0" w:lastColumn="0" w:noHBand="0" w:noVBand="1"/>
      </w:tblPr>
      <w:tblGrid>
        <w:gridCol w:w="1401"/>
        <w:gridCol w:w="1839"/>
        <w:gridCol w:w="1011"/>
        <w:gridCol w:w="1537"/>
        <w:gridCol w:w="3840"/>
      </w:tblGrid>
      <w:tr w:rsidR="00087FD3" w:rsidRPr="00DE108C" w14:paraId="53E9EC87" w14:textId="77777777">
        <w:trPr>
          <w:cnfStyle w:val="100000000000" w:firstRow="1" w:lastRow="0" w:firstColumn="0" w:lastColumn="0" w:oddVBand="0" w:evenVBand="0" w:oddHBand="0" w:evenHBand="0" w:firstRowFirstColumn="0" w:firstRowLastColumn="0" w:lastRowFirstColumn="0" w:lastRowLastColumn="0"/>
          <w:cantSplit/>
        </w:trPr>
        <w:tc>
          <w:tcPr>
            <w:tcW w:w="728" w:type="pct"/>
          </w:tcPr>
          <w:p w14:paraId="6432F249" w14:textId="77777777" w:rsidR="00046BD5" w:rsidRPr="00DE108C" w:rsidRDefault="00046BD5">
            <w:pPr>
              <w:pStyle w:val="TableText"/>
              <w:rPr>
                <w:b/>
                <w:bCs/>
                <w:color w:val="FFFFFF" w:themeColor="background1"/>
                <w:szCs w:val="16"/>
              </w:rPr>
            </w:pPr>
            <w:r w:rsidRPr="00DE108C">
              <w:rPr>
                <w:b/>
                <w:bCs/>
                <w:color w:val="FFFFFF" w:themeColor="background1"/>
                <w:szCs w:val="16"/>
              </w:rPr>
              <w:t>Program</w:t>
            </w:r>
          </w:p>
        </w:tc>
        <w:tc>
          <w:tcPr>
            <w:tcW w:w="955" w:type="pct"/>
          </w:tcPr>
          <w:p w14:paraId="1185CDB0" w14:textId="72424D85" w:rsidR="00046BD5" w:rsidRPr="00DE108C" w:rsidRDefault="00046BD5">
            <w:pPr>
              <w:pStyle w:val="TableText"/>
              <w:rPr>
                <w:color w:val="FFFFFF" w:themeColor="background1"/>
              </w:rPr>
            </w:pPr>
            <w:r w:rsidRPr="425138B5">
              <w:rPr>
                <w:color w:val="FFFFFF" w:themeColor="background1"/>
              </w:rPr>
              <w:t xml:space="preserve">Top </w:t>
            </w:r>
            <w:r w:rsidR="6A9E9456" w:rsidRPr="425138B5">
              <w:rPr>
                <w:color w:val="FFFFFF" w:themeColor="background1"/>
              </w:rPr>
              <w:t xml:space="preserve">Waterways and Drainage </w:t>
            </w:r>
            <w:r w:rsidRPr="425138B5">
              <w:rPr>
                <w:color w:val="FFFFFF" w:themeColor="background1"/>
              </w:rPr>
              <w:t>Projects</w:t>
            </w:r>
          </w:p>
        </w:tc>
        <w:tc>
          <w:tcPr>
            <w:tcW w:w="525" w:type="pct"/>
            <w:vAlign w:val="center"/>
          </w:tcPr>
          <w:p w14:paraId="55309361" w14:textId="77777777" w:rsidR="00046BD5" w:rsidRPr="00DE108C" w:rsidRDefault="00046BD5">
            <w:pPr>
              <w:pStyle w:val="TableText"/>
              <w:rPr>
                <w:color w:val="FFFFFF" w:themeColor="background1"/>
                <w:szCs w:val="16"/>
              </w:rPr>
            </w:pPr>
            <w:r w:rsidRPr="00DE108C">
              <w:rPr>
                <w:color w:val="FFFFFF" w:themeColor="background1"/>
                <w:szCs w:val="16"/>
              </w:rPr>
              <w:t>PS26 spend</w:t>
            </w:r>
          </w:p>
        </w:tc>
        <w:tc>
          <w:tcPr>
            <w:tcW w:w="798" w:type="pct"/>
            <w:vAlign w:val="center"/>
          </w:tcPr>
          <w:p w14:paraId="4392E427" w14:textId="77777777" w:rsidR="00046BD5" w:rsidRPr="00DE108C" w:rsidRDefault="00046BD5">
            <w:pPr>
              <w:pStyle w:val="TableText"/>
              <w:rPr>
                <w:color w:val="FFFFFF" w:themeColor="background1"/>
                <w:szCs w:val="16"/>
              </w:rPr>
            </w:pPr>
            <w:r w:rsidRPr="00DE108C">
              <w:rPr>
                <w:color w:val="FFFFFF" w:themeColor="background1"/>
                <w:szCs w:val="16"/>
              </w:rPr>
              <w:t>Construction start</w:t>
            </w:r>
          </w:p>
        </w:tc>
        <w:tc>
          <w:tcPr>
            <w:tcW w:w="1994" w:type="pct"/>
          </w:tcPr>
          <w:p w14:paraId="754785EE" w14:textId="77777777" w:rsidR="00046BD5" w:rsidRPr="00DE108C" w:rsidRDefault="00046BD5">
            <w:pPr>
              <w:pStyle w:val="TableText"/>
              <w:rPr>
                <w:color w:val="FFFFFF" w:themeColor="background1"/>
                <w:szCs w:val="16"/>
              </w:rPr>
            </w:pPr>
            <w:r w:rsidRPr="00DE108C">
              <w:rPr>
                <w:color w:val="FFFFFF" w:themeColor="background1"/>
                <w:szCs w:val="16"/>
              </w:rPr>
              <w:t>Description</w:t>
            </w:r>
          </w:p>
        </w:tc>
      </w:tr>
      <w:tr w:rsidR="00046BD5" w:rsidRPr="00DE108C" w14:paraId="5B851F4B" w14:textId="77777777" w:rsidTr="00ED094E">
        <w:trPr>
          <w:cantSplit/>
        </w:trPr>
        <w:tc>
          <w:tcPr>
            <w:tcW w:w="728" w:type="pct"/>
            <w:vAlign w:val="center"/>
          </w:tcPr>
          <w:p w14:paraId="5023D4A1" w14:textId="77777777" w:rsidR="00046BD5" w:rsidRPr="00DE108C" w:rsidRDefault="00046BD5" w:rsidP="00ED094E">
            <w:pPr>
              <w:pStyle w:val="TableText"/>
              <w:rPr>
                <w:rFonts w:eastAsiaTheme="minorEastAsia"/>
                <w:b/>
                <w:bCs/>
                <w:szCs w:val="16"/>
              </w:rPr>
            </w:pPr>
            <w:r w:rsidRPr="00DE108C">
              <w:rPr>
                <w:rFonts w:eastAsiaTheme="minorEastAsia"/>
                <w:b/>
                <w:bCs/>
                <w:szCs w:val="16"/>
              </w:rPr>
              <w:t>Drainage</w:t>
            </w:r>
          </w:p>
        </w:tc>
        <w:tc>
          <w:tcPr>
            <w:tcW w:w="955" w:type="pct"/>
            <w:vAlign w:val="center"/>
          </w:tcPr>
          <w:p w14:paraId="09A0F950" w14:textId="77777777" w:rsidR="00046BD5" w:rsidRPr="00DE108C" w:rsidRDefault="00046BD5">
            <w:pPr>
              <w:pStyle w:val="TableText"/>
              <w:rPr>
                <w:szCs w:val="16"/>
              </w:rPr>
            </w:pPr>
            <w:r w:rsidRPr="00DE108C">
              <w:rPr>
                <w:rFonts w:eastAsiaTheme="minorEastAsia"/>
                <w:szCs w:val="16"/>
              </w:rPr>
              <w:t>Elsternwick Creek and Elwood Main Drain Flood Mitigation Works</w:t>
            </w:r>
          </w:p>
        </w:tc>
        <w:tc>
          <w:tcPr>
            <w:tcW w:w="525" w:type="pct"/>
            <w:vAlign w:val="center"/>
          </w:tcPr>
          <w:p w14:paraId="7F8916D9" w14:textId="77777777" w:rsidR="00046BD5" w:rsidRPr="00DE108C" w:rsidRDefault="00046BD5">
            <w:pPr>
              <w:pStyle w:val="TableText"/>
              <w:rPr>
                <w:rFonts w:eastAsiaTheme="minorEastAsia"/>
                <w:szCs w:val="16"/>
              </w:rPr>
            </w:pPr>
            <w:r w:rsidRPr="00DE108C">
              <w:rPr>
                <w:rFonts w:eastAsiaTheme="minorEastAsia"/>
                <w:szCs w:val="16"/>
              </w:rPr>
              <w:t>69.4</w:t>
            </w:r>
          </w:p>
        </w:tc>
        <w:tc>
          <w:tcPr>
            <w:tcW w:w="798" w:type="pct"/>
            <w:vAlign w:val="center"/>
          </w:tcPr>
          <w:p w14:paraId="493E8A27" w14:textId="7421A013" w:rsidR="00046BD5" w:rsidRPr="00DE108C" w:rsidRDefault="00046BD5">
            <w:pPr>
              <w:pStyle w:val="TableText"/>
              <w:rPr>
                <w:rFonts w:eastAsiaTheme="minorEastAsia"/>
                <w:szCs w:val="16"/>
              </w:rPr>
            </w:pPr>
            <w:r w:rsidRPr="00DE108C">
              <w:rPr>
                <w:rFonts w:eastAsiaTheme="minorEastAsia"/>
                <w:szCs w:val="16"/>
              </w:rPr>
              <w:t>2025-26</w:t>
            </w:r>
          </w:p>
        </w:tc>
        <w:tc>
          <w:tcPr>
            <w:tcW w:w="1994" w:type="pct"/>
            <w:vAlign w:val="center"/>
          </w:tcPr>
          <w:p w14:paraId="7F46D5CD" w14:textId="77777777" w:rsidR="00046BD5" w:rsidRPr="00DE108C" w:rsidRDefault="00046BD5">
            <w:pPr>
              <w:pStyle w:val="TableText"/>
              <w:rPr>
                <w:szCs w:val="16"/>
              </w:rPr>
            </w:pPr>
            <w:r w:rsidRPr="00DE108C">
              <w:rPr>
                <w:szCs w:val="16"/>
              </w:rPr>
              <w:t>This project focuses on constructing new infrastructure and upgrading existing assets to address the ongoing challenges of frequent and severe flooding in the Elwood and Elsternwick areas. By improving drainage systems and implementing advanced flood management solutions, the project aims to protect homes, businesses, and public spaces, ensuring greater safety and resilience for the community during heavy rainfall events.</w:t>
            </w:r>
          </w:p>
        </w:tc>
      </w:tr>
      <w:tr w:rsidR="00087FD3" w:rsidRPr="00DE108C" w14:paraId="1370EB8A"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728" w:type="pct"/>
            <w:vAlign w:val="center"/>
          </w:tcPr>
          <w:p w14:paraId="1D0E69F9" w14:textId="77777777" w:rsidR="00046BD5" w:rsidRPr="00DE108C" w:rsidRDefault="00046BD5" w:rsidP="00ED094E">
            <w:pPr>
              <w:pStyle w:val="TableText"/>
              <w:rPr>
                <w:rFonts w:eastAsiaTheme="minorEastAsia"/>
                <w:szCs w:val="16"/>
              </w:rPr>
            </w:pPr>
            <w:r w:rsidRPr="00DE108C">
              <w:rPr>
                <w:rFonts w:eastAsiaTheme="minorEastAsia"/>
                <w:b/>
                <w:bCs/>
                <w:szCs w:val="16"/>
              </w:rPr>
              <w:t>Drainage</w:t>
            </w:r>
          </w:p>
        </w:tc>
        <w:tc>
          <w:tcPr>
            <w:tcW w:w="955" w:type="pct"/>
            <w:vAlign w:val="center"/>
          </w:tcPr>
          <w:p w14:paraId="4D04343F" w14:textId="0CA5522B" w:rsidR="00046BD5" w:rsidRPr="00DE108C" w:rsidRDefault="00046BD5">
            <w:pPr>
              <w:pStyle w:val="TableText"/>
            </w:pPr>
            <w:r w:rsidRPr="00DE108C">
              <w:rPr>
                <w:rFonts w:eastAsiaTheme="minorEastAsia"/>
              </w:rPr>
              <w:t>Cardinia C</w:t>
            </w:r>
            <w:r w:rsidR="0B4AA930" w:rsidRPr="00DE108C">
              <w:rPr>
                <w:rFonts w:eastAsiaTheme="minorEastAsia"/>
              </w:rPr>
              <w:t>ree</w:t>
            </w:r>
            <w:r w:rsidRPr="00DE108C">
              <w:rPr>
                <w:rFonts w:eastAsiaTheme="minorEastAsia"/>
              </w:rPr>
              <w:t>k Drop Structure Retarding Basin Upgrade</w:t>
            </w:r>
          </w:p>
        </w:tc>
        <w:tc>
          <w:tcPr>
            <w:tcW w:w="525" w:type="pct"/>
            <w:vAlign w:val="center"/>
          </w:tcPr>
          <w:p w14:paraId="355536F8" w14:textId="77777777" w:rsidR="00046BD5" w:rsidRPr="00DE108C" w:rsidRDefault="00046BD5">
            <w:pPr>
              <w:pStyle w:val="TableText"/>
              <w:rPr>
                <w:szCs w:val="16"/>
              </w:rPr>
            </w:pPr>
            <w:r w:rsidRPr="00DE108C">
              <w:rPr>
                <w:rFonts w:eastAsiaTheme="minorEastAsia"/>
                <w:szCs w:val="16"/>
              </w:rPr>
              <w:t>39.5</w:t>
            </w:r>
          </w:p>
        </w:tc>
        <w:tc>
          <w:tcPr>
            <w:tcW w:w="798" w:type="pct"/>
            <w:vAlign w:val="center"/>
          </w:tcPr>
          <w:p w14:paraId="212A9905" w14:textId="6D6CB4CD" w:rsidR="00046BD5" w:rsidRPr="00DE108C" w:rsidRDefault="00046BD5">
            <w:pPr>
              <w:pStyle w:val="TableText"/>
              <w:rPr>
                <w:szCs w:val="16"/>
              </w:rPr>
            </w:pPr>
            <w:r w:rsidRPr="00DE108C">
              <w:rPr>
                <w:rFonts w:eastAsiaTheme="minorEastAsia"/>
                <w:szCs w:val="16"/>
              </w:rPr>
              <w:t>202</w:t>
            </w:r>
            <w:r w:rsidR="009F423E" w:rsidRPr="00DE108C">
              <w:rPr>
                <w:rFonts w:eastAsiaTheme="minorEastAsia"/>
                <w:szCs w:val="16"/>
              </w:rPr>
              <w:t>9-30</w:t>
            </w:r>
          </w:p>
        </w:tc>
        <w:tc>
          <w:tcPr>
            <w:tcW w:w="1994" w:type="pct"/>
            <w:vAlign w:val="center"/>
          </w:tcPr>
          <w:p w14:paraId="7A3D0EE2" w14:textId="77777777" w:rsidR="00046BD5" w:rsidRPr="00DE108C" w:rsidRDefault="00046BD5">
            <w:pPr>
              <w:pStyle w:val="TableText"/>
              <w:rPr>
                <w:szCs w:val="16"/>
              </w:rPr>
            </w:pPr>
            <w:r w:rsidRPr="00DE108C">
              <w:rPr>
                <w:szCs w:val="16"/>
              </w:rPr>
              <w:t>An upgrade to the Cardinia Creek Drop Structure retarding basin will enhance safety and improve drainage efficiency for the surrounding catchment area. This project will ensure better management of stormwater, reducing the risk of flooding during heavy rainfall and providing greater protection for local communities and infrastructure. </w:t>
            </w:r>
          </w:p>
        </w:tc>
      </w:tr>
      <w:tr w:rsidR="00046BD5" w:rsidRPr="00DE108C" w14:paraId="43C99816" w14:textId="77777777" w:rsidTr="00ED094E">
        <w:trPr>
          <w:cantSplit/>
        </w:trPr>
        <w:tc>
          <w:tcPr>
            <w:tcW w:w="728" w:type="pct"/>
            <w:vAlign w:val="center"/>
          </w:tcPr>
          <w:p w14:paraId="6E08D549" w14:textId="77777777" w:rsidR="00046BD5" w:rsidRPr="00DE108C" w:rsidRDefault="00046BD5" w:rsidP="00ED094E">
            <w:pPr>
              <w:pStyle w:val="TableText"/>
              <w:rPr>
                <w:rFonts w:eastAsiaTheme="minorEastAsia"/>
                <w:szCs w:val="16"/>
              </w:rPr>
            </w:pPr>
            <w:r w:rsidRPr="00DE108C">
              <w:rPr>
                <w:rFonts w:eastAsiaTheme="minorEastAsia"/>
                <w:b/>
                <w:bCs/>
                <w:szCs w:val="16"/>
              </w:rPr>
              <w:t>Drainage</w:t>
            </w:r>
          </w:p>
        </w:tc>
        <w:tc>
          <w:tcPr>
            <w:tcW w:w="955" w:type="pct"/>
            <w:vAlign w:val="center"/>
          </w:tcPr>
          <w:p w14:paraId="63EB4EA6" w14:textId="77777777" w:rsidR="00046BD5" w:rsidRPr="00DE108C" w:rsidRDefault="00046BD5">
            <w:pPr>
              <w:pStyle w:val="TableText"/>
              <w:rPr>
                <w:rFonts w:eastAsiaTheme="minorEastAsia"/>
                <w:szCs w:val="16"/>
              </w:rPr>
            </w:pPr>
            <w:r w:rsidRPr="00DE108C">
              <w:rPr>
                <w:rFonts w:eastAsiaTheme="minorEastAsia"/>
                <w:szCs w:val="16"/>
              </w:rPr>
              <w:t>Elwood Diversion Drain 4925 – Outfall Renewal</w:t>
            </w:r>
          </w:p>
        </w:tc>
        <w:tc>
          <w:tcPr>
            <w:tcW w:w="525" w:type="pct"/>
            <w:vAlign w:val="center"/>
          </w:tcPr>
          <w:p w14:paraId="55351D55" w14:textId="77777777" w:rsidR="00046BD5" w:rsidRPr="00DE108C" w:rsidRDefault="00046BD5">
            <w:pPr>
              <w:pStyle w:val="TableText"/>
              <w:rPr>
                <w:rFonts w:eastAsiaTheme="minorEastAsia"/>
                <w:szCs w:val="16"/>
              </w:rPr>
            </w:pPr>
            <w:r w:rsidRPr="00DE108C">
              <w:rPr>
                <w:rFonts w:eastAsiaTheme="minorEastAsia"/>
                <w:szCs w:val="16"/>
              </w:rPr>
              <w:t>27.3</w:t>
            </w:r>
          </w:p>
        </w:tc>
        <w:tc>
          <w:tcPr>
            <w:tcW w:w="798" w:type="pct"/>
            <w:vAlign w:val="center"/>
          </w:tcPr>
          <w:p w14:paraId="71B31659" w14:textId="4906EEC4" w:rsidR="00046BD5" w:rsidRPr="00DE108C" w:rsidRDefault="00046BD5">
            <w:pPr>
              <w:pStyle w:val="TableText"/>
              <w:rPr>
                <w:rFonts w:eastAsiaTheme="minorEastAsia"/>
                <w:szCs w:val="16"/>
              </w:rPr>
            </w:pPr>
            <w:r w:rsidRPr="00DE108C">
              <w:rPr>
                <w:rFonts w:eastAsiaTheme="minorEastAsia"/>
                <w:szCs w:val="16"/>
              </w:rPr>
              <w:t>2025-26</w:t>
            </w:r>
          </w:p>
        </w:tc>
        <w:tc>
          <w:tcPr>
            <w:tcW w:w="1994" w:type="pct"/>
            <w:vAlign w:val="center"/>
          </w:tcPr>
          <w:p w14:paraId="7E6D57AE" w14:textId="72B7C910" w:rsidR="00046BD5" w:rsidRPr="00DE108C" w:rsidRDefault="00046BD5">
            <w:pPr>
              <w:pStyle w:val="TableText"/>
              <w:rPr>
                <w:szCs w:val="16"/>
              </w:rPr>
            </w:pPr>
            <w:r w:rsidRPr="00DE108C">
              <w:rPr>
                <w:szCs w:val="16"/>
              </w:rPr>
              <w:t xml:space="preserve">The Elwood Diversion Drain has been identified as requiring urgent renewal due to significant structural deterioration observed during routine assessments. The renewal will ensure continual performance of the conveyance function of the asset, reducing flood risk to the community. </w:t>
            </w:r>
          </w:p>
        </w:tc>
      </w:tr>
    </w:tbl>
    <w:p w14:paraId="27DC50CC" w14:textId="77777777" w:rsidR="00046BD5" w:rsidRPr="00DE108C" w:rsidRDefault="00046BD5">
      <w:pPr>
        <w:pStyle w:val="BodyText"/>
        <w:rPr>
          <w:sz w:val="22"/>
          <w:szCs w:val="22"/>
        </w:rPr>
      </w:pPr>
    </w:p>
    <w:p w14:paraId="4A145C8E" w14:textId="77777777" w:rsidR="00046BD5" w:rsidRPr="00DE108C" w:rsidRDefault="00046BD5" w:rsidP="00ED094E">
      <w:r w:rsidRPr="00DE108C">
        <w:t xml:space="preserve">In addition to these major projects and the land development program, a further $168 million will be delivered through major programs that focus on balancing flood protection and mitigation activities, while also ensuring the long-term sustainability of Melbourne’s drainage systems. </w:t>
      </w:r>
    </w:p>
    <w:p w14:paraId="0A2F8124" w14:textId="77777777" w:rsidR="00046BD5" w:rsidRPr="00DE108C" w:rsidRDefault="00046BD5" w:rsidP="00ED094E">
      <w:r w:rsidRPr="00DE108C">
        <w:t>Table 6.9 outlines these programs, which reflect both regulatory obligations and community priorities, such as community expectations around flood risk minimisation and adapting to climate change impacts, like sea level rise and shifting rainfall patterns.</w:t>
      </w:r>
    </w:p>
    <w:p w14:paraId="5B79F57A" w14:textId="77777777" w:rsidR="00046BD5" w:rsidRPr="00DE108C" w:rsidRDefault="00046BD5" w:rsidP="00ED094E">
      <w:pPr>
        <w:pStyle w:val="Caption"/>
      </w:pPr>
      <w:bookmarkStart w:id="540" w:name="_Toc207893036"/>
      <w:bookmarkStart w:id="541" w:name="_Toc208490560"/>
      <w:bookmarkStart w:id="542" w:name="_Toc208490898"/>
      <w:bookmarkStart w:id="543" w:name="_Toc208911056"/>
      <w:bookmarkStart w:id="544" w:name="_Toc210051362"/>
      <w:r w:rsidRPr="00DE108C">
        <w:lastRenderedPageBreak/>
        <w:t>Table 6.9: Major drainage and urban development sub-service programs ($millions, real 2025-26)</w:t>
      </w:r>
      <w:bookmarkEnd w:id="540"/>
      <w:bookmarkEnd w:id="541"/>
      <w:bookmarkEnd w:id="542"/>
      <w:bookmarkEnd w:id="543"/>
      <w:bookmarkEnd w:id="544"/>
    </w:p>
    <w:tbl>
      <w:tblPr>
        <w:tblStyle w:val="MWTableGrid"/>
        <w:tblW w:w="5000" w:type="pct"/>
        <w:tblCellMar>
          <w:top w:w="0" w:type="dxa"/>
          <w:bottom w:w="0" w:type="dxa"/>
        </w:tblCellMar>
        <w:tblLook w:val="0460" w:firstRow="1" w:lastRow="1" w:firstColumn="0" w:lastColumn="0" w:noHBand="0" w:noVBand="1"/>
      </w:tblPr>
      <w:tblGrid>
        <w:gridCol w:w="1589"/>
        <w:gridCol w:w="1282"/>
        <w:gridCol w:w="1514"/>
        <w:gridCol w:w="5243"/>
      </w:tblGrid>
      <w:tr w:rsidR="00530B66" w:rsidRPr="00DE108C" w14:paraId="49B64EB5" w14:textId="77777777" w:rsidTr="00D0265F">
        <w:trPr>
          <w:cnfStyle w:val="100000000000" w:firstRow="1" w:lastRow="0" w:firstColumn="0" w:lastColumn="0" w:oddVBand="0" w:evenVBand="0" w:oddHBand="0" w:evenHBand="0" w:firstRowFirstColumn="0" w:firstRowLastColumn="0" w:lastRowFirstColumn="0" w:lastRowLastColumn="0"/>
          <w:cantSplit/>
        </w:trPr>
        <w:tc>
          <w:tcPr>
            <w:tcW w:w="825" w:type="pct"/>
          </w:tcPr>
          <w:p w14:paraId="70CB3A62" w14:textId="77777777" w:rsidR="00046BD5" w:rsidRPr="00DE108C" w:rsidRDefault="00046BD5">
            <w:pPr>
              <w:pStyle w:val="TableText"/>
              <w:rPr>
                <w:color w:val="FFFFFF" w:themeColor="background1"/>
                <w:szCs w:val="16"/>
              </w:rPr>
            </w:pPr>
            <w:r w:rsidRPr="00DE108C">
              <w:rPr>
                <w:color w:val="FFFFFF" w:themeColor="background1"/>
                <w:szCs w:val="16"/>
              </w:rPr>
              <w:t>Major sub-service Program (T1)</w:t>
            </w:r>
          </w:p>
        </w:tc>
        <w:tc>
          <w:tcPr>
            <w:tcW w:w="666" w:type="pct"/>
            <w:vAlign w:val="center"/>
          </w:tcPr>
          <w:p w14:paraId="3F8BC57A" w14:textId="77777777" w:rsidR="00046BD5" w:rsidRPr="00DE108C" w:rsidRDefault="00046BD5">
            <w:pPr>
              <w:pStyle w:val="TableText"/>
              <w:rPr>
                <w:color w:val="FFFFFF" w:themeColor="background1"/>
                <w:szCs w:val="16"/>
              </w:rPr>
            </w:pPr>
            <w:r w:rsidRPr="00DE108C">
              <w:rPr>
                <w:color w:val="FFFFFF" w:themeColor="background1"/>
                <w:szCs w:val="16"/>
              </w:rPr>
              <w:t xml:space="preserve">PS21 </w:t>
            </w:r>
            <w:r w:rsidRPr="00DE108C">
              <w:rPr>
                <w:szCs w:val="16"/>
              </w:rPr>
              <w:br/>
            </w:r>
            <w:r w:rsidRPr="00DE108C">
              <w:rPr>
                <w:color w:val="FFFFFF" w:themeColor="background1"/>
                <w:szCs w:val="16"/>
              </w:rPr>
              <w:t>capex</w:t>
            </w:r>
            <w:r w:rsidRPr="00DE108C">
              <w:rPr>
                <w:szCs w:val="16"/>
                <w:vertAlign w:val="superscript"/>
              </w:rPr>
              <w:t xml:space="preserve"> </w:t>
            </w:r>
            <w:r w:rsidRPr="00DE108C">
              <w:rPr>
                <w:color w:val="FFFFFF" w:themeColor="background1"/>
                <w:szCs w:val="16"/>
                <w:vertAlign w:val="superscript"/>
              </w:rPr>
              <w:t>a</w:t>
            </w:r>
          </w:p>
        </w:tc>
        <w:tc>
          <w:tcPr>
            <w:tcW w:w="786" w:type="pct"/>
            <w:vAlign w:val="center"/>
          </w:tcPr>
          <w:p w14:paraId="7023A72B" w14:textId="77777777" w:rsidR="00046BD5" w:rsidRPr="00DE108C" w:rsidRDefault="00046BD5">
            <w:pPr>
              <w:pStyle w:val="TableText"/>
              <w:rPr>
                <w:color w:val="FFFFFF" w:themeColor="background1"/>
                <w:szCs w:val="16"/>
              </w:rPr>
            </w:pPr>
            <w:r w:rsidRPr="00DE108C">
              <w:rPr>
                <w:color w:val="FFFFFF" w:themeColor="background1"/>
                <w:szCs w:val="16"/>
              </w:rPr>
              <w:t>PS26 spend (excluding major projects</w:t>
            </w:r>
          </w:p>
        </w:tc>
        <w:tc>
          <w:tcPr>
            <w:tcW w:w="2723" w:type="pct"/>
          </w:tcPr>
          <w:p w14:paraId="22D11243" w14:textId="77777777" w:rsidR="00046BD5" w:rsidRPr="00DE108C" w:rsidRDefault="00046BD5">
            <w:pPr>
              <w:pStyle w:val="TableText"/>
              <w:rPr>
                <w:color w:val="FFFFFF" w:themeColor="background1"/>
                <w:szCs w:val="16"/>
              </w:rPr>
            </w:pPr>
            <w:r w:rsidRPr="00DE108C">
              <w:rPr>
                <w:color w:val="FFFFFF" w:themeColor="background1"/>
                <w:szCs w:val="16"/>
              </w:rPr>
              <w:t>Description</w:t>
            </w:r>
          </w:p>
        </w:tc>
      </w:tr>
      <w:tr w:rsidR="00046BD5" w:rsidRPr="00DE108C" w14:paraId="4BEE62C7" w14:textId="77777777" w:rsidTr="00D0265F">
        <w:trPr>
          <w:cantSplit/>
        </w:trPr>
        <w:tc>
          <w:tcPr>
            <w:tcW w:w="825" w:type="pct"/>
            <w:vAlign w:val="center"/>
          </w:tcPr>
          <w:p w14:paraId="71F662B2" w14:textId="77777777" w:rsidR="00046BD5" w:rsidRPr="00DE108C" w:rsidRDefault="00046BD5">
            <w:pPr>
              <w:pStyle w:val="TableText"/>
              <w:rPr>
                <w:szCs w:val="16"/>
              </w:rPr>
            </w:pPr>
            <w:r w:rsidRPr="00DE108C">
              <w:rPr>
                <w:szCs w:val="16"/>
              </w:rPr>
              <w:t>Drainage Management</w:t>
            </w:r>
          </w:p>
        </w:tc>
        <w:tc>
          <w:tcPr>
            <w:tcW w:w="666" w:type="pct"/>
            <w:vMerge w:val="restart"/>
            <w:vAlign w:val="center"/>
          </w:tcPr>
          <w:p w14:paraId="14354AEA" w14:textId="77777777" w:rsidR="00046BD5" w:rsidRPr="00DE108C" w:rsidRDefault="00046BD5">
            <w:pPr>
              <w:pStyle w:val="TableText"/>
              <w:rPr>
                <w:szCs w:val="16"/>
              </w:rPr>
            </w:pPr>
            <w:r w:rsidRPr="00DE108C">
              <w:rPr>
                <w:szCs w:val="16"/>
              </w:rPr>
              <w:t>177.8</w:t>
            </w:r>
          </w:p>
        </w:tc>
        <w:tc>
          <w:tcPr>
            <w:tcW w:w="786" w:type="pct"/>
            <w:vAlign w:val="center"/>
          </w:tcPr>
          <w:p w14:paraId="5B87BD69" w14:textId="77777777" w:rsidR="00046BD5" w:rsidRPr="00DE108C" w:rsidRDefault="00046BD5">
            <w:pPr>
              <w:pStyle w:val="TableText"/>
              <w:rPr>
                <w:szCs w:val="16"/>
              </w:rPr>
            </w:pPr>
            <w:r w:rsidRPr="00DE108C">
              <w:rPr>
                <w:szCs w:val="16"/>
              </w:rPr>
              <w:t>86.0</w:t>
            </w:r>
          </w:p>
        </w:tc>
        <w:tc>
          <w:tcPr>
            <w:tcW w:w="2723" w:type="pct"/>
            <w:vAlign w:val="center"/>
          </w:tcPr>
          <w:p w14:paraId="017A4D26" w14:textId="77777777" w:rsidR="00046BD5" w:rsidRPr="00DE108C" w:rsidRDefault="00046BD5" w:rsidP="00ED094E">
            <w:pPr>
              <w:rPr>
                <w:rFonts w:eastAsia="Verdana"/>
                <w:sz w:val="16"/>
                <w:szCs w:val="16"/>
              </w:rPr>
            </w:pPr>
            <w:r w:rsidRPr="00DE108C">
              <w:rPr>
                <w:sz w:val="16"/>
                <w:szCs w:val="16"/>
              </w:rPr>
              <w:t>Works include expenditures to</w:t>
            </w:r>
            <w:r w:rsidRPr="00DE108C">
              <w:rPr>
                <w:rFonts w:eastAsia="Verdana"/>
                <w:sz w:val="16"/>
                <w:szCs w:val="16"/>
              </w:rPr>
              <w:t xml:space="preserve"> manage flood control structures effectively, minimise flooding impacts and achieve optimal social, economic and environmental outcomes.</w:t>
            </w:r>
          </w:p>
        </w:tc>
      </w:tr>
      <w:tr w:rsidR="00530B66" w:rsidRPr="00DE108C" w14:paraId="6D1A7E00" w14:textId="77777777" w:rsidTr="00D0265F">
        <w:trPr>
          <w:cnfStyle w:val="000000010000" w:firstRow="0" w:lastRow="0" w:firstColumn="0" w:lastColumn="0" w:oddVBand="0" w:evenVBand="0" w:oddHBand="0" w:evenHBand="1" w:firstRowFirstColumn="0" w:firstRowLastColumn="0" w:lastRowFirstColumn="0" w:lastRowLastColumn="0"/>
          <w:cantSplit/>
        </w:trPr>
        <w:tc>
          <w:tcPr>
            <w:tcW w:w="825" w:type="pct"/>
            <w:vAlign w:val="center"/>
          </w:tcPr>
          <w:p w14:paraId="13503A13" w14:textId="77777777" w:rsidR="00046BD5" w:rsidRPr="00DE108C" w:rsidRDefault="00046BD5">
            <w:pPr>
              <w:pStyle w:val="TableText"/>
              <w:rPr>
                <w:szCs w:val="16"/>
              </w:rPr>
            </w:pPr>
            <w:r w:rsidRPr="00DE108C">
              <w:rPr>
                <w:szCs w:val="16"/>
              </w:rPr>
              <w:t>Flood Risk Management</w:t>
            </w:r>
          </w:p>
        </w:tc>
        <w:tc>
          <w:tcPr>
            <w:tcW w:w="666" w:type="pct"/>
            <w:vMerge/>
            <w:vAlign w:val="center"/>
          </w:tcPr>
          <w:p w14:paraId="07D09850" w14:textId="77777777" w:rsidR="00046BD5" w:rsidRPr="00DE108C" w:rsidRDefault="00046BD5">
            <w:pPr>
              <w:pStyle w:val="TableText"/>
              <w:rPr>
                <w:szCs w:val="16"/>
              </w:rPr>
            </w:pPr>
          </w:p>
        </w:tc>
        <w:tc>
          <w:tcPr>
            <w:tcW w:w="786" w:type="pct"/>
            <w:vAlign w:val="center"/>
          </w:tcPr>
          <w:p w14:paraId="686FEB62" w14:textId="77777777" w:rsidR="00046BD5" w:rsidRPr="00DE108C" w:rsidRDefault="00046BD5">
            <w:pPr>
              <w:pStyle w:val="TableText"/>
              <w:rPr>
                <w:szCs w:val="16"/>
              </w:rPr>
            </w:pPr>
            <w:r w:rsidRPr="00DE108C">
              <w:rPr>
                <w:szCs w:val="16"/>
              </w:rPr>
              <w:t>82.4</w:t>
            </w:r>
          </w:p>
        </w:tc>
        <w:tc>
          <w:tcPr>
            <w:tcW w:w="2723" w:type="pct"/>
            <w:vAlign w:val="center"/>
          </w:tcPr>
          <w:p w14:paraId="28A602E4" w14:textId="720543FD" w:rsidR="00046BD5" w:rsidRPr="00DE108C" w:rsidRDefault="00046BD5" w:rsidP="00ED094E">
            <w:pPr>
              <w:rPr>
                <w:sz w:val="16"/>
                <w:szCs w:val="16"/>
              </w:rPr>
            </w:pPr>
            <w:r w:rsidRPr="00DE108C">
              <w:rPr>
                <w:sz w:val="16"/>
                <w:szCs w:val="16"/>
              </w:rPr>
              <w:t xml:space="preserve">Our community panel expected all customers, regardless of location, are safe in flood scenarios, and highlighted the importance of flood resilience and safety measures. </w:t>
            </w:r>
          </w:p>
          <w:p w14:paraId="03C9BB13" w14:textId="77777777" w:rsidR="00046BD5" w:rsidRPr="00DE108C" w:rsidRDefault="00046BD5" w:rsidP="00ED094E">
            <w:pPr>
              <w:rPr>
                <w:sz w:val="16"/>
                <w:szCs w:val="16"/>
              </w:rPr>
            </w:pPr>
            <w:r w:rsidRPr="00DE108C">
              <w:rPr>
                <w:sz w:val="16"/>
                <w:szCs w:val="16"/>
              </w:rPr>
              <w:t>Works under this Program include investments t</w:t>
            </w:r>
            <w:r w:rsidRPr="00DE108C">
              <w:rPr>
                <w:rFonts w:eastAsia="Verdana"/>
                <w:sz w:val="16"/>
                <w:szCs w:val="16"/>
              </w:rPr>
              <w:t>o manage flood risks and opportunities and ensure that the right information is available at the right time to the people who need it to support flood preparedness, so that flood risks are addressed, and flood impacts reduced to properties and critical infrastructure.</w:t>
            </w:r>
          </w:p>
        </w:tc>
      </w:tr>
      <w:tr w:rsidR="00046BD5" w:rsidRPr="00DE108C" w14:paraId="1784017F" w14:textId="77777777" w:rsidTr="00D0265F">
        <w:trPr>
          <w:cantSplit/>
        </w:trPr>
        <w:tc>
          <w:tcPr>
            <w:tcW w:w="825" w:type="pct"/>
            <w:tcBorders>
              <w:bottom w:val="single" w:sz="4" w:space="0" w:color="231F20" w:themeColor="text1"/>
            </w:tcBorders>
            <w:vAlign w:val="center"/>
          </w:tcPr>
          <w:p w14:paraId="2C60A563" w14:textId="77777777" w:rsidR="00046BD5" w:rsidRPr="00DE108C" w:rsidRDefault="00046BD5">
            <w:pPr>
              <w:pStyle w:val="TableText"/>
              <w:rPr>
                <w:szCs w:val="16"/>
              </w:rPr>
            </w:pPr>
            <w:r w:rsidRPr="00DE108C">
              <w:rPr>
                <w:szCs w:val="16"/>
              </w:rPr>
              <w:t>Urban Development</w:t>
            </w:r>
          </w:p>
        </w:tc>
        <w:tc>
          <w:tcPr>
            <w:tcW w:w="666" w:type="pct"/>
            <w:tcBorders>
              <w:bottom w:val="single" w:sz="4" w:space="0" w:color="231F20" w:themeColor="text1"/>
            </w:tcBorders>
            <w:vAlign w:val="center"/>
          </w:tcPr>
          <w:p w14:paraId="12B58349" w14:textId="1D096CD8" w:rsidR="00046BD5" w:rsidRPr="00DE108C" w:rsidRDefault="00046BD5">
            <w:pPr>
              <w:pStyle w:val="TableText"/>
              <w:rPr>
                <w:szCs w:val="16"/>
              </w:rPr>
            </w:pPr>
            <w:r w:rsidRPr="00DE108C">
              <w:rPr>
                <w:szCs w:val="16"/>
              </w:rPr>
              <w:t>1,</w:t>
            </w:r>
            <w:r w:rsidR="008C59C9" w:rsidRPr="00DE108C">
              <w:rPr>
                <w:szCs w:val="16"/>
              </w:rPr>
              <w:t>08</w:t>
            </w:r>
            <w:r w:rsidR="00253FBB" w:rsidRPr="00DE108C">
              <w:rPr>
                <w:szCs w:val="16"/>
              </w:rPr>
              <w:t>3</w:t>
            </w:r>
          </w:p>
        </w:tc>
        <w:tc>
          <w:tcPr>
            <w:tcW w:w="786" w:type="pct"/>
            <w:tcBorders>
              <w:bottom w:val="single" w:sz="4" w:space="0" w:color="231F20" w:themeColor="text1"/>
            </w:tcBorders>
            <w:vAlign w:val="center"/>
          </w:tcPr>
          <w:p w14:paraId="587A4376" w14:textId="77777777" w:rsidR="00046BD5" w:rsidRPr="00DE108C" w:rsidRDefault="00046BD5">
            <w:pPr>
              <w:pStyle w:val="TableText"/>
              <w:rPr>
                <w:szCs w:val="16"/>
              </w:rPr>
            </w:pPr>
            <w:r w:rsidRPr="00DE108C">
              <w:rPr>
                <w:szCs w:val="16"/>
              </w:rPr>
              <w:t>1,495</w:t>
            </w:r>
            <w:r w:rsidRPr="00DE108C">
              <w:rPr>
                <w:szCs w:val="16"/>
                <w:vertAlign w:val="superscript"/>
              </w:rPr>
              <w:t>b</w:t>
            </w:r>
          </w:p>
        </w:tc>
        <w:tc>
          <w:tcPr>
            <w:tcW w:w="2723" w:type="pct"/>
            <w:tcBorders>
              <w:bottom w:val="single" w:sz="4" w:space="0" w:color="231F20" w:themeColor="text1"/>
            </w:tcBorders>
            <w:vAlign w:val="center"/>
          </w:tcPr>
          <w:p w14:paraId="657AEBB1" w14:textId="3B29EB88" w:rsidR="00046BD5" w:rsidRPr="00DE108C" w:rsidRDefault="00046BD5">
            <w:pPr>
              <w:pStyle w:val="BodyText"/>
              <w:rPr>
                <w:rFonts w:eastAsiaTheme="minorEastAsia" w:cstheme="minorBidi"/>
                <w:color w:val="auto"/>
                <w:sz w:val="16"/>
                <w:szCs w:val="16"/>
              </w:rPr>
            </w:pPr>
            <w:r w:rsidRPr="00DE108C">
              <w:rPr>
                <w:rFonts w:eastAsiaTheme="minorEastAsia" w:cstheme="minorBidi"/>
                <w:color w:val="auto"/>
                <w:sz w:val="16"/>
                <w:szCs w:val="16"/>
              </w:rPr>
              <w:t xml:space="preserve">Melbourne Water works with the development industry and private landowners to plan for and facilitate the building of sustainable and liveable communities through the construction of assets, such as wetlands, retarding basins and stormwater pipelines. Infrastructure requirements are costed and used to establish contributions under the </w:t>
            </w:r>
            <w:r w:rsidRPr="00DE108C">
              <w:rPr>
                <w:rFonts w:eastAsiaTheme="minorEastAsia" w:cstheme="minorBidi"/>
                <w:i/>
                <w:iCs/>
                <w:color w:val="auto"/>
                <w:sz w:val="16"/>
                <w:szCs w:val="16"/>
              </w:rPr>
              <w:t>Water Act 1989</w:t>
            </w:r>
            <w:r w:rsidRPr="00DE108C">
              <w:rPr>
                <w:rFonts w:eastAsiaTheme="minorEastAsia" w:cstheme="minorBidi"/>
                <w:color w:val="auto"/>
                <w:sz w:val="16"/>
                <w:szCs w:val="16"/>
              </w:rPr>
              <w:t xml:space="preserve"> </w:t>
            </w:r>
            <w:r w:rsidR="3660BFEB" w:rsidRPr="425138B5">
              <w:rPr>
                <w:rFonts w:eastAsiaTheme="minorEastAsia" w:cstheme="minorBidi"/>
                <w:color w:val="auto"/>
                <w:sz w:val="16"/>
                <w:szCs w:val="16"/>
              </w:rPr>
              <w:t xml:space="preserve">(Vic) </w:t>
            </w:r>
            <w:r w:rsidRPr="00DE108C">
              <w:rPr>
                <w:rFonts w:eastAsiaTheme="minorEastAsia" w:cstheme="minorBidi"/>
                <w:color w:val="auto"/>
                <w:sz w:val="16"/>
                <w:szCs w:val="16"/>
              </w:rPr>
              <w:t>that will apply to developers to fund the provision of infrastructure.</w:t>
            </w:r>
          </w:p>
          <w:p w14:paraId="37B0DFBC" w14:textId="172D74F8" w:rsidR="00046BD5" w:rsidRPr="00DE108C" w:rsidRDefault="00046BD5">
            <w:pPr>
              <w:pStyle w:val="BodyText"/>
              <w:rPr>
                <w:rFonts w:eastAsiaTheme="minorEastAsia" w:cstheme="minorBidi"/>
                <w:color w:val="auto"/>
                <w:sz w:val="16"/>
                <w:szCs w:val="16"/>
              </w:rPr>
            </w:pPr>
            <w:r w:rsidRPr="00DE108C">
              <w:rPr>
                <w:rFonts w:eastAsiaTheme="minorEastAsia" w:cstheme="minorBidi"/>
                <w:color w:val="auto"/>
                <w:sz w:val="16"/>
                <w:szCs w:val="16"/>
              </w:rPr>
              <w:t xml:space="preserve">The works under this Program include investments relating to the </w:t>
            </w:r>
            <w:r w:rsidR="468D1C8C" w:rsidRPr="425138B5">
              <w:rPr>
                <w:rFonts w:eastAsiaTheme="minorEastAsia" w:cstheme="minorBidi"/>
                <w:color w:val="auto"/>
                <w:sz w:val="16"/>
                <w:szCs w:val="16"/>
              </w:rPr>
              <w:t>DSS</w:t>
            </w:r>
            <w:r w:rsidRPr="00DE108C">
              <w:rPr>
                <w:rFonts w:eastAsiaTheme="minorEastAsia" w:cstheme="minorBidi"/>
                <w:color w:val="auto"/>
                <w:sz w:val="16"/>
                <w:szCs w:val="16"/>
              </w:rPr>
              <w:t xml:space="preserve"> that are prepared to plan the infrastructure required to ensure new urban development meets appropriate standards for flood protection, water quality, waterway health and amenity.</w:t>
            </w:r>
          </w:p>
        </w:tc>
      </w:tr>
    </w:tbl>
    <w:p w14:paraId="7A648074" w14:textId="7CA0C9EA" w:rsidR="0080065C" w:rsidRDefault="0080065C" w:rsidP="00ED094E">
      <w:pPr>
        <w:rPr>
          <w:sz w:val="16"/>
          <w:szCs w:val="16"/>
        </w:rPr>
      </w:pPr>
      <w:r w:rsidRPr="00DE108C">
        <w:rPr>
          <w:sz w:val="16"/>
          <w:szCs w:val="16"/>
          <w:vertAlign w:val="superscript"/>
        </w:rPr>
        <w:t xml:space="preserve">a </w:t>
      </w:r>
      <w:r w:rsidRPr="00DE108C">
        <w:rPr>
          <w:sz w:val="16"/>
          <w:szCs w:val="16"/>
        </w:rPr>
        <w:t>Includes major projects</w:t>
      </w:r>
      <w:r>
        <w:br/>
      </w:r>
      <w:r w:rsidRPr="00DE108C">
        <w:rPr>
          <w:sz w:val="16"/>
          <w:szCs w:val="16"/>
          <w:vertAlign w:val="superscript"/>
        </w:rPr>
        <w:t>b</w:t>
      </w:r>
      <w:r w:rsidRPr="00DE108C">
        <w:rPr>
          <w:sz w:val="16"/>
          <w:szCs w:val="16"/>
        </w:rPr>
        <w:t xml:space="preserve"> Offset by developer contributions of $1,317 million as outlined in Section 8.2.</w:t>
      </w:r>
    </w:p>
    <w:p w14:paraId="59C30AC3" w14:textId="77777777" w:rsidR="0080065C" w:rsidRDefault="0080065C" w:rsidP="00ED094E"/>
    <w:p w14:paraId="4C9709A2" w14:textId="1ABDB20E" w:rsidR="00046BD5" w:rsidRPr="00DE108C" w:rsidRDefault="00046BD5" w:rsidP="00ED094E">
      <w:r w:rsidRPr="00DE108C">
        <w:t xml:space="preserve">Business cases for all major projects and programs are available upon request. </w:t>
      </w:r>
    </w:p>
    <w:p w14:paraId="595975F3" w14:textId="10879568" w:rsidR="00046BD5" w:rsidRPr="00DE108C" w:rsidRDefault="00046BD5" w:rsidP="00CD5839">
      <w:pPr>
        <w:pStyle w:val="Heading3"/>
      </w:pPr>
      <w:bookmarkStart w:id="545" w:name="_Toc196745239"/>
      <w:bookmarkStart w:id="546" w:name="_Toc207892905"/>
      <w:bookmarkStart w:id="547" w:name="_Toc207853398"/>
      <w:r w:rsidRPr="00DE108C">
        <w:t>6.2.</w:t>
      </w:r>
      <w:r w:rsidR="00CD5839">
        <w:t>6</w:t>
      </w:r>
      <w:r w:rsidRPr="00DE108C">
        <w:t xml:space="preserve"> Corporate</w:t>
      </w:r>
      <w:bookmarkEnd w:id="545"/>
      <w:r w:rsidRPr="00DE108C">
        <w:t xml:space="preserve"> and </w:t>
      </w:r>
      <w:bookmarkEnd w:id="546"/>
      <w:bookmarkEnd w:id="547"/>
      <w:r w:rsidR="50B92B3D">
        <w:t>IT</w:t>
      </w:r>
    </w:p>
    <w:p w14:paraId="580ECCE8" w14:textId="63E20061" w:rsidR="00046BD5" w:rsidRPr="00DE108C" w:rsidRDefault="00046BD5" w:rsidP="00ED094E">
      <w:r w:rsidRPr="00DE108C">
        <w:t xml:space="preserve">In addition to service-specific infrastructure, Melbourne Water is proposing $270 million in </w:t>
      </w:r>
      <w:r w:rsidRPr="00DE108C">
        <w:rPr>
          <w:b/>
          <w:bCs/>
        </w:rPr>
        <w:t xml:space="preserve">Corporate and </w:t>
      </w:r>
      <w:r w:rsidR="50B87DD6" w:rsidRPr="425138B5">
        <w:rPr>
          <w:b/>
          <w:bCs/>
        </w:rPr>
        <w:t>IT</w:t>
      </w:r>
      <w:r w:rsidRPr="00DE108C">
        <w:rPr>
          <w:b/>
          <w:bCs/>
        </w:rPr>
        <w:t xml:space="preserve"> Program</w:t>
      </w:r>
      <w:r w:rsidRPr="00DE108C">
        <w:t xml:space="preserve"> investments during the PS26 period. </w:t>
      </w:r>
    </w:p>
    <w:p w14:paraId="4AD7D41F" w14:textId="77777777" w:rsidR="00046BD5" w:rsidRPr="00DE108C" w:rsidRDefault="00046BD5" w:rsidP="00ED094E">
      <w:r w:rsidRPr="00DE108C">
        <w:t>These initiatives are critical enablers of effective service delivery across all areas of the business, supporting operational efficiency, workforce productivity and customer experience. Table 6.10 outlines the major corporate programs that focus on uplifting digital capabilities and maintaining essential corporate infrastructure.</w:t>
      </w:r>
    </w:p>
    <w:p w14:paraId="54F17C0E" w14:textId="77777777" w:rsidR="00046BD5" w:rsidRPr="00DE108C" w:rsidRDefault="00046BD5" w:rsidP="00ED094E"/>
    <w:p w14:paraId="4F311A46" w14:textId="77777777" w:rsidR="00046BD5" w:rsidRPr="00DE108C" w:rsidRDefault="00046BD5" w:rsidP="00ED094E">
      <w:pPr>
        <w:pStyle w:val="Caption"/>
      </w:pPr>
      <w:bookmarkStart w:id="548" w:name="_Toc207893037"/>
      <w:bookmarkStart w:id="549" w:name="_Toc208490561"/>
      <w:bookmarkStart w:id="550" w:name="_Toc208490899"/>
      <w:bookmarkStart w:id="551" w:name="_Toc208911057"/>
      <w:bookmarkStart w:id="552" w:name="_Toc210051363"/>
      <w:r w:rsidRPr="00DE108C">
        <w:lastRenderedPageBreak/>
        <w:t>Table 6.10: Major corporate and IT sub-service programs ($millions, real 2025-26)</w:t>
      </w:r>
      <w:bookmarkEnd w:id="548"/>
      <w:bookmarkEnd w:id="549"/>
      <w:bookmarkEnd w:id="550"/>
      <w:bookmarkEnd w:id="551"/>
      <w:bookmarkEnd w:id="552"/>
    </w:p>
    <w:tbl>
      <w:tblPr>
        <w:tblStyle w:val="MWTableGrid"/>
        <w:tblW w:w="5000" w:type="pct"/>
        <w:tblLook w:val="0420" w:firstRow="1" w:lastRow="0" w:firstColumn="0" w:lastColumn="0" w:noHBand="0" w:noVBand="1"/>
      </w:tblPr>
      <w:tblGrid>
        <w:gridCol w:w="1589"/>
        <w:gridCol w:w="1282"/>
        <w:gridCol w:w="1514"/>
        <w:gridCol w:w="5243"/>
      </w:tblGrid>
      <w:tr w:rsidR="00556A0D" w:rsidRPr="00DE108C" w14:paraId="54D16744" w14:textId="77777777">
        <w:trPr>
          <w:cnfStyle w:val="100000000000" w:firstRow="1" w:lastRow="0" w:firstColumn="0" w:lastColumn="0" w:oddVBand="0" w:evenVBand="0" w:oddHBand="0" w:evenHBand="0" w:firstRowFirstColumn="0" w:firstRowLastColumn="0" w:lastRowFirstColumn="0" w:lastRowLastColumn="0"/>
          <w:cantSplit/>
        </w:trPr>
        <w:tc>
          <w:tcPr>
            <w:tcW w:w="825" w:type="pct"/>
            <w:vAlign w:val="center"/>
          </w:tcPr>
          <w:p w14:paraId="29C9CC91" w14:textId="77777777" w:rsidR="00046BD5" w:rsidRPr="00DE108C" w:rsidRDefault="00046BD5">
            <w:pPr>
              <w:pStyle w:val="TableText"/>
              <w:rPr>
                <w:color w:val="FFFFFF" w:themeColor="background1"/>
                <w:szCs w:val="16"/>
              </w:rPr>
            </w:pPr>
            <w:r w:rsidRPr="00DE108C">
              <w:rPr>
                <w:color w:val="FFFFFF" w:themeColor="background1"/>
                <w:szCs w:val="16"/>
              </w:rPr>
              <w:t>Major sub-service Program (T1)</w:t>
            </w:r>
          </w:p>
        </w:tc>
        <w:tc>
          <w:tcPr>
            <w:tcW w:w="666" w:type="pct"/>
            <w:vAlign w:val="center"/>
          </w:tcPr>
          <w:p w14:paraId="3DB9A80C" w14:textId="77777777" w:rsidR="00046BD5" w:rsidRPr="00DE108C" w:rsidRDefault="00046BD5">
            <w:pPr>
              <w:pStyle w:val="TableText"/>
              <w:rPr>
                <w:color w:val="FFFFFF" w:themeColor="background1"/>
                <w:szCs w:val="16"/>
              </w:rPr>
            </w:pPr>
            <w:r w:rsidRPr="00DE108C">
              <w:rPr>
                <w:color w:val="FFFFFF" w:themeColor="background1"/>
                <w:szCs w:val="16"/>
              </w:rPr>
              <w:t>PS21 spend</w:t>
            </w:r>
          </w:p>
        </w:tc>
        <w:tc>
          <w:tcPr>
            <w:tcW w:w="786" w:type="pct"/>
            <w:vAlign w:val="center"/>
          </w:tcPr>
          <w:p w14:paraId="1670B83E" w14:textId="77777777" w:rsidR="00046BD5" w:rsidRPr="00DE108C" w:rsidRDefault="00046BD5">
            <w:pPr>
              <w:pStyle w:val="TableText"/>
              <w:rPr>
                <w:color w:val="FFFFFF" w:themeColor="background1"/>
                <w:szCs w:val="16"/>
              </w:rPr>
            </w:pPr>
            <w:r w:rsidRPr="00DE108C">
              <w:rPr>
                <w:color w:val="FFFFFF" w:themeColor="background1"/>
                <w:szCs w:val="16"/>
              </w:rPr>
              <w:t>PS26 spend</w:t>
            </w:r>
          </w:p>
        </w:tc>
        <w:tc>
          <w:tcPr>
            <w:tcW w:w="2723" w:type="pct"/>
            <w:vAlign w:val="center"/>
          </w:tcPr>
          <w:p w14:paraId="7D58DADE" w14:textId="77777777" w:rsidR="00046BD5" w:rsidRPr="00DE108C" w:rsidRDefault="00046BD5">
            <w:pPr>
              <w:pStyle w:val="TableText"/>
              <w:rPr>
                <w:color w:val="FFFFFF" w:themeColor="background1"/>
                <w:szCs w:val="16"/>
              </w:rPr>
            </w:pPr>
            <w:r w:rsidRPr="00DE108C">
              <w:rPr>
                <w:color w:val="FFFFFF" w:themeColor="background1"/>
                <w:szCs w:val="16"/>
              </w:rPr>
              <w:t>Description</w:t>
            </w:r>
          </w:p>
        </w:tc>
      </w:tr>
      <w:tr w:rsidR="00046BD5" w:rsidRPr="00DE108C" w14:paraId="0A2FEDA7" w14:textId="77777777">
        <w:trPr>
          <w:cantSplit/>
        </w:trPr>
        <w:tc>
          <w:tcPr>
            <w:tcW w:w="825" w:type="pct"/>
            <w:vAlign w:val="center"/>
          </w:tcPr>
          <w:p w14:paraId="007375D9" w14:textId="77777777" w:rsidR="00046BD5" w:rsidRPr="00DE108C" w:rsidRDefault="00046BD5">
            <w:pPr>
              <w:pStyle w:val="TableText"/>
              <w:rPr>
                <w:szCs w:val="16"/>
              </w:rPr>
            </w:pPr>
            <w:r w:rsidRPr="00DE108C">
              <w:rPr>
                <w:szCs w:val="16"/>
              </w:rPr>
              <w:t>Information and Operation Technology</w:t>
            </w:r>
          </w:p>
        </w:tc>
        <w:tc>
          <w:tcPr>
            <w:tcW w:w="666" w:type="pct"/>
            <w:vAlign w:val="center"/>
          </w:tcPr>
          <w:p w14:paraId="687CA6A6" w14:textId="5A7B022C" w:rsidR="00046BD5" w:rsidRPr="00DE108C" w:rsidRDefault="001224DD">
            <w:pPr>
              <w:pStyle w:val="TableText"/>
              <w:rPr>
                <w:szCs w:val="16"/>
              </w:rPr>
            </w:pPr>
            <w:r w:rsidRPr="00F36982">
              <w:rPr>
                <w:szCs w:val="16"/>
              </w:rPr>
              <w:t>11</w:t>
            </w:r>
            <w:r w:rsidR="00455ACC" w:rsidRPr="00F36982">
              <w:rPr>
                <w:szCs w:val="16"/>
              </w:rPr>
              <w:t>6.1</w:t>
            </w:r>
          </w:p>
        </w:tc>
        <w:tc>
          <w:tcPr>
            <w:tcW w:w="786" w:type="pct"/>
            <w:vAlign w:val="center"/>
          </w:tcPr>
          <w:p w14:paraId="11121D94" w14:textId="77777777" w:rsidR="00046BD5" w:rsidRPr="00DE108C" w:rsidRDefault="00046BD5">
            <w:pPr>
              <w:pStyle w:val="TableText"/>
              <w:rPr>
                <w:szCs w:val="16"/>
              </w:rPr>
            </w:pPr>
            <w:r w:rsidRPr="00DE108C">
              <w:rPr>
                <w:szCs w:val="16"/>
              </w:rPr>
              <w:t>179.3</w:t>
            </w:r>
            <w:r w:rsidRPr="00DE108C">
              <w:rPr>
                <w:szCs w:val="16"/>
              </w:rPr>
              <w:br/>
              <w:t>(includes capitalised opex of 66.8)</w:t>
            </w:r>
          </w:p>
        </w:tc>
        <w:tc>
          <w:tcPr>
            <w:tcW w:w="2723" w:type="pct"/>
          </w:tcPr>
          <w:p w14:paraId="7F056B96" w14:textId="77777777" w:rsidR="00046BD5" w:rsidRPr="00DE108C" w:rsidRDefault="00046BD5" w:rsidP="00163EA3">
            <w:pPr>
              <w:pStyle w:val="TableBody"/>
              <w:rPr>
                <w:szCs w:val="16"/>
              </w:rPr>
            </w:pPr>
            <w:r w:rsidRPr="00DE108C">
              <w:t xml:space="preserve">Our Technology Roadmap and corresponding investment program are designed to enable effective service delivery and achievement of customer Outcomes. </w:t>
            </w:r>
          </w:p>
          <w:p w14:paraId="0DFD5BDF" w14:textId="77777777" w:rsidR="00046BD5" w:rsidRPr="00DE108C" w:rsidRDefault="00046BD5" w:rsidP="00163EA3">
            <w:pPr>
              <w:pStyle w:val="TableBody"/>
              <w:rPr>
                <w:szCs w:val="16"/>
              </w:rPr>
            </w:pPr>
            <w:r w:rsidRPr="00DE108C">
              <w:t>The Program is targeting specific capability uplift across five strategic objectives that drive digital investments to:</w:t>
            </w:r>
          </w:p>
          <w:p w14:paraId="4BBA2F96" w14:textId="77777777" w:rsidR="00046BD5" w:rsidRPr="00DE108C" w:rsidRDefault="00046BD5" w:rsidP="0080065C">
            <w:pPr>
              <w:pStyle w:val="Tablebullet"/>
            </w:pPr>
            <w:r w:rsidRPr="425138B5">
              <w:t xml:space="preserve">enable a productive digital workforce </w:t>
            </w:r>
          </w:p>
          <w:p w14:paraId="40C06276" w14:textId="77777777" w:rsidR="00046BD5" w:rsidRPr="00DE108C" w:rsidRDefault="00046BD5" w:rsidP="0080065C">
            <w:pPr>
              <w:pStyle w:val="Tablebullet"/>
            </w:pPr>
            <w:r w:rsidRPr="425138B5">
              <w:t>be data driven – managing and using data well</w:t>
            </w:r>
          </w:p>
          <w:p w14:paraId="2F8E21F5" w14:textId="77777777" w:rsidR="00046BD5" w:rsidRPr="00DE108C" w:rsidRDefault="00046BD5" w:rsidP="0080065C">
            <w:pPr>
              <w:pStyle w:val="Tablebullet"/>
            </w:pPr>
            <w:r w:rsidRPr="425138B5">
              <w:t>provide for digital utility operations</w:t>
            </w:r>
          </w:p>
          <w:p w14:paraId="7AB98CB7" w14:textId="77777777" w:rsidR="00046BD5" w:rsidRPr="00DE108C" w:rsidRDefault="00046BD5" w:rsidP="0080065C">
            <w:pPr>
              <w:pStyle w:val="Tablebullet"/>
            </w:pPr>
            <w:r w:rsidRPr="425138B5">
              <w:t>provide digital solutions for better customer experience</w:t>
            </w:r>
          </w:p>
          <w:p w14:paraId="3B584B15" w14:textId="77777777" w:rsidR="00046BD5" w:rsidRPr="00DE108C" w:rsidRDefault="00046BD5" w:rsidP="0080065C">
            <w:pPr>
              <w:pStyle w:val="Tablebullet"/>
            </w:pPr>
            <w:r w:rsidRPr="425138B5">
              <w:t xml:space="preserve">provide a stable and secure operating environment. </w:t>
            </w:r>
          </w:p>
          <w:p w14:paraId="45452F2F" w14:textId="77777777" w:rsidR="00046BD5" w:rsidRPr="00DE108C" w:rsidRDefault="00046BD5" w:rsidP="00163EA3">
            <w:pPr>
              <w:pStyle w:val="TableBody"/>
            </w:pPr>
            <w:r w:rsidRPr="00DE108C">
              <w:t xml:space="preserve">Our work aligns to our corporate strategy and enables efficient delivery of our Customer Outcomes. </w:t>
            </w:r>
            <w:r w:rsidRPr="00DE108C">
              <w:rPr>
                <w:rFonts w:ascii="Arial" w:hAnsi="Arial" w:cs="Arial"/>
              </w:rPr>
              <w:t>​</w:t>
            </w:r>
            <w:r w:rsidRPr="00DE108C">
              <w:t>We have engaged with the water corporation customers’ Chief Information Officers to discuss the scope of the planned technology investments. Respondents have indicated that our investment focus aligns with their technology strategies.</w:t>
            </w:r>
          </w:p>
        </w:tc>
      </w:tr>
      <w:tr w:rsidR="00556A0D" w:rsidRPr="00DE108C" w14:paraId="40FD2F23"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825" w:type="pct"/>
            <w:vAlign w:val="center"/>
          </w:tcPr>
          <w:p w14:paraId="6BBCCF65" w14:textId="77777777" w:rsidR="00046BD5" w:rsidRPr="00DE108C" w:rsidRDefault="00046BD5" w:rsidP="7D51FEAC">
            <w:pPr>
              <w:pStyle w:val="TableText"/>
              <w:rPr>
                <w:szCs w:val="16"/>
              </w:rPr>
            </w:pPr>
            <w:r w:rsidRPr="00DE108C">
              <w:rPr>
                <w:szCs w:val="16"/>
              </w:rPr>
              <w:t>Corporate Support</w:t>
            </w:r>
          </w:p>
        </w:tc>
        <w:tc>
          <w:tcPr>
            <w:tcW w:w="666" w:type="pct"/>
            <w:vAlign w:val="center"/>
          </w:tcPr>
          <w:p w14:paraId="456D4A94" w14:textId="77777777" w:rsidR="00046BD5" w:rsidRPr="00DE108C" w:rsidRDefault="00046BD5">
            <w:pPr>
              <w:pStyle w:val="TableText"/>
              <w:rPr>
                <w:szCs w:val="16"/>
              </w:rPr>
            </w:pPr>
            <w:r w:rsidRPr="00DE108C">
              <w:rPr>
                <w:szCs w:val="16"/>
              </w:rPr>
              <w:t>42.7</w:t>
            </w:r>
          </w:p>
        </w:tc>
        <w:tc>
          <w:tcPr>
            <w:tcW w:w="786" w:type="pct"/>
            <w:vAlign w:val="center"/>
          </w:tcPr>
          <w:p w14:paraId="0CD2F765" w14:textId="77777777" w:rsidR="00046BD5" w:rsidRPr="00DE108C" w:rsidRDefault="00046BD5">
            <w:pPr>
              <w:pStyle w:val="TableText"/>
              <w:rPr>
                <w:szCs w:val="16"/>
              </w:rPr>
            </w:pPr>
            <w:r w:rsidRPr="00DE108C">
              <w:rPr>
                <w:szCs w:val="16"/>
              </w:rPr>
              <w:t>91.1</w:t>
            </w:r>
          </w:p>
        </w:tc>
        <w:tc>
          <w:tcPr>
            <w:tcW w:w="2723" w:type="pct"/>
          </w:tcPr>
          <w:p w14:paraId="14699930" w14:textId="7C899BA0" w:rsidR="00046BD5" w:rsidRPr="00DE108C" w:rsidRDefault="00046BD5" w:rsidP="00163EA3">
            <w:pPr>
              <w:pStyle w:val="TableBody"/>
            </w:pPr>
            <w:r w:rsidRPr="00DE108C">
              <w:t>Melbourne Water’s operating footprint covers large areas of the Port Phillip and Western</w:t>
            </w:r>
            <w:r w:rsidR="00FA4628">
              <w:t xml:space="preserve"> P</w:t>
            </w:r>
            <w:r w:rsidRPr="00DE108C">
              <w:t>ort region</w:t>
            </w:r>
            <w:r w:rsidR="215DF34F">
              <w:t>,</w:t>
            </w:r>
            <w:r w:rsidRPr="00DE108C">
              <w:t xml:space="preserve"> and we have operational fleet and corporate facilities co-located at sites across the area. </w:t>
            </w:r>
          </w:p>
          <w:p w14:paraId="32268275" w14:textId="77777777" w:rsidR="00046BD5" w:rsidRPr="00DE108C" w:rsidRDefault="00046BD5" w:rsidP="00163EA3">
            <w:pPr>
              <w:pStyle w:val="TableBody"/>
              <w:rPr>
                <w:szCs w:val="16"/>
              </w:rPr>
            </w:pPr>
            <w:r w:rsidRPr="00DE108C">
              <w:t xml:space="preserve">These assets are required to deliver all five customer Outcomes. </w:t>
            </w:r>
          </w:p>
          <w:p w14:paraId="0A6788F1" w14:textId="77777777" w:rsidR="00046BD5" w:rsidRPr="00DE108C" w:rsidRDefault="00046BD5" w:rsidP="00163EA3">
            <w:pPr>
              <w:pStyle w:val="TableBody"/>
            </w:pPr>
            <w:r w:rsidRPr="00DE108C">
              <w:t>We maintain fleet and facilities to enable a safe and productive corporate workspace, provide for effective operational response, including incident management facilities, and enable staff to attend activities and worksites across the region.</w:t>
            </w:r>
          </w:p>
        </w:tc>
      </w:tr>
    </w:tbl>
    <w:p w14:paraId="4C062449" w14:textId="3A71F6AE" w:rsidR="00046BD5" w:rsidRPr="00DE108C" w:rsidRDefault="00046BD5">
      <w:pPr>
        <w:pStyle w:val="Heading2"/>
      </w:pPr>
      <w:bookmarkStart w:id="553" w:name="_Toc207892906"/>
      <w:bookmarkStart w:id="554" w:name="_Toc207853399"/>
      <w:r w:rsidRPr="00DE108C">
        <w:t>6.3 Capitalisation of desalination security payments and selected operating expenditure</w:t>
      </w:r>
      <w:bookmarkEnd w:id="553"/>
      <w:bookmarkEnd w:id="554"/>
    </w:p>
    <w:p w14:paraId="22AAE4CE" w14:textId="41114834" w:rsidR="00046BD5" w:rsidRPr="00DE108C" w:rsidRDefault="00046BD5" w:rsidP="00ED094E">
      <w:r w:rsidRPr="00DE108C">
        <w:t xml:space="preserve">This final section provides the forecasts of capitalised desalination and selected </w:t>
      </w:r>
      <w:r w:rsidR="6B3F586E">
        <w:t>opex</w:t>
      </w:r>
      <w:r w:rsidRPr="00DE108C">
        <w:t xml:space="preserve"> costs.</w:t>
      </w:r>
    </w:p>
    <w:p w14:paraId="111875FA" w14:textId="77777777" w:rsidR="00046BD5" w:rsidRPr="00DE108C" w:rsidRDefault="00046BD5">
      <w:pPr>
        <w:pStyle w:val="Heading3"/>
        <w:rPr>
          <w:rFonts w:eastAsia="Aptos" w:cs="Aptos"/>
        </w:rPr>
      </w:pPr>
      <w:r w:rsidRPr="00DE108C">
        <w:t>6.3.1 Capitalising desalination costs</w:t>
      </w:r>
    </w:p>
    <w:p w14:paraId="7272A1B4" w14:textId="0DE5B821" w:rsidR="00046BD5" w:rsidRPr="00DE108C" w:rsidRDefault="00046BD5" w:rsidP="00ED094E">
      <w:r w:rsidRPr="00DE108C">
        <w:t xml:space="preserve">Melbourne Water is required to pay for the security services provided by the current operator of the </w:t>
      </w:r>
      <w:r w:rsidR="07C3210D">
        <w:t>VDP</w:t>
      </w:r>
      <w:r w:rsidRPr="00DE108C">
        <w:t xml:space="preserve"> over the 27-year lease period to 2039</w:t>
      </w:r>
      <w:r w:rsidR="00F5494A">
        <w:t>-40</w:t>
      </w:r>
      <w:r w:rsidRPr="00DE108C">
        <w:t xml:space="preserve">. At that point, ownership of the plant will transfer to Melbourne Water. Given the plant’s significantly longer asset life and consistent with previous ESC guidance, Melbourne Water has been capitalising a portion of these security payments as part of its </w:t>
      </w:r>
      <w:r w:rsidR="31AEAEFA">
        <w:t>capex</w:t>
      </w:r>
      <w:r>
        <w:t>.</w:t>
      </w:r>
      <w:r w:rsidRPr="00DE108C">
        <w:t xml:space="preserve"> This reflects the enduring value of the asset once it becomes part of Melbourne Water’s portfolio.</w:t>
      </w:r>
    </w:p>
    <w:p w14:paraId="32B264D6" w14:textId="5B2E6427" w:rsidR="00046BD5" w:rsidRPr="00DE108C" w:rsidRDefault="00046BD5" w:rsidP="00ED094E">
      <w:r w:rsidRPr="00DE108C">
        <w:t>This approach aligns with the long-term interests of customers, is consistent with the WIRO, and has been endorsed by the ESC in past determinations. Since 2013, Melbourne Water’s proposals, and the ESC’s decisions, have consistently supported the capitalisation of a portion of the desalination security payments. In 2021, the ESC approved Melbourne Water’s proposal to capitalise amounts equivalent to its capital (principal) payments for tax purposes.</w:t>
      </w:r>
    </w:p>
    <w:p w14:paraId="00D335B2" w14:textId="77777777" w:rsidR="00046BD5" w:rsidRPr="00DE108C" w:rsidRDefault="00046BD5" w:rsidP="00ED094E">
      <w:r w:rsidRPr="00DE108C">
        <w:lastRenderedPageBreak/>
        <w:t>The ESC’s guidance indicates that continuing this approach meets its criteria for capitalising desalination security payments. Accordingly, Melbourne Water proposes to maintain this methodology for the 2026–31 regulatory period.</w:t>
      </w:r>
    </w:p>
    <w:p w14:paraId="41BF99DF" w14:textId="55F4FC9F" w:rsidR="00046BD5" w:rsidRPr="00DE108C" w:rsidRDefault="00046BD5" w:rsidP="00ED094E">
      <w:r w:rsidRPr="00DE108C">
        <w:t>The VDP total forecast contract costs over the 2026-31 regulatory period are $3,09</w:t>
      </w:r>
      <w:r w:rsidR="00F5494A">
        <w:t>1</w:t>
      </w:r>
      <w:r w:rsidRPr="00DE108C">
        <w:t xml:space="preserve"> million. However, the capitalised amount that will be recovered is $621 million in accordance with the principal repayment schedule. The remaining $2,470 million will be recovered within the 2026-31 regulatory period. </w:t>
      </w:r>
    </w:p>
    <w:p w14:paraId="6E7EE04B" w14:textId="77777777" w:rsidR="00046BD5" w:rsidRPr="00DE108C" w:rsidRDefault="00046BD5" w:rsidP="00ED094E">
      <w:r w:rsidRPr="00DE108C">
        <w:t>Forecast annual VDP capitalised costs and the VDP opex amounts included in the forecast opex allowance for the 2026-31 regulatory period are shown in Table 6.11.</w:t>
      </w:r>
    </w:p>
    <w:p w14:paraId="146F9236" w14:textId="77777777" w:rsidR="00046BD5" w:rsidRPr="00DE108C" w:rsidRDefault="00046BD5" w:rsidP="00ED094E"/>
    <w:p w14:paraId="1748E9ED" w14:textId="77777777" w:rsidR="00046BD5" w:rsidRPr="00DE108C" w:rsidRDefault="00046BD5" w:rsidP="00ED094E">
      <w:pPr>
        <w:pStyle w:val="Caption"/>
      </w:pPr>
      <w:bookmarkStart w:id="555" w:name="_Ref190269603"/>
      <w:bookmarkStart w:id="556" w:name="_Toc190878412"/>
      <w:bookmarkStart w:id="557" w:name="_Toc207893038"/>
      <w:bookmarkStart w:id="558" w:name="_Toc208490562"/>
      <w:bookmarkStart w:id="559" w:name="_Toc208490900"/>
      <w:bookmarkStart w:id="560" w:name="_Toc208911058"/>
      <w:bookmarkStart w:id="561" w:name="_Toc210051364"/>
      <w:r w:rsidRPr="00DE108C">
        <w:t>Table 6.11</w:t>
      </w:r>
      <w:bookmarkEnd w:id="555"/>
      <w:r w:rsidRPr="00DE108C">
        <w:t>: Victorian Desalination Project costs, excluding any water order ($</w:t>
      </w:r>
      <w:bookmarkEnd w:id="556"/>
      <w:r w:rsidRPr="00DE108C">
        <w:t>millions, real 2025-26)</w:t>
      </w:r>
      <w:bookmarkEnd w:id="557"/>
      <w:bookmarkEnd w:id="558"/>
      <w:bookmarkEnd w:id="559"/>
      <w:bookmarkEnd w:id="560"/>
      <w:bookmarkEnd w:id="561"/>
    </w:p>
    <w:tbl>
      <w:tblPr>
        <w:tblStyle w:val="MWTableGrid"/>
        <w:tblW w:w="5000" w:type="pct"/>
        <w:tblLayout w:type="fixed"/>
        <w:tblLook w:val="0420" w:firstRow="1" w:lastRow="0" w:firstColumn="0" w:lastColumn="0" w:noHBand="0" w:noVBand="1"/>
      </w:tblPr>
      <w:tblGrid>
        <w:gridCol w:w="1604"/>
        <w:gridCol w:w="1604"/>
        <w:gridCol w:w="1606"/>
        <w:gridCol w:w="1606"/>
        <w:gridCol w:w="1606"/>
        <w:gridCol w:w="1602"/>
      </w:tblGrid>
      <w:tr w:rsidR="00556A0D" w:rsidRPr="00DE108C" w14:paraId="23B1D913" w14:textId="77777777">
        <w:trPr>
          <w:cnfStyle w:val="100000000000" w:firstRow="1" w:lastRow="0" w:firstColumn="0" w:lastColumn="0" w:oddVBand="0" w:evenVBand="0" w:oddHBand="0" w:evenHBand="0" w:firstRowFirstColumn="0" w:firstRowLastColumn="0" w:lastRowFirstColumn="0" w:lastRowLastColumn="0"/>
          <w:cantSplit/>
        </w:trPr>
        <w:tc>
          <w:tcPr>
            <w:tcW w:w="833" w:type="pct"/>
          </w:tcPr>
          <w:p w14:paraId="6342E770" w14:textId="77777777" w:rsidR="00046BD5" w:rsidRPr="00DE108C" w:rsidRDefault="00046BD5">
            <w:pPr>
              <w:pStyle w:val="TableHeading"/>
              <w:rPr>
                <w:szCs w:val="16"/>
              </w:rPr>
            </w:pPr>
          </w:p>
        </w:tc>
        <w:tc>
          <w:tcPr>
            <w:tcW w:w="833" w:type="pct"/>
          </w:tcPr>
          <w:p w14:paraId="18B59253" w14:textId="77777777" w:rsidR="00046BD5" w:rsidRPr="00DE108C" w:rsidRDefault="00046BD5">
            <w:pPr>
              <w:pStyle w:val="TableHeading"/>
              <w:rPr>
                <w:szCs w:val="16"/>
              </w:rPr>
            </w:pPr>
            <w:r w:rsidRPr="00DE108C">
              <w:rPr>
                <w:szCs w:val="16"/>
              </w:rPr>
              <w:t>2026-27</w:t>
            </w:r>
          </w:p>
        </w:tc>
        <w:tc>
          <w:tcPr>
            <w:tcW w:w="834" w:type="pct"/>
          </w:tcPr>
          <w:p w14:paraId="08BB3D71" w14:textId="77777777" w:rsidR="00046BD5" w:rsidRPr="00DE108C" w:rsidRDefault="00046BD5">
            <w:pPr>
              <w:pStyle w:val="TableHeading"/>
              <w:rPr>
                <w:szCs w:val="16"/>
              </w:rPr>
            </w:pPr>
            <w:r w:rsidRPr="00DE108C">
              <w:rPr>
                <w:szCs w:val="16"/>
              </w:rPr>
              <w:t>2027-28</w:t>
            </w:r>
          </w:p>
        </w:tc>
        <w:tc>
          <w:tcPr>
            <w:tcW w:w="834" w:type="pct"/>
          </w:tcPr>
          <w:p w14:paraId="1230CFE0" w14:textId="77777777" w:rsidR="00046BD5" w:rsidRPr="00DE108C" w:rsidRDefault="00046BD5">
            <w:pPr>
              <w:pStyle w:val="TableHeading"/>
              <w:rPr>
                <w:szCs w:val="16"/>
              </w:rPr>
            </w:pPr>
            <w:r w:rsidRPr="00DE108C">
              <w:rPr>
                <w:szCs w:val="16"/>
              </w:rPr>
              <w:t>2028-29</w:t>
            </w:r>
          </w:p>
        </w:tc>
        <w:tc>
          <w:tcPr>
            <w:tcW w:w="834" w:type="pct"/>
          </w:tcPr>
          <w:p w14:paraId="75A38436" w14:textId="77777777" w:rsidR="00046BD5" w:rsidRPr="00DE108C" w:rsidRDefault="00046BD5">
            <w:pPr>
              <w:pStyle w:val="TableHeading"/>
              <w:rPr>
                <w:szCs w:val="16"/>
              </w:rPr>
            </w:pPr>
            <w:r w:rsidRPr="00DE108C">
              <w:rPr>
                <w:szCs w:val="16"/>
              </w:rPr>
              <w:t>2029-30</w:t>
            </w:r>
          </w:p>
        </w:tc>
        <w:tc>
          <w:tcPr>
            <w:tcW w:w="832" w:type="pct"/>
          </w:tcPr>
          <w:p w14:paraId="1D140288" w14:textId="77777777" w:rsidR="00046BD5" w:rsidRPr="00DE108C" w:rsidRDefault="00046BD5">
            <w:pPr>
              <w:pStyle w:val="TableHeading"/>
              <w:rPr>
                <w:szCs w:val="16"/>
              </w:rPr>
            </w:pPr>
            <w:r w:rsidRPr="00DE108C">
              <w:rPr>
                <w:szCs w:val="16"/>
              </w:rPr>
              <w:t>2030-31</w:t>
            </w:r>
          </w:p>
        </w:tc>
      </w:tr>
      <w:tr w:rsidR="00046BD5" w:rsidRPr="00DE108C" w14:paraId="339EE90F" w14:textId="77777777">
        <w:trPr>
          <w:cantSplit/>
        </w:trPr>
        <w:tc>
          <w:tcPr>
            <w:tcW w:w="833" w:type="pct"/>
          </w:tcPr>
          <w:p w14:paraId="78E1742F" w14:textId="77777777" w:rsidR="00046BD5" w:rsidRPr="00DE108C" w:rsidRDefault="00046BD5" w:rsidP="00ED094E">
            <w:pPr>
              <w:pStyle w:val="TableText"/>
              <w:rPr>
                <w:szCs w:val="16"/>
              </w:rPr>
            </w:pPr>
            <w:r w:rsidRPr="00DE108C">
              <w:rPr>
                <w:szCs w:val="16"/>
              </w:rPr>
              <w:t>Opex</w:t>
            </w:r>
          </w:p>
        </w:tc>
        <w:tc>
          <w:tcPr>
            <w:tcW w:w="833" w:type="pct"/>
            <w:vAlign w:val="center"/>
          </w:tcPr>
          <w:p w14:paraId="7C331772" w14:textId="77777777" w:rsidR="00046BD5" w:rsidRPr="00DE108C" w:rsidRDefault="00046BD5" w:rsidP="00ED094E">
            <w:pPr>
              <w:pStyle w:val="TableText"/>
              <w:rPr>
                <w:rFonts w:cs="Arial"/>
                <w:color w:val="000000"/>
                <w:szCs w:val="16"/>
              </w:rPr>
            </w:pPr>
            <w:r w:rsidRPr="00DE108C">
              <w:rPr>
                <w:rFonts w:cs="Arial"/>
                <w:color w:val="000000"/>
                <w:szCs w:val="16"/>
              </w:rPr>
              <w:t xml:space="preserve"> 519.7 </w:t>
            </w:r>
          </w:p>
        </w:tc>
        <w:tc>
          <w:tcPr>
            <w:tcW w:w="834" w:type="pct"/>
            <w:vAlign w:val="center"/>
          </w:tcPr>
          <w:p w14:paraId="4F1771AA" w14:textId="77777777" w:rsidR="00046BD5" w:rsidRPr="00DE108C" w:rsidRDefault="00046BD5" w:rsidP="00ED094E">
            <w:pPr>
              <w:pStyle w:val="TableText"/>
              <w:rPr>
                <w:rFonts w:cs="Arial"/>
                <w:color w:val="000000"/>
                <w:szCs w:val="16"/>
              </w:rPr>
            </w:pPr>
            <w:r w:rsidRPr="00DE108C">
              <w:rPr>
                <w:rFonts w:cs="Arial"/>
                <w:color w:val="000000"/>
                <w:szCs w:val="16"/>
              </w:rPr>
              <w:t xml:space="preserve"> 507.2 </w:t>
            </w:r>
          </w:p>
        </w:tc>
        <w:tc>
          <w:tcPr>
            <w:tcW w:w="834" w:type="pct"/>
            <w:vAlign w:val="center"/>
          </w:tcPr>
          <w:p w14:paraId="51706D55" w14:textId="77777777" w:rsidR="00046BD5" w:rsidRPr="00DE108C" w:rsidRDefault="00046BD5" w:rsidP="00ED094E">
            <w:pPr>
              <w:pStyle w:val="TableText"/>
              <w:rPr>
                <w:rFonts w:cs="Arial"/>
                <w:color w:val="000000"/>
                <w:szCs w:val="16"/>
              </w:rPr>
            </w:pPr>
            <w:r w:rsidRPr="00DE108C">
              <w:rPr>
                <w:rFonts w:cs="Arial"/>
                <w:color w:val="000000"/>
                <w:szCs w:val="16"/>
              </w:rPr>
              <w:t xml:space="preserve"> 502.1 </w:t>
            </w:r>
          </w:p>
        </w:tc>
        <w:tc>
          <w:tcPr>
            <w:tcW w:w="834" w:type="pct"/>
            <w:vAlign w:val="center"/>
          </w:tcPr>
          <w:p w14:paraId="611F4944" w14:textId="77777777" w:rsidR="00046BD5" w:rsidRPr="00DE108C" w:rsidRDefault="00046BD5" w:rsidP="00ED094E">
            <w:pPr>
              <w:pStyle w:val="TableText"/>
              <w:rPr>
                <w:rFonts w:cs="Arial"/>
                <w:color w:val="000000"/>
                <w:szCs w:val="16"/>
              </w:rPr>
            </w:pPr>
            <w:r w:rsidRPr="00DE108C">
              <w:rPr>
                <w:rFonts w:cs="Arial"/>
                <w:color w:val="000000"/>
                <w:szCs w:val="16"/>
              </w:rPr>
              <w:t xml:space="preserve"> 481.0 </w:t>
            </w:r>
          </w:p>
        </w:tc>
        <w:tc>
          <w:tcPr>
            <w:tcW w:w="832" w:type="pct"/>
            <w:vAlign w:val="center"/>
          </w:tcPr>
          <w:p w14:paraId="084AAB6B" w14:textId="77777777" w:rsidR="00046BD5" w:rsidRPr="00DE108C" w:rsidRDefault="00046BD5" w:rsidP="00ED094E">
            <w:pPr>
              <w:pStyle w:val="TableText"/>
              <w:rPr>
                <w:rFonts w:cs="Arial"/>
                <w:color w:val="000000"/>
                <w:szCs w:val="16"/>
              </w:rPr>
            </w:pPr>
            <w:r w:rsidRPr="00DE108C">
              <w:rPr>
                <w:rFonts w:cs="Arial"/>
                <w:color w:val="000000"/>
                <w:szCs w:val="16"/>
              </w:rPr>
              <w:t xml:space="preserve"> 460.3 </w:t>
            </w:r>
          </w:p>
        </w:tc>
      </w:tr>
      <w:tr w:rsidR="00556A0D" w:rsidRPr="00DE108C" w14:paraId="315D3FA3" w14:textId="77777777">
        <w:trPr>
          <w:cnfStyle w:val="000000010000" w:firstRow="0" w:lastRow="0" w:firstColumn="0" w:lastColumn="0" w:oddVBand="0" w:evenVBand="0" w:oddHBand="0" w:evenHBand="1" w:firstRowFirstColumn="0" w:firstRowLastColumn="0" w:lastRowFirstColumn="0" w:lastRowLastColumn="0"/>
          <w:cantSplit/>
        </w:trPr>
        <w:tc>
          <w:tcPr>
            <w:tcW w:w="833" w:type="pct"/>
          </w:tcPr>
          <w:p w14:paraId="725FBF56" w14:textId="77777777" w:rsidR="00046BD5" w:rsidRPr="00DE108C" w:rsidRDefault="00046BD5">
            <w:pPr>
              <w:pStyle w:val="TableText"/>
              <w:rPr>
                <w:szCs w:val="16"/>
              </w:rPr>
            </w:pPr>
            <w:r w:rsidRPr="00DE108C">
              <w:rPr>
                <w:szCs w:val="16"/>
              </w:rPr>
              <w:t>Capitalisation (Principal paid down)</w:t>
            </w:r>
          </w:p>
        </w:tc>
        <w:tc>
          <w:tcPr>
            <w:tcW w:w="833" w:type="pct"/>
            <w:vAlign w:val="center"/>
          </w:tcPr>
          <w:p w14:paraId="5E3C2CBE" w14:textId="77777777" w:rsidR="00046BD5" w:rsidRPr="00DE108C" w:rsidRDefault="00046BD5">
            <w:pPr>
              <w:pStyle w:val="TableText"/>
              <w:rPr>
                <w:rFonts w:cs="Arial"/>
                <w:color w:val="000000"/>
                <w:szCs w:val="16"/>
              </w:rPr>
            </w:pPr>
            <w:r w:rsidRPr="00DE108C">
              <w:rPr>
                <w:rFonts w:cs="Arial"/>
                <w:color w:val="000000"/>
                <w:szCs w:val="16"/>
              </w:rPr>
              <w:t xml:space="preserve"> 80.6</w:t>
            </w:r>
          </w:p>
        </w:tc>
        <w:tc>
          <w:tcPr>
            <w:tcW w:w="834" w:type="pct"/>
            <w:vAlign w:val="center"/>
          </w:tcPr>
          <w:p w14:paraId="458D6172" w14:textId="238EBE03" w:rsidR="00046BD5" w:rsidRPr="00DE108C" w:rsidRDefault="00046BD5">
            <w:pPr>
              <w:pStyle w:val="TableText"/>
              <w:rPr>
                <w:szCs w:val="16"/>
              </w:rPr>
            </w:pPr>
            <w:r w:rsidRPr="00DE108C">
              <w:rPr>
                <w:rFonts w:cs="Arial"/>
                <w:color w:val="000000"/>
                <w:szCs w:val="16"/>
              </w:rPr>
              <w:t xml:space="preserve"> 112.3</w:t>
            </w:r>
          </w:p>
        </w:tc>
        <w:tc>
          <w:tcPr>
            <w:tcW w:w="834" w:type="pct"/>
            <w:vAlign w:val="center"/>
          </w:tcPr>
          <w:p w14:paraId="5BE025E2" w14:textId="361C346F" w:rsidR="00046BD5" w:rsidRPr="00DE108C" w:rsidRDefault="00046BD5">
            <w:pPr>
              <w:pStyle w:val="TableText"/>
              <w:rPr>
                <w:szCs w:val="16"/>
              </w:rPr>
            </w:pPr>
            <w:r w:rsidRPr="00DE108C">
              <w:rPr>
                <w:rFonts w:cs="Arial"/>
                <w:color w:val="000000"/>
                <w:szCs w:val="16"/>
              </w:rPr>
              <w:t xml:space="preserve"> 130.0</w:t>
            </w:r>
          </w:p>
        </w:tc>
        <w:tc>
          <w:tcPr>
            <w:tcW w:w="834" w:type="pct"/>
            <w:vAlign w:val="center"/>
          </w:tcPr>
          <w:p w14:paraId="411A3647" w14:textId="77777777" w:rsidR="00046BD5" w:rsidRPr="00DE108C" w:rsidRDefault="00046BD5">
            <w:pPr>
              <w:pStyle w:val="TableText"/>
              <w:rPr>
                <w:szCs w:val="16"/>
              </w:rPr>
            </w:pPr>
            <w:r w:rsidRPr="00DE108C">
              <w:rPr>
                <w:rFonts w:cs="Arial"/>
                <w:color w:val="000000"/>
                <w:szCs w:val="16"/>
              </w:rPr>
              <w:t xml:space="preserve"> 140.3</w:t>
            </w:r>
          </w:p>
        </w:tc>
        <w:tc>
          <w:tcPr>
            <w:tcW w:w="832" w:type="pct"/>
            <w:vAlign w:val="center"/>
          </w:tcPr>
          <w:p w14:paraId="25A12034" w14:textId="77777777" w:rsidR="00046BD5" w:rsidRPr="00DE108C" w:rsidRDefault="00046BD5">
            <w:pPr>
              <w:pStyle w:val="TableText"/>
              <w:rPr>
                <w:rFonts w:cs="Arial"/>
                <w:color w:val="000000"/>
                <w:szCs w:val="16"/>
              </w:rPr>
            </w:pPr>
            <w:r w:rsidRPr="00DE108C">
              <w:rPr>
                <w:rFonts w:cs="Arial"/>
                <w:color w:val="000000"/>
                <w:szCs w:val="16"/>
              </w:rPr>
              <w:t xml:space="preserve"> 157.9</w:t>
            </w:r>
          </w:p>
        </w:tc>
      </w:tr>
      <w:tr w:rsidR="00046BD5" w:rsidRPr="00DE108C" w14:paraId="0F2296FA" w14:textId="77777777">
        <w:trPr>
          <w:cantSplit/>
        </w:trPr>
        <w:tc>
          <w:tcPr>
            <w:tcW w:w="833" w:type="pct"/>
          </w:tcPr>
          <w:p w14:paraId="615F1466" w14:textId="77777777" w:rsidR="00046BD5" w:rsidRPr="00DE108C" w:rsidRDefault="00046BD5" w:rsidP="00ED094E">
            <w:pPr>
              <w:pStyle w:val="TableText"/>
              <w:rPr>
                <w:b/>
                <w:szCs w:val="16"/>
              </w:rPr>
            </w:pPr>
            <w:r w:rsidRPr="00DE108C">
              <w:rPr>
                <w:b/>
                <w:szCs w:val="16"/>
              </w:rPr>
              <w:t>Total contract costs</w:t>
            </w:r>
          </w:p>
        </w:tc>
        <w:tc>
          <w:tcPr>
            <w:tcW w:w="833" w:type="pct"/>
            <w:vAlign w:val="center"/>
          </w:tcPr>
          <w:p w14:paraId="179E7223" w14:textId="77777777" w:rsidR="00046BD5" w:rsidRPr="00DE108C" w:rsidRDefault="00046BD5" w:rsidP="00ED094E">
            <w:pPr>
              <w:pStyle w:val="TableText"/>
              <w:rPr>
                <w:rFonts w:cs="Arial"/>
                <w:b/>
                <w:bCs/>
                <w:color w:val="000000"/>
                <w:szCs w:val="16"/>
              </w:rPr>
            </w:pPr>
            <w:r w:rsidRPr="00DE108C">
              <w:rPr>
                <w:rFonts w:cs="Arial"/>
                <w:b/>
                <w:bCs/>
                <w:color w:val="000000"/>
                <w:szCs w:val="16"/>
              </w:rPr>
              <w:t xml:space="preserve"> 600.3 </w:t>
            </w:r>
          </w:p>
        </w:tc>
        <w:tc>
          <w:tcPr>
            <w:tcW w:w="834" w:type="pct"/>
            <w:vAlign w:val="center"/>
          </w:tcPr>
          <w:p w14:paraId="348D5D77" w14:textId="77777777" w:rsidR="00046BD5" w:rsidRPr="00DE108C" w:rsidRDefault="00046BD5" w:rsidP="00ED094E">
            <w:pPr>
              <w:pStyle w:val="TableText"/>
              <w:rPr>
                <w:rFonts w:cs="Arial"/>
                <w:b/>
                <w:bCs/>
                <w:color w:val="000000"/>
                <w:szCs w:val="16"/>
              </w:rPr>
            </w:pPr>
            <w:r w:rsidRPr="00DE108C">
              <w:rPr>
                <w:rFonts w:cs="Arial"/>
                <w:b/>
                <w:bCs/>
                <w:color w:val="000000"/>
                <w:szCs w:val="16"/>
              </w:rPr>
              <w:t xml:space="preserve"> 619.6 </w:t>
            </w:r>
          </w:p>
        </w:tc>
        <w:tc>
          <w:tcPr>
            <w:tcW w:w="834" w:type="pct"/>
            <w:vAlign w:val="center"/>
          </w:tcPr>
          <w:p w14:paraId="2E477347" w14:textId="77777777" w:rsidR="00046BD5" w:rsidRPr="00DE108C" w:rsidRDefault="00046BD5" w:rsidP="00ED094E">
            <w:pPr>
              <w:pStyle w:val="TableText"/>
              <w:rPr>
                <w:rFonts w:cs="Arial"/>
                <w:b/>
                <w:bCs/>
                <w:color w:val="000000"/>
                <w:szCs w:val="16"/>
              </w:rPr>
            </w:pPr>
            <w:r w:rsidRPr="00DE108C">
              <w:rPr>
                <w:rFonts w:cs="Arial"/>
                <w:b/>
                <w:bCs/>
                <w:color w:val="000000"/>
                <w:szCs w:val="16"/>
              </w:rPr>
              <w:t xml:space="preserve"> 632.1 </w:t>
            </w:r>
          </w:p>
        </w:tc>
        <w:tc>
          <w:tcPr>
            <w:tcW w:w="834" w:type="pct"/>
            <w:vAlign w:val="center"/>
          </w:tcPr>
          <w:p w14:paraId="061E247E" w14:textId="77777777" w:rsidR="00046BD5" w:rsidRPr="00DE108C" w:rsidRDefault="00046BD5" w:rsidP="00ED094E">
            <w:pPr>
              <w:pStyle w:val="TableText"/>
              <w:rPr>
                <w:rFonts w:cs="Arial"/>
                <w:b/>
                <w:bCs/>
                <w:color w:val="000000"/>
                <w:szCs w:val="16"/>
              </w:rPr>
            </w:pPr>
            <w:r w:rsidRPr="00DE108C">
              <w:rPr>
                <w:rFonts w:cs="Arial"/>
                <w:b/>
                <w:bCs/>
                <w:color w:val="000000"/>
                <w:szCs w:val="16"/>
              </w:rPr>
              <w:t xml:space="preserve"> 621.3 </w:t>
            </w:r>
          </w:p>
        </w:tc>
        <w:tc>
          <w:tcPr>
            <w:tcW w:w="832" w:type="pct"/>
            <w:vAlign w:val="center"/>
          </w:tcPr>
          <w:p w14:paraId="4D6AA401" w14:textId="77777777" w:rsidR="00046BD5" w:rsidRPr="00DE108C" w:rsidRDefault="00046BD5" w:rsidP="00ED094E">
            <w:pPr>
              <w:pStyle w:val="TableText"/>
              <w:rPr>
                <w:rFonts w:cs="Arial"/>
                <w:b/>
                <w:bCs/>
                <w:color w:val="000000"/>
                <w:szCs w:val="16"/>
              </w:rPr>
            </w:pPr>
            <w:r w:rsidRPr="00DE108C">
              <w:rPr>
                <w:rFonts w:cs="Arial"/>
                <w:b/>
                <w:bCs/>
                <w:color w:val="000000"/>
                <w:szCs w:val="16"/>
              </w:rPr>
              <w:t xml:space="preserve"> 618.2 </w:t>
            </w:r>
          </w:p>
        </w:tc>
      </w:tr>
    </w:tbl>
    <w:p w14:paraId="3D06BBC7" w14:textId="77777777" w:rsidR="00046BD5" w:rsidRPr="00DE108C" w:rsidRDefault="00046BD5" w:rsidP="00ED094E"/>
    <w:p w14:paraId="465E9BA8" w14:textId="77777777" w:rsidR="00046BD5" w:rsidRPr="00DE108C" w:rsidRDefault="00046BD5">
      <w:pPr>
        <w:pStyle w:val="Heading3"/>
        <w:rPr>
          <w:rFonts w:eastAsia="Aptos" w:cs="Aptos"/>
        </w:rPr>
      </w:pPr>
      <w:r w:rsidRPr="00DE108C">
        <w:t>6.3.2 Capitalising selected operating costs</w:t>
      </w:r>
    </w:p>
    <w:p w14:paraId="3686581E" w14:textId="7DB0AD64" w:rsidR="00046BD5" w:rsidRPr="00DE108C" w:rsidRDefault="00046BD5" w:rsidP="00ED094E">
      <w:pPr>
        <w:rPr>
          <w:rFonts w:eastAsia="Aptos"/>
        </w:rPr>
      </w:pPr>
      <w:r w:rsidRPr="00DE108C">
        <w:rPr>
          <w:rFonts w:eastAsia="Aptos"/>
        </w:rPr>
        <w:t xml:space="preserve">Melbourne Water proposes to capitalise </w:t>
      </w:r>
      <w:r w:rsidR="0F33761F" w:rsidRPr="425138B5">
        <w:rPr>
          <w:rFonts w:eastAsia="Aptos"/>
        </w:rPr>
        <w:t>opex</w:t>
      </w:r>
      <w:r w:rsidRPr="00DE108C">
        <w:rPr>
          <w:rFonts w:eastAsia="Aptos"/>
        </w:rPr>
        <w:t xml:space="preserve"> related to the following three major projects: </w:t>
      </w:r>
    </w:p>
    <w:p w14:paraId="5AEF59CD" w14:textId="4DCE5808" w:rsidR="00046BD5" w:rsidRPr="00DE108C" w:rsidRDefault="7C2D7605" w:rsidP="00D411F5">
      <w:pPr>
        <w:pStyle w:val="ListBullet"/>
        <w:rPr>
          <w:rFonts w:eastAsia="Aptos"/>
        </w:rPr>
      </w:pPr>
      <w:r w:rsidRPr="425138B5">
        <w:rPr>
          <w:rFonts w:eastAsia="Aptos"/>
        </w:rPr>
        <w:t>d</w:t>
      </w:r>
      <w:r w:rsidR="00046BD5" w:rsidRPr="00DE108C">
        <w:rPr>
          <w:rFonts w:eastAsia="Aptos"/>
        </w:rPr>
        <w:t xml:space="preserve">e-scumming and desludging at lagoon 55E at </w:t>
      </w:r>
      <w:r w:rsidR="3C6117B8" w:rsidRPr="425138B5">
        <w:rPr>
          <w:rFonts w:eastAsia="Aptos"/>
        </w:rPr>
        <w:t>WTP</w:t>
      </w:r>
      <w:r w:rsidR="00046BD5" w:rsidRPr="425138B5">
        <w:rPr>
          <w:rFonts w:eastAsia="Aptos"/>
        </w:rPr>
        <w:t xml:space="preserve"> </w:t>
      </w:r>
    </w:p>
    <w:p w14:paraId="2B5504AF" w14:textId="1D4B8AF0" w:rsidR="00046BD5" w:rsidRPr="00DE108C" w:rsidRDefault="56379DAF" w:rsidP="00D411F5">
      <w:pPr>
        <w:pStyle w:val="ListBullet"/>
        <w:rPr>
          <w:rFonts w:eastAsia="Aptos"/>
        </w:rPr>
      </w:pPr>
      <w:r w:rsidRPr="425138B5">
        <w:rPr>
          <w:rFonts w:eastAsia="Aptos"/>
        </w:rPr>
        <w:t>s</w:t>
      </w:r>
      <w:r w:rsidR="00046BD5" w:rsidRPr="00DE108C">
        <w:rPr>
          <w:rFonts w:eastAsia="Aptos"/>
        </w:rPr>
        <w:t xml:space="preserve">ludge carting at </w:t>
      </w:r>
      <w:r w:rsidR="0C79CC16" w:rsidRPr="425138B5">
        <w:rPr>
          <w:rFonts w:eastAsia="Aptos"/>
        </w:rPr>
        <w:t>ETP</w:t>
      </w:r>
    </w:p>
    <w:p w14:paraId="77A18709" w14:textId="4269DD08" w:rsidR="00046BD5" w:rsidRPr="00DE108C" w:rsidRDefault="00046BD5" w:rsidP="00D411F5">
      <w:pPr>
        <w:pStyle w:val="ListBullet"/>
        <w:rPr>
          <w:rFonts w:eastAsia="Aptos"/>
        </w:rPr>
      </w:pPr>
      <w:r w:rsidRPr="00DE108C">
        <w:rPr>
          <w:rFonts w:eastAsia="Aptos"/>
        </w:rPr>
        <w:t>Software as a Service (SaaS) cost.</w:t>
      </w:r>
    </w:p>
    <w:p w14:paraId="0AC65FD4" w14:textId="761DD7C0" w:rsidR="00046BD5" w:rsidRPr="00DE108C" w:rsidRDefault="00046BD5" w:rsidP="00ED094E">
      <w:pPr>
        <w:rPr>
          <w:rFonts w:eastAsia="Aptos"/>
        </w:rPr>
      </w:pPr>
      <w:r w:rsidRPr="00DE108C">
        <w:rPr>
          <w:rFonts w:eastAsia="Aptos"/>
        </w:rPr>
        <w:t>We provide a description of each of the three major projects and desalination capitalisation and our rationale for capitalisation</w:t>
      </w:r>
      <w:r w:rsidR="556A55EB" w:rsidRPr="425138B5">
        <w:rPr>
          <w:rFonts w:eastAsia="Aptos"/>
        </w:rPr>
        <w:t xml:space="preserve"> in the following section.</w:t>
      </w:r>
      <w:r w:rsidRPr="00DE108C">
        <w:rPr>
          <w:rFonts w:eastAsia="Aptos"/>
        </w:rPr>
        <w:t xml:space="preserve"> </w:t>
      </w:r>
    </w:p>
    <w:p w14:paraId="77570FB8" w14:textId="77777777" w:rsidR="00046BD5" w:rsidRPr="00DE108C" w:rsidRDefault="00046BD5" w:rsidP="00ED094E">
      <w:pPr>
        <w:rPr>
          <w:rFonts w:eastAsia="Aptos"/>
        </w:rPr>
      </w:pPr>
      <w:r w:rsidRPr="00DE108C">
        <w:rPr>
          <w:rFonts w:eastAsia="Aptos"/>
        </w:rPr>
        <w:t>Table 6.12 presents a summary of proposed capitalised costs for PS26.</w:t>
      </w:r>
    </w:p>
    <w:p w14:paraId="6202FF87" w14:textId="77777777" w:rsidR="00046BD5" w:rsidRPr="00DE108C" w:rsidRDefault="00046BD5" w:rsidP="00ED094E">
      <w:pPr>
        <w:rPr>
          <w:rFonts w:eastAsia="Aptos"/>
        </w:rPr>
      </w:pPr>
    </w:p>
    <w:p w14:paraId="2811B749" w14:textId="77777777" w:rsidR="00046BD5" w:rsidRPr="00DE108C" w:rsidRDefault="00046BD5" w:rsidP="00ED094E">
      <w:pPr>
        <w:pStyle w:val="Caption"/>
      </w:pPr>
      <w:bookmarkStart w:id="562" w:name="_Toc207893039"/>
      <w:bookmarkStart w:id="563" w:name="_Toc208490563"/>
      <w:bookmarkStart w:id="564" w:name="_Toc208490901"/>
      <w:bookmarkStart w:id="565" w:name="_Toc208911059"/>
      <w:bookmarkStart w:id="566" w:name="_Toc210051365"/>
      <w:r w:rsidRPr="00DE108C">
        <w:t>Table 6.12: PS26 capitalised operating expenditure ($millions, 2025-26)</w:t>
      </w:r>
      <w:bookmarkEnd w:id="562"/>
      <w:bookmarkEnd w:id="563"/>
      <w:bookmarkEnd w:id="564"/>
      <w:bookmarkEnd w:id="565"/>
      <w:bookmarkEnd w:id="566"/>
    </w:p>
    <w:tbl>
      <w:tblPr>
        <w:tblStyle w:val="TableGrid"/>
        <w:tblW w:w="0" w:type="auto"/>
        <w:tblLook w:val="0420" w:firstRow="1" w:lastRow="0" w:firstColumn="0" w:lastColumn="0" w:noHBand="0" w:noVBand="1"/>
      </w:tblPr>
      <w:tblGrid>
        <w:gridCol w:w="1355"/>
        <w:gridCol w:w="1474"/>
        <w:gridCol w:w="946"/>
        <w:gridCol w:w="1076"/>
        <w:gridCol w:w="1076"/>
        <w:gridCol w:w="1076"/>
        <w:gridCol w:w="1076"/>
        <w:gridCol w:w="1122"/>
      </w:tblGrid>
      <w:tr w:rsidR="00046BD5" w:rsidRPr="00DE108C" w14:paraId="3BCF1879" w14:textId="77777777" w:rsidTr="00ED094E">
        <w:trPr>
          <w:cnfStyle w:val="100000000000" w:firstRow="1" w:lastRow="0" w:firstColumn="0" w:lastColumn="0" w:oddVBand="0" w:evenVBand="0" w:oddHBand="0" w:evenHBand="0" w:firstRowFirstColumn="0" w:firstRowLastColumn="0" w:lastRowFirstColumn="0" w:lastRowLastColumn="0"/>
          <w:trHeight w:val="300"/>
        </w:trPr>
        <w:tc>
          <w:tcPr>
            <w:tcW w:w="1355"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vAlign w:val="center"/>
          </w:tcPr>
          <w:p w14:paraId="4AB12BCF" w14:textId="77777777" w:rsidR="00046BD5" w:rsidRPr="00DE108C" w:rsidRDefault="00046BD5" w:rsidP="00ED094E">
            <w:pPr>
              <w:rPr>
                <w:rFonts w:eastAsia="Aptos"/>
                <w:color w:val="FFFFFF" w:themeColor="background1"/>
                <w:sz w:val="16"/>
                <w:szCs w:val="16"/>
              </w:rPr>
            </w:pPr>
            <w:r w:rsidRPr="00DE108C">
              <w:rPr>
                <w:rFonts w:eastAsia="Aptos"/>
                <w:color w:val="FFFFFF" w:themeColor="background1"/>
                <w:sz w:val="16"/>
                <w:szCs w:val="16"/>
              </w:rPr>
              <w:t>Outcome</w:t>
            </w:r>
          </w:p>
        </w:tc>
        <w:tc>
          <w:tcPr>
            <w:tcW w:w="1474"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vAlign w:val="center"/>
          </w:tcPr>
          <w:p w14:paraId="09EA7833"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Project</w:t>
            </w:r>
          </w:p>
        </w:tc>
        <w:tc>
          <w:tcPr>
            <w:tcW w:w="946"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vAlign w:val="center"/>
          </w:tcPr>
          <w:p w14:paraId="0311E165"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2026-27</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vAlign w:val="center"/>
          </w:tcPr>
          <w:p w14:paraId="6000A141"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2027-28</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vAlign w:val="center"/>
          </w:tcPr>
          <w:p w14:paraId="133711FC"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2028-29</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vAlign w:val="center"/>
          </w:tcPr>
          <w:p w14:paraId="42B9B315"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2029-30</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vAlign w:val="center"/>
          </w:tcPr>
          <w:p w14:paraId="691811DB"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2030-31</w:t>
            </w:r>
          </w:p>
        </w:tc>
        <w:tc>
          <w:tcPr>
            <w:tcW w:w="1122"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vAlign w:val="center"/>
          </w:tcPr>
          <w:p w14:paraId="5B71E79B" w14:textId="77777777" w:rsidR="00046BD5" w:rsidRPr="00DE108C" w:rsidRDefault="00046BD5" w:rsidP="00ED094E">
            <w:pPr>
              <w:rPr>
                <w:rFonts w:eastAsia="Aptos"/>
                <w:b/>
                <w:color w:val="FFFFFF" w:themeColor="background1"/>
                <w:sz w:val="16"/>
                <w:szCs w:val="16"/>
              </w:rPr>
            </w:pPr>
            <w:r w:rsidRPr="00DE108C">
              <w:rPr>
                <w:rFonts w:eastAsia="Aptos"/>
                <w:b/>
                <w:color w:val="FFFFFF" w:themeColor="background1"/>
                <w:sz w:val="16"/>
                <w:szCs w:val="16"/>
              </w:rPr>
              <w:t>Total</w:t>
            </w:r>
          </w:p>
        </w:tc>
      </w:tr>
      <w:tr w:rsidR="00046BD5" w:rsidRPr="00DE108C" w14:paraId="6B0572EB" w14:textId="77777777" w:rsidTr="00ED094E">
        <w:trPr>
          <w:trHeight w:val="300"/>
        </w:trPr>
        <w:tc>
          <w:tcPr>
            <w:tcW w:w="1355" w:type="dxa"/>
            <w:tcBorders>
              <w:top w:val="single" w:sz="8" w:space="0" w:color="231F20" w:themeColor="text1"/>
              <w:left w:val="single" w:sz="8" w:space="0" w:color="231F20" w:themeColor="text1"/>
              <w:bottom w:val="single" w:sz="8" w:space="0" w:color="231F20" w:themeColor="text1"/>
              <w:right w:val="single" w:sz="8" w:space="0" w:color="231F20" w:themeColor="text1"/>
            </w:tcBorders>
            <w:vAlign w:val="center"/>
          </w:tcPr>
          <w:p w14:paraId="12EABAC4" w14:textId="77777777" w:rsidR="00046BD5" w:rsidRPr="00DE108C" w:rsidRDefault="00046BD5" w:rsidP="00ED094E">
            <w:pPr>
              <w:rPr>
                <w:rFonts w:eastAsia="Aptos"/>
                <w:sz w:val="16"/>
                <w:szCs w:val="16"/>
              </w:rPr>
            </w:pPr>
            <w:r w:rsidRPr="00DE108C">
              <w:rPr>
                <w:rFonts w:eastAsia="Aptos"/>
                <w:sz w:val="16"/>
                <w:szCs w:val="16"/>
              </w:rPr>
              <w:t>Outcome 2 - Sewerage</w:t>
            </w:r>
          </w:p>
        </w:tc>
        <w:tc>
          <w:tcPr>
            <w:tcW w:w="147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520BBEC1" w14:textId="71EAE1EC" w:rsidR="00046BD5" w:rsidRPr="00DE108C" w:rsidRDefault="00046BD5" w:rsidP="00ED094E">
            <w:pPr>
              <w:rPr>
                <w:rFonts w:eastAsia="Aptos"/>
                <w:sz w:val="16"/>
                <w:szCs w:val="16"/>
              </w:rPr>
            </w:pPr>
            <w:r w:rsidRPr="00DE108C">
              <w:rPr>
                <w:rFonts w:eastAsia="Aptos"/>
                <w:sz w:val="16"/>
                <w:szCs w:val="16"/>
              </w:rPr>
              <w:t xml:space="preserve">Descumming at 55E at </w:t>
            </w:r>
            <w:r w:rsidR="2891C11D" w:rsidRPr="425138B5">
              <w:rPr>
                <w:rFonts w:eastAsia="Aptos"/>
                <w:sz w:val="16"/>
                <w:szCs w:val="16"/>
              </w:rPr>
              <w:t>WTP</w:t>
            </w:r>
          </w:p>
        </w:tc>
        <w:tc>
          <w:tcPr>
            <w:tcW w:w="94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27A1CBE1" w14:textId="77777777" w:rsidR="00046BD5" w:rsidRPr="00DE108C" w:rsidRDefault="00046BD5" w:rsidP="00ED094E">
            <w:pPr>
              <w:rPr>
                <w:sz w:val="16"/>
                <w:szCs w:val="16"/>
              </w:rPr>
            </w:pPr>
            <w:r w:rsidRPr="00DE108C">
              <w:rPr>
                <w:sz w:val="16"/>
                <w:szCs w:val="16"/>
              </w:rPr>
              <w:t>-</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05174172" w14:textId="77777777" w:rsidR="00046BD5" w:rsidRPr="00DE108C" w:rsidRDefault="00046BD5" w:rsidP="00ED094E">
            <w:pPr>
              <w:rPr>
                <w:sz w:val="16"/>
                <w:szCs w:val="16"/>
              </w:rPr>
            </w:pPr>
            <w:r w:rsidRPr="00DE108C">
              <w:rPr>
                <w:sz w:val="16"/>
                <w:szCs w:val="16"/>
              </w:rPr>
              <w:t>-</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6836698F" w14:textId="77777777" w:rsidR="00046BD5" w:rsidRPr="00DE108C" w:rsidRDefault="00046BD5" w:rsidP="00ED094E">
            <w:pPr>
              <w:rPr>
                <w:sz w:val="16"/>
                <w:szCs w:val="16"/>
              </w:rPr>
            </w:pPr>
            <w:r w:rsidRPr="00DE108C">
              <w:rPr>
                <w:sz w:val="16"/>
                <w:szCs w:val="16"/>
              </w:rPr>
              <w:t>16.6</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0A7C872B" w14:textId="77777777" w:rsidR="00046BD5" w:rsidRPr="00DE108C" w:rsidRDefault="00046BD5" w:rsidP="00ED094E">
            <w:pPr>
              <w:rPr>
                <w:sz w:val="16"/>
                <w:szCs w:val="16"/>
              </w:rPr>
            </w:pPr>
            <w:r w:rsidRPr="00DE108C">
              <w:rPr>
                <w:sz w:val="16"/>
                <w:szCs w:val="16"/>
              </w:rPr>
              <w:t>16.6</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665A2588" w14:textId="77777777" w:rsidR="00046BD5" w:rsidRPr="00DE108C" w:rsidRDefault="00046BD5" w:rsidP="00ED094E">
            <w:pPr>
              <w:rPr>
                <w:sz w:val="16"/>
                <w:szCs w:val="16"/>
              </w:rPr>
            </w:pPr>
            <w:r w:rsidRPr="00DE108C">
              <w:rPr>
                <w:sz w:val="16"/>
                <w:szCs w:val="16"/>
              </w:rPr>
              <w:t>2.0</w:t>
            </w:r>
          </w:p>
        </w:tc>
        <w:tc>
          <w:tcPr>
            <w:tcW w:w="1122" w:type="dxa"/>
            <w:tcBorders>
              <w:top w:val="single" w:sz="8" w:space="0" w:color="231F20" w:themeColor="text1"/>
              <w:left w:val="single" w:sz="8" w:space="0" w:color="231F20" w:themeColor="text1"/>
              <w:bottom w:val="single" w:sz="8" w:space="0" w:color="231F20" w:themeColor="text1"/>
              <w:right w:val="single" w:sz="8" w:space="0" w:color="231F20" w:themeColor="text1"/>
            </w:tcBorders>
            <w:vAlign w:val="center"/>
          </w:tcPr>
          <w:p w14:paraId="2B5EB2FE" w14:textId="77777777" w:rsidR="00046BD5" w:rsidRPr="00DE108C" w:rsidRDefault="00046BD5" w:rsidP="00ED094E">
            <w:pPr>
              <w:rPr>
                <w:b/>
                <w:bCs/>
                <w:sz w:val="16"/>
                <w:szCs w:val="16"/>
              </w:rPr>
            </w:pPr>
            <w:r w:rsidRPr="00DE108C">
              <w:rPr>
                <w:b/>
                <w:bCs/>
                <w:sz w:val="16"/>
                <w:szCs w:val="16"/>
              </w:rPr>
              <w:t>35.2</w:t>
            </w:r>
          </w:p>
        </w:tc>
      </w:tr>
      <w:tr w:rsidR="0069661E" w:rsidRPr="00DE108C" w14:paraId="657CB53A"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1355" w:type="dxa"/>
            <w:tcBorders>
              <w:top w:val="single" w:sz="8" w:space="0" w:color="231F20" w:themeColor="text1"/>
              <w:left w:val="single" w:sz="8" w:space="0" w:color="231F20" w:themeColor="text1"/>
              <w:bottom w:val="single" w:sz="8" w:space="0" w:color="231F20" w:themeColor="text1"/>
              <w:right w:val="single" w:sz="8" w:space="0" w:color="231F20" w:themeColor="text1"/>
            </w:tcBorders>
            <w:vAlign w:val="center"/>
          </w:tcPr>
          <w:p w14:paraId="4B16877F" w14:textId="77777777" w:rsidR="00046BD5" w:rsidRPr="00DE108C" w:rsidRDefault="00046BD5" w:rsidP="00ED094E">
            <w:pPr>
              <w:rPr>
                <w:rFonts w:eastAsia="Aptos"/>
                <w:sz w:val="16"/>
                <w:szCs w:val="16"/>
              </w:rPr>
            </w:pPr>
            <w:r w:rsidRPr="00DE108C">
              <w:rPr>
                <w:rFonts w:eastAsia="Aptos"/>
                <w:sz w:val="16"/>
                <w:szCs w:val="16"/>
              </w:rPr>
              <w:t>Outcome 2 - Sewerage</w:t>
            </w:r>
          </w:p>
        </w:tc>
        <w:tc>
          <w:tcPr>
            <w:tcW w:w="147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3A590328" w14:textId="62F2B11B" w:rsidR="00046BD5" w:rsidRPr="00DE108C" w:rsidRDefault="00046BD5" w:rsidP="00ED094E">
            <w:pPr>
              <w:rPr>
                <w:rFonts w:eastAsia="Aptos"/>
                <w:sz w:val="16"/>
                <w:szCs w:val="16"/>
              </w:rPr>
            </w:pPr>
            <w:r w:rsidRPr="00DE108C">
              <w:rPr>
                <w:rFonts w:eastAsia="Aptos"/>
                <w:sz w:val="16"/>
                <w:szCs w:val="16"/>
              </w:rPr>
              <w:t xml:space="preserve">Sludge carting at </w:t>
            </w:r>
            <w:r w:rsidR="0CAC9D7C" w:rsidRPr="425138B5">
              <w:rPr>
                <w:rFonts w:eastAsia="Aptos"/>
                <w:sz w:val="16"/>
                <w:szCs w:val="16"/>
              </w:rPr>
              <w:t>ETP</w:t>
            </w:r>
          </w:p>
        </w:tc>
        <w:tc>
          <w:tcPr>
            <w:tcW w:w="94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03DADE37" w14:textId="77777777" w:rsidR="00046BD5" w:rsidRPr="00DE108C" w:rsidRDefault="00046BD5" w:rsidP="00ED094E">
            <w:pPr>
              <w:rPr>
                <w:sz w:val="16"/>
                <w:szCs w:val="16"/>
              </w:rPr>
            </w:pPr>
            <w:r w:rsidRPr="00DE108C">
              <w:rPr>
                <w:sz w:val="16"/>
                <w:szCs w:val="16"/>
              </w:rPr>
              <w:t>4.6</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7E8B9ECC" w14:textId="77777777" w:rsidR="00046BD5" w:rsidRPr="00DE108C" w:rsidRDefault="00046BD5" w:rsidP="00ED094E">
            <w:pPr>
              <w:rPr>
                <w:sz w:val="16"/>
                <w:szCs w:val="16"/>
              </w:rPr>
            </w:pPr>
            <w:r w:rsidRPr="00DE108C">
              <w:rPr>
                <w:sz w:val="16"/>
                <w:szCs w:val="16"/>
              </w:rPr>
              <w:t>4.6</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4D57E880" w14:textId="77777777" w:rsidR="00046BD5" w:rsidRPr="00DE108C" w:rsidRDefault="00046BD5" w:rsidP="00ED094E">
            <w:pPr>
              <w:rPr>
                <w:sz w:val="16"/>
                <w:szCs w:val="16"/>
              </w:rPr>
            </w:pPr>
            <w:r w:rsidRPr="00DE108C">
              <w:rPr>
                <w:sz w:val="16"/>
                <w:szCs w:val="16"/>
              </w:rPr>
              <w:t>4.6</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407F6206" w14:textId="77777777" w:rsidR="00046BD5" w:rsidRPr="00DE108C" w:rsidRDefault="00046BD5" w:rsidP="00ED094E">
            <w:pPr>
              <w:rPr>
                <w:sz w:val="16"/>
                <w:szCs w:val="16"/>
              </w:rPr>
            </w:pPr>
            <w:r w:rsidRPr="00DE108C">
              <w:rPr>
                <w:sz w:val="16"/>
                <w:szCs w:val="16"/>
              </w:rPr>
              <w:t>4.6</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71E04CC1" w14:textId="77777777" w:rsidR="00046BD5" w:rsidRPr="00DE108C" w:rsidRDefault="00046BD5" w:rsidP="00ED094E">
            <w:pPr>
              <w:rPr>
                <w:sz w:val="16"/>
                <w:szCs w:val="16"/>
              </w:rPr>
            </w:pPr>
            <w:r w:rsidRPr="00DE108C">
              <w:rPr>
                <w:sz w:val="16"/>
                <w:szCs w:val="16"/>
              </w:rPr>
              <w:t>4.6</w:t>
            </w:r>
          </w:p>
        </w:tc>
        <w:tc>
          <w:tcPr>
            <w:tcW w:w="1122" w:type="dxa"/>
            <w:tcBorders>
              <w:top w:val="single" w:sz="8" w:space="0" w:color="231F20" w:themeColor="text1"/>
              <w:left w:val="single" w:sz="8" w:space="0" w:color="231F20" w:themeColor="text1"/>
              <w:bottom w:val="single" w:sz="8" w:space="0" w:color="231F20" w:themeColor="text1"/>
              <w:right w:val="single" w:sz="8" w:space="0" w:color="231F20" w:themeColor="text1"/>
            </w:tcBorders>
            <w:vAlign w:val="center"/>
          </w:tcPr>
          <w:p w14:paraId="44ED7A61" w14:textId="77777777" w:rsidR="00046BD5" w:rsidRPr="00DE108C" w:rsidRDefault="00046BD5" w:rsidP="00ED094E">
            <w:pPr>
              <w:rPr>
                <w:b/>
                <w:bCs/>
                <w:sz w:val="16"/>
                <w:szCs w:val="16"/>
              </w:rPr>
            </w:pPr>
            <w:r w:rsidRPr="00DE108C">
              <w:rPr>
                <w:b/>
                <w:bCs/>
                <w:sz w:val="16"/>
                <w:szCs w:val="16"/>
              </w:rPr>
              <w:t>23.1</w:t>
            </w:r>
          </w:p>
        </w:tc>
      </w:tr>
      <w:tr w:rsidR="00046BD5" w:rsidRPr="00DE108C" w14:paraId="643612D2" w14:textId="77777777" w:rsidTr="00ED094E">
        <w:trPr>
          <w:trHeight w:val="300"/>
        </w:trPr>
        <w:tc>
          <w:tcPr>
            <w:tcW w:w="1355" w:type="dxa"/>
            <w:tcBorders>
              <w:top w:val="single" w:sz="8" w:space="0" w:color="231F20" w:themeColor="text1"/>
              <w:left w:val="single" w:sz="8" w:space="0" w:color="231F20" w:themeColor="text1"/>
              <w:bottom w:val="single" w:sz="8" w:space="0" w:color="231F20" w:themeColor="text1"/>
              <w:right w:val="single" w:sz="8" w:space="0" w:color="231F20" w:themeColor="text1"/>
            </w:tcBorders>
            <w:vAlign w:val="center"/>
          </w:tcPr>
          <w:p w14:paraId="7C4151AD" w14:textId="138132E0" w:rsidR="00046BD5" w:rsidRPr="00DE108C" w:rsidRDefault="48C1DA37" w:rsidP="00ED094E">
            <w:pPr>
              <w:rPr>
                <w:rFonts w:eastAsia="Aptos"/>
                <w:sz w:val="16"/>
                <w:szCs w:val="16"/>
              </w:rPr>
            </w:pPr>
            <w:r w:rsidRPr="425138B5">
              <w:rPr>
                <w:rFonts w:eastAsia="Aptos"/>
                <w:sz w:val="16"/>
                <w:szCs w:val="16"/>
              </w:rPr>
              <w:t>IT</w:t>
            </w:r>
          </w:p>
        </w:tc>
        <w:tc>
          <w:tcPr>
            <w:tcW w:w="147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70E7515B" w14:textId="77777777" w:rsidR="00046BD5" w:rsidRPr="00DE108C" w:rsidRDefault="00046BD5" w:rsidP="00ED094E">
            <w:pPr>
              <w:rPr>
                <w:rFonts w:eastAsia="Aptos"/>
                <w:sz w:val="16"/>
                <w:szCs w:val="16"/>
              </w:rPr>
            </w:pPr>
            <w:r w:rsidRPr="00DE108C">
              <w:rPr>
                <w:rFonts w:eastAsia="Aptos"/>
                <w:sz w:val="16"/>
                <w:szCs w:val="16"/>
              </w:rPr>
              <w:t>SaaS - IT</w:t>
            </w:r>
          </w:p>
        </w:tc>
        <w:tc>
          <w:tcPr>
            <w:tcW w:w="94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75290578" w14:textId="77777777" w:rsidR="00046BD5" w:rsidRPr="00DE108C" w:rsidRDefault="00046BD5" w:rsidP="00ED094E">
            <w:pPr>
              <w:rPr>
                <w:sz w:val="16"/>
                <w:szCs w:val="16"/>
              </w:rPr>
            </w:pPr>
            <w:r w:rsidRPr="00DE108C">
              <w:rPr>
                <w:sz w:val="16"/>
                <w:szCs w:val="16"/>
              </w:rPr>
              <w:t xml:space="preserve"> 15.6 </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41C3BEB6" w14:textId="77777777" w:rsidR="00046BD5" w:rsidRPr="00DE108C" w:rsidRDefault="00046BD5" w:rsidP="00ED094E">
            <w:pPr>
              <w:rPr>
                <w:sz w:val="16"/>
                <w:szCs w:val="16"/>
              </w:rPr>
            </w:pPr>
            <w:r w:rsidRPr="00DE108C">
              <w:rPr>
                <w:sz w:val="16"/>
                <w:szCs w:val="16"/>
              </w:rPr>
              <w:t xml:space="preserve"> 17.7</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0D78182C" w14:textId="77777777" w:rsidR="00046BD5" w:rsidRPr="00DE108C" w:rsidRDefault="00046BD5" w:rsidP="00ED094E">
            <w:pPr>
              <w:rPr>
                <w:sz w:val="16"/>
                <w:szCs w:val="16"/>
              </w:rPr>
            </w:pPr>
            <w:r w:rsidRPr="00DE108C">
              <w:rPr>
                <w:sz w:val="16"/>
                <w:szCs w:val="16"/>
              </w:rPr>
              <w:t xml:space="preserve"> 10.6 </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53441179" w14:textId="77777777" w:rsidR="00046BD5" w:rsidRPr="00DE108C" w:rsidRDefault="00046BD5" w:rsidP="00ED094E">
            <w:pPr>
              <w:rPr>
                <w:sz w:val="16"/>
                <w:szCs w:val="16"/>
              </w:rPr>
            </w:pPr>
            <w:r w:rsidRPr="00DE108C">
              <w:rPr>
                <w:sz w:val="16"/>
                <w:szCs w:val="16"/>
              </w:rPr>
              <w:t xml:space="preserve"> 8.5</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755F1F5A" w14:textId="77777777" w:rsidR="00046BD5" w:rsidRPr="00DE108C" w:rsidRDefault="00046BD5" w:rsidP="00ED094E">
            <w:pPr>
              <w:rPr>
                <w:sz w:val="16"/>
                <w:szCs w:val="16"/>
              </w:rPr>
            </w:pPr>
            <w:r w:rsidRPr="00DE108C">
              <w:rPr>
                <w:sz w:val="16"/>
                <w:szCs w:val="16"/>
              </w:rPr>
              <w:t xml:space="preserve"> 5.5 </w:t>
            </w:r>
          </w:p>
        </w:tc>
        <w:tc>
          <w:tcPr>
            <w:tcW w:w="1122" w:type="dxa"/>
            <w:tcBorders>
              <w:top w:val="single" w:sz="8" w:space="0" w:color="231F20" w:themeColor="text1"/>
              <w:left w:val="single" w:sz="8" w:space="0" w:color="231F20" w:themeColor="text1"/>
              <w:bottom w:val="single" w:sz="8" w:space="0" w:color="231F20" w:themeColor="text1"/>
              <w:right w:val="single" w:sz="8" w:space="0" w:color="231F20" w:themeColor="text1"/>
            </w:tcBorders>
            <w:vAlign w:val="center"/>
          </w:tcPr>
          <w:p w14:paraId="5D42BC13" w14:textId="77777777" w:rsidR="00046BD5" w:rsidRPr="00DE108C" w:rsidRDefault="00046BD5" w:rsidP="00ED094E">
            <w:pPr>
              <w:rPr>
                <w:rFonts w:eastAsia="Aptos Narrow"/>
                <w:b/>
                <w:bCs/>
                <w:sz w:val="16"/>
                <w:szCs w:val="16"/>
              </w:rPr>
            </w:pPr>
            <w:r w:rsidRPr="00DE108C">
              <w:rPr>
                <w:rFonts w:eastAsia="Aptos Narrow"/>
                <w:b/>
                <w:bCs/>
                <w:sz w:val="16"/>
                <w:szCs w:val="16"/>
              </w:rPr>
              <w:t>57.9</w:t>
            </w:r>
          </w:p>
        </w:tc>
      </w:tr>
      <w:tr w:rsidR="0069661E" w:rsidRPr="00DE108C" w14:paraId="72C9E09E"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1355" w:type="dxa"/>
            <w:tcBorders>
              <w:top w:val="single" w:sz="8" w:space="0" w:color="231F20" w:themeColor="text1"/>
              <w:left w:val="single" w:sz="8" w:space="0" w:color="231F20" w:themeColor="text1"/>
              <w:bottom w:val="single" w:sz="8" w:space="0" w:color="231F20" w:themeColor="text1"/>
              <w:right w:val="single" w:sz="8" w:space="0" w:color="231F20" w:themeColor="text1"/>
            </w:tcBorders>
            <w:vAlign w:val="center"/>
          </w:tcPr>
          <w:p w14:paraId="097CEE0A" w14:textId="5E897B96" w:rsidR="00046BD5" w:rsidRPr="00DE108C" w:rsidRDefault="557495A2" w:rsidP="00ED094E">
            <w:pPr>
              <w:rPr>
                <w:rFonts w:eastAsia="Aptos"/>
                <w:sz w:val="16"/>
                <w:szCs w:val="16"/>
              </w:rPr>
            </w:pPr>
            <w:r w:rsidRPr="425138B5">
              <w:rPr>
                <w:rFonts w:eastAsia="Aptos"/>
                <w:sz w:val="16"/>
                <w:szCs w:val="16"/>
              </w:rPr>
              <w:t>IT</w:t>
            </w:r>
          </w:p>
        </w:tc>
        <w:tc>
          <w:tcPr>
            <w:tcW w:w="147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18C4B0C1" w14:textId="70873E32" w:rsidR="00046BD5" w:rsidRPr="00DE108C" w:rsidRDefault="00046BD5" w:rsidP="00ED094E">
            <w:pPr>
              <w:rPr>
                <w:rFonts w:eastAsia="Aptos"/>
                <w:sz w:val="16"/>
                <w:szCs w:val="16"/>
              </w:rPr>
            </w:pPr>
            <w:r w:rsidRPr="00DE108C">
              <w:rPr>
                <w:rFonts w:eastAsia="Aptos"/>
                <w:sz w:val="16"/>
                <w:szCs w:val="16"/>
              </w:rPr>
              <w:t>SaaS - AKT</w:t>
            </w:r>
          </w:p>
        </w:tc>
        <w:tc>
          <w:tcPr>
            <w:tcW w:w="94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4CBD9BA7" w14:textId="77777777" w:rsidR="00046BD5" w:rsidRPr="00DE108C" w:rsidRDefault="00046BD5" w:rsidP="00ED094E">
            <w:pPr>
              <w:rPr>
                <w:sz w:val="16"/>
                <w:szCs w:val="16"/>
              </w:rPr>
            </w:pPr>
            <w:r w:rsidRPr="00DE108C">
              <w:rPr>
                <w:sz w:val="16"/>
                <w:szCs w:val="16"/>
              </w:rPr>
              <w:t xml:space="preserve"> 1.8</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210930B5" w14:textId="77777777" w:rsidR="00046BD5" w:rsidRPr="00DE108C" w:rsidRDefault="00046BD5" w:rsidP="00ED094E">
            <w:pPr>
              <w:rPr>
                <w:sz w:val="16"/>
                <w:szCs w:val="16"/>
              </w:rPr>
            </w:pPr>
            <w:r w:rsidRPr="00DE108C">
              <w:rPr>
                <w:sz w:val="16"/>
                <w:szCs w:val="16"/>
              </w:rPr>
              <w:t xml:space="preserve"> 1.8</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789E5DD3" w14:textId="77777777" w:rsidR="00046BD5" w:rsidRPr="00DE108C" w:rsidRDefault="00046BD5" w:rsidP="00ED094E">
            <w:pPr>
              <w:rPr>
                <w:sz w:val="16"/>
                <w:szCs w:val="16"/>
              </w:rPr>
            </w:pPr>
            <w:r w:rsidRPr="00DE108C">
              <w:rPr>
                <w:sz w:val="16"/>
                <w:szCs w:val="16"/>
              </w:rPr>
              <w:t xml:space="preserve"> 1.8 </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6E827231" w14:textId="77777777" w:rsidR="00046BD5" w:rsidRPr="00DE108C" w:rsidRDefault="00046BD5" w:rsidP="00ED094E">
            <w:pPr>
              <w:rPr>
                <w:sz w:val="16"/>
                <w:szCs w:val="16"/>
              </w:rPr>
            </w:pPr>
            <w:r w:rsidRPr="00DE108C">
              <w:rPr>
                <w:sz w:val="16"/>
                <w:szCs w:val="16"/>
              </w:rPr>
              <w:t xml:space="preserve"> 1.8 </w:t>
            </w:r>
          </w:p>
        </w:tc>
        <w:tc>
          <w:tcPr>
            <w:tcW w:w="10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1D63BC76" w14:textId="77777777" w:rsidR="00046BD5" w:rsidRPr="00DE108C" w:rsidRDefault="00046BD5" w:rsidP="00ED094E">
            <w:pPr>
              <w:rPr>
                <w:sz w:val="16"/>
                <w:szCs w:val="16"/>
              </w:rPr>
            </w:pPr>
            <w:r w:rsidRPr="00DE108C">
              <w:rPr>
                <w:sz w:val="16"/>
                <w:szCs w:val="16"/>
              </w:rPr>
              <w:t xml:space="preserve"> 1.8</w:t>
            </w:r>
          </w:p>
        </w:tc>
        <w:tc>
          <w:tcPr>
            <w:tcW w:w="1122" w:type="dxa"/>
            <w:tcBorders>
              <w:top w:val="single" w:sz="8" w:space="0" w:color="231F20" w:themeColor="text1"/>
              <w:left w:val="single" w:sz="8" w:space="0" w:color="231F20" w:themeColor="text1"/>
              <w:bottom w:val="single" w:sz="8" w:space="0" w:color="231F20" w:themeColor="text1"/>
              <w:right w:val="single" w:sz="8" w:space="0" w:color="231F20" w:themeColor="text1"/>
            </w:tcBorders>
            <w:vAlign w:val="center"/>
          </w:tcPr>
          <w:p w14:paraId="1641BBAF" w14:textId="77777777" w:rsidR="00046BD5" w:rsidRPr="00DE108C" w:rsidRDefault="00046BD5" w:rsidP="00ED094E">
            <w:pPr>
              <w:rPr>
                <w:b/>
                <w:bCs/>
                <w:sz w:val="16"/>
                <w:szCs w:val="16"/>
              </w:rPr>
            </w:pPr>
            <w:r w:rsidRPr="00DE108C">
              <w:rPr>
                <w:b/>
                <w:bCs/>
                <w:sz w:val="16"/>
                <w:szCs w:val="16"/>
              </w:rPr>
              <w:t>8.9</w:t>
            </w:r>
          </w:p>
        </w:tc>
      </w:tr>
    </w:tbl>
    <w:p w14:paraId="45BB0881" w14:textId="77777777" w:rsidR="00046BD5" w:rsidRPr="00DE108C" w:rsidRDefault="00046BD5" w:rsidP="00ED094E"/>
    <w:p w14:paraId="3342277D" w14:textId="646544EE" w:rsidR="00046BD5" w:rsidRPr="00DE108C" w:rsidRDefault="00046BD5">
      <w:pPr>
        <w:pStyle w:val="Heading4"/>
        <w:rPr>
          <w:rFonts w:eastAsia="Aptos" w:cs="Aptos"/>
        </w:rPr>
      </w:pPr>
      <w:r w:rsidRPr="00DE108C">
        <w:t>6.3.2.1 Capitalising de-scumming and desludging costs at Western Treatment Plant</w:t>
      </w:r>
      <w:r w:rsidR="002F2A37">
        <w:t xml:space="preserve"> (WTP)</w:t>
      </w:r>
    </w:p>
    <w:p w14:paraId="0BF1AC19" w14:textId="026E2EFE" w:rsidR="00046BD5" w:rsidRPr="00DE108C" w:rsidRDefault="6650034E" w:rsidP="00ED094E">
      <w:pPr>
        <w:rPr>
          <w:rFonts w:eastAsia="Aptos"/>
        </w:rPr>
      </w:pPr>
      <w:r w:rsidRPr="425138B5">
        <w:rPr>
          <w:rFonts w:eastAsia="Aptos"/>
        </w:rPr>
        <w:t>WTP</w:t>
      </w:r>
      <w:r w:rsidR="00046BD5" w:rsidRPr="00DE108C">
        <w:rPr>
          <w:rFonts w:eastAsia="Aptos"/>
        </w:rPr>
        <w:t xml:space="preserve"> at Werribee treats approximately 60 per cent of Melbourne’s sewage using a combination of lagoon and mechanical treatment processes. Preliminary and primary treatment at </w:t>
      </w:r>
      <w:r w:rsidR="08DCCAEE" w:rsidRPr="425138B5">
        <w:rPr>
          <w:rFonts w:eastAsia="Aptos"/>
        </w:rPr>
        <w:t>WTP</w:t>
      </w:r>
      <w:r w:rsidR="00046BD5" w:rsidRPr="00DE108C">
        <w:rPr>
          <w:rFonts w:eastAsia="Aptos"/>
        </w:rPr>
        <w:t xml:space="preserve"> currently comprises two covered anaerobic lagoons.</w:t>
      </w:r>
    </w:p>
    <w:p w14:paraId="5163EBB6" w14:textId="77777777" w:rsidR="00046BD5" w:rsidRPr="00DE108C" w:rsidRDefault="00046BD5" w:rsidP="00ED094E">
      <w:pPr>
        <w:rPr>
          <w:rFonts w:eastAsia="Aptos"/>
        </w:rPr>
      </w:pPr>
      <w:r w:rsidRPr="00DE108C">
        <w:rPr>
          <w:rFonts w:eastAsia="Aptos"/>
        </w:rPr>
        <w:t xml:space="preserve">These covered anaerobic lagoons are commonly referred to as the 55E and 25W anaerobic pots, commissioned in 1991 and 1993 respectively. </w:t>
      </w:r>
    </w:p>
    <w:p w14:paraId="01567A8A" w14:textId="77777777" w:rsidR="00046BD5" w:rsidRPr="00DE108C" w:rsidRDefault="00046BD5" w:rsidP="00ED094E">
      <w:pPr>
        <w:rPr>
          <w:rFonts w:eastAsia="Aptos"/>
        </w:rPr>
      </w:pPr>
      <w:r w:rsidRPr="00DE108C">
        <w:rPr>
          <w:rFonts w:eastAsia="Aptos"/>
        </w:rPr>
        <w:t>The anaerobic pots are simple earthen structures that are deeper (approximately 6 - 8 metres) than downstream facultative and maturation sections lagoons.</w:t>
      </w:r>
    </w:p>
    <w:p w14:paraId="6DA7B64E" w14:textId="77777777" w:rsidR="00046BD5" w:rsidRPr="00DE108C" w:rsidRDefault="00046BD5" w:rsidP="00ED094E">
      <w:pPr>
        <w:rPr>
          <w:rFonts w:eastAsia="Aptos"/>
        </w:rPr>
      </w:pPr>
      <w:r w:rsidRPr="00DE108C">
        <w:rPr>
          <w:rFonts w:eastAsia="Aptos"/>
        </w:rPr>
        <w:t>The accumulation of scum and sludge adversely impacts the anaerobic pot treatment performance. In particular, the accumulated scum places stress on the floating cover (especially in wet weather), increasing the likelihood of catastrophic failure if not removed. Periodic removal of scum and sludge and cover replacement works have been undertaken previously.</w:t>
      </w:r>
    </w:p>
    <w:p w14:paraId="5609B4B0" w14:textId="72515F09" w:rsidR="00046BD5" w:rsidRPr="00DE108C" w:rsidRDefault="00046BD5" w:rsidP="00ED094E">
      <w:pPr>
        <w:rPr>
          <w:rFonts w:eastAsia="Aptos"/>
        </w:rPr>
      </w:pPr>
      <w:r w:rsidRPr="00DE108C">
        <w:rPr>
          <w:rFonts w:eastAsia="Aptos"/>
        </w:rPr>
        <w:t>The project is the next periodic removal of accumulated scum and sludge at 55E anaerobic pot.</w:t>
      </w:r>
      <w:r w:rsidRPr="00DE108C">
        <w:rPr>
          <w:rStyle w:val="FootnoteReference"/>
          <w:rFonts w:eastAsia="Aptos" w:cs="Aptos"/>
          <w:sz w:val="22"/>
          <w:szCs w:val="22"/>
        </w:rPr>
        <w:footnoteReference w:id="17"/>
      </w:r>
      <w:r w:rsidRPr="00DE108C">
        <w:rPr>
          <w:rFonts w:eastAsia="Aptos"/>
        </w:rPr>
        <w:t xml:space="preserve"> This requires removal of floating cover segments to provide access to the accumulated scum and sludge for the duration of the works before being reinstated as part of completed works. </w:t>
      </w:r>
    </w:p>
    <w:p w14:paraId="4D65ADF6" w14:textId="580D7E65" w:rsidR="00046BD5" w:rsidRPr="00DE108C" w:rsidRDefault="00046BD5" w:rsidP="00ED094E">
      <w:pPr>
        <w:rPr>
          <w:rFonts w:eastAsia="Aptos"/>
        </w:rPr>
      </w:pPr>
      <w:r w:rsidRPr="00DE108C">
        <w:rPr>
          <w:rFonts w:eastAsia="Aptos"/>
        </w:rPr>
        <w:t xml:space="preserve">The forecast </w:t>
      </w:r>
      <w:r w:rsidR="7529CA83" w:rsidRPr="425138B5">
        <w:rPr>
          <w:rFonts w:eastAsia="Aptos"/>
        </w:rPr>
        <w:t>opex</w:t>
      </w:r>
      <w:r w:rsidRPr="00DE108C">
        <w:rPr>
          <w:rFonts w:eastAsia="Aptos"/>
        </w:rPr>
        <w:t xml:space="preserve"> costs related to de-scumming and desludging at lagoon 55E are detailed in Table 6.13.</w:t>
      </w:r>
    </w:p>
    <w:p w14:paraId="048C339B" w14:textId="77777777" w:rsidR="006D1D8C" w:rsidRPr="00DE108C" w:rsidRDefault="006D1D8C" w:rsidP="00ED094E">
      <w:pPr>
        <w:rPr>
          <w:rFonts w:eastAsia="Aptos"/>
        </w:rPr>
      </w:pPr>
    </w:p>
    <w:p w14:paraId="45FBB181" w14:textId="77777777" w:rsidR="00046BD5" w:rsidRPr="00DE108C" w:rsidRDefault="00046BD5" w:rsidP="00ED094E">
      <w:pPr>
        <w:pStyle w:val="Caption"/>
      </w:pPr>
      <w:bookmarkStart w:id="567" w:name="_Toc207893040"/>
      <w:bookmarkStart w:id="568" w:name="_Toc208490564"/>
      <w:bookmarkStart w:id="569" w:name="_Toc208490902"/>
      <w:bookmarkStart w:id="570" w:name="_Toc208911060"/>
      <w:bookmarkStart w:id="571" w:name="_Toc210051366"/>
      <w:r w:rsidRPr="00DE108C">
        <w:t>Table 6.13: Forecast operating costs (to capitalised) to de-scumming and desludging at lagoon 55E ($millions, real 2025-26)</w:t>
      </w:r>
      <w:bookmarkEnd w:id="567"/>
      <w:bookmarkEnd w:id="568"/>
      <w:bookmarkEnd w:id="569"/>
      <w:bookmarkEnd w:id="570"/>
      <w:bookmarkEnd w:id="571"/>
    </w:p>
    <w:tbl>
      <w:tblPr>
        <w:tblStyle w:val="TableGrid"/>
        <w:tblW w:w="0" w:type="auto"/>
        <w:tblLayout w:type="fixed"/>
        <w:tblLook w:val="0420" w:firstRow="1" w:lastRow="0" w:firstColumn="0" w:lastColumn="0" w:noHBand="0" w:noVBand="1"/>
      </w:tblPr>
      <w:tblGrid>
        <w:gridCol w:w="1502"/>
        <w:gridCol w:w="1502"/>
        <w:gridCol w:w="1504"/>
        <w:gridCol w:w="1504"/>
        <w:gridCol w:w="1504"/>
        <w:gridCol w:w="1500"/>
      </w:tblGrid>
      <w:tr w:rsidR="00046BD5" w:rsidRPr="00DE108C" w14:paraId="69F2776C" w14:textId="77777777">
        <w:trPr>
          <w:cnfStyle w:val="100000000000" w:firstRow="1" w:lastRow="0" w:firstColumn="0" w:lastColumn="0" w:oddVBand="0" w:evenVBand="0" w:oddHBand="0" w:evenHBand="0" w:firstRowFirstColumn="0" w:firstRowLastColumn="0" w:lastRowFirstColumn="0" w:lastRowLastColumn="0"/>
          <w:trHeight w:val="300"/>
        </w:trPr>
        <w:tc>
          <w:tcPr>
            <w:tcW w:w="1502"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63D57448"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Project</w:t>
            </w:r>
          </w:p>
        </w:tc>
        <w:tc>
          <w:tcPr>
            <w:tcW w:w="1502"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0EDAE6DE"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2026-27</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7ED79E06"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2027-28</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30D6420B"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2028-29</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26B06F32"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2029-30</w:t>
            </w:r>
          </w:p>
        </w:tc>
        <w:tc>
          <w:tcPr>
            <w:tcW w:w="1500"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59A6AAC7"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2030-31</w:t>
            </w:r>
          </w:p>
        </w:tc>
      </w:tr>
      <w:tr w:rsidR="00046BD5" w:rsidRPr="00DE108C" w14:paraId="396776A9" w14:textId="77777777">
        <w:trPr>
          <w:trHeight w:val="300"/>
        </w:trPr>
        <w:tc>
          <w:tcPr>
            <w:tcW w:w="1502"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15DC4FFD" w14:textId="18B6C469" w:rsidR="00046BD5" w:rsidRPr="00DE108C" w:rsidRDefault="00046BD5" w:rsidP="00ED094E">
            <w:pPr>
              <w:rPr>
                <w:sz w:val="16"/>
                <w:szCs w:val="16"/>
              </w:rPr>
            </w:pPr>
            <w:r w:rsidRPr="00DE108C">
              <w:rPr>
                <w:rFonts w:eastAsia="Aptos"/>
                <w:sz w:val="16"/>
                <w:szCs w:val="16"/>
              </w:rPr>
              <w:t xml:space="preserve">Descumming – 55E at </w:t>
            </w:r>
            <w:r w:rsidR="224EA08E" w:rsidRPr="425138B5">
              <w:rPr>
                <w:rFonts w:eastAsia="Aptos"/>
                <w:sz w:val="16"/>
                <w:szCs w:val="16"/>
              </w:rPr>
              <w:t>WTP</w:t>
            </w:r>
          </w:p>
        </w:tc>
        <w:tc>
          <w:tcPr>
            <w:tcW w:w="1502"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3FF56A03" w14:textId="77777777" w:rsidR="00046BD5" w:rsidRPr="00DE108C" w:rsidRDefault="00046BD5" w:rsidP="00ED094E">
            <w:pPr>
              <w:rPr>
                <w:sz w:val="16"/>
                <w:szCs w:val="16"/>
              </w:rPr>
            </w:pPr>
            <w:r w:rsidRPr="00DE108C">
              <w:rPr>
                <w:sz w:val="16"/>
                <w:szCs w:val="16"/>
              </w:rPr>
              <w:t>-</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44F0CB68" w14:textId="77777777" w:rsidR="00046BD5" w:rsidRPr="00DE108C" w:rsidRDefault="00046BD5" w:rsidP="00ED094E">
            <w:pPr>
              <w:rPr>
                <w:sz w:val="16"/>
                <w:szCs w:val="16"/>
              </w:rPr>
            </w:pPr>
            <w:r w:rsidRPr="00DE108C">
              <w:rPr>
                <w:sz w:val="16"/>
                <w:szCs w:val="16"/>
              </w:rPr>
              <w:t>-</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64B83836" w14:textId="77777777" w:rsidR="00046BD5" w:rsidRPr="00DE108C" w:rsidRDefault="00046BD5" w:rsidP="00ED094E">
            <w:pPr>
              <w:rPr>
                <w:rFonts w:eastAsia="Aptos Narrow"/>
                <w:sz w:val="16"/>
                <w:szCs w:val="16"/>
              </w:rPr>
            </w:pPr>
            <w:r w:rsidRPr="00DE108C">
              <w:rPr>
                <w:sz w:val="16"/>
                <w:szCs w:val="16"/>
              </w:rPr>
              <w:t>16.6</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0A514AE2" w14:textId="77777777" w:rsidR="00046BD5" w:rsidRPr="00DE108C" w:rsidRDefault="00046BD5" w:rsidP="00ED094E">
            <w:pPr>
              <w:rPr>
                <w:sz w:val="16"/>
                <w:szCs w:val="16"/>
              </w:rPr>
            </w:pPr>
            <w:r w:rsidRPr="00DE108C">
              <w:rPr>
                <w:sz w:val="16"/>
                <w:szCs w:val="16"/>
              </w:rPr>
              <w:t>16.6</w:t>
            </w:r>
          </w:p>
        </w:tc>
        <w:tc>
          <w:tcPr>
            <w:tcW w:w="1500"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6BB27CB7" w14:textId="77777777" w:rsidR="00046BD5" w:rsidRPr="00DE108C" w:rsidRDefault="00046BD5" w:rsidP="00ED094E">
            <w:pPr>
              <w:rPr>
                <w:rFonts w:eastAsia="Aptos Narrow"/>
                <w:sz w:val="16"/>
                <w:szCs w:val="16"/>
              </w:rPr>
            </w:pPr>
            <w:r w:rsidRPr="00DE108C">
              <w:rPr>
                <w:sz w:val="16"/>
                <w:szCs w:val="16"/>
              </w:rPr>
              <w:t>2.0</w:t>
            </w:r>
          </w:p>
        </w:tc>
      </w:tr>
    </w:tbl>
    <w:p w14:paraId="514006BD" w14:textId="77777777" w:rsidR="00046BD5" w:rsidRPr="00DE108C" w:rsidRDefault="00046BD5" w:rsidP="00ED094E">
      <w:pPr>
        <w:rPr>
          <w:rFonts w:eastAsia="Aptos"/>
        </w:rPr>
      </w:pPr>
      <w:r w:rsidRPr="00DE108C">
        <w:rPr>
          <w:rFonts w:eastAsia="Aptos"/>
        </w:rPr>
        <w:t>Melbourne Water is proposing to capitalise the forecast operating costs to de-scum and de-sludge 55E. These are one-off events, completed at irregular intervals. De-scumming and desludging at 55E were last completed in 2021.</w:t>
      </w:r>
    </w:p>
    <w:p w14:paraId="204F563B" w14:textId="77777777" w:rsidR="00046BD5" w:rsidRPr="00DE108C" w:rsidRDefault="00046BD5" w:rsidP="00ED094E">
      <w:pPr>
        <w:rPr>
          <w:rFonts w:eastAsia="Aptos"/>
        </w:rPr>
      </w:pPr>
      <w:r w:rsidRPr="00DE108C">
        <w:rPr>
          <w:rFonts w:eastAsia="Aptos"/>
        </w:rPr>
        <w:t>The timing of the expenditure relates to the rate of accumulation of scum and sludge, which is primarily a function of load to the plant. Melbourne Water’s forecast of expected de-scumming and desludging costs at 55E demonstrates that the proposed expenditure is ‘lumpy’ in nature, meaning expenditure is only incurred every seven years on average, which is considered the benefit period. Consequently, the proposed expenditure on average generates customer benefits across two regulatory periods.</w:t>
      </w:r>
    </w:p>
    <w:p w14:paraId="1EABD98C" w14:textId="77777777" w:rsidR="00046BD5" w:rsidRPr="00DE108C" w:rsidRDefault="00046BD5" w:rsidP="00ED094E">
      <w:pPr>
        <w:rPr>
          <w:rFonts w:eastAsia="Aptos"/>
        </w:rPr>
      </w:pPr>
      <w:r w:rsidRPr="00DE108C">
        <w:rPr>
          <w:rFonts w:eastAsia="Aptos"/>
        </w:rPr>
        <w:t>We propose to recover the costs over seven years.</w:t>
      </w:r>
    </w:p>
    <w:p w14:paraId="41C5879B" w14:textId="4EAC8582" w:rsidR="00046BD5" w:rsidRPr="00DE108C" w:rsidRDefault="00046BD5" w:rsidP="00ED094E">
      <w:pPr>
        <w:rPr>
          <w:rFonts w:eastAsia="Aptos"/>
        </w:rPr>
      </w:pPr>
      <w:r w:rsidRPr="00DE108C">
        <w:rPr>
          <w:rFonts w:eastAsia="Aptos"/>
        </w:rPr>
        <w:lastRenderedPageBreak/>
        <w:t>The capitalisation does not generate large impacts to customers. Capitalising rather than expensing will reduce the forecast revenue requirement in the 2026-31 period by $23.</w:t>
      </w:r>
      <w:r w:rsidR="008C6483" w:rsidRPr="00DE108C">
        <w:rPr>
          <w:rFonts w:eastAsia="Aptos"/>
        </w:rPr>
        <w:t>8</w:t>
      </w:r>
      <w:r w:rsidRPr="00DE108C">
        <w:rPr>
          <w:rFonts w:eastAsia="Aptos"/>
        </w:rPr>
        <w:t> million, as shown in Table 6.14. The $11.</w:t>
      </w:r>
      <w:r w:rsidR="00F9640F" w:rsidRPr="00DE108C">
        <w:rPr>
          <w:rFonts w:eastAsia="Aptos"/>
        </w:rPr>
        <w:t>4</w:t>
      </w:r>
      <w:r w:rsidRPr="00DE108C">
        <w:rPr>
          <w:rFonts w:eastAsia="Aptos"/>
        </w:rPr>
        <w:t> million revenue requirement after capitalisation in the 2026-31 period is around 0.</w:t>
      </w:r>
      <w:r w:rsidR="00F9640F" w:rsidRPr="00DE108C">
        <w:rPr>
          <w:rFonts w:eastAsia="Aptos"/>
        </w:rPr>
        <w:t>1</w:t>
      </w:r>
      <w:r w:rsidRPr="00DE108C">
        <w:rPr>
          <w:rFonts w:eastAsia="Aptos"/>
        </w:rPr>
        <w:t xml:space="preserve"> per cent of the total PS26 revenue requirement.</w:t>
      </w:r>
    </w:p>
    <w:p w14:paraId="51F0248B" w14:textId="77777777" w:rsidR="00046BD5" w:rsidRPr="00DE108C" w:rsidRDefault="00046BD5" w:rsidP="00ED094E">
      <w:pPr>
        <w:rPr>
          <w:rFonts w:eastAsia="Aptos"/>
        </w:rPr>
      </w:pPr>
    </w:p>
    <w:p w14:paraId="04B6BD2B" w14:textId="3699A0D9" w:rsidR="00046BD5" w:rsidRPr="00DE108C" w:rsidRDefault="00046BD5" w:rsidP="00ED094E">
      <w:pPr>
        <w:pStyle w:val="Caption"/>
      </w:pPr>
      <w:bookmarkStart w:id="572" w:name="_Toc207893041"/>
      <w:bookmarkStart w:id="573" w:name="_Toc208490565"/>
      <w:bookmarkStart w:id="574" w:name="_Toc208490903"/>
      <w:bookmarkStart w:id="575" w:name="_Toc208911061"/>
      <w:bookmarkStart w:id="576" w:name="_Toc210051367"/>
      <w:r w:rsidRPr="00DE108C">
        <w:t xml:space="preserve">Table 6.14: Impacts to revenue requirement of </w:t>
      </w:r>
      <w:r w:rsidR="5D3D0730">
        <w:t>d</w:t>
      </w:r>
      <w:r w:rsidRPr="00DE108C">
        <w:t>e-scumming and desludging at lagoon 55E at WTP ($millions, real 2025-26)</w:t>
      </w:r>
      <w:bookmarkEnd w:id="572"/>
      <w:bookmarkEnd w:id="573"/>
      <w:bookmarkEnd w:id="574"/>
      <w:bookmarkEnd w:id="575"/>
      <w:bookmarkEnd w:id="576"/>
    </w:p>
    <w:tbl>
      <w:tblPr>
        <w:tblStyle w:val="TableGrid"/>
        <w:tblW w:w="0" w:type="auto"/>
        <w:tblLayout w:type="fixed"/>
        <w:tblLook w:val="0420" w:firstRow="1" w:lastRow="0" w:firstColumn="0" w:lastColumn="0" w:noHBand="0" w:noVBand="1"/>
      </w:tblPr>
      <w:tblGrid>
        <w:gridCol w:w="2684"/>
        <w:gridCol w:w="2976"/>
        <w:gridCol w:w="3119"/>
      </w:tblGrid>
      <w:tr w:rsidR="00046BD5" w:rsidRPr="00DE108C" w14:paraId="3E1F8473" w14:textId="77777777">
        <w:trPr>
          <w:cnfStyle w:val="100000000000" w:firstRow="1" w:lastRow="0" w:firstColumn="0" w:lastColumn="0" w:oddVBand="0" w:evenVBand="0" w:oddHBand="0" w:evenHBand="0" w:firstRowFirstColumn="0" w:firstRowLastColumn="0" w:lastRowFirstColumn="0" w:lastRowLastColumn="0"/>
          <w:trHeight w:val="300"/>
        </w:trPr>
        <w:tc>
          <w:tcPr>
            <w:tcW w:w="2684"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7183D7D6"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 xml:space="preserve"> </w:t>
            </w:r>
          </w:p>
        </w:tc>
        <w:tc>
          <w:tcPr>
            <w:tcW w:w="2976"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69FC15F0"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Total revenue requirement PS26 customers</w:t>
            </w:r>
          </w:p>
        </w:tc>
        <w:tc>
          <w:tcPr>
            <w:tcW w:w="3119"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06E2994B"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Total revenue requirement PS31 customers</w:t>
            </w:r>
          </w:p>
        </w:tc>
      </w:tr>
      <w:tr w:rsidR="00046BD5" w:rsidRPr="00DE108C" w14:paraId="01CF9C8A" w14:textId="77777777">
        <w:trPr>
          <w:trHeight w:val="300"/>
        </w:trPr>
        <w:tc>
          <w:tcPr>
            <w:tcW w:w="268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5A28FE13" w14:textId="77777777" w:rsidR="00046BD5" w:rsidRPr="00DE108C" w:rsidRDefault="00046BD5" w:rsidP="00ED094E">
            <w:pPr>
              <w:rPr>
                <w:sz w:val="16"/>
                <w:szCs w:val="16"/>
              </w:rPr>
            </w:pPr>
            <w:r w:rsidRPr="00DE108C">
              <w:rPr>
                <w:rFonts w:eastAsia="Aptos" w:cs="Aptos"/>
                <w:sz w:val="16"/>
                <w:szCs w:val="16"/>
              </w:rPr>
              <w:t>Before capitalisation</w:t>
            </w:r>
          </w:p>
        </w:tc>
        <w:tc>
          <w:tcPr>
            <w:tcW w:w="29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71A817FC" w14:textId="571DEA6E" w:rsidR="00046BD5" w:rsidRPr="00DE108C" w:rsidRDefault="00046BD5" w:rsidP="00ED094E">
            <w:pPr>
              <w:rPr>
                <w:rFonts w:eastAsia="Aptos" w:cs="Aptos"/>
                <w:sz w:val="16"/>
                <w:szCs w:val="16"/>
              </w:rPr>
            </w:pPr>
            <w:r w:rsidRPr="00DE108C">
              <w:rPr>
                <w:rFonts w:eastAsia="Aptos" w:cs="Aptos"/>
                <w:sz w:val="16"/>
                <w:szCs w:val="16"/>
              </w:rPr>
              <w:t>35.2</w:t>
            </w:r>
          </w:p>
        </w:tc>
        <w:tc>
          <w:tcPr>
            <w:tcW w:w="3119"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58AD0CC4" w14:textId="77777777" w:rsidR="00046BD5" w:rsidRPr="00DE108C" w:rsidRDefault="00046BD5" w:rsidP="00ED094E">
            <w:pPr>
              <w:rPr>
                <w:sz w:val="16"/>
                <w:szCs w:val="16"/>
              </w:rPr>
            </w:pPr>
            <w:r w:rsidRPr="00DE108C">
              <w:rPr>
                <w:sz w:val="16"/>
                <w:szCs w:val="16"/>
              </w:rPr>
              <w:t>-</w:t>
            </w:r>
          </w:p>
        </w:tc>
      </w:tr>
      <w:tr w:rsidR="00A043F7" w:rsidRPr="00DE108C" w14:paraId="68EB02E0" w14:textId="77777777">
        <w:trPr>
          <w:cnfStyle w:val="000000010000" w:firstRow="0" w:lastRow="0" w:firstColumn="0" w:lastColumn="0" w:oddVBand="0" w:evenVBand="0" w:oddHBand="0" w:evenHBand="1" w:firstRowFirstColumn="0" w:firstRowLastColumn="0" w:lastRowFirstColumn="0" w:lastRowLastColumn="0"/>
          <w:trHeight w:val="300"/>
        </w:trPr>
        <w:tc>
          <w:tcPr>
            <w:tcW w:w="268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14B50BBD" w14:textId="77777777" w:rsidR="00046BD5" w:rsidRPr="00DE108C" w:rsidRDefault="00046BD5" w:rsidP="00ED094E">
            <w:pPr>
              <w:rPr>
                <w:sz w:val="16"/>
                <w:szCs w:val="16"/>
              </w:rPr>
            </w:pPr>
            <w:r w:rsidRPr="00DE108C">
              <w:rPr>
                <w:rFonts w:eastAsia="Aptos" w:cs="Aptos"/>
                <w:sz w:val="16"/>
                <w:szCs w:val="16"/>
              </w:rPr>
              <w:t>After capitalisation</w:t>
            </w:r>
          </w:p>
        </w:tc>
        <w:tc>
          <w:tcPr>
            <w:tcW w:w="29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00900E95" w14:textId="2B168C83" w:rsidR="00046BD5" w:rsidRPr="00DE108C" w:rsidRDefault="00046BD5" w:rsidP="00ED094E">
            <w:pPr>
              <w:rPr>
                <w:rFonts w:eastAsia="Aptos" w:cs="Aptos"/>
                <w:sz w:val="16"/>
                <w:szCs w:val="16"/>
              </w:rPr>
            </w:pPr>
            <w:r w:rsidRPr="00DE108C">
              <w:rPr>
                <w:rFonts w:eastAsia="Aptos" w:cs="Aptos"/>
                <w:sz w:val="16"/>
                <w:szCs w:val="16"/>
              </w:rPr>
              <w:t>11.</w:t>
            </w:r>
            <w:r w:rsidR="00F9640F" w:rsidRPr="00DE108C">
              <w:rPr>
                <w:rFonts w:eastAsia="Aptos" w:cs="Aptos"/>
                <w:sz w:val="16"/>
                <w:szCs w:val="16"/>
              </w:rPr>
              <w:t>4</w:t>
            </w:r>
          </w:p>
        </w:tc>
        <w:tc>
          <w:tcPr>
            <w:tcW w:w="3119"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318C2819" w14:textId="3D25A917" w:rsidR="00046BD5" w:rsidRPr="00DE108C" w:rsidRDefault="00046BD5" w:rsidP="00ED094E">
            <w:pPr>
              <w:rPr>
                <w:rFonts w:eastAsia="Aptos" w:cs="Aptos"/>
                <w:sz w:val="16"/>
                <w:szCs w:val="16"/>
              </w:rPr>
            </w:pPr>
            <w:r w:rsidRPr="00DE108C">
              <w:rPr>
                <w:rFonts w:eastAsia="Aptos" w:cs="Aptos"/>
                <w:sz w:val="16"/>
                <w:szCs w:val="16"/>
              </w:rPr>
              <w:t>26.</w:t>
            </w:r>
            <w:r w:rsidR="00F9640F" w:rsidRPr="00DE108C">
              <w:rPr>
                <w:rFonts w:eastAsia="Aptos" w:cs="Aptos"/>
                <w:sz w:val="16"/>
                <w:szCs w:val="16"/>
              </w:rPr>
              <w:t>2</w:t>
            </w:r>
          </w:p>
        </w:tc>
      </w:tr>
      <w:tr w:rsidR="00046BD5" w:rsidRPr="00DE108C" w14:paraId="257D1479" w14:textId="77777777">
        <w:trPr>
          <w:trHeight w:val="300"/>
        </w:trPr>
        <w:tc>
          <w:tcPr>
            <w:tcW w:w="268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1ADA2EC5" w14:textId="77777777" w:rsidR="00046BD5" w:rsidRPr="00DE108C" w:rsidRDefault="00046BD5" w:rsidP="00ED094E">
            <w:pPr>
              <w:rPr>
                <w:sz w:val="16"/>
                <w:szCs w:val="16"/>
              </w:rPr>
            </w:pPr>
            <w:r w:rsidRPr="00DE108C">
              <w:rPr>
                <w:rFonts w:eastAsia="Aptos" w:cs="Aptos"/>
                <w:sz w:val="16"/>
                <w:szCs w:val="16"/>
              </w:rPr>
              <w:t>Difference</w:t>
            </w:r>
          </w:p>
        </w:tc>
        <w:tc>
          <w:tcPr>
            <w:tcW w:w="297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3F410033" w14:textId="68B47EBB" w:rsidR="00046BD5" w:rsidRPr="00DE108C" w:rsidRDefault="00046BD5" w:rsidP="00ED094E">
            <w:pPr>
              <w:rPr>
                <w:rFonts w:eastAsia="Aptos" w:cs="Aptos"/>
                <w:sz w:val="16"/>
                <w:szCs w:val="16"/>
              </w:rPr>
            </w:pPr>
            <w:r w:rsidRPr="00DE108C">
              <w:rPr>
                <w:rFonts w:eastAsia="Aptos" w:cs="Aptos"/>
                <w:sz w:val="16"/>
                <w:szCs w:val="16"/>
              </w:rPr>
              <w:t>-23.</w:t>
            </w:r>
            <w:r w:rsidR="00F9640F" w:rsidRPr="00DE108C">
              <w:rPr>
                <w:rFonts w:eastAsia="Aptos" w:cs="Aptos"/>
                <w:sz w:val="16"/>
                <w:szCs w:val="16"/>
              </w:rPr>
              <w:t>8</w:t>
            </w:r>
          </w:p>
        </w:tc>
        <w:tc>
          <w:tcPr>
            <w:tcW w:w="3119"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3BB18D0E" w14:textId="1C27AAA4" w:rsidR="00046BD5" w:rsidRPr="00DE108C" w:rsidRDefault="00046BD5" w:rsidP="00ED094E">
            <w:pPr>
              <w:rPr>
                <w:rFonts w:eastAsia="Aptos" w:cs="Aptos"/>
                <w:sz w:val="16"/>
                <w:szCs w:val="16"/>
              </w:rPr>
            </w:pPr>
            <w:r w:rsidRPr="00DE108C">
              <w:rPr>
                <w:rFonts w:eastAsia="Aptos" w:cs="Aptos"/>
                <w:sz w:val="16"/>
                <w:szCs w:val="16"/>
              </w:rPr>
              <w:t>26.</w:t>
            </w:r>
            <w:r w:rsidR="00F9640F" w:rsidRPr="00DE108C">
              <w:rPr>
                <w:rFonts w:eastAsia="Aptos" w:cs="Aptos"/>
                <w:sz w:val="16"/>
                <w:szCs w:val="16"/>
              </w:rPr>
              <w:t>2</w:t>
            </w:r>
          </w:p>
        </w:tc>
      </w:tr>
    </w:tbl>
    <w:p w14:paraId="4A873D40" w14:textId="77777777" w:rsidR="00046BD5" w:rsidRPr="00DE108C" w:rsidRDefault="00046BD5" w:rsidP="00ED094E"/>
    <w:p w14:paraId="41458B2E" w14:textId="3091334A" w:rsidR="00046BD5" w:rsidRPr="00DE108C" w:rsidRDefault="00046BD5">
      <w:pPr>
        <w:pStyle w:val="Heading4"/>
      </w:pPr>
      <w:r w:rsidRPr="00DE108C">
        <w:t>6.3.</w:t>
      </w:r>
      <w:r w:rsidR="009F409A">
        <w:t>2</w:t>
      </w:r>
      <w:r w:rsidRPr="00DE108C">
        <w:t>.2 Capitalising sludge carting costs at Eastern Treatment Plant</w:t>
      </w:r>
      <w:r w:rsidR="002F2A37">
        <w:t xml:space="preserve"> (</w:t>
      </w:r>
      <w:r w:rsidR="698F3E61">
        <w:t>ETP</w:t>
      </w:r>
      <w:r w:rsidR="002F2A37">
        <w:t>)</w:t>
      </w:r>
    </w:p>
    <w:p w14:paraId="23F92FC4" w14:textId="5332D268" w:rsidR="00046BD5" w:rsidRPr="00DE108C" w:rsidRDefault="00046BD5" w:rsidP="00ED094E">
      <w:pPr>
        <w:rPr>
          <w:rFonts w:eastAsia="Aptos"/>
        </w:rPr>
      </w:pPr>
      <w:r w:rsidRPr="00DE108C">
        <w:rPr>
          <w:rFonts w:eastAsia="Aptos"/>
        </w:rPr>
        <w:t xml:space="preserve">The </w:t>
      </w:r>
      <w:r w:rsidR="13AB9466" w:rsidRPr="425138B5">
        <w:rPr>
          <w:rFonts w:eastAsia="Aptos"/>
        </w:rPr>
        <w:t>ETP</w:t>
      </w:r>
      <w:r w:rsidRPr="00DE108C">
        <w:rPr>
          <w:rFonts w:eastAsia="Aptos"/>
        </w:rPr>
        <w:t xml:space="preserve"> Excess Solids Interim Risk Management project supplies alternative process capacity to allow the </w:t>
      </w:r>
      <w:r w:rsidR="1FF1CDD8" w:rsidRPr="425138B5">
        <w:rPr>
          <w:rFonts w:eastAsia="Aptos"/>
        </w:rPr>
        <w:t>ETP</w:t>
      </w:r>
      <w:r w:rsidRPr="00DE108C">
        <w:rPr>
          <w:rFonts w:eastAsia="Aptos"/>
        </w:rPr>
        <w:t xml:space="preserve"> digesters to be taken offline one at a time and renewed and upgraded for growth, while minimising the likelihood of major process failure. The scope of the project includes:</w:t>
      </w:r>
    </w:p>
    <w:p w14:paraId="29AA33B1" w14:textId="0987BA7D" w:rsidR="00046BD5" w:rsidRPr="00DE108C" w:rsidRDefault="42CF5628" w:rsidP="00D411F5">
      <w:pPr>
        <w:pStyle w:val="ListBullet"/>
        <w:rPr>
          <w:rFonts w:eastAsia="Aptos"/>
        </w:rPr>
      </w:pPr>
      <w:r w:rsidRPr="425138B5">
        <w:rPr>
          <w:rFonts w:eastAsia="Aptos"/>
        </w:rPr>
        <w:t>i</w:t>
      </w:r>
      <w:r w:rsidR="00046BD5" w:rsidRPr="425138B5">
        <w:rPr>
          <w:rFonts w:eastAsia="Aptos"/>
        </w:rPr>
        <w:t>nstallation</w:t>
      </w:r>
      <w:r w:rsidR="00046BD5" w:rsidRPr="00DE108C">
        <w:rPr>
          <w:rFonts w:eastAsia="Aptos"/>
        </w:rPr>
        <w:t xml:space="preserve"> of mechanical equipment to de-water sludge from </w:t>
      </w:r>
      <w:r w:rsidR="1A02A0EF" w:rsidRPr="425138B5">
        <w:rPr>
          <w:rFonts w:eastAsia="Aptos"/>
        </w:rPr>
        <w:t>ETP</w:t>
      </w:r>
      <w:r w:rsidR="00046BD5" w:rsidRPr="425138B5">
        <w:rPr>
          <w:rFonts w:eastAsia="Aptos"/>
        </w:rPr>
        <w:t>’s</w:t>
      </w:r>
      <w:r w:rsidR="00046BD5" w:rsidRPr="00DE108C">
        <w:rPr>
          <w:rFonts w:eastAsia="Aptos"/>
        </w:rPr>
        <w:t xml:space="preserve"> secondary treatment process</w:t>
      </w:r>
    </w:p>
    <w:p w14:paraId="018DDDB4" w14:textId="151E9E28" w:rsidR="00046BD5" w:rsidRPr="00DE108C" w:rsidRDefault="182BCFBA" w:rsidP="00D411F5">
      <w:pPr>
        <w:pStyle w:val="ListBullet"/>
        <w:rPr>
          <w:rFonts w:eastAsia="Aptos"/>
        </w:rPr>
      </w:pPr>
      <w:r w:rsidRPr="425138B5">
        <w:rPr>
          <w:rFonts w:eastAsia="Aptos"/>
        </w:rPr>
        <w:t>i</w:t>
      </w:r>
      <w:r w:rsidR="00046BD5" w:rsidRPr="00DE108C">
        <w:rPr>
          <w:rFonts w:eastAsia="Aptos"/>
        </w:rPr>
        <w:t xml:space="preserve">nstallation of sludge receival facilities at </w:t>
      </w:r>
      <w:r w:rsidR="70DC2AA2" w:rsidRPr="425138B5">
        <w:rPr>
          <w:rFonts w:eastAsia="Aptos"/>
        </w:rPr>
        <w:t>WTP</w:t>
      </w:r>
    </w:p>
    <w:p w14:paraId="3A7EF20C" w14:textId="618033B8" w:rsidR="00046BD5" w:rsidRPr="00DE108C" w:rsidRDefault="70DC2AA2" w:rsidP="00D411F5">
      <w:pPr>
        <w:pStyle w:val="ListBullet"/>
        <w:rPr>
          <w:rFonts w:eastAsia="Aptos"/>
        </w:rPr>
      </w:pPr>
      <w:r w:rsidRPr="425138B5">
        <w:rPr>
          <w:rFonts w:eastAsia="Aptos"/>
        </w:rPr>
        <w:t>t</w:t>
      </w:r>
      <w:r w:rsidR="00046BD5" w:rsidRPr="00DE108C">
        <w:rPr>
          <w:rFonts w:eastAsia="Aptos"/>
        </w:rPr>
        <w:t xml:space="preserve">ransport of the de-watered solids to </w:t>
      </w:r>
      <w:r w:rsidR="68E40587" w:rsidRPr="425138B5">
        <w:rPr>
          <w:rFonts w:eastAsia="Aptos"/>
        </w:rPr>
        <w:t>WTP</w:t>
      </w:r>
      <w:r w:rsidR="00046BD5" w:rsidRPr="00DE108C">
        <w:rPr>
          <w:rFonts w:eastAsia="Aptos"/>
        </w:rPr>
        <w:t xml:space="preserve"> or a third-party disposal site as required.</w:t>
      </w:r>
    </w:p>
    <w:p w14:paraId="33187DEB" w14:textId="77777777" w:rsidR="00046BD5" w:rsidRPr="00DE108C" w:rsidRDefault="00046BD5" w:rsidP="00ED094E">
      <w:pPr>
        <w:rPr>
          <w:rFonts w:eastAsia="Aptos"/>
        </w:rPr>
      </w:pPr>
      <w:r w:rsidRPr="00DE108C">
        <w:rPr>
          <w:rFonts w:eastAsia="Aptos"/>
        </w:rPr>
        <w:t>The design and construction of the mechanical equipment and sludge receival facilities is being capitalised under standard capital project processes. The expenditure related to removing, drying, transporting, and disposing of the sludge is significant.</w:t>
      </w:r>
    </w:p>
    <w:p w14:paraId="4DA37138" w14:textId="77777777" w:rsidR="00046BD5" w:rsidRPr="00DE108C" w:rsidRDefault="00046BD5" w:rsidP="00ED094E">
      <w:pPr>
        <w:rPr>
          <w:rFonts w:eastAsia="Aptos"/>
        </w:rPr>
      </w:pPr>
      <w:r w:rsidRPr="00DE108C">
        <w:rPr>
          <w:rFonts w:eastAsia="Aptos"/>
        </w:rPr>
        <w:t>The sludge carting project is expected to commence in January 2026 (when the first digester comes offline) and is estimated to conclude in 2031-32. The plant is intended to operate every day to provide the necessary process capacity.</w:t>
      </w:r>
    </w:p>
    <w:p w14:paraId="123B4AD0" w14:textId="3BED9290" w:rsidR="00046BD5" w:rsidRPr="00DE108C" w:rsidRDefault="00046BD5" w:rsidP="00ED094E">
      <w:pPr>
        <w:rPr>
          <w:rFonts w:eastAsia="Aptos"/>
        </w:rPr>
      </w:pPr>
      <w:r w:rsidRPr="00DE108C">
        <w:rPr>
          <w:rFonts w:eastAsia="Aptos"/>
        </w:rPr>
        <w:t xml:space="preserve">The total proposed capitalised </w:t>
      </w:r>
      <w:r w:rsidR="55BE6D48" w:rsidRPr="425138B5">
        <w:rPr>
          <w:rFonts w:eastAsia="Aptos"/>
        </w:rPr>
        <w:t>opex</w:t>
      </w:r>
      <w:r w:rsidRPr="00DE108C">
        <w:rPr>
          <w:rFonts w:eastAsia="Aptos"/>
        </w:rPr>
        <w:t xml:space="preserve"> costs related to sludge carting at </w:t>
      </w:r>
      <w:r w:rsidR="18607BA4" w:rsidRPr="425138B5">
        <w:rPr>
          <w:rFonts w:eastAsia="Aptos"/>
        </w:rPr>
        <w:t>ETP</w:t>
      </w:r>
      <w:r w:rsidRPr="00DE108C">
        <w:rPr>
          <w:rFonts w:eastAsia="Aptos"/>
        </w:rPr>
        <w:t xml:space="preserve"> are detailed in Table 6.15.</w:t>
      </w:r>
    </w:p>
    <w:p w14:paraId="07B1BC65" w14:textId="77777777" w:rsidR="00046BD5" w:rsidRPr="00DE108C" w:rsidRDefault="00046BD5" w:rsidP="00ED094E">
      <w:pPr>
        <w:rPr>
          <w:rFonts w:eastAsia="Aptos"/>
        </w:rPr>
      </w:pPr>
    </w:p>
    <w:p w14:paraId="48953653" w14:textId="77777777" w:rsidR="00046BD5" w:rsidRPr="00DE108C" w:rsidRDefault="00046BD5" w:rsidP="00ED094E">
      <w:pPr>
        <w:pStyle w:val="Caption"/>
      </w:pPr>
      <w:bookmarkStart w:id="577" w:name="_Toc207893042"/>
      <w:bookmarkStart w:id="578" w:name="_Toc208490566"/>
      <w:bookmarkStart w:id="579" w:name="_Toc208490904"/>
      <w:bookmarkStart w:id="580" w:name="_Toc208911062"/>
      <w:bookmarkStart w:id="581" w:name="_Toc210051368"/>
      <w:r w:rsidRPr="00DE108C">
        <w:t>Table 6.15: Forecast operating costs (to capitalised) of sludge carting at ETP ($millions, real 2025-26)</w:t>
      </w:r>
      <w:bookmarkEnd w:id="577"/>
      <w:bookmarkEnd w:id="578"/>
      <w:bookmarkEnd w:id="579"/>
      <w:bookmarkEnd w:id="580"/>
      <w:bookmarkEnd w:id="581"/>
    </w:p>
    <w:tbl>
      <w:tblPr>
        <w:tblStyle w:val="TableGrid"/>
        <w:tblW w:w="0" w:type="auto"/>
        <w:tblLayout w:type="fixed"/>
        <w:tblLook w:val="0420" w:firstRow="1" w:lastRow="0" w:firstColumn="0" w:lastColumn="0" w:noHBand="0" w:noVBand="1"/>
      </w:tblPr>
      <w:tblGrid>
        <w:gridCol w:w="1288"/>
        <w:gridCol w:w="1288"/>
        <w:gridCol w:w="1289"/>
        <w:gridCol w:w="1289"/>
        <w:gridCol w:w="1289"/>
        <w:gridCol w:w="1286"/>
        <w:gridCol w:w="1286"/>
      </w:tblGrid>
      <w:tr w:rsidR="00046BD5" w:rsidRPr="00DE108C" w14:paraId="183A0116" w14:textId="77777777">
        <w:trPr>
          <w:cnfStyle w:val="100000000000" w:firstRow="1" w:lastRow="0" w:firstColumn="0" w:lastColumn="0" w:oddVBand="0" w:evenVBand="0" w:oddHBand="0" w:evenHBand="0" w:firstRowFirstColumn="0" w:firstRowLastColumn="0" w:lastRowFirstColumn="0" w:lastRowLastColumn="0"/>
          <w:trHeight w:val="300"/>
        </w:trPr>
        <w:tc>
          <w:tcPr>
            <w:tcW w:w="1288"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1F51DA82"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Project</w:t>
            </w:r>
          </w:p>
        </w:tc>
        <w:tc>
          <w:tcPr>
            <w:tcW w:w="1288"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2238643A"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2026-27</w:t>
            </w:r>
          </w:p>
        </w:tc>
        <w:tc>
          <w:tcPr>
            <w:tcW w:w="1289"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6869C4FB"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2027-28</w:t>
            </w:r>
          </w:p>
        </w:tc>
        <w:tc>
          <w:tcPr>
            <w:tcW w:w="1289"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3CB6CF10"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2028-29</w:t>
            </w:r>
          </w:p>
        </w:tc>
        <w:tc>
          <w:tcPr>
            <w:tcW w:w="1289"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4C3278A5"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2029-30</w:t>
            </w:r>
          </w:p>
        </w:tc>
        <w:tc>
          <w:tcPr>
            <w:tcW w:w="1286"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474B37FE"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2030-31</w:t>
            </w:r>
          </w:p>
        </w:tc>
        <w:tc>
          <w:tcPr>
            <w:tcW w:w="1286"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2BAFF440"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2031-32</w:t>
            </w:r>
          </w:p>
        </w:tc>
      </w:tr>
      <w:tr w:rsidR="00046BD5" w:rsidRPr="00DE108C" w14:paraId="6178C3DE" w14:textId="77777777">
        <w:trPr>
          <w:trHeight w:val="300"/>
        </w:trPr>
        <w:tc>
          <w:tcPr>
            <w:tcW w:w="1288"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04486790" w14:textId="77777777" w:rsidR="00046BD5" w:rsidRPr="00DE108C" w:rsidRDefault="00046BD5" w:rsidP="00ED094E">
            <w:pPr>
              <w:rPr>
                <w:sz w:val="16"/>
                <w:szCs w:val="16"/>
              </w:rPr>
            </w:pPr>
            <w:r w:rsidRPr="00DE108C">
              <w:rPr>
                <w:rFonts w:eastAsia="Aptos"/>
                <w:sz w:val="16"/>
                <w:szCs w:val="16"/>
              </w:rPr>
              <w:t>Sludge carting at ETP</w:t>
            </w:r>
          </w:p>
        </w:tc>
        <w:tc>
          <w:tcPr>
            <w:tcW w:w="1288"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68B9A620" w14:textId="77777777" w:rsidR="00046BD5" w:rsidRPr="00DE108C" w:rsidRDefault="00046BD5" w:rsidP="00ED094E">
            <w:pPr>
              <w:rPr>
                <w:sz w:val="16"/>
                <w:szCs w:val="16"/>
              </w:rPr>
            </w:pPr>
            <w:r w:rsidRPr="00DE108C">
              <w:rPr>
                <w:sz w:val="16"/>
                <w:szCs w:val="16"/>
              </w:rPr>
              <w:t>4.6</w:t>
            </w:r>
          </w:p>
        </w:tc>
        <w:tc>
          <w:tcPr>
            <w:tcW w:w="1289"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3526F6E9" w14:textId="77777777" w:rsidR="00046BD5" w:rsidRPr="00DE108C" w:rsidRDefault="00046BD5" w:rsidP="00ED094E">
            <w:pPr>
              <w:rPr>
                <w:sz w:val="16"/>
                <w:szCs w:val="16"/>
              </w:rPr>
            </w:pPr>
            <w:r w:rsidRPr="00DE108C">
              <w:rPr>
                <w:sz w:val="16"/>
                <w:szCs w:val="16"/>
              </w:rPr>
              <w:t>4.6</w:t>
            </w:r>
          </w:p>
        </w:tc>
        <w:tc>
          <w:tcPr>
            <w:tcW w:w="1289"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32DB27F4" w14:textId="77777777" w:rsidR="00046BD5" w:rsidRPr="00DE108C" w:rsidRDefault="00046BD5" w:rsidP="00ED094E">
            <w:pPr>
              <w:rPr>
                <w:sz w:val="16"/>
                <w:szCs w:val="16"/>
              </w:rPr>
            </w:pPr>
            <w:r w:rsidRPr="00DE108C">
              <w:rPr>
                <w:sz w:val="16"/>
                <w:szCs w:val="16"/>
              </w:rPr>
              <w:t>4.6</w:t>
            </w:r>
          </w:p>
        </w:tc>
        <w:tc>
          <w:tcPr>
            <w:tcW w:w="1289"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1C989748" w14:textId="77777777" w:rsidR="00046BD5" w:rsidRPr="00DE108C" w:rsidRDefault="00046BD5" w:rsidP="00ED094E">
            <w:pPr>
              <w:rPr>
                <w:sz w:val="16"/>
                <w:szCs w:val="16"/>
              </w:rPr>
            </w:pPr>
            <w:r w:rsidRPr="00DE108C">
              <w:rPr>
                <w:sz w:val="16"/>
                <w:szCs w:val="16"/>
              </w:rPr>
              <w:t>4.6</w:t>
            </w:r>
          </w:p>
        </w:tc>
        <w:tc>
          <w:tcPr>
            <w:tcW w:w="128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24F05E41" w14:textId="77777777" w:rsidR="00046BD5" w:rsidRPr="00DE108C" w:rsidRDefault="00046BD5" w:rsidP="00ED094E">
            <w:pPr>
              <w:rPr>
                <w:sz w:val="16"/>
                <w:szCs w:val="16"/>
              </w:rPr>
            </w:pPr>
            <w:r w:rsidRPr="00DE108C">
              <w:rPr>
                <w:sz w:val="16"/>
                <w:szCs w:val="16"/>
              </w:rPr>
              <w:t>4.6</w:t>
            </w:r>
          </w:p>
        </w:tc>
        <w:tc>
          <w:tcPr>
            <w:tcW w:w="1286"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345CA6D3" w14:textId="77777777" w:rsidR="00046BD5" w:rsidRPr="00DE108C" w:rsidRDefault="00046BD5" w:rsidP="00ED094E">
            <w:pPr>
              <w:rPr>
                <w:rFonts w:eastAsia="Aptos Narrow"/>
                <w:sz w:val="16"/>
                <w:szCs w:val="16"/>
              </w:rPr>
            </w:pPr>
            <w:r w:rsidRPr="00DE108C">
              <w:rPr>
                <w:rFonts w:eastAsia="Aptos Narrow"/>
                <w:sz w:val="16"/>
                <w:szCs w:val="16"/>
              </w:rPr>
              <w:t xml:space="preserve"> 2.4</w:t>
            </w:r>
          </w:p>
        </w:tc>
      </w:tr>
    </w:tbl>
    <w:p w14:paraId="70FF05F8" w14:textId="77777777" w:rsidR="00046BD5" w:rsidRPr="00DE108C" w:rsidRDefault="00046BD5" w:rsidP="00ED094E">
      <w:pPr>
        <w:rPr>
          <w:rFonts w:eastAsia="Aptos" w:cs="Aptos"/>
        </w:rPr>
      </w:pPr>
    </w:p>
    <w:p w14:paraId="0294F1A2" w14:textId="13D059C5" w:rsidR="00046BD5" w:rsidRPr="00DE108C" w:rsidRDefault="00046BD5" w:rsidP="00ED094E">
      <w:pPr>
        <w:rPr>
          <w:rFonts w:eastAsia="Aptos"/>
        </w:rPr>
      </w:pPr>
      <w:r w:rsidRPr="00DE108C">
        <w:rPr>
          <w:rFonts w:eastAsia="Aptos"/>
        </w:rPr>
        <w:lastRenderedPageBreak/>
        <w:t xml:space="preserve">This expenditure is required to renew and upgrade the digesters for growth. Digester upgrades are essential to </w:t>
      </w:r>
      <w:r w:rsidRPr="425138B5">
        <w:rPr>
          <w:rFonts w:eastAsia="Aptos"/>
        </w:rPr>
        <w:t>ensur</w:t>
      </w:r>
      <w:r w:rsidR="57D4CFA7" w:rsidRPr="425138B5">
        <w:rPr>
          <w:rFonts w:eastAsia="Aptos"/>
        </w:rPr>
        <w:t>e</w:t>
      </w:r>
      <w:r w:rsidR="17B7193E" w:rsidRPr="425138B5">
        <w:rPr>
          <w:rFonts w:eastAsia="Aptos"/>
        </w:rPr>
        <w:t xml:space="preserve"> ETP</w:t>
      </w:r>
      <w:r w:rsidRPr="425138B5">
        <w:rPr>
          <w:rFonts w:eastAsia="Aptos"/>
        </w:rPr>
        <w:t>’s</w:t>
      </w:r>
      <w:r w:rsidRPr="00DE108C">
        <w:rPr>
          <w:rFonts w:eastAsia="Aptos"/>
        </w:rPr>
        <w:t xml:space="preserve"> wastewater treatment process can run safely and effectively while servicing demand growth. Once a sufficient number of digesters have been upgraded and the associated capacity gains realised, sludge transfers from </w:t>
      </w:r>
      <w:r w:rsidR="5F574744" w:rsidRPr="425138B5">
        <w:rPr>
          <w:rFonts w:eastAsia="Aptos"/>
        </w:rPr>
        <w:t>ETP</w:t>
      </w:r>
      <w:r w:rsidRPr="00DE108C">
        <w:rPr>
          <w:rFonts w:eastAsia="Aptos"/>
        </w:rPr>
        <w:t xml:space="preserve"> will no longer be required and will not form part of standard operations. Therefore, the sludge carting costs will not be standalone opex, as they are integral and cannot be sensibly separated from the capital project of upgrading Melbourne Water’s</w:t>
      </w:r>
      <w:r w:rsidR="53EDDB34" w:rsidRPr="425138B5">
        <w:rPr>
          <w:rFonts w:eastAsia="Aptos"/>
        </w:rPr>
        <w:t xml:space="preserve"> ETP</w:t>
      </w:r>
      <w:r w:rsidRPr="00DE108C">
        <w:rPr>
          <w:rFonts w:eastAsia="Aptos"/>
        </w:rPr>
        <w:t xml:space="preserve"> sludge digestors.</w:t>
      </w:r>
    </w:p>
    <w:p w14:paraId="42935B65" w14:textId="77777777" w:rsidR="00046BD5" w:rsidRPr="00DE108C" w:rsidRDefault="00046BD5" w:rsidP="00ED094E">
      <w:pPr>
        <w:rPr>
          <w:rFonts w:eastAsia="Aptos"/>
        </w:rPr>
      </w:pPr>
      <w:r w:rsidRPr="00DE108C">
        <w:rPr>
          <w:rFonts w:eastAsia="Aptos"/>
        </w:rPr>
        <w:t>We propose to recover the costs over the life of the digestors (35 years) in line with the capex component of the digestor upgrades.</w:t>
      </w:r>
    </w:p>
    <w:p w14:paraId="2A2604B7" w14:textId="7B896624" w:rsidR="00046BD5" w:rsidRPr="00DE108C" w:rsidRDefault="00046BD5" w:rsidP="00ED094E">
      <w:pPr>
        <w:rPr>
          <w:rFonts w:eastAsia="Aptos"/>
        </w:rPr>
      </w:pPr>
      <w:r w:rsidRPr="00DE108C">
        <w:rPr>
          <w:rFonts w:eastAsia="Aptos"/>
        </w:rPr>
        <w:t>The capitalisation does not generate large impacts to customers. Capitalising rather than expensing will reduce the forecast revenue requirement in the 2026-31 period by $19.</w:t>
      </w:r>
      <w:r w:rsidR="005C3529" w:rsidRPr="00DE108C">
        <w:rPr>
          <w:rFonts w:eastAsia="Aptos"/>
        </w:rPr>
        <w:t>8</w:t>
      </w:r>
      <w:r w:rsidRPr="00DE108C">
        <w:rPr>
          <w:rFonts w:eastAsia="Aptos"/>
        </w:rPr>
        <w:t> million, as shown in Table 6.16. The $3.</w:t>
      </w:r>
      <w:r w:rsidR="004B1E66" w:rsidRPr="00DE108C">
        <w:rPr>
          <w:rFonts w:eastAsia="Aptos"/>
        </w:rPr>
        <w:t>3</w:t>
      </w:r>
      <w:r w:rsidRPr="00DE108C">
        <w:rPr>
          <w:rFonts w:eastAsia="Aptos"/>
        </w:rPr>
        <w:t xml:space="preserve"> million revenue requirement in the 2026-31 period is around 0.</w:t>
      </w:r>
      <w:r w:rsidR="004B1E66" w:rsidRPr="00DE108C">
        <w:rPr>
          <w:rFonts w:eastAsia="Aptos"/>
        </w:rPr>
        <w:t>0</w:t>
      </w:r>
      <w:r w:rsidR="00752013" w:rsidRPr="00DE108C">
        <w:rPr>
          <w:rFonts w:eastAsia="Aptos"/>
        </w:rPr>
        <w:t>3</w:t>
      </w:r>
      <w:r w:rsidRPr="00DE108C">
        <w:rPr>
          <w:rFonts w:eastAsia="Aptos"/>
        </w:rPr>
        <w:t xml:space="preserve"> per cent of the total PS26 revenue requirement.</w:t>
      </w:r>
    </w:p>
    <w:p w14:paraId="0F8F9DDA" w14:textId="77777777" w:rsidR="00046BD5" w:rsidRPr="00DE108C" w:rsidRDefault="00046BD5" w:rsidP="00ED094E">
      <w:pPr>
        <w:rPr>
          <w:rFonts w:eastAsia="Aptos" w:cs="Aptos"/>
        </w:rPr>
      </w:pPr>
    </w:p>
    <w:p w14:paraId="13A75E9C" w14:textId="3B109D54" w:rsidR="00046BD5" w:rsidRPr="00DE108C" w:rsidRDefault="00046BD5" w:rsidP="00ED094E">
      <w:pPr>
        <w:pStyle w:val="Caption"/>
      </w:pPr>
      <w:bookmarkStart w:id="582" w:name="_Toc207893043"/>
      <w:bookmarkStart w:id="583" w:name="_Toc208490567"/>
      <w:bookmarkStart w:id="584" w:name="_Toc208490905"/>
      <w:bookmarkStart w:id="585" w:name="_Toc208911063"/>
      <w:bookmarkStart w:id="586" w:name="_Toc210051369"/>
      <w:r w:rsidRPr="00DE108C">
        <w:t xml:space="preserve">Table 6.16: Impacts to revenue requirement of sludge carting at </w:t>
      </w:r>
      <w:r w:rsidR="1BBD7354">
        <w:t>ETP</w:t>
      </w:r>
      <w:r w:rsidRPr="00DE108C">
        <w:t xml:space="preserve"> ($millions, real 2025-26)</w:t>
      </w:r>
      <w:bookmarkEnd w:id="582"/>
      <w:bookmarkEnd w:id="583"/>
      <w:bookmarkEnd w:id="584"/>
      <w:bookmarkEnd w:id="585"/>
      <w:bookmarkEnd w:id="586"/>
    </w:p>
    <w:tbl>
      <w:tblPr>
        <w:tblStyle w:val="TableGrid"/>
        <w:tblW w:w="9062" w:type="dxa"/>
        <w:tblLayout w:type="fixed"/>
        <w:tblLook w:val="0420" w:firstRow="1" w:lastRow="0" w:firstColumn="0" w:lastColumn="0" w:noHBand="0" w:noVBand="1"/>
      </w:tblPr>
      <w:tblGrid>
        <w:gridCol w:w="2684"/>
        <w:gridCol w:w="3118"/>
        <w:gridCol w:w="3260"/>
      </w:tblGrid>
      <w:tr w:rsidR="00046BD5" w:rsidRPr="00DE108C" w14:paraId="50305A8C" w14:textId="77777777">
        <w:trPr>
          <w:cnfStyle w:val="100000000000" w:firstRow="1" w:lastRow="0" w:firstColumn="0" w:lastColumn="0" w:oddVBand="0" w:evenVBand="0" w:oddHBand="0" w:evenHBand="0" w:firstRowFirstColumn="0" w:firstRowLastColumn="0" w:lastRowFirstColumn="0" w:lastRowLastColumn="0"/>
          <w:trHeight w:val="300"/>
        </w:trPr>
        <w:tc>
          <w:tcPr>
            <w:tcW w:w="2684"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16E532CF" w14:textId="37DEB00C" w:rsidR="00046BD5" w:rsidRPr="00DE108C" w:rsidRDefault="00046BD5" w:rsidP="00ED094E">
            <w:pPr>
              <w:rPr>
                <w:color w:val="FFFFFF" w:themeColor="background1"/>
                <w:sz w:val="16"/>
                <w:szCs w:val="16"/>
              </w:rPr>
            </w:pPr>
            <w:r w:rsidRPr="00DE108C">
              <w:rPr>
                <w:rFonts w:eastAsia="Aptos"/>
                <w:color w:val="FFFFFF" w:themeColor="background1"/>
                <w:sz w:val="16"/>
                <w:szCs w:val="16"/>
              </w:rPr>
              <w:t xml:space="preserve"> </w:t>
            </w:r>
          </w:p>
        </w:tc>
        <w:tc>
          <w:tcPr>
            <w:tcW w:w="3118"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71DAE226"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Total revenue requirement PS26 customers</w:t>
            </w:r>
          </w:p>
        </w:tc>
        <w:tc>
          <w:tcPr>
            <w:tcW w:w="3260"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7522B96C"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Total revenue requirement PS31 customers</w:t>
            </w:r>
          </w:p>
        </w:tc>
      </w:tr>
      <w:tr w:rsidR="00046BD5" w:rsidRPr="00DE108C" w14:paraId="6E9CA1A1" w14:textId="77777777">
        <w:trPr>
          <w:trHeight w:val="300"/>
        </w:trPr>
        <w:tc>
          <w:tcPr>
            <w:tcW w:w="268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6A0E7F81" w14:textId="77777777" w:rsidR="00046BD5" w:rsidRPr="00DE108C" w:rsidRDefault="00046BD5" w:rsidP="00ED094E">
            <w:pPr>
              <w:rPr>
                <w:sz w:val="16"/>
                <w:szCs w:val="16"/>
              </w:rPr>
            </w:pPr>
            <w:r w:rsidRPr="00DE108C">
              <w:rPr>
                <w:rFonts w:eastAsia="Aptos" w:cs="Aptos"/>
                <w:sz w:val="16"/>
                <w:szCs w:val="16"/>
              </w:rPr>
              <w:t>Before capitalisation</w:t>
            </w:r>
          </w:p>
        </w:tc>
        <w:tc>
          <w:tcPr>
            <w:tcW w:w="3118"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493E5F1D" w14:textId="737E1676" w:rsidR="00046BD5" w:rsidRPr="00DE108C" w:rsidRDefault="00046BD5" w:rsidP="00ED094E">
            <w:pPr>
              <w:rPr>
                <w:rFonts w:eastAsia="Aptos" w:cs="Aptos"/>
                <w:sz w:val="16"/>
                <w:szCs w:val="16"/>
              </w:rPr>
            </w:pPr>
            <w:r w:rsidRPr="00DE108C">
              <w:rPr>
                <w:rFonts w:eastAsia="Aptos" w:cs="Aptos"/>
                <w:sz w:val="16"/>
                <w:szCs w:val="16"/>
              </w:rPr>
              <w:t>23.1</w:t>
            </w:r>
          </w:p>
        </w:tc>
        <w:tc>
          <w:tcPr>
            <w:tcW w:w="3260"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78D3C0E9" w14:textId="0658E46E" w:rsidR="00046BD5" w:rsidRPr="00DE108C" w:rsidRDefault="00046BD5" w:rsidP="00ED094E">
            <w:pPr>
              <w:rPr>
                <w:rFonts w:eastAsia="Aptos" w:cs="Aptos"/>
                <w:sz w:val="16"/>
                <w:szCs w:val="16"/>
              </w:rPr>
            </w:pPr>
            <w:r w:rsidRPr="00DE108C">
              <w:rPr>
                <w:rFonts w:eastAsia="Aptos" w:cs="Aptos"/>
                <w:sz w:val="16"/>
                <w:szCs w:val="16"/>
              </w:rPr>
              <w:t>2.</w:t>
            </w:r>
            <w:r w:rsidR="004B1E66" w:rsidRPr="00DE108C">
              <w:rPr>
                <w:rFonts w:eastAsia="Aptos" w:cs="Aptos"/>
                <w:sz w:val="16"/>
                <w:szCs w:val="16"/>
              </w:rPr>
              <w:t>4</w:t>
            </w:r>
          </w:p>
        </w:tc>
      </w:tr>
      <w:tr w:rsidR="00A043F7" w:rsidRPr="00DE108C" w14:paraId="5598085C" w14:textId="77777777">
        <w:trPr>
          <w:cnfStyle w:val="000000010000" w:firstRow="0" w:lastRow="0" w:firstColumn="0" w:lastColumn="0" w:oddVBand="0" w:evenVBand="0" w:oddHBand="0" w:evenHBand="1" w:firstRowFirstColumn="0" w:firstRowLastColumn="0" w:lastRowFirstColumn="0" w:lastRowLastColumn="0"/>
          <w:trHeight w:val="300"/>
        </w:trPr>
        <w:tc>
          <w:tcPr>
            <w:tcW w:w="268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09F1886A" w14:textId="77777777" w:rsidR="00046BD5" w:rsidRPr="00DE108C" w:rsidRDefault="00046BD5" w:rsidP="00ED094E">
            <w:pPr>
              <w:rPr>
                <w:sz w:val="16"/>
                <w:szCs w:val="16"/>
              </w:rPr>
            </w:pPr>
            <w:r w:rsidRPr="00DE108C">
              <w:rPr>
                <w:rFonts w:eastAsia="Aptos" w:cs="Aptos"/>
                <w:sz w:val="16"/>
                <w:szCs w:val="16"/>
              </w:rPr>
              <w:t>After capitalisation</w:t>
            </w:r>
          </w:p>
        </w:tc>
        <w:tc>
          <w:tcPr>
            <w:tcW w:w="3118"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120B05C7" w14:textId="1F6B53E4" w:rsidR="00046BD5" w:rsidRPr="00DE108C" w:rsidRDefault="00046BD5" w:rsidP="00ED094E">
            <w:pPr>
              <w:rPr>
                <w:rFonts w:eastAsia="Aptos" w:cs="Aptos"/>
                <w:sz w:val="16"/>
                <w:szCs w:val="16"/>
              </w:rPr>
            </w:pPr>
            <w:r w:rsidRPr="00DE108C">
              <w:rPr>
                <w:rFonts w:eastAsia="Aptos" w:cs="Aptos"/>
                <w:sz w:val="16"/>
                <w:szCs w:val="16"/>
              </w:rPr>
              <w:t>3.</w:t>
            </w:r>
            <w:r w:rsidR="00752013" w:rsidRPr="00DE108C">
              <w:rPr>
                <w:rFonts w:eastAsia="Aptos" w:cs="Aptos"/>
                <w:sz w:val="16"/>
                <w:szCs w:val="16"/>
              </w:rPr>
              <w:t>3</w:t>
            </w:r>
          </w:p>
        </w:tc>
        <w:tc>
          <w:tcPr>
            <w:tcW w:w="3260"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4BE970C5" w14:textId="2DE00627" w:rsidR="00046BD5" w:rsidRPr="00DE108C" w:rsidRDefault="00046BD5" w:rsidP="00ED094E">
            <w:pPr>
              <w:rPr>
                <w:rFonts w:eastAsia="Aptos" w:cs="Aptos"/>
                <w:sz w:val="16"/>
                <w:szCs w:val="16"/>
              </w:rPr>
            </w:pPr>
            <w:r w:rsidRPr="00DE108C">
              <w:rPr>
                <w:rFonts w:eastAsia="Aptos" w:cs="Aptos"/>
                <w:sz w:val="16"/>
                <w:szCs w:val="16"/>
              </w:rPr>
              <w:t>7.</w:t>
            </w:r>
            <w:r w:rsidR="004B1E66" w:rsidRPr="00DE108C">
              <w:rPr>
                <w:rFonts w:eastAsia="Aptos" w:cs="Aptos"/>
                <w:sz w:val="16"/>
                <w:szCs w:val="16"/>
              </w:rPr>
              <w:t>3</w:t>
            </w:r>
          </w:p>
        </w:tc>
      </w:tr>
      <w:tr w:rsidR="00046BD5" w:rsidRPr="00DE108C" w14:paraId="219CA5EC" w14:textId="77777777">
        <w:trPr>
          <w:trHeight w:val="300"/>
        </w:trPr>
        <w:tc>
          <w:tcPr>
            <w:tcW w:w="268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4485A69C" w14:textId="77777777" w:rsidR="00046BD5" w:rsidRPr="00DE108C" w:rsidRDefault="00046BD5" w:rsidP="00ED094E">
            <w:pPr>
              <w:rPr>
                <w:sz w:val="16"/>
                <w:szCs w:val="16"/>
              </w:rPr>
            </w:pPr>
            <w:r w:rsidRPr="00DE108C">
              <w:rPr>
                <w:rFonts w:eastAsia="Aptos" w:cs="Aptos"/>
                <w:sz w:val="16"/>
                <w:szCs w:val="16"/>
              </w:rPr>
              <w:t>Difference</w:t>
            </w:r>
          </w:p>
        </w:tc>
        <w:tc>
          <w:tcPr>
            <w:tcW w:w="3118"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56558BCF" w14:textId="121847D8" w:rsidR="00046BD5" w:rsidRPr="00DE108C" w:rsidRDefault="00046BD5" w:rsidP="00ED094E">
            <w:pPr>
              <w:rPr>
                <w:rFonts w:eastAsia="Aptos" w:cs="Aptos"/>
                <w:sz w:val="16"/>
                <w:szCs w:val="16"/>
              </w:rPr>
            </w:pPr>
            <w:r w:rsidRPr="00DE108C">
              <w:rPr>
                <w:rFonts w:eastAsia="Aptos" w:cs="Aptos"/>
                <w:sz w:val="16"/>
                <w:szCs w:val="16"/>
              </w:rPr>
              <w:t>-19.</w:t>
            </w:r>
            <w:r w:rsidR="00752013" w:rsidRPr="00DE108C">
              <w:rPr>
                <w:rFonts w:eastAsia="Aptos" w:cs="Aptos"/>
                <w:sz w:val="16"/>
                <w:szCs w:val="16"/>
              </w:rPr>
              <w:t>8</w:t>
            </w:r>
          </w:p>
        </w:tc>
        <w:tc>
          <w:tcPr>
            <w:tcW w:w="3260"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2AE15593" w14:textId="47309564" w:rsidR="00046BD5" w:rsidRPr="00DE108C" w:rsidRDefault="004B1E66" w:rsidP="00ED094E">
            <w:pPr>
              <w:rPr>
                <w:rFonts w:eastAsia="Aptos" w:cs="Aptos"/>
                <w:sz w:val="16"/>
                <w:szCs w:val="16"/>
              </w:rPr>
            </w:pPr>
            <w:r w:rsidRPr="00DE108C">
              <w:rPr>
                <w:rFonts w:eastAsia="Aptos" w:cs="Aptos"/>
                <w:sz w:val="16"/>
                <w:szCs w:val="16"/>
              </w:rPr>
              <w:t>4.9</w:t>
            </w:r>
          </w:p>
        </w:tc>
      </w:tr>
    </w:tbl>
    <w:p w14:paraId="11960715" w14:textId="77777777" w:rsidR="00046BD5" w:rsidRPr="00DE108C" w:rsidRDefault="00046BD5" w:rsidP="006D1D8C">
      <w:pPr>
        <w:pStyle w:val="BodyText12ptAbove"/>
        <w:rPr>
          <w:rFonts w:eastAsia="Aptos"/>
        </w:rPr>
      </w:pPr>
    </w:p>
    <w:p w14:paraId="439A7AE2" w14:textId="62B27F69" w:rsidR="00046BD5" w:rsidRPr="00DE108C" w:rsidRDefault="00046BD5">
      <w:pPr>
        <w:pStyle w:val="Heading4"/>
      </w:pPr>
      <w:r w:rsidRPr="00DE108C">
        <w:t>6.3.</w:t>
      </w:r>
      <w:r w:rsidR="009F409A">
        <w:t>2</w:t>
      </w:r>
      <w:r w:rsidRPr="00DE108C">
        <w:t>.3 SaaS Project costs</w:t>
      </w:r>
    </w:p>
    <w:p w14:paraId="18690A2B" w14:textId="7DCDE3AB" w:rsidR="00046BD5" w:rsidRPr="00DE108C" w:rsidRDefault="00046BD5" w:rsidP="00ED094E">
      <w:pPr>
        <w:rPr>
          <w:rFonts w:eastAsia="Aptos"/>
        </w:rPr>
      </w:pPr>
      <w:r w:rsidRPr="00DE108C">
        <w:rPr>
          <w:rFonts w:eastAsia="Aptos"/>
        </w:rPr>
        <w:t xml:space="preserve">Melbourne Water’s IT and asset knowledge and technology (AKT) </w:t>
      </w:r>
      <w:r w:rsidRPr="425138B5">
        <w:rPr>
          <w:rFonts w:eastAsia="Aptos"/>
        </w:rPr>
        <w:t>underpin</w:t>
      </w:r>
      <w:r w:rsidRPr="00DE108C">
        <w:rPr>
          <w:rFonts w:eastAsia="Aptos"/>
        </w:rPr>
        <w:t xml:space="preserve"> all its operations, enabling efficient and effective service delivery and enhancing community wellbeing. These services enable Melbourne Water to meet its three strategic goals of resilience, transition and partnerships. </w:t>
      </w:r>
    </w:p>
    <w:p w14:paraId="10B7D3D6" w14:textId="77777777" w:rsidR="00046BD5" w:rsidRPr="00DE108C" w:rsidRDefault="00046BD5" w:rsidP="00ED094E">
      <w:pPr>
        <w:rPr>
          <w:rFonts w:eastAsia="Aptos"/>
        </w:rPr>
      </w:pPr>
      <w:r w:rsidRPr="00DE108C">
        <w:rPr>
          <w:rFonts w:eastAsia="Aptos"/>
        </w:rPr>
        <w:t>There is also strong alignment between the PS26 IT Program of Work, the Digital Strategy and Melbourne Water’s business objectives and business drivers.</w:t>
      </w:r>
    </w:p>
    <w:p w14:paraId="774685C4" w14:textId="00039436" w:rsidR="00046BD5" w:rsidRPr="00DE108C" w:rsidRDefault="00046BD5" w:rsidP="00ED094E">
      <w:pPr>
        <w:rPr>
          <w:rFonts w:eastAsia="Aptos"/>
        </w:rPr>
      </w:pPr>
      <w:r w:rsidRPr="00DE108C">
        <w:rPr>
          <w:rFonts w:eastAsia="Aptos"/>
        </w:rPr>
        <w:t>A significant component of the IT and AKT services involves Cloud-based projects, for example (SaaS projects. These project costs for the development and build are presented in Table 6.17.</w:t>
      </w:r>
    </w:p>
    <w:p w14:paraId="2B5429EA" w14:textId="77777777" w:rsidR="006D1D8C" w:rsidRPr="00DE108C" w:rsidRDefault="006D1D8C" w:rsidP="00ED094E">
      <w:pPr>
        <w:rPr>
          <w:rFonts w:eastAsia="Aptos"/>
        </w:rPr>
      </w:pPr>
    </w:p>
    <w:p w14:paraId="3397E9A2" w14:textId="77777777" w:rsidR="00046BD5" w:rsidRPr="00DE108C" w:rsidRDefault="00046BD5" w:rsidP="00ED094E">
      <w:pPr>
        <w:pStyle w:val="Caption"/>
        <w:rPr>
          <w:rFonts w:eastAsia="Aptos"/>
        </w:rPr>
      </w:pPr>
      <w:bookmarkStart w:id="587" w:name="_Toc207893044"/>
      <w:bookmarkStart w:id="588" w:name="_Toc208490568"/>
      <w:bookmarkStart w:id="589" w:name="_Toc208490906"/>
      <w:bookmarkStart w:id="590" w:name="_Toc208911064"/>
      <w:bookmarkStart w:id="591" w:name="_Toc210051370"/>
      <w:r w:rsidRPr="00DE108C">
        <w:rPr>
          <w:rFonts w:eastAsia="Aptos"/>
        </w:rPr>
        <w:t>Table 6.17: Capitalisation of SaaS projects ($millions, real 2025-26)</w:t>
      </w:r>
      <w:bookmarkEnd w:id="587"/>
      <w:bookmarkEnd w:id="588"/>
      <w:bookmarkEnd w:id="589"/>
      <w:bookmarkEnd w:id="590"/>
      <w:bookmarkEnd w:id="591"/>
    </w:p>
    <w:tbl>
      <w:tblPr>
        <w:tblStyle w:val="TableGrid"/>
        <w:tblW w:w="0" w:type="auto"/>
        <w:tblLayout w:type="fixed"/>
        <w:tblLook w:val="0420" w:firstRow="1" w:lastRow="0" w:firstColumn="0" w:lastColumn="0" w:noHBand="0" w:noVBand="1"/>
      </w:tblPr>
      <w:tblGrid>
        <w:gridCol w:w="1502"/>
        <w:gridCol w:w="1502"/>
        <w:gridCol w:w="1504"/>
        <w:gridCol w:w="1504"/>
        <w:gridCol w:w="1504"/>
        <w:gridCol w:w="1500"/>
      </w:tblGrid>
      <w:tr w:rsidR="00046BD5" w:rsidRPr="00DE108C" w14:paraId="13017710" w14:textId="77777777">
        <w:trPr>
          <w:cnfStyle w:val="100000000000" w:firstRow="1" w:lastRow="0" w:firstColumn="0" w:lastColumn="0" w:oddVBand="0" w:evenVBand="0" w:oddHBand="0" w:evenHBand="0" w:firstRowFirstColumn="0" w:firstRowLastColumn="0" w:lastRowFirstColumn="0" w:lastRowLastColumn="0"/>
          <w:trHeight w:val="300"/>
        </w:trPr>
        <w:tc>
          <w:tcPr>
            <w:tcW w:w="1502"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65EACDB5"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 xml:space="preserve"> </w:t>
            </w:r>
          </w:p>
        </w:tc>
        <w:tc>
          <w:tcPr>
            <w:tcW w:w="1502"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7BE27B22"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2026-27</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3A9AB426"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2027-28</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5BFDE5C0"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2028-29</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3663EFAF"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2029-30</w:t>
            </w:r>
          </w:p>
        </w:tc>
        <w:tc>
          <w:tcPr>
            <w:tcW w:w="1500"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32EEECDC" w14:textId="77777777" w:rsidR="00046BD5" w:rsidRPr="00DE108C" w:rsidRDefault="00046BD5" w:rsidP="00ED094E">
            <w:pPr>
              <w:rPr>
                <w:color w:val="FFFFFF" w:themeColor="background1"/>
                <w:sz w:val="16"/>
                <w:szCs w:val="16"/>
              </w:rPr>
            </w:pPr>
            <w:r w:rsidRPr="00DE108C">
              <w:rPr>
                <w:rFonts w:eastAsia="Aptos"/>
                <w:color w:val="FFFFFF" w:themeColor="background1"/>
                <w:sz w:val="16"/>
                <w:szCs w:val="16"/>
              </w:rPr>
              <w:t>2030-31</w:t>
            </w:r>
          </w:p>
        </w:tc>
      </w:tr>
      <w:tr w:rsidR="00046BD5" w:rsidRPr="00DE108C" w14:paraId="2E368713" w14:textId="77777777">
        <w:trPr>
          <w:trHeight w:val="300"/>
        </w:trPr>
        <w:tc>
          <w:tcPr>
            <w:tcW w:w="1502"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3A414AB3" w14:textId="77777777" w:rsidR="00046BD5" w:rsidRPr="00DE108C" w:rsidRDefault="00046BD5" w:rsidP="00ED094E">
            <w:pPr>
              <w:rPr>
                <w:rFonts w:eastAsia="Aptos" w:cs="Aptos"/>
                <w:sz w:val="16"/>
                <w:szCs w:val="16"/>
              </w:rPr>
            </w:pPr>
            <w:r w:rsidRPr="00DE108C">
              <w:rPr>
                <w:rFonts w:eastAsia="Aptos" w:cs="Aptos"/>
                <w:sz w:val="16"/>
                <w:szCs w:val="16"/>
              </w:rPr>
              <w:t>SaaS – IT</w:t>
            </w:r>
          </w:p>
        </w:tc>
        <w:tc>
          <w:tcPr>
            <w:tcW w:w="1502"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75DB7D1B" w14:textId="77777777" w:rsidR="00046BD5" w:rsidRPr="00DE108C" w:rsidRDefault="00046BD5" w:rsidP="00ED094E">
            <w:pPr>
              <w:rPr>
                <w:sz w:val="16"/>
                <w:szCs w:val="16"/>
              </w:rPr>
            </w:pPr>
            <w:r w:rsidRPr="00DE108C">
              <w:rPr>
                <w:sz w:val="16"/>
                <w:szCs w:val="16"/>
              </w:rPr>
              <w:t xml:space="preserve"> 15.6 </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005B6AFA" w14:textId="77777777" w:rsidR="00046BD5" w:rsidRPr="00DE108C" w:rsidRDefault="00046BD5" w:rsidP="00ED094E">
            <w:pPr>
              <w:rPr>
                <w:sz w:val="16"/>
                <w:szCs w:val="16"/>
              </w:rPr>
            </w:pPr>
            <w:r w:rsidRPr="00DE108C">
              <w:rPr>
                <w:sz w:val="16"/>
                <w:szCs w:val="16"/>
              </w:rPr>
              <w:t xml:space="preserve"> 17.7</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4E23972A" w14:textId="77777777" w:rsidR="00046BD5" w:rsidRPr="00DE108C" w:rsidRDefault="00046BD5" w:rsidP="00ED094E">
            <w:pPr>
              <w:rPr>
                <w:sz w:val="16"/>
                <w:szCs w:val="16"/>
              </w:rPr>
            </w:pPr>
            <w:r w:rsidRPr="00DE108C">
              <w:rPr>
                <w:sz w:val="16"/>
                <w:szCs w:val="16"/>
              </w:rPr>
              <w:t xml:space="preserve"> 10.6 </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466B15C1" w14:textId="77777777" w:rsidR="00046BD5" w:rsidRPr="00DE108C" w:rsidRDefault="00046BD5" w:rsidP="00ED094E">
            <w:pPr>
              <w:rPr>
                <w:sz w:val="16"/>
                <w:szCs w:val="16"/>
              </w:rPr>
            </w:pPr>
            <w:r w:rsidRPr="00DE108C">
              <w:rPr>
                <w:sz w:val="16"/>
                <w:szCs w:val="16"/>
              </w:rPr>
              <w:t xml:space="preserve"> 8.5</w:t>
            </w:r>
          </w:p>
        </w:tc>
        <w:tc>
          <w:tcPr>
            <w:tcW w:w="1500"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152E59C5" w14:textId="77777777" w:rsidR="00046BD5" w:rsidRPr="00DE108C" w:rsidRDefault="00046BD5" w:rsidP="00ED094E">
            <w:pPr>
              <w:rPr>
                <w:sz w:val="16"/>
                <w:szCs w:val="16"/>
              </w:rPr>
            </w:pPr>
            <w:r w:rsidRPr="00DE108C">
              <w:rPr>
                <w:sz w:val="16"/>
                <w:szCs w:val="16"/>
              </w:rPr>
              <w:t xml:space="preserve"> 5.5 </w:t>
            </w:r>
          </w:p>
        </w:tc>
      </w:tr>
      <w:tr w:rsidR="00055179" w:rsidRPr="00DE108C" w14:paraId="7E0D6775" w14:textId="77777777">
        <w:trPr>
          <w:cnfStyle w:val="000000010000" w:firstRow="0" w:lastRow="0" w:firstColumn="0" w:lastColumn="0" w:oddVBand="0" w:evenVBand="0" w:oddHBand="0" w:evenHBand="1" w:firstRowFirstColumn="0" w:firstRowLastColumn="0" w:lastRowFirstColumn="0" w:lastRowLastColumn="0"/>
          <w:trHeight w:val="300"/>
        </w:trPr>
        <w:tc>
          <w:tcPr>
            <w:tcW w:w="1502"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7CE8B9B1" w14:textId="77777777" w:rsidR="00046BD5" w:rsidRPr="00DE108C" w:rsidRDefault="00046BD5" w:rsidP="00ED094E">
            <w:pPr>
              <w:rPr>
                <w:rFonts w:eastAsia="Aptos" w:cs="Aptos"/>
                <w:sz w:val="16"/>
                <w:szCs w:val="16"/>
              </w:rPr>
            </w:pPr>
            <w:r w:rsidRPr="00DE108C">
              <w:rPr>
                <w:rFonts w:eastAsia="Aptos" w:cs="Aptos"/>
                <w:sz w:val="16"/>
                <w:szCs w:val="16"/>
              </w:rPr>
              <w:t>SaaS - AKT</w:t>
            </w:r>
          </w:p>
        </w:tc>
        <w:tc>
          <w:tcPr>
            <w:tcW w:w="1502"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0728BAAF" w14:textId="77777777" w:rsidR="00046BD5" w:rsidRPr="00DE108C" w:rsidRDefault="00046BD5" w:rsidP="00ED094E">
            <w:pPr>
              <w:rPr>
                <w:rFonts w:eastAsia="Aptos Narrow" w:cs="Aptos Narrow"/>
                <w:sz w:val="16"/>
                <w:szCs w:val="16"/>
              </w:rPr>
            </w:pPr>
            <w:r w:rsidRPr="00DE108C">
              <w:rPr>
                <w:sz w:val="16"/>
                <w:szCs w:val="16"/>
              </w:rPr>
              <w:t xml:space="preserve"> 1.8</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408E76F5" w14:textId="77777777" w:rsidR="00046BD5" w:rsidRPr="00DE108C" w:rsidRDefault="00046BD5" w:rsidP="00ED094E">
            <w:pPr>
              <w:rPr>
                <w:sz w:val="16"/>
                <w:szCs w:val="16"/>
              </w:rPr>
            </w:pPr>
            <w:r w:rsidRPr="00DE108C">
              <w:rPr>
                <w:sz w:val="16"/>
                <w:szCs w:val="16"/>
              </w:rPr>
              <w:t xml:space="preserve"> 1.8</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3476755D" w14:textId="77777777" w:rsidR="00046BD5" w:rsidRPr="00DE108C" w:rsidRDefault="00046BD5" w:rsidP="00ED094E">
            <w:pPr>
              <w:rPr>
                <w:rFonts w:eastAsia="Aptos Narrow" w:cs="Aptos Narrow"/>
                <w:sz w:val="16"/>
                <w:szCs w:val="16"/>
              </w:rPr>
            </w:pPr>
            <w:r w:rsidRPr="00DE108C">
              <w:rPr>
                <w:sz w:val="16"/>
                <w:szCs w:val="16"/>
              </w:rPr>
              <w:t xml:space="preserve"> 1.8 </w:t>
            </w:r>
          </w:p>
        </w:tc>
        <w:tc>
          <w:tcPr>
            <w:tcW w:w="150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3F813AE4" w14:textId="77777777" w:rsidR="00046BD5" w:rsidRPr="00DE108C" w:rsidRDefault="00046BD5" w:rsidP="00ED094E">
            <w:pPr>
              <w:rPr>
                <w:sz w:val="16"/>
                <w:szCs w:val="16"/>
              </w:rPr>
            </w:pPr>
            <w:r w:rsidRPr="00DE108C">
              <w:rPr>
                <w:sz w:val="16"/>
                <w:szCs w:val="16"/>
              </w:rPr>
              <w:t xml:space="preserve"> 1.8 </w:t>
            </w:r>
          </w:p>
        </w:tc>
        <w:tc>
          <w:tcPr>
            <w:tcW w:w="1500"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5BBD08F4" w14:textId="77777777" w:rsidR="00046BD5" w:rsidRPr="00DE108C" w:rsidRDefault="00046BD5" w:rsidP="00ED094E">
            <w:pPr>
              <w:rPr>
                <w:rFonts w:eastAsia="Aptos Narrow" w:cs="Aptos Narrow"/>
                <w:sz w:val="16"/>
                <w:szCs w:val="16"/>
              </w:rPr>
            </w:pPr>
            <w:r w:rsidRPr="00DE108C">
              <w:rPr>
                <w:sz w:val="16"/>
                <w:szCs w:val="16"/>
              </w:rPr>
              <w:t xml:space="preserve"> 1.8</w:t>
            </w:r>
          </w:p>
        </w:tc>
      </w:tr>
    </w:tbl>
    <w:p w14:paraId="5546198A" w14:textId="77777777" w:rsidR="006D1D8C" w:rsidRPr="00DE108C" w:rsidRDefault="006D1D8C" w:rsidP="00ED094E">
      <w:pPr>
        <w:rPr>
          <w:rFonts w:eastAsia="Aptos"/>
        </w:rPr>
      </w:pPr>
    </w:p>
    <w:p w14:paraId="31F7EFFC" w14:textId="67CE2C03" w:rsidR="00046BD5" w:rsidRPr="00DE108C" w:rsidRDefault="00046BD5" w:rsidP="00ED094E">
      <w:pPr>
        <w:rPr>
          <w:rFonts w:eastAsia="Aptos"/>
        </w:rPr>
      </w:pPr>
      <w:r w:rsidRPr="00DE108C">
        <w:rPr>
          <w:rFonts w:eastAsia="Aptos"/>
        </w:rPr>
        <w:lastRenderedPageBreak/>
        <w:t>We are proposing to capitalise these costs</w:t>
      </w:r>
      <w:r w:rsidR="698BE0C8" w:rsidRPr="425138B5">
        <w:rPr>
          <w:rFonts w:eastAsia="Aptos"/>
        </w:rPr>
        <w:t>,</w:t>
      </w:r>
      <w:r w:rsidR="000B0777" w:rsidRPr="00DE108C">
        <w:rPr>
          <w:rFonts w:eastAsia="Aptos"/>
        </w:rPr>
        <w:t xml:space="preserve"> as t</w:t>
      </w:r>
      <w:r w:rsidRPr="00DE108C">
        <w:rPr>
          <w:rFonts w:eastAsia="Aptos"/>
        </w:rPr>
        <w:t>he expenditure associated with Cloud-based SaaS projects represents ‘lumpy’ operational costs.</w:t>
      </w:r>
    </w:p>
    <w:p w14:paraId="0FBE6886" w14:textId="687F7B46" w:rsidR="00046BD5" w:rsidRPr="00DE108C" w:rsidRDefault="00046BD5" w:rsidP="00ED094E">
      <w:pPr>
        <w:rPr>
          <w:rFonts w:eastAsia="Aptos"/>
        </w:rPr>
      </w:pPr>
      <w:r w:rsidRPr="00DE108C">
        <w:rPr>
          <w:rFonts w:eastAsia="Aptos"/>
        </w:rPr>
        <w:t>The project operational costs have an expected benefit period of 10 years and will benefit customers across two or more regulatory periods, which reflects the average useful asset life of the IT projects.</w:t>
      </w:r>
    </w:p>
    <w:p w14:paraId="16BC8538" w14:textId="53B34503" w:rsidR="00046BD5" w:rsidRPr="00DE108C" w:rsidRDefault="00046BD5" w:rsidP="00ED094E">
      <w:pPr>
        <w:rPr>
          <w:rFonts w:eastAsia="Aptos"/>
        </w:rPr>
      </w:pPr>
      <w:r w:rsidRPr="00DE108C">
        <w:rPr>
          <w:rFonts w:eastAsia="Aptos"/>
        </w:rPr>
        <w:t>We propose to recover the costs over 10 years.</w:t>
      </w:r>
      <w:r w:rsidRPr="00DE108C">
        <w:t xml:space="preserve"> </w:t>
      </w:r>
      <w:r w:rsidRPr="00DE108C">
        <w:rPr>
          <w:rFonts w:eastAsia="Aptos"/>
        </w:rPr>
        <w:t>The capitalisation does not generate large impacts to customers. Capitalising rather than expensing will reduce the forecast cost in the 2026-31 period by $42.</w:t>
      </w:r>
      <w:r w:rsidR="00FF3CC3" w:rsidRPr="00DE108C">
        <w:rPr>
          <w:rFonts w:eastAsia="Aptos"/>
        </w:rPr>
        <w:t>4</w:t>
      </w:r>
      <w:r w:rsidRPr="00DE108C">
        <w:rPr>
          <w:rFonts w:eastAsia="Aptos"/>
        </w:rPr>
        <w:t xml:space="preserve"> million, as shown in Table 6.18. The $</w:t>
      </w:r>
      <w:r w:rsidRPr="00DE108C">
        <w:rPr>
          <w:rFonts w:cs="Calibri"/>
        </w:rPr>
        <w:t>24.</w:t>
      </w:r>
      <w:r w:rsidR="00FF3CC3" w:rsidRPr="00DE108C">
        <w:rPr>
          <w:rFonts w:cs="Calibri"/>
        </w:rPr>
        <w:t>4</w:t>
      </w:r>
      <w:r w:rsidRPr="00DE108C">
        <w:rPr>
          <w:rFonts w:cs="Calibri"/>
        </w:rPr>
        <w:t> </w:t>
      </w:r>
      <w:r w:rsidRPr="00DE108C">
        <w:rPr>
          <w:rFonts w:eastAsia="Aptos"/>
        </w:rPr>
        <w:t>million cost in the 2026-31 period is around 0.</w:t>
      </w:r>
      <w:r w:rsidR="00FF3CC3" w:rsidRPr="00DE108C">
        <w:rPr>
          <w:rFonts w:eastAsia="Aptos"/>
        </w:rPr>
        <w:t>2</w:t>
      </w:r>
      <w:r w:rsidRPr="00DE108C">
        <w:rPr>
          <w:rFonts w:eastAsia="Aptos"/>
        </w:rPr>
        <w:t xml:space="preserve"> per cent of the total PS26 revenue requirement.</w:t>
      </w:r>
    </w:p>
    <w:p w14:paraId="2E2C35D2" w14:textId="77777777" w:rsidR="000B0777" w:rsidRPr="00DE108C" w:rsidRDefault="000B0777" w:rsidP="00ED094E">
      <w:pPr>
        <w:rPr>
          <w:rFonts w:eastAsia="Aptos"/>
        </w:rPr>
      </w:pPr>
    </w:p>
    <w:p w14:paraId="57FEE03E" w14:textId="77777777" w:rsidR="00046BD5" w:rsidRPr="00DE108C" w:rsidRDefault="00046BD5" w:rsidP="00ED094E">
      <w:pPr>
        <w:pStyle w:val="Caption"/>
      </w:pPr>
      <w:bookmarkStart w:id="592" w:name="_Toc207893045"/>
      <w:bookmarkStart w:id="593" w:name="_Toc208490569"/>
      <w:bookmarkStart w:id="594" w:name="_Toc208490907"/>
      <w:bookmarkStart w:id="595" w:name="_Toc208911065"/>
      <w:bookmarkStart w:id="596" w:name="_Toc210051371"/>
      <w:r w:rsidRPr="00DE108C">
        <w:t>Table 6.18: Impacts to revenue requirement of capitalisation of SaaS projects ($millions, real 2025-26)</w:t>
      </w:r>
      <w:bookmarkEnd w:id="592"/>
      <w:bookmarkEnd w:id="593"/>
      <w:bookmarkEnd w:id="594"/>
      <w:bookmarkEnd w:id="595"/>
      <w:bookmarkEnd w:id="596"/>
    </w:p>
    <w:tbl>
      <w:tblPr>
        <w:tblStyle w:val="TableGrid"/>
        <w:tblW w:w="8921" w:type="dxa"/>
        <w:tblLayout w:type="fixed"/>
        <w:tblLook w:val="0420" w:firstRow="1" w:lastRow="0" w:firstColumn="0" w:lastColumn="0" w:noHBand="0" w:noVBand="1"/>
      </w:tblPr>
      <w:tblGrid>
        <w:gridCol w:w="2542"/>
        <w:gridCol w:w="2977"/>
        <w:gridCol w:w="3402"/>
      </w:tblGrid>
      <w:tr w:rsidR="00046BD5" w:rsidRPr="00DE108C" w14:paraId="2C50059A" w14:textId="77777777">
        <w:trPr>
          <w:cnfStyle w:val="100000000000" w:firstRow="1" w:lastRow="0" w:firstColumn="0" w:lastColumn="0" w:oddVBand="0" w:evenVBand="0" w:oddHBand="0" w:evenHBand="0" w:firstRowFirstColumn="0" w:firstRowLastColumn="0" w:lastRowFirstColumn="0" w:lastRowLastColumn="0"/>
          <w:trHeight w:val="300"/>
        </w:trPr>
        <w:tc>
          <w:tcPr>
            <w:tcW w:w="2542"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67ED8EC6" w14:textId="316898FC" w:rsidR="00046BD5" w:rsidRPr="00DE108C" w:rsidRDefault="00046BD5" w:rsidP="00ED094E">
            <w:pPr>
              <w:rPr>
                <w:rFonts w:eastAsia="Aptos"/>
                <w:color w:val="FFFFFF" w:themeColor="background1"/>
                <w:sz w:val="16"/>
                <w:szCs w:val="16"/>
              </w:rPr>
            </w:pPr>
            <w:r w:rsidRPr="00DE108C">
              <w:rPr>
                <w:rFonts w:eastAsia="Aptos"/>
                <w:color w:val="FFFFFF" w:themeColor="background1"/>
                <w:sz w:val="16"/>
                <w:szCs w:val="16"/>
              </w:rPr>
              <w:t xml:space="preserve"> </w:t>
            </w:r>
          </w:p>
        </w:tc>
        <w:tc>
          <w:tcPr>
            <w:tcW w:w="2977"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1F8B437C" w14:textId="77777777" w:rsidR="00046BD5" w:rsidRPr="00DE108C" w:rsidRDefault="00046BD5" w:rsidP="00ED094E">
            <w:pPr>
              <w:rPr>
                <w:rFonts w:eastAsia="Aptos"/>
                <w:color w:val="FFFFFF" w:themeColor="background1"/>
                <w:sz w:val="16"/>
                <w:szCs w:val="16"/>
              </w:rPr>
            </w:pPr>
            <w:r w:rsidRPr="00DE108C">
              <w:rPr>
                <w:rFonts w:eastAsia="Aptos"/>
                <w:color w:val="FFFFFF" w:themeColor="background1"/>
                <w:sz w:val="16"/>
                <w:szCs w:val="16"/>
              </w:rPr>
              <w:t>Total revenue requirement PS26 customers</w:t>
            </w:r>
          </w:p>
        </w:tc>
        <w:tc>
          <w:tcPr>
            <w:tcW w:w="3402"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3CA8A1B2" w14:textId="77777777" w:rsidR="00046BD5" w:rsidRPr="00DE108C" w:rsidRDefault="00046BD5" w:rsidP="00ED094E">
            <w:pPr>
              <w:rPr>
                <w:rFonts w:eastAsia="Aptos"/>
                <w:color w:val="FFFFFF" w:themeColor="background1"/>
                <w:sz w:val="16"/>
                <w:szCs w:val="16"/>
              </w:rPr>
            </w:pPr>
            <w:r w:rsidRPr="00DE108C">
              <w:rPr>
                <w:rFonts w:eastAsia="Aptos"/>
                <w:color w:val="FFFFFF" w:themeColor="background1"/>
                <w:sz w:val="16"/>
                <w:szCs w:val="16"/>
              </w:rPr>
              <w:t>Total revenue requirement PS31 customers</w:t>
            </w:r>
          </w:p>
        </w:tc>
      </w:tr>
      <w:tr w:rsidR="00046BD5" w:rsidRPr="00DE108C" w14:paraId="0147A05A" w14:textId="77777777">
        <w:trPr>
          <w:trHeight w:val="300"/>
        </w:trPr>
        <w:tc>
          <w:tcPr>
            <w:tcW w:w="2542"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14F3B9EB" w14:textId="77777777" w:rsidR="00046BD5" w:rsidRPr="00DE108C" w:rsidRDefault="00046BD5" w:rsidP="00ED094E">
            <w:pPr>
              <w:rPr>
                <w:sz w:val="16"/>
                <w:szCs w:val="16"/>
              </w:rPr>
            </w:pPr>
            <w:r w:rsidRPr="00DE108C">
              <w:rPr>
                <w:rFonts w:eastAsia="Aptos" w:cs="Aptos"/>
                <w:sz w:val="16"/>
                <w:szCs w:val="16"/>
              </w:rPr>
              <w:t>Before capitalisation</w:t>
            </w:r>
          </w:p>
        </w:tc>
        <w:tc>
          <w:tcPr>
            <w:tcW w:w="2977"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65301F18" w14:textId="290DD52E" w:rsidR="00046BD5" w:rsidRPr="00DE108C" w:rsidRDefault="00046BD5" w:rsidP="00ED094E">
            <w:pPr>
              <w:rPr>
                <w:rFonts w:eastAsia="Aptos" w:cs="Aptos"/>
                <w:sz w:val="16"/>
                <w:szCs w:val="16"/>
              </w:rPr>
            </w:pPr>
            <w:r w:rsidRPr="00DE108C">
              <w:rPr>
                <w:rFonts w:eastAsia="Aptos" w:cs="Aptos"/>
                <w:sz w:val="16"/>
                <w:szCs w:val="16"/>
              </w:rPr>
              <w:t>66.8</w:t>
            </w:r>
          </w:p>
        </w:tc>
        <w:tc>
          <w:tcPr>
            <w:tcW w:w="3402"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0225DACD" w14:textId="77777777" w:rsidR="00046BD5" w:rsidRPr="00DE108C" w:rsidRDefault="00046BD5" w:rsidP="00ED094E">
            <w:pPr>
              <w:rPr>
                <w:sz w:val="16"/>
                <w:szCs w:val="16"/>
              </w:rPr>
            </w:pPr>
            <w:r w:rsidRPr="00DE108C">
              <w:rPr>
                <w:rFonts w:eastAsia="Aptos" w:cs="Aptos"/>
                <w:sz w:val="16"/>
                <w:szCs w:val="16"/>
              </w:rPr>
              <w:t xml:space="preserve">- </w:t>
            </w:r>
          </w:p>
        </w:tc>
      </w:tr>
      <w:tr w:rsidR="00A043F7" w:rsidRPr="00DE108C" w14:paraId="0626C296" w14:textId="77777777">
        <w:trPr>
          <w:cnfStyle w:val="000000010000" w:firstRow="0" w:lastRow="0" w:firstColumn="0" w:lastColumn="0" w:oddVBand="0" w:evenVBand="0" w:oddHBand="0" w:evenHBand="1" w:firstRowFirstColumn="0" w:firstRowLastColumn="0" w:lastRowFirstColumn="0" w:lastRowLastColumn="0"/>
          <w:trHeight w:val="300"/>
        </w:trPr>
        <w:tc>
          <w:tcPr>
            <w:tcW w:w="2542"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33DF40D0" w14:textId="77777777" w:rsidR="00046BD5" w:rsidRPr="00DE108C" w:rsidRDefault="00046BD5" w:rsidP="00ED094E">
            <w:pPr>
              <w:rPr>
                <w:sz w:val="16"/>
                <w:szCs w:val="16"/>
              </w:rPr>
            </w:pPr>
            <w:r w:rsidRPr="00DE108C">
              <w:rPr>
                <w:rFonts w:eastAsia="Aptos" w:cs="Aptos"/>
                <w:sz w:val="16"/>
                <w:szCs w:val="16"/>
              </w:rPr>
              <w:t>After capitalisation</w:t>
            </w:r>
          </w:p>
        </w:tc>
        <w:tc>
          <w:tcPr>
            <w:tcW w:w="2977"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16C64B2B" w14:textId="36359CD5" w:rsidR="00046BD5" w:rsidRPr="00DE108C" w:rsidRDefault="00046BD5" w:rsidP="00ED094E">
            <w:pPr>
              <w:rPr>
                <w:rFonts w:cs="Calibri"/>
                <w:sz w:val="16"/>
                <w:szCs w:val="16"/>
              </w:rPr>
            </w:pPr>
            <w:r w:rsidRPr="00DE108C">
              <w:rPr>
                <w:rFonts w:cs="Calibri"/>
                <w:sz w:val="16"/>
                <w:szCs w:val="16"/>
              </w:rPr>
              <w:t>24.</w:t>
            </w:r>
            <w:r w:rsidR="006A69B5" w:rsidRPr="00DE108C">
              <w:rPr>
                <w:rFonts w:cs="Calibri"/>
                <w:sz w:val="16"/>
                <w:szCs w:val="16"/>
              </w:rPr>
              <w:t>4</w:t>
            </w:r>
          </w:p>
        </w:tc>
        <w:tc>
          <w:tcPr>
            <w:tcW w:w="3402"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503E6EA0" w14:textId="7E4251C6" w:rsidR="00046BD5" w:rsidRPr="00DE108C" w:rsidRDefault="00FF3CC3" w:rsidP="00ED094E">
            <w:pPr>
              <w:rPr>
                <w:rFonts w:eastAsia="Aptos" w:cs="Aptos"/>
                <w:sz w:val="16"/>
                <w:szCs w:val="16"/>
              </w:rPr>
            </w:pPr>
            <w:r w:rsidRPr="00DE108C">
              <w:rPr>
                <w:rFonts w:eastAsia="Aptos" w:cs="Aptos"/>
                <w:sz w:val="16"/>
                <w:szCs w:val="16"/>
              </w:rPr>
              <w:t>38.5</w:t>
            </w:r>
          </w:p>
        </w:tc>
      </w:tr>
      <w:tr w:rsidR="00046BD5" w:rsidRPr="00DE108C" w14:paraId="5864DC9B" w14:textId="77777777">
        <w:trPr>
          <w:trHeight w:val="300"/>
        </w:trPr>
        <w:tc>
          <w:tcPr>
            <w:tcW w:w="2542"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1803B72E" w14:textId="77777777" w:rsidR="00046BD5" w:rsidRPr="00DE108C" w:rsidRDefault="00046BD5" w:rsidP="00ED094E">
            <w:pPr>
              <w:rPr>
                <w:sz w:val="16"/>
                <w:szCs w:val="16"/>
              </w:rPr>
            </w:pPr>
            <w:r w:rsidRPr="00DE108C">
              <w:rPr>
                <w:rFonts w:eastAsia="Aptos" w:cs="Aptos"/>
                <w:sz w:val="16"/>
                <w:szCs w:val="16"/>
              </w:rPr>
              <w:t>Difference</w:t>
            </w:r>
          </w:p>
        </w:tc>
        <w:tc>
          <w:tcPr>
            <w:tcW w:w="2977"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61972C83" w14:textId="41CE793C" w:rsidR="00046BD5" w:rsidRPr="00DE108C" w:rsidRDefault="00046BD5" w:rsidP="00ED094E">
            <w:pPr>
              <w:rPr>
                <w:rFonts w:eastAsia="Aptos" w:cs="Aptos"/>
                <w:sz w:val="16"/>
                <w:szCs w:val="16"/>
              </w:rPr>
            </w:pPr>
            <w:r w:rsidRPr="00DE108C">
              <w:rPr>
                <w:rFonts w:eastAsia="Aptos" w:cs="Aptos"/>
                <w:sz w:val="16"/>
                <w:szCs w:val="16"/>
              </w:rPr>
              <w:t>-42.</w:t>
            </w:r>
            <w:r w:rsidR="006A69B5" w:rsidRPr="00DE108C">
              <w:rPr>
                <w:rFonts w:eastAsia="Aptos" w:cs="Aptos"/>
                <w:sz w:val="16"/>
                <w:szCs w:val="16"/>
              </w:rPr>
              <w:t>4</w:t>
            </w:r>
          </w:p>
        </w:tc>
        <w:tc>
          <w:tcPr>
            <w:tcW w:w="3402"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7F937E65" w14:textId="12B80C26" w:rsidR="00046BD5" w:rsidRPr="00DE108C" w:rsidRDefault="00FF3CC3" w:rsidP="00ED094E">
            <w:pPr>
              <w:rPr>
                <w:sz w:val="16"/>
                <w:szCs w:val="16"/>
              </w:rPr>
            </w:pPr>
            <w:r w:rsidRPr="00DE108C">
              <w:rPr>
                <w:rFonts w:eastAsia="Aptos" w:cs="Aptos"/>
                <w:sz w:val="16"/>
                <w:szCs w:val="16"/>
              </w:rPr>
              <w:t>38.5</w:t>
            </w:r>
            <w:r w:rsidR="00046BD5" w:rsidRPr="00DE108C">
              <w:rPr>
                <w:rFonts w:eastAsia="Aptos" w:cs="Aptos"/>
                <w:sz w:val="16"/>
                <w:szCs w:val="16"/>
              </w:rPr>
              <w:t xml:space="preserve"> </w:t>
            </w:r>
          </w:p>
        </w:tc>
      </w:tr>
    </w:tbl>
    <w:p w14:paraId="30700026" w14:textId="77777777" w:rsidR="00046BD5" w:rsidRPr="00DE108C" w:rsidRDefault="00046BD5" w:rsidP="00ED094E">
      <w:pPr>
        <w:rPr>
          <w:rFonts w:eastAsia="Aptos" w:cs="Aptos"/>
        </w:rPr>
      </w:pPr>
    </w:p>
    <w:p w14:paraId="53C2837A" w14:textId="77777777" w:rsidR="00046BD5" w:rsidRPr="00DE108C" w:rsidRDefault="00046BD5" w:rsidP="00ED094E">
      <w:r w:rsidRPr="00DE108C">
        <w:br w:type="page"/>
      </w:r>
    </w:p>
    <w:bookmarkStart w:id="597" w:name="_Ref192504393"/>
    <w:bookmarkStart w:id="598" w:name="_Toc196745242"/>
    <w:bookmarkStart w:id="599" w:name="_Toc199757803"/>
    <w:bookmarkStart w:id="600" w:name="_Toc207892907"/>
    <w:bookmarkStart w:id="601" w:name="_Toc207853400"/>
    <w:bookmarkStart w:id="602" w:name="_Toc210229040"/>
    <w:p w14:paraId="683AB8B5" w14:textId="62C1BBA1" w:rsidR="00046BD5" w:rsidRPr="00DE108C" w:rsidRDefault="005D47BE" w:rsidP="00ED094E">
      <w:pPr>
        <w:pStyle w:val="Heading1"/>
        <w:rPr>
          <w:b w:val="0"/>
          <w:sz w:val="76"/>
          <w:szCs w:val="76"/>
        </w:rPr>
      </w:pPr>
      <w:r>
        <w:rPr>
          <w:noProof/>
        </w:rPr>
        <w:lastRenderedPageBreak/>
        <mc:AlternateContent>
          <mc:Choice Requires="wps">
            <w:drawing>
              <wp:anchor distT="45720" distB="45720" distL="114300" distR="114300" simplePos="0" relativeHeight="251658270" behindDoc="0" locked="0" layoutInCell="1" allowOverlap="1" wp14:anchorId="0186285C" wp14:editId="7ADCDBB7">
                <wp:simplePos x="0" y="0"/>
                <wp:positionH relativeFrom="margin">
                  <wp:posOffset>0</wp:posOffset>
                </wp:positionH>
                <wp:positionV relativeFrom="margin">
                  <wp:posOffset>0</wp:posOffset>
                </wp:positionV>
                <wp:extent cx="4122000" cy="1692000"/>
                <wp:effectExtent l="0" t="0" r="0" b="3810"/>
                <wp:wrapSquare wrapText="bothSides"/>
                <wp:docPr id="854048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000" cy="1692000"/>
                        </a:xfrm>
                        <a:prstGeom prst="rect">
                          <a:avLst/>
                        </a:prstGeom>
                        <a:noFill/>
                        <a:ln w="9525">
                          <a:noFill/>
                          <a:miter lim="800000"/>
                          <a:headEnd/>
                          <a:tailEnd/>
                        </a:ln>
                      </wps:spPr>
                      <wps:txbx>
                        <w:txbxContent>
                          <w:p w14:paraId="07CC01DD" w14:textId="33A1DA14" w:rsidR="005D47BE" w:rsidRPr="00FA4200" w:rsidRDefault="005D47BE" w:rsidP="005D47BE">
                            <w:pPr>
                              <w:rPr>
                                <w:color w:val="FFFFFF" w:themeColor="background1"/>
                                <w:sz w:val="80"/>
                                <w:szCs w:val="80"/>
                              </w:rPr>
                            </w:pPr>
                            <w:r>
                              <w:rPr>
                                <w:color w:val="FFFFFF" w:themeColor="background1"/>
                                <w:sz w:val="80"/>
                                <w:szCs w:val="80"/>
                              </w:rPr>
                              <w:t>Operating expenditure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6285C" id="_x0000_s1048" type="#_x0000_t202" style="position:absolute;margin-left:0;margin-top:0;width:324.55pt;height:133.25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" filled="f" stroked="f">
                <v:textbox>
                  <w:txbxContent>
                    <w:p w14:paraId="07CC01DD" w14:textId="33A1DA14" w:rsidR="005D47BE" w:rsidRPr="00FA4200" w:rsidRDefault="005D47BE" w:rsidP="005D47BE">
                      <w:pPr>
                        <w:rPr>
                          <w:color w:val="FFFFFF" w:themeColor="background1"/>
                          <w:sz w:val="80"/>
                          <w:szCs w:val="80"/>
                        </w:rPr>
                      </w:pPr>
                      <w:r>
                        <w:rPr>
                          <w:color w:val="FFFFFF" w:themeColor="background1"/>
                          <w:sz w:val="80"/>
                          <w:szCs w:val="80"/>
                        </w:rPr>
                        <w:t>Operating expenditure</w:t>
                      </w:r>
                    </w:p>
                  </w:txbxContent>
                </v:textbox>
                <w10:wrap type="square" anchorx="margin" anchory="margin"/>
              </v:shape>
            </w:pict>
          </mc:Fallback>
        </mc:AlternateContent>
      </w:r>
      <w:r w:rsidR="005A5AB5" w:rsidRPr="00DE108C">
        <w:rPr>
          <w:b w:val="0"/>
          <w:bCs w:val="0"/>
          <w:noProof/>
          <w:color w:val="FFFFFF" w:themeColor="background1"/>
          <w:sz w:val="76"/>
          <w:szCs w:val="76"/>
        </w:rPr>
        <w:drawing>
          <wp:anchor distT="0" distB="0" distL="114300" distR="114300" simplePos="0" relativeHeight="251658263" behindDoc="0" locked="1" layoutInCell="1" allowOverlap="1" wp14:anchorId="2988166B" wp14:editId="110284C9">
            <wp:simplePos x="0" y="0"/>
            <wp:positionH relativeFrom="page">
              <wp:posOffset>0</wp:posOffset>
            </wp:positionH>
            <wp:positionV relativeFrom="page">
              <wp:posOffset>-113665</wp:posOffset>
            </wp:positionV>
            <wp:extent cx="7628255" cy="10781665"/>
            <wp:effectExtent l="0" t="0" r="0" b="635"/>
            <wp:wrapNone/>
            <wp:docPr id="61587319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197" name="Picture 8">
                      <a:extLst>
                        <a:ext uri="{C183D7F6-B498-43B3-948B-1728B52AA6E4}">
                          <adec:decorative xmlns:adec="http://schemas.microsoft.com/office/drawing/2017/decorative" val="1"/>
                        </a:ext>
                      </a:extLst>
                    </pic:cNvPr>
                    <pic:cNvPicPr/>
                  </pic:nvPicPr>
                  <pic:blipFill>
                    <a:blip r:embed="rId98" cstate="email">
                      <a:extLst>
                        <a:ext uri="{28A0092B-C50C-407E-A947-70E740481C1C}">
                          <a14:useLocalDpi xmlns:a14="http://schemas.microsoft.com/office/drawing/2010/main"/>
                        </a:ext>
                      </a:extLst>
                    </a:blip>
                    <a:stretch>
                      <a:fillRect/>
                    </a:stretch>
                  </pic:blipFill>
                  <pic:spPr>
                    <a:xfrm>
                      <a:off x="0" y="0"/>
                      <a:ext cx="7628255" cy="10781665"/>
                    </a:xfrm>
                    <a:prstGeom prst="rect">
                      <a:avLst/>
                    </a:prstGeom>
                  </pic:spPr>
                </pic:pic>
              </a:graphicData>
            </a:graphic>
            <wp14:sizeRelH relativeFrom="page">
              <wp14:pctWidth>0</wp14:pctWidth>
            </wp14:sizeRelH>
            <wp14:sizeRelV relativeFrom="page">
              <wp14:pctHeight>0</wp14:pctHeight>
            </wp14:sizeRelV>
          </wp:anchor>
        </w:drawing>
      </w:r>
      <w:r w:rsidR="00046BD5" w:rsidRPr="00DE108C">
        <w:rPr>
          <w:b w:val="0"/>
          <w:color w:val="FFFFFF" w:themeColor="background1"/>
          <w:sz w:val="76"/>
          <w:szCs w:val="76"/>
        </w:rPr>
        <w:t>7. Operating expenditure</w:t>
      </w:r>
      <w:bookmarkEnd w:id="597"/>
      <w:bookmarkEnd w:id="598"/>
      <w:bookmarkEnd w:id="599"/>
      <w:bookmarkEnd w:id="600"/>
      <w:bookmarkEnd w:id="601"/>
      <w:bookmarkEnd w:id="602"/>
    </w:p>
    <w:p w14:paraId="2FCCEC58" w14:textId="77777777" w:rsidR="00046BD5" w:rsidRPr="00DE108C" w:rsidRDefault="00046BD5">
      <w:pPr>
        <w:spacing w:before="0" w:after="0"/>
      </w:pPr>
      <w:r w:rsidRPr="00DE108C">
        <w:br w:type="page"/>
      </w:r>
    </w:p>
    <w:p w14:paraId="6393B7B8" w14:textId="77777777" w:rsidR="00046BD5" w:rsidRPr="00DE108C" w:rsidRDefault="00046BD5" w:rsidP="00ED094E">
      <w:pPr>
        <w:pStyle w:val="HighlightBoxHeading"/>
      </w:pPr>
      <w:r w:rsidRPr="00DE108C">
        <w:lastRenderedPageBreak/>
        <w:t>In summary</w:t>
      </w:r>
    </w:p>
    <w:p w14:paraId="34FC002F" w14:textId="06633ADE" w:rsidR="00046BD5" w:rsidRPr="00DE108C" w:rsidRDefault="00046BD5" w:rsidP="00046BD5">
      <w:pPr>
        <w:pStyle w:val="HighlightBoxBullet"/>
        <w:spacing w:line="320" w:lineRule="atLeast"/>
      </w:pPr>
      <w:r w:rsidRPr="00DE108C">
        <w:t xml:space="preserve">Total prudent and efficient operating expenditure </w:t>
      </w:r>
      <w:r w:rsidR="30CFC7B0" w:rsidRPr="00DE108C">
        <w:t xml:space="preserve">(opex) </w:t>
      </w:r>
      <w:r w:rsidRPr="00DE108C">
        <w:t>forecasts are provided</w:t>
      </w:r>
      <w:r w:rsidR="2FF89DD7">
        <w:t>,</w:t>
      </w:r>
      <w:r w:rsidRPr="00DE108C">
        <w:t xml:space="preserve"> which have been prepared to reflect efficient base year expenditure, well</w:t>
      </w:r>
      <w:r w:rsidR="00CF5C89">
        <w:t>-</w:t>
      </w:r>
      <w:r w:rsidRPr="00DE108C">
        <w:t>documented growth assumptions, an ambitious efficiency target, and well-supported step changes linked to delivering on agreed customer Outcomes.</w:t>
      </w:r>
    </w:p>
    <w:p w14:paraId="429FEBF5" w14:textId="6A02EEEF" w:rsidR="00046BD5" w:rsidRPr="00DE108C" w:rsidRDefault="00046BD5" w:rsidP="00046BD5">
      <w:pPr>
        <w:pStyle w:val="HighlightBoxBullet"/>
        <w:spacing w:line="320" w:lineRule="atLeast"/>
      </w:pPr>
      <w:r w:rsidRPr="00DE108C">
        <w:t xml:space="preserve">Total forecast </w:t>
      </w:r>
      <w:r w:rsidR="6E188EAA">
        <w:t>opex</w:t>
      </w:r>
      <w:r w:rsidRPr="00DE108C">
        <w:t xml:space="preserve"> for the 2026</w:t>
      </w:r>
      <w:r w:rsidRPr="00F867F2">
        <w:t>-31 period is $5,51</w:t>
      </w:r>
      <w:r w:rsidR="001D5209" w:rsidRPr="00F867F2">
        <w:t>2</w:t>
      </w:r>
      <w:r w:rsidRPr="00F867F2">
        <w:t> million. This represents</w:t>
      </w:r>
      <w:r w:rsidRPr="00DE108C">
        <w:t xml:space="preserve"> a real reduction of 5 per cent relative to expected actual</w:t>
      </w:r>
      <w:r w:rsidR="1841BDFD">
        <w:t xml:space="preserve"> opex </w:t>
      </w:r>
      <w:r w:rsidRPr="00DE108C">
        <w:t>in the 2021-26 period.</w:t>
      </w:r>
    </w:p>
    <w:p w14:paraId="0C2BEA87" w14:textId="77777777" w:rsidR="00046BD5" w:rsidRPr="00DE108C" w:rsidRDefault="00046BD5" w:rsidP="00046BD5">
      <w:pPr>
        <w:pStyle w:val="HighlightBoxBullet"/>
        <w:spacing w:line="320" w:lineRule="atLeast"/>
      </w:pPr>
      <w:r w:rsidRPr="00DE108C">
        <w:t>We have thoroughly assessed base year expenditure to ensure it is reflective of efficient recurring operating costs.</w:t>
      </w:r>
    </w:p>
    <w:p w14:paraId="0BD0EC54" w14:textId="39EC8329" w:rsidR="00046BD5" w:rsidRPr="00DE108C" w:rsidRDefault="00046BD5" w:rsidP="00046BD5">
      <w:pPr>
        <w:pStyle w:val="HighlightBoxBullet"/>
        <w:spacing w:line="320" w:lineRule="atLeast"/>
      </w:pPr>
      <w:r w:rsidRPr="00DE108C">
        <w:t xml:space="preserve">The proposed growth rate for all our services continues to be based on forecast customer connections growth and the rate </w:t>
      </w:r>
      <w:r w:rsidR="00510341">
        <w:t xml:space="preserve">of </w:t>
      </w:r>
      <w:r w:rsidRPr="00DE108C">
        <w:t xml:space="preserve">reflects </w:t>
      </w:r>
      <w:r w:rsidR="00510341" w:rsidRPr="00DE108C">
        <w:t xml:space="preserve">2 per cent per annum </w:t>
      </w:r>
      <w:r w:rsidR="00510341">
        <w:t xml:space="preserve">is consistent with data provided by the </w:t>
      </w:r>
      <w:r w:rsidRPr="00DE108C">
        <w:t>Victorian Government.</w:t>
      </w:r>
    </w:p>
    <w:p w14:paraId="6906F73A" w14:textId="612CE89F" w:rsidR="00046BD5" w:rsidRPr="00DE108C" w:rsidRDefault="00046BD5" w:rsidP="00046BD5">
      <w:pPr>
        <w:pStyle w:val="HighlightBoxBullet"/>
        <w:spacing w:line="320" w:lineRule="atLeast"/>
      </w:pPr>
      <w:r w:rsidRPr="00DE108C">
        <w:t>We have proposed an efficiency improvement rate of 2 per cent per annum. We recognise that systematic effort will be needed to make sure we deliver on this target. We have developed a Cost Efficiency Plan (available on request) to continually drive efficiencies across our business and achieve the efficiency target within the 2026-3</w:t>
      </w:r>
      <w:r w:rsidR="00510341">
        <w:t>1 regulatory</w:t>
      </w:r>
      <w:r w:rsidRPr="00DE108C">
        <w:t xml:space="preserve"> period.</w:t>
      </w:r>
    </w:p>
    <w:p w14:paraId="4B476C6C" w14:textId="59C7F3C8" w:rsidR="00046BD5" w:rsidRPr="00DE108C" w:rsidRDefault="00046BD5" w:rsidP="004A45AD">
      <w:pPr>
        <w:pStyle w:val="HighlightBoxBullet"/>
        <w:spacing w:line="320" w:lineRule="atLeast"/>
        <w:rPr>
          <w:szCs w:val="20"/>
        </w:rPr>
      </w:pPr>
      <w:r w:rsidRPr="00DE108C">
        <w:t xml:space="preserve">Given the offsetting growth and efficiency rates, the only proposed increase to </w:t>
      </w:r>
      <w:r w:rsidR="145306F3">
        <w:t>opex</w:t>
      </w:r>
      <w:r w:rsidRPr="00DE108C">
        <w:t xml:space="preserve"> for the 2026-31 period is associated with prudent and efficient step changes. The proposed step changes account for 7 per cent of proposed 2026-31 controllable </w:t>
      </w:r>
      <w:r w:rsidR="2E408BEE">
        <w:t>opex</w:t>
      </w:r>
      <w:r w:rsidRPr="00DE108C">
        <w:t xml:space="preserve"> and </w:t>
      </w:r>
      <w:r w:rsidR="00CD0FA5" w:rsidRPr="00DE108C">
        <w:t>4</w:t>
      </w:r>
      <w:r w:rsidRPr="00DE108C">
        <w:t xml:space="preserve"> per cent of 2026-31 total </w:t>
      </w:r>
      <w:r w:rsidR="63D66B84">
        <w:t>opex</w:t>
      </w:r>
      <w:r w:rsidRPr="00DE108C">
        <w:t>.</w:t>
      </w:r>
    </w:p>
    <w:p w14:paraId="0E174AD9" w14:textId="77777777" w:rsidR="00046BD5" w:rsidRPr="00DE108C" w:rsidRDefault="00046BD5" w:rsidP="00046BD5">
      <w:pPr>
        <w:pStyle w:val="HighlightBoxBullet"/>
        <w:spacing w:line="320" w:lineRule="atLeast"/>
      </w:pPr>
      <w:r w:rsidRPr="00DE108C">
        <w:t xml:space="preserve">Significant supporting evidence has been prepared to explain the rationale for each of the step changes and how they relate to the delivery of agreed customer Outcomes. This is summarised in this chapter and detailed supporting documents prepared for each step change are available on request. </w:t>
      </w:r>
    </w:p>
    <w:p w14:paraId="2E9F119E" w14:textId="7E4CB326" w:rsidR="00046BD5" w:rsidRPr="00DE108C" w:rsidRDefault="00046BD5" w:rsidP="004A45AD">
      <w:pPr>
        <w:pStyle w:val="HighlightBoxBullet"/>
        <w:spacing w:line="320" w:lineRule="atLeast"/>
        <w:rPr>
          <w:szCs w:val="20"/>
        </w:rPr>
      </w:pPr>
      <w:r w:rsidRPr="00DE108C">
        <w:t>Aspects of non-controllable operating expenditure are forecast to fall in the 2026-31 period</w:t>
      </w:r>
      <w:r w:rsidR="1CE54E91">
        <w:t>,</w:t>
      </w:r>
      <w:r w:rsidRPr="00DE108C">
        <w:t xml:space="preserve"> reducing overall operating costs reflected in prices. For example, in accordance with the ESC’s guidance</w:t>
      </w:r>
      <w:r w:rsidR="0CDB4511">
        <w:t>,</w:t>
      </w:r>
      <w:r w:rsidRPr="00DE108C">
        <w:t xml:space="preserve"> the capitalisation amount for the Victorian Desalination Project (VDP) will increase in line with rising principal repayments, reducing the VDP-related </w:t>
      </w:r>
      <w:r w:rsidR="12819431">
        <w:t>opex</w:t>
      </w:r>
      <w:r w:rsidR="004519EE">
        <w:t xml:space="preserve"> for pricing purposes</w:t>
      </w:r>
      <w:r w:rsidRPr="00DE108C">
        <w:t>.</w:t>
      </w:r>
    </w:p>
    <w:p w14:paraId="2773A960" w14:textId="0FA63DA1" w:rsidR="00046BD5" w:rsidRPr="00DE108C" w:rsidRDefault="00046BD5">
      <w:pPr>
        <w:pStyle w:val="BodyText"/>
        <w:spacing w:after="120" w:line="240" w:lineRule="auto"/>
      </w:pPr>
      <w:bookmarkStart w:id="603" w:name="_Toc190876159"/>
      <w:r w:rsidRPr="00DE108C">
        <w:rPr>
          <w:rFonts w:ascii="Verdana" w:hAnsi="Verdana"/>
        </w:rPr>
        <w:t xml:space="preserve">To explain our proposed </w:t>
      </w:r>
      <w:r w:rsidR="4F46FEDB" w:rsidRPr="1AD3A0B2">
        <w:rPr>
          <w:rFonts w:ascii="Verdana" w:hAnsi="Verdana"/>
        </w:rPr>
        <w:t>opex</w:t>
      </w:r>
      <w:r w:rsidRPr="00DE108C">
        <w:rPr>
          <w:rFonts w:ascii="Verdana" w:hAnsi="Verdana"/>
        </w:rPr>
        <w:t xml:space="preserve"> forecasts for the 2026-31 period, </w:t>
      </w:r>
      <w:r w:rsidRPr="00DE108C">
        <w:t>Chapter 7 provides the following information:</w:t>
      </w:r>
    </w:p>
    <w:p w14:paraId="1B358C96" w14:textId="77777777" w:rsidR="00046BD5" w:rsidRPr="00DE108C" w:rsidRDefault="00046BD5" w:rsidP="00400D5C">
      <w:pPr>
        <w:pStyle w:val="ListBullet"/>
      </w:pPr>
      <w:r w:rsidRPr="00DE108C">
        <w:t xml:space="preserve">an overview of our total opex, including by </w:t>
      </w:r>
      <w:r w:rsidRPr="00400D5C">
        <w:t>service category and</w:t>
      </w:r>
      <w:r w:rsidRPr="00DE108C">
        <w:t xml:space="preserve"> Outcome</w:t>
      </w:r>
    </w:p>
    <w:p w14:paraId="705F1F9F" w14:textId="77777777" w:rsidR="00046BD5" w:rsidRPr="00DE108C" w:rsidRDefault="00046BD5" w:rsidP="00400D5C">
      <w:pPr>
        <w:pStyle w:val="ListBullet"/>
      </w:pPr>
      <w:r w:rsidRPr="00DE108C">
        <w:t>the methodology to allocate controllable costs among services</w:t>
      </w:r>
    </w:p>
    <w:p w14:paraId="0C4CFB65" w14:textId="75A46AB6" w:rsidR="00046BD5" w:rsidRPr="00400D5C" w:rsidRDefault="00046BD5" w:rsidP="00400D5C">
      <w:pPr>
        <w:pStyle w:val="ListBullet"/>
      </w:pPr>
      <w:r w:rsidRPr="00DE108C">
        <w:t xml:space="preserve">our </w:t>
      </w:r>
      <w:r w:rsidRPr="00400D5C">
        <w:t xml:space="preserve">baseline controllable </w:t>
      </w:r>
      <w:r w:rsidR="4F7D4139">
        <w:t>opex</w:t>
      </w:r>
      <w:r w:rsidRPr="00400D5C">
        <w:t xml:space="preserve">, including an analysis of non-recurrent expenditure from 2024-25 base year and variations from the benchmark controllable </w:t>
      </w:r>
      <w:r w:rsidR="65BD0A4A">
        <w:t>opex</w:t>
      </w:r>
      <w:r w:rsidRPr="00400D5C">
        <w:t xml:space="preserve"> allowance for 2024-25</w:t>
      </w:r>
    </w:p>
    <w:p w14:paraId="00550313" w14:textId="47E555A4" w:rsidR="00046BD5" w:rsidRPr="00400D5C" w:rsidRDefault="00046BD5" w:rsidP="00400D5C">
      <w:pPr>
        <w:pStyle w:val="ListBullet"/>
      </w:pPr>
      <w:r w:rsidRPr="00400D5C">
        <w:lastRenderedPageBreak/>
        <w:t xml:space="preserve">the proposed annual adjustments to baseline controllable </w:t>
      </w:r>
      <w:r w:rsidR="3F442F1C" w:rsidRPr="00400D5C">
        <w:t>opex,</w:t>
      </w:r>
      <w:r w:rsidRPr="00400D5C">
        <w:t xml:space="preserve"> including our growth and efficiency rates, as well as prudent and efficient step increases in controllable </w:t>
      </w:r>
      <w:r w:rsidR="36CB78B3" w:rsidRPr="00400D5C">
        <w:t>opex</w:t>
      </w:r>
      <w:r w:rsidRPr="00400D5C">
        <w:t>. The step increases are categorised by Outcome.</w:t>
      </w:r>
    </w:p>
    <w:p w14:paraId="586397EA" w14:textId="1D75EEE1" w:rsidR="00046BD5" w:rsidRPr="00DE108C" w:rsidRDefault="00046BD5" w:rsidP="00400D5C">
      <w:pPr>
        <w:pStyle w:val="ListBullet"/>
      </w:pPr>
      <w:r w:rsidRPr="00DE108C">
        <w:t>a description of how specific controllable costs, including information technology</w:t>
      </w:r>
      <w:r w:rsidR="60412AA1">
        <w:t xml:space="preserve"> (IT)</w:t>
      </w:r>
      <w:r>
        <w:t>,</w:t>
      </w:r>
      <w:r w:rsidRPr="00DE108C">
        <w:t xml:space="preserve"> operational technology, electricity, carbon offsets and insurances are treated in this submission</w:t>
      </w:r>
    </w:p>
    <w:p w14:paraId="7FC7C5B2" w14:textId="4413566F" w:rsidR="00046BD5" w:rsidRPr="00DE108C" w:rsidRDefault="00046BD5" w:rsidP="00400D5C">
      <w:pPr>
        <w:pStyle w:val="ListBullet"/>
      </w:pPr>
      <w:r w:rsidRPr="00DE108C">
        <w:t xml:space="preserve">our </w:t>
      </w:r>
      <w:r w:rsidRPr="00400D5C">
        <w:t>forecasts of non-controll</w:t>
      </w:r>
      <w:r w:rsidRPr="00DE108C">
        <w:rPr>
          <w:rFonts w:ascii="Verdana" w:hAnsi="Verdana"/>
        </w:rPr>
        <w:t xml:space="preserve">able </w:t>
      </w:r>
      <w:r w:rsidR="4E543530">
        <w:t>opex</w:t>
      </w:r>
      <w:r w:rsidRPr="00DE108C">
        <w:t>.</w:t>
      </w:r>
    </w:p>
    <w:p w14:paraId="2DF83626" w14:textId="77777777" w:rsidR="00046BD5" w:rsidRPr="00DE108C" w:rsidRDefault="00046BD5">
      <w:pPr>
        <w:pStyle w:val="BodyText"/>
      </w:pPr>
    </w:p>
    <w:p w14:paraId="26422CA5" w14:textId="77777777" w:rsidR="00046BD5" w:rsidRPr="00DE108C" w:rsidRDefault="00046BD5">
      <w:pPr>
        <w:pStyle w:val="Heading2"/>
      </w:pPr>
      <w:bookmarkStart w:id="604" w:name="_Toc196745243"/>
      <w:bookmarkStart w:id="605" w:name="_Toc207892908"/>
      <w:bookmarkStart w:id="606" w:name="_Toc207853401"/>
      <w:r w:rsidRPr="00DE108C">
        <w:t>7.1 Total operating expenditure</w:t>
      </w:r>
      <w:bookmarkEnd w:id="603"/>
      <w:bookmarkEnd w:id="604"/>
      <w:bookmarkEnd w:id="605"/>
      <w:bookmarkEnd w:id="606"/>
    </w:p>
    <w:p w14:paraId="53B76B70" w14:textId="34E7C2B5" w:rsidR="00046BD5" w:rsidRPr="00DE108C" w:rsidRDefault="00046BD5">
      <w:pPr>
        <w:pStyle w:val="BodyText"/>
      </w:pPr>
      <w:r w:rsidRPr="00DE108C">
        <w:t xml:space="preserve">Total </w:t>
      </w:r>
      <w:r w:rsidRPr="00DE108C">
        <w:rPr>
          <w:rFonts w:ascii="Verdana" w:hAnsi="Verdana"/>
        </w:rPr>
        <w:t xml:space="preserve">proposed </w:t>
      </w:r>
      <w:r w:rsidR="0F8C2879">
        <w:t>opex</w:t>
      </w:r>
      <w:r w:rsidRPr="00DE108C">
        <w:t xml:space="preserve"> for the 2026-31 regulatory period is </w:t>
      </w:r>
      <w:r w:rsidRPr="00F36982">
        <w:t>$5,51</w:t>
      </w:r>
      <w:r w:rsidR="00270FED" w:rsidRPr="00F36982">
        <w:t>2</w:t>
      </w:r>
      <w:r w:rsidRPr="00F36982">
        <w:t> million</w:t>
      </w:r>
      <w:r w:rsidRPr="00DE108C">
        <w:t xml:space="preserve"> comprised of: </w:t>
      </w:r>
    </w:p>
    <w:p w14:paraId="3EA19C0D" w14:textId="4F711784" w:rsidR="00046BD5" w:rsidRPr="00DE108C" w:rsidRDefault="00046BD5" w:rsidP="00D411F5">
      <w:pPr>
        <w:pStyle w:val="ListBullet"/>
      </w:pPr>
      <w:r w:rsidRPr="00F36982">
        <w:t>$2,79</w:t>
      </w:r>
      <w:r w:rsidR="006B2537" w:rsidRPr="00F36982">
        <w:t>0</w:t>
      </w:r>
      <w:r w:rsidRPr="00F36982">
        <w:t xml:space="preserve"> million</w:t>
      </w:r>
      <w:r w:rsidRPr="00DE108C">
        <w:t xml:space="preserve"> of controllable opex across all our services</w:t>
      </w:r>
    </w:p>
    <w:p w14:paraId="58EC7BEF" w14:textId="77777777" w:rsidR="00046BD5" w:rsidRPr="00DE108C" w:rsidRDefault="00046BD5" w:rsidP="00D411F5">
      <w:pPr>
        <w:pStyle w:val="ListBullet"/>
      </w:pPr>
      <w:bookmarkStart w:id="607" w:name="_Ref192499457"/>
      <w:r w:rsidRPr="00DE108C">
        <w:t>$2,470 million of non-controllable opex on the VDP</w:t>
      </w:r>
      <w:r w:rsidRPr="00DE108C">
        <w:rPr>
          <w:rStyle w:val="FootnoteReference"/>
        </w:rPr>
        <w:footnoteReference w:id="18"/>
      </w:r>
    </w:p>
    <w:p w14:paraId="035B582B" w14:textId="77777777" w:rsidR="00046BD5" w:rsidRPr="00DE108C" w:rsidRDefault="00046BD5" w:rsidP="00D411F5">
      <w:pPr>
        <w:pStyle w:val="ListBullet"/>
      </w:pPr>
      <w:r w:rsidRPr="00DE108C">
        <w:t>$252 million of other non-controllable opex for land tax, licence fees and other smaller items.</w:t>
      </w:r>
    </w:p>
    <w:p w14:paraId="62522304" w14:textId="77777777" w:rsidR="00046BD5" w:rsidRPr="00DE108C" w:rsidRDefault="00046BD5">
      <w:pPr>
        <w:pStyle w:val="BodyText"/>
        <w:rPr>
          <w:szCs w:val="22"/>
        </w:rPr>
      </w:pPr>
      <w:r w:rsidRPr="00DE108C">
        <w:rPr>
          <w:szCs w:val="22"/>
        </w:rPr>
        <w:t xml:space="preserve">Our historical opex and five-year proposed opex forecast is shown in Figure 7.1. The expenditure up to and including 2024-25 is actual spend - all other years are forecast spend. </w:t>
      </w:r>
    </w:p>
    <w:p w14:paraId="04162F8B" w14:textId="281EFF00" w:rsidR="00046BD5" w:rsidRPr="00DE108C" w:rsidRDefault="002259B0" w:rsidP="00ED094E">
      <w:pPr>
        <w:pStyle w:val="BodyText"/>
      </w:pPr>
      <w:r w:rsidRPr="00F36982">
        <w:t>Figure 7.2</w:t>
      </w:r>
      <w:r w:rsidR="00046BD5" w:rsidRPr="302B4FD1">
        <w:t xml:space="preserve"> shows our forecast total opex over the next two regulatory periods. This is split by our main service categories – water, sewerage, recycled water and waterways and drainage. The contract costs for the VDP being recovered through </w:t>
      </w:r>
      <w:r w:rsidR="04ADC64B">
        <w:t>opex</w:t>
      </w:r>
      <w:r w:rsidR="00046BD5" w:rsidRPr="302B4FD1">
        <w:t xml:space="preserve"> are shown only in the Water service.</w:t>
      </w:r>
    </w:p>
    <w:p w14:paraId="622A87DD" w14:textId="77777777" w:rsidR="00046BD5" w:rsidRPr="00DE108C" w:rsidRDefault="00046BD5">
      <w:pPr>
        <w:pStyle w:val="BodyText"/>
        <w:rPr>
          <w:szCs w:val="22"/>
        </w:rPr>
        <w:sectPr w:rsidR="00046BD5" w:rsidRPr="00DE108C" w:rsidSect="00046BD5">
          <w:pgSz w:w="11906" w:h="16838" w:code="9"/>
          <w:pgMar w:top="1134" w:right="1134" w:bottom="1134" w:left="1134" w:header="567" w:footer="680" w:gutter="0"/>
          <w:cols w:space="708"/>
          <w:docGrid w:linePitch="360"/>
        </w:sectPr>
      </w:pPr>
    </w:p>
    <w:p w14:paraId="0A0E8975" w14:textId="46E7E163" w:rsidR="00945252" w:rsidRPr="00DE108C" w:rsidRDefault="00046BD5">
      <w:pPr>
        <w:pStyle w:val="Caption"/>
      </w:pPr>
      <w:bookmarkStart w:id="608" w:name="_Toc208490570"/>
      <w:bookmarkStart w:id="609" w:name="_Toc208490908"/>
      <w:bookmarkStart w:id="610" w:name="_Toc208911066"/>
      <w:bookmarkStart w:id="611" w:name="_Toc210051372"/>
      <w:bookmarkStart w:id="612" w:name="_Toc207893046"/>
      <w:r w:rsidRPr="00F36982">
        <w:lastRenderedPageBreak/>
        <w:t>Figure 7.1</w:t>
      </w:r>
      <w:bookmarkEnd w:id="607"/>
      <w:r w:rsidRPr="00F36982">
        <w:t xml:space="preserve">: Historical and forecast </w:t>
      </w:r>
      <w:r w:rsidR="20A04163" w:rsidRPr="00F36982">
        <w:t>opex</w:t>
      </w:r>
      <w:r w:rsidRPr="00F36982">
        <w:t xml:space="preserve"> by controllable and non-controllable ($millions, real 2025-26)</w:t>
      </w:r>
      <w:bookmarkEnd w:id="608"/>
      <w:bookmarkEnd w:id="609"/>
      <w:bookmarkEnd w:id="610"/>
      <w:bookmarkEnd w:id="611"/>
      <w:r w:rsidRPr="00DE108C">
        <w:t xml:space="preserve"> </w:t>
      </w:r>
    </w:p>
    <w:bookmarkEnd w:id="612"/>
    <w:p w14:paraId="14AB151C" w14:textId="73121B06" w:rsidR="00046BD5" w:rsidRPr="00DE108C" w:rsidRDefault="009B4A5C" w:rsidP="00945252">
      <w:r>
        <w:rPr>
          <w:noProof/>
        </w:rPr>
        <w:drawing>
          <wp:inline distT="0" distB="0" distL="0" distR="0" wp14:anchorId="43CED060" wp14:editId="1B01E425">
            <wp:extent cx="9029237" cy="2628000"/>
            <wp:effectExtent l="0" t="0" r="635" b="1270"/>
            <wp:docPr id="406497310" name="Chart 1" descr="A stacked bar chart titled &quot;Historical and forecast opex by controllable and non-controllable ($millions, real 2025–26).&quot; It shows annual operational expenditure from 2021–22 to 2035–36, divided into three categories:&#10;&#10;Controllable&#10;Victorian Desalination Project&#10;Other Non-controllable&#10;&#10;Annual breakdown (selected years):&#10;&#10;&#10;2021–22: Total $1,187 million&#10;&#10;Controllable: $501M&#10;Desalination: $638M&#10;Other Non-controllable: $48M&#10;&#10;&#10;&#10;2022–23: Total $1,166 million&#10;&#10;Controllable: $500M&#10;Desalination: $615M&#10;Other Non-controllable: $51M&#10;&#10;&#10;&#10;2023–24: Total $1,147 million&#10;&#10;Controllable: $508M&#10;Desalination: $578M&#10;Other Non-controllable: $61M&#10;&#10;&#10;&#10;2024–25: Total $1,165 million&#10;&#10;Controllable: $568M&#10;Desalination: $547M&#10;Other Non-controllable: $49M&#10;&#10;&#10;&#10;2025–26: Total $1,134 million&#10;&#10;Controllable: $548M&#10;Desalination: $530M&#10;Other Non-controllable: $56M&#10;&#10;&#10;&#10;Subsequent years show a gradual decline in total opex, with controllable costs remaining relatively stable and desalination opex decreasing with increasing capitalisation of principal payments.">
              <a:extLst xmlns:a="http://schemas.openxmlformats.org/drawingml/2006/main">
                <a:ext uri="{FF2B5EF4-FFF2-40B4-BE49-F238E27FC236}">
                  <a16:creationId xmlns:a16="http://schemas.microsoft.com/office/drawing/2014/main" id="{38D4EE08-7EAE-4AF6-B6EB-C707B2016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2559543" w14:textId="1504F099" w:rsidR="00046BD5" w:rsidRPr="00DE108C" w:rsidRDefault="00046BD5" w:rsidP="00ED094E">
      <w:pPr>
        <w:pStyle w:val="Caption"/>
      </w:pPr>
      <w:bookmarkStart w:id="613" w:name="_Ref192499464"/>
      <w:bookmarkStart w:id="614" w:name="_Toc207893047"/>
      <w:bookmarkStart w:id="615" w:name="_Toc208490571"/>
      <w:bookmarkStart w:id="616" w:name="_Toc208490909"/>
      <w:bookmarkStart w:id="617" w:name="_Toc208911067"/>
      <w:bookmarkStart w:id="618" w:name="_Toc210051373"/>
      <w:r w:rsidRPr="00F36982">
        <w:t>Figure 7.2</w:t>
      </w:r>
      <w:bookmarkEnd w:id="613"/>
      <w:r w:rsidRPr="00F36982">
        <w:t xml:space="preserve">: Historic and </w:t>
      </w:r>
      <w:r w:rsidR="00A92578">
        <w:t>f</w:t>
      </w:r>
      <w:r w:rsidRPr="00F36982">
        <w:t xml:space="preserve">orecast total </w:t>
      </w:r>
      <w:r w:rsidR="518C61CE" w:rsidRPr="00F36982">
        <w:t>opex</w:t>
      </w:r>
      <w:r w:rsidRPr="00F36982">
        <w:t xml:space="preserve"> by service ($millions, real 2025-26)</w:t>
      </w:r>
      <w:bookmarkEnd w:id="614"/>
      <w:bookmarkEnd w:id="615"/>
      <w:bookmarkEnd w:id="616"/>
      <w:bookmarkEnd w:id="617"/>
      <w:bookmarkEnd w:id="618"/>
    </w:p>
    <w:p w14:paraId="284BE6C2" w14:textId="187CF74E" w:rsidR="00046BD5" w:rsidRPr="00DE108C" w:rsidRDefault="00803F74">
      <w:pPr>
        <w:pStyle w:val="BodyText"/>
        <w:sectPr w:rsidR="00046BD5" w:rsidRPr="00DE108C" w:rsidSect="00046BD5">
          <w:pgSz w:w="16838" w:h="11906" w:orient="landscape" w:code="9"/>
          <w:pgMar w:top="1134" w:right="1134" w:bottom="1134" w:left="1134" w:header="567" w:footer="680" w:gutter="0"/>
          <w:cols w:space="708"/>
          <w:docGrid w:linePitch="360"/>
        </w:sectPr>
      </w:pPr>
      <w:r>
        <w:rPr>
          <w:noProof/>
        </w:rPr>
        <w:drawing>
          <wp:inline distT="0" distB="0" distL="0" distR="0" wp14:anchorId="0CD54E54" wp14:editId="329A1A30">
            <wp:extent cx="9029237" cy="2628000"/>
            <wp:effectExtent l="0" t="0" r="635" b="1270"/>
            <wp:docPr id="1257907553" name="Chart 1" descr="Bar chart titled &quot;Historic and Forecast Total Opex by Service ($millions, real 2025–26)&quot; showing operating expenditure from 2021–22 to 2035–36. The y-axis ranges from $0 to $1,400 million. Each bar is segmented by service:&#10;&#10;VDP (dark blue)&#10;Water – excluding VDP (blue)&#10;Sewerage (light blue)&#10;Waterways and Drainage (green)&#10;Recycled Water (yellow-green)&#10;Diversions (yellow)&#10;&#10;Annual total opex values (selected years):&#10;&#10;2021–22: $1,187M&#10;2022–23: $1,166M&#10;2023–24: $1,147M&#10;2024–25: $1,165M&#10;2025–26: $1,134M&#10;2026–27: $1,115M&#10;2027–28: $1,109M&#10;... decreasing gradually to ...&#10;2035–36: $937M&#10;&#10;The chart illustrates historical and projected trends in operating expenditure across services.">
              <a:extLst xmlns:a="http://schemas.openxmlformats.org/drawingml/2006/main">
                <a:ext uri="{FF2B5EF4-FFF2-40B4-BE49-F238E27FC236}">
                  <a16:creationId xmlns:a16="http://schemas.microsoft.com/office/drawing/2014/main" id="{9D9A4B18-4242-4FE2-A3AA-5B67AEE11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2E07BE5" w14:textId="77777777" w:rsidR="00046BD5" w:rsidRPr="00DE108C" w:rsidRDefault="00046BD5" w:rsidP="00ED094E"/>
    <w:p w14:paraId="78FDBB62" w14:textId="70F8E673" w:rsidR="00046BD5" w:rsidRPr="00DE108C" w:rsidRDefault="00046BD5" w:rsidP="00ED094E">
      <w:r w:rsidRPr="00DE108C">
        <w:t xml:space="preserve">We have aligned our </w:t>
      </w:r>
      <w:r>
        <w:t>ope</w:t>
      </w:r>
      <w:r w:rsidR="45BBFBC7">
        <w:t>x</w:t>
      </w:r>
      <w:r w:rsidRPr="00DE108C">
        <w:t xml:space="preserve"> to our proposed Outcomes as shown in Figure 7.3. </w:t>
      </w:r>
    </w:p>
    <w:p w14:paraId="390A8B7A" w14:textId="58A5AB83" w:rsidR="00046BD5" w:rsidRPr="00DE108C" w:rsidRDefault="41A72E17" w:rsidP="00ED094E">
      <w:pPr>
        <w:rPr>
          <w:rFonts w:eastAsia="Verdana"/>
        </w:rPr>
      </w:pPr>
      <w:r w:rsidRPr="0735D919">
        <w:rPr>
          <w:rFonts w:eastAsia="Verdana"/>
        </w:rPr>
        <w:t>Figure 7.</w:t>
      </w:r>
      <w:r w:rsidRPr="6E1ECEE4">
        <w:rPr>
          <w:rFonts w:eastAsia="Verdana"/>
        </w:rPr>
        <w:t>3</w:t>
      </w:r>
      <w:r w:rsidR="00046BD5" w:rsidRPr="00DE108C">
        <w:rPr>
          <w:rFonts w:eastAsia="Verdana"/>
        </w:rPr>
        <w:t xml:space="preserve"> shows</w:t>
      </w:r>
      <w:r w:rsidR="576F1D20" w:rsidRPr="6E1ECEE4">
        <w:rPr>
          <w:rFonts w:eastAsia="Verdana"/>
        </w:rPr>
        <w:t>:</w:t>
      </w:r>
    </w:p>
    <w:p w14:paraId="64958EE0" w14:textId="499D5BAE" w:rsidR="00046BD5" w:rsidRPr="00DE108C" w:rsidRDefault="00046BD5" w:rsidP="00DF2168">
      <w:pPr>
        <w:pStyle w:val="ListBullet"/>
        <w:rPr>
          <w:rFonts w:eastAsia="Verdana"/>
        </w:rPr>
      </w:pPr>
      <w:r w:rsidRPr="004A13D2">
        <w:rPr>
          <w:rFonts w:eastAsia="Verdana"/>
          <w:b/>
        </w:rPr>
        <w:t>Outcome 1:</w:t>
      </w:r>
      <w:r w:rsidRPr="00DE108C">
        <w:rPr>
          <w:rFonts w:eastAsia="Verdana"/>
        </w:rPr>
        <w:t xml:space="preserve"> This relates to the provision of bulk water service outcomes and accounts for the largest share of forecast </w:t>
      </w:r>
      <w:r w:rsidR="30967BE2" w:rsidRPr="2ED82009">
        <w:rPr>
          <w:rFonts w:eastAsia="Verdana"/>
        </w:rPr>
        <w:t>opex</w:t>
      </w:r>
      <w:r w:rsidRPr="00DE108C">
        <w:rPr>
          <w:rFonts w:eastAsia="Verdana"/>
        </w:rPr>
        <w:t xml:space="preserve"> over the 2026-31 period at over 60 per cent (or $3,3</w:t>
      </w:r>
      <w:r w:rsidR="00D95402" w:rsidRPr="00DE108C">
        <w:rPr>
          <w:rFonts w:eastAsia="Verdana"/>
        </w:rPr>
        <w:t>55</w:t>
      </w:r>
      <w:r w:rsidRPr="00DE108C">
        <w:rPr>
          <w:rFonts w:eastAsia="Verdana"/>
        </w:rPr>
        <w:t xml:space="preserve"> million). This includes $2,470 million of VDP contract cost payments that are recovered as </w:t>
      </w:r>
      <w:r w:rsidR="4CE2FD35" w:rsidRPr="2ED82009">
        <w:rPr>
          <w:rFonts w:eastAsia="Verdana"/>
        </w:rPr>
        <w:t>opex</w:t>
      </w:r>
      <w:r w:rsidRPr="00DE108C">
        <w:rPr>
          <w:rFonts w:eastAsia="Verdana"/>
        </w:rPr>
        <w:t>.</w:t>
      </w:r>
    </w:p>
    <w:p w14:paraId="5897131F" w14:textId="1DD4481F" w:rsidR="00046BD5" w:rsidRPr="00DE108C" w:rsidRDefault="00046BD5" w:rsidP="00DF2168">
      <w:pPr>
        <w:pStyle w:val="ListBullet"/>
        <w:rPr>
          <w:rFonts w:eastAsia="Verdana"/>
        </w:rPr>
      </w:pPr>
      <w:r w:rsidRPr="004A13D2">
        <w:rPr>
          <w:rFonts w:eastAsia="Verdana"/>
          <w:b/>
        </w:rPr>
        <w:t>Outcome 2:</w:t>
      </w:r>
      <w:r w:rsidRPr="00DE108C">
        <w:rPr>
          <w:rFonts w:eastAsia="Verdana"/>
        </w:rPr>
        <w:t xml:space="preserve"> This relates to the provision of bulk sewerage service outcomes and accounts for the second largest share expenditure of forecast </w:t>
      </w:r>
      <w:r w:rsidR="7A8DFDD0" w:rsidRPr="5AAF9178">
        <w:rPr>
          <w:rFonts w:eastAsia="Verdana"/>
        </w:rPr>
        <w:t>opex</w:t>
      </w:r>
      <w:r w:rsidRPr="00DE108C">
        <w:rPr>
          <w:rFonts w:eastAsia="Verdana"/>
        </w:rPr>
        <w:t xml:space="preserve"> at 20 per cent of total </w:t>
      </w:r>
      <w:r w:rsidR="7923AA1E" w:rsidRPr="5AAF9178">
        <w:rPr>
          <w:rFonts w:eastAsia="Verdana"/>
        </w:rPr>
        <w:t>opex</w:t>
      </w:r>
      <w:r w:rsidRPr="00DE108C">
        <w:rPr>
          <w:rFonts w:eastAsia="Verdana"/>
        </w:rPr>
        <w:t xml:space="preserve"> over the 2026-31 period </w:t>
      </w:r>
      <w:r w:rsidRPr="00F36982">
        <w:rPr>
          <w:rFonts w:eastAsia="Verdana"/>
        </w:rPr>
        <w:t>(or $1,11</w:t>
      </w:r>
      <w:r w:rsidR="00DF528C" w:rsidRPr="00F36982">
        <w:rPr>
          <w:rFonts w:eastAsia="Verdana"/>
        </w:rPr>
        <w:t>1</w:t>
      </w:r>
      <w:r w:rsidRPr="00F36982">
        <w:rPr>
          <w:rFonts w:eastAsia="Verdana"/>
        </w:rPr>
        <w:t> million).</w:t>
      </w:r>
      <w:r w:rsidRPr="00DE108C">
        <w:rPr>
          <w:rFonts w:eastAsia="Verdana"/>
        </w:rPr>
        <w:t xml:space="preserve"> </w:t>
      </w:r>
    </w:p>
    <w:p w14:paraId="36C56DBF" w14:textId="73DF8515" w:rsidR="00046BD5" w:rsidRPr="00DE108C" w:rsidRDefault="00046BD5" w:rsidP="00DF2168">
      <w:pPr>
        <w:pStyle w:val="ListBullet"/>
        <w:rPr>
          <w:rFonts w:eastAsia="Verdana"/>
        </w:rPr>
      </w:pPr>
      <w:r w:rsidRPr="004A13D2">
        <w:rPr>
          <w:rFonts w:eastAsia="Verdana"/>
          <w:b/>
        </w:rPr>
        <w:t>Outcome 3:</w:t>
      </w:r>
      <w:r w:rsidRPr="00DE108C">
        <w:rPr>
          <w:rFonts w:eastAsia="Verdana"/>
        </w:rPr>
        <w:t xml:space="preserve"> For the provision of waterways and drainage outcomes to maintain healthy, resilient waterways, which accounts for 11 per cent of forecast total </w:t>
      </w:r>
      <w:r w:rsidR="18B7104D" w:rsidRPr="11CBF374">
        <w:rPr>
          <w:rFonts w:eastAsia="Verdana"/>
        </w:rPr>
        <w:t>opex</w:t>
      </w:r>
      <w:r w:rsidRPr="00DE108C">
        <w:rPr>
          <w:rFonts w:eastAsia="Verdana"/>
        </w:rPr>
        <w:t xml:space="preserve"> over the 2026-31 period (or $604 million). </w:t>
      </w:r>
    </w:p>
    <w:p w14:paraId="4F0FF7ED" w14:textId="61015CD4" w:rsidR="00046BD5" w:rsidRPr="00DE108C" w:rsidRDefault="00046BD5" w:rsidP="00DF2168">
      <w:pPr>
        <w:pStyle w:val="ListBullet"/>
        <w:rPr>
          <w:rFonts w:eastAsia="Verdana"/>
        </w:rPr>
      </w:pPr>
      <w:r w:rsidRPr="004A13D2">
        <w:rPr>
          <w:rFonts w:eastAsia="Verdana"/>
          <w:b/>
        </w:rPr>
        <w:t>Outcome 4:</w:t>
      </w:r>
      <w:r w:rsidRPr="00DE108C">
        <w:rPr>
          <w:rFonts w:eastAsia="Verdana"/>
        </w:rPr>
        <w:t xml:space="preserve"> For the provision of urban drainage and improving flood resilience outcomes, which accounts for 7 per cent of forecast total </w:t>
      </w:r>
      <w:r w:rsidR="66ACCCE3" w:rsidRPr="5CBD637A">
        <w:rPr>
          <w:rFonts w:eastAsia="Verdana"/>
        </w:rPr>
        <w:t>opex</w:t>
      </w:r>
      <w:r w:rsidRPr="00DE108C">
        <w:rPr>
          <w:rFonts w:eastAsia="Verdana"/>
        </w:rPr>
        <w:t xml:space="preserve"> over the 2026-31 period (or $409 million).</w:t>
      </w:r>
    </w:p>
    <w:p w14:paraId="32A71A23" w14:textId="07A8FAB6" w:rsidR="00046BD5" w:rsidRPr="00DE108C" w:rsidRDefault="00046BD5" w:rsidP="00DF2168">
      <w:pPr>
        <w:pStyle w:val="ListBullet"/>
        <w:rPr>
          <w:rFonts w:eastAsia="Verdana"/>
        </w:rPr>
      </w:pPr>
      <w:r w:rsidRPr="004A13D2">
        <w:rPr>
          <w:rFonts w:eastAsia="Verdana"/>
          <w:b/>
        </w:rPr>
        <w:t>Outcome 5:</w:t>
      </w:r>
      <w:r w:rsidRPr="00DE108C">
        <w:rPr>
          <w:rFonts w:eastAsia="Verdana"/>
        </w:rPr>
        <w:t xml:space="preserve"> For outcomes on being a valued partner in water cycle services. This accounts for less than one per cent of forecast total </w:t>
      </w:r>
      <w:r w:rsidR="5006D0F9" w:rsidRPr="5CBD637A">
        <w:rPr>
          <w:rFonts w:eastAsia="Verdana"/>
        </w:rPr>
        <w:t>opex</w:t>
      </w:r>
      <w:r w:rsidRPr="00DE108C">
        <w:rPr>
          <w:rFonts w:eastAsia="Verdana"/>
        </w:rPr>
        <w:t xml:space="preserve"> over the 2026-31 period (</w:t>
      </w:r>
      <w:r w:rsidR="00B64B30">
        <w:rPr>
          <w:rFonts w:eastAsia="Verdana"/>
        </w:rPr>
        <w:t xml:space="preserve">or </w:t>
      </w:r>
      <w:r w:rsidRPr="00DE108C">
        <w:rPr>
          <w:rFonts w:eastAsia="Verdana"/>
        </w:rPr>
        <w:t>$33 million).</w:t>
      </w:r>
    </w:p>
    <w:p w14:paraId="072C1BE1" w14:textId="1718EA12" w:rsidR="00945252" w:rsidRPr="00DE108C" w:rsidRDefault="00046BD5">
      <w:pPr>
        <w:pStyle w:val="Caption"/>
      </w:pPr>
      <w:bookmarkStart w:id="619" w:name="_Toc208490572"/>
      <w:bookmarkStart w:id="620" w:name="_Toc208490910"/>
      <w:bookmarkStart w:id="621" w:name="_Toc208911068"/>
      <w:bookmarkStart w:id="622" w:name="_Toc210051374"/>
      <w:bookmarkStart w:id="623" w:name="_Toc207893048"/>
      <w:r w:rsidRPr="00F36982">
        <w:t xml:space="preserve">Figure 7.3: Forecast total </w:t>
      </w:r>
      <w:r w:rsidR="25EFDE63" w:rsidRPr="00F36982">
        <w:t>opex</w:t>
      </w:r>
      <w:r w:rsidRPr="00F36982">
        <w:t xml:space="preserve"> by customer </w:t>
      </w:r>
      <w:r w:rsidR="00570ECE" w:rsidRPr="00F36982">
        <w:t>O</w:t>
      </w:r>
      <w:r w:rsidRPr="00F36982">
        <w:t>utcome 2026-31 ($millions, real 2025-26)</w:t>
      </w:r>
      <w:bookmarkEnd w:id="619"/>
      <w:bookmarkEnd w:id="620"/>
      <w:bookmarkEnd w:id="621"/>
      <w:bookmarkEnd w:id="622"/>
    </w:p>
    <w:bookmarkEnd w:id="623"/>
    <w:p w14:paraId="50FD8424" w14:textId="2090ED8D" w:rsidR="00547C44" w:rsidRPr="00547C44" w:rsidRDefault="00334368" w:rsidP="00547C44">
      <w:pPr>
        <w:spacing w:before="0" w:after="0" w:line="240" w:lineRule="auto"/>
        <w:rPr>
          <w:rFonts w:ascii="Times New Roman" w:hAnsi="Times New Roman"/>
          <w:color w:val="auto"/>
          <w:sz w:val="24"/>
        </w:rPr>
      </w:pPr>
      <w:r>
        <w:rPr>
          <w:noProof/>
        </w:rPr>
        <w:drawing>
          <wp:inline distT="0" distB="0" distL="0" distR="0" wp14:anchorId="3B42E0BB" wp14:editId="5CEB667F">
            <wp:extent cx="6120130" cy="2976664"/>
            <wp:effectExtent l="0" t="0" r="13970" b="14605"/>
            <wp:docPr id="843516926" name="Chart 1" descr="A grouped bar chart titled &quot;Forecast total opex by customer outcome 2026–31 ($millions, real 2025–26).&quot; It shows projected annual operating expenditure from 2026–27 to 2030–31, broken down by five customer outcomes:&#10;&#10;Outcome 1: Safe and reliable bulk water supplies (dark blue)&#10;Outcome 2: Environmentally sustainable bulk sewerage services (light blue)&#10;Outcome 3: Healthy, resilient waterways (cyan)&#10;Outcome 4: Urban drainage and flood resilience (green)&#10;Outcome 5: A valued partner in integrated water cycle services (yellow)&#10;&#10;Annual breakdown:&#10;&#10;&#10;2026–27:&#10;&#10;Outcome 1: $695M&#10;Outcome 2: $215M&#10;Outcome 3: $119M&#10;Outcome 4: $82M&#10;Outcome 5: $4M&#10;&#10;&#10;&#10;2027–28:&#10;&#10;Outcome 1: $684M&#10;Outcome 2: $216M&#10;Outcome 3: $121M&#10;Outcome 4: $82M&#10;Outcome 5: $6M&#10;&#10;&#10;&#10;2028–29:&#10;&#10;Outcome 1: $680M&#10;Outcome 2: $223M&#10;Outcome 3: $122M&#10;Outcome 4: $82M&#10;Outcome 5: $7M&#10;&#10;&#10;&#10;2029–30:&#10;&#10;Outcome 1: $659M&#10;Outcome 2: $228M&#10;Outcome 3: $121M&#10;Outcome 4: $82M&#10;Outcome 5: $8M&#10;&#10;&#10;&#10;2030–31:&#10;&#10;Outcome 1: $638M&#10;Outcome 2: $229M&#10;Outcome 3: $121M&#10;Outcome 4: $81M&#10;Outcome 5: $8M">
              <a:extLst xmlns:a="http://schemas.openxmlformats.org/drawingml/2006/main">
                <a:ext uri="{FF2B5EF4-FFF2-40B4-BE49-F238E27FC236}">
                  <a16:creationId xmlns:a16="http://schemas.microsoft.com/office/drawing/2014/main" id="{E805D010-195A-582C-D0DA-5C6C14745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7E6EF90" w14:textId="2C6AFF7E" w:rsidR="00046BD5" w:rsidRPr="00DE108C" w:rsidRDefault="00046BD5" w:rsidP="00945252"/>
    <w:p w14:paraId="35D5B08A" w14:textId="77777777" w:rsidR="00046BD5" w:rsidRPr="00DE108C" w:rsidRDefault="00046BD5">
      <w:pPr>
        <w:pStyle w:val="Heading3"/>
      </w:pPr>
      <w:bookmarkStart w:id="624" w:name="_Toc190876162"/>
      <w:bookmarkStart w:id="625" w:name="_Ref192516536"/>
      <w:bookmarkStart w:id="626" w:name="_Ref192516540"/>
      <w:bookmarkStart w:id="627" w:name="_Toc196745244"/>
      <w:bookmarkStart w:id="628" w:name="_Ref201748472"/>
      <w:r w:rsidRPr="00DE108C">
        <w:t>7.1.1 Cost allocation</w:t>
      </w:r>
      <w:bookmarkEnd w:id="624"/>
      <w:bookmarkEnd w:id="625"/>
      <w:bookmarkEnd w:id="626"/>
      <w:bookmarkEnd w:id="627"/>
      <w:bookmarkEnd w:id="628"/>
    </w:p>
    <w:p w14:paraId="61E279B2" w14:textId="226032E3" w:rsidR="00046BD5" w:rsidRPr="00DE108C" w:rsidRDefault="00046BD5" w:rsidP="00ED094E">
      <w:pPr>
        <w:rPr>
          <w:szCs w:val="22"/>
        </w:rPr>
      </w:pPr>
      <w:r w:rsidRPr="00DE108C">
        <w:rPr>
          <w:szCs w:val="22"/>
        </w:rPr>
        <w:t xml:space="preserve">Our proposed cost allocation is the same as PS21, except for </w:t>
      </w:r>
      <w:r w:rsidR="004E5674">
        <w:rPr>
          <w:szCs w:val="22"/>
        </w:rPr>
        <w:t xml:space="preserve">costs associated with </w:t>
      </w:r>
      <w:r w:rsidRPr="00DE108C">
        <w:rPr>
          <w:szCs w:val="22"/>
        </w:rPr>
        <w:t>the integration with Port Phillip and Western</w:t>
      </w:r>
      <w:r w:rsidR="00114D61">
        <w:rPr>
          <w:szCs w:val="22"/>
        </w:rPr>
        <w:t xml:space="preserve"> P</w:t>
      </w:r>
      <w:r w:rsidRPr="00DE108C">
        <w:rPr>
          <w:szCs w:val="22"/>
        </w:rPr>
        <w:t xml:space="preserve">ort Catchment Management Authority (CMA). For this, we have amended the internal cost allocation to ensure that </w:t>
      </w:r>
      <w:r w:rsidRPr="00F36982">
        <w:rPr>
          <w:szCs w:val="22"/>
        </w:rPr>
        <w:t>the</w:t>
      </w:r>
      <w:r w:rsidR="009D03D2" w:rsidRPr="00F36982">
        <w:rPr>
          <w:szCs w:val="22"/>
        </w:rPr>
        <w:t>se</w:t>
      </w:r>
      <w:r w:rsidRPr="00DE108C">
        <w:rPr>
          <w:szCs w:val="22"/>
        </w:rPr>
        <w:t xml:space="preserve"> CMA functions are </w:t>
      </w:r>
      <w:r w:rsidR="009D03D2">
        <w:rPr>
          <w:szCs w:val="22"/>
        </w:rPr>
        <w:t xml:space="preserve">classified as </w:t>
      </w:r>
      <w:r w:rsidRPr="00DE108C">
        <w:rPr>
          <w:szCs w:val="22"/>
        </w:rPr>
        <w:t xml:space="preserve">non-prescribed. </w:t>
      </w:r>
    </w:p>
    <w:p w14:paraId="48637A27" w14:textId="62C2F419" w:rsidR="00046BD5" w:rsidRPr="00DE108C" w:rsidRDefault="00046BD5" w:rsidP="00ED094E">
      <w:r>
        <w:t>Our cost allocation approach allocates all cost centres to our major prescribed and non-prescribed products, specifically water, sewerage, recycled water, waterways and drainage</w:t>
      </w:r>
      <w:r w:rsidR="00C808C3">
        <w:t xml:space="preserve"> and</w:t>
      </w:r>
      <w:r>
        <w:t xml:space="preserve"> </w:t>
      </w:r>
      <w:r w:rsidR="00213476">
        <w:t>diversions</w:t>
      </w:r>
      <w:r>
        <w:t>. The cost allocation principles used</w:t>
      </w:r>
      <w:r w:rsidR="5630964B">
        <w:t xml:space="preserve"> are</w:t>
      </w:r>
      <w:r>
        <w:t>:</w:t>
      </w:r>
    </w:p>
    <w:p w14:paraId="2B5217DD" w14:textId="55293F66" w:rsidR="00046BD5" w:rsidRPr="00DE108C" w:rsidRDefault="00046BD5" w:rsidP="00DF2168">
      <w:pPr>
        <w:pStyle w:val="ListBullet"/>
      </w:pPr>
      <w:r w:rsidRPr="00DE108C">
        <w:rPr>
          <w:b/>
          <w:bCs/>
        </w:rPr>
        <w:lastRenderedPageBreak/>
        <w:t>Directly allocated costs:</w:t>
      </w:r>
      <w:r w:rsidRPr="00DE108C">
        <w:t xml:space="preserve"> costs are directly related to the services allocated to that service. </w:t>
      </w:r>
    </w:p>
    <w:p w14:paraId="076A5021" w14:textId="77777777" w:rsidR="00046BD5" w:rsidRPr="00DE108C" w:rsidRDefault="00046BD5" w:rsidP="00DF2168">
      <w:pPr>
        <w:pStyle w:val="ListBullet"/>
      </w:pPr>
      <w:r w:rsidRPr="00DE108C">
        <w:rPr>
          <w:b/>
          <w:bCs/>
        </w:rPr>
        <w:t xml:space="preserve">Allocating shared costs: </w:t>
      </w:r>
      <w:r w:rsidRPr="00DE108C">
        <w:t xml:space="preserve">costs that might be applicable for one or more services are allocated on the basis of share. </w:t>
      </w:r>
    </w:p>
    <w:p w14:paraId="118DE560" w14:textId="53D3575B" w:rsidR="00046BD5" w:rsidRPr="00D5514E" w:rsidRDefault="00046BD5" w:rsidP="00ED094E">
      <w:pPr>
        <w:pStyle w:val="ListBullet"/>
        <w:rPr>
          <w:szCs w:val="22"/>
        </w:rPr>
      </w:pPr>
      <w:r w:rsidRPr="00DE108C">
        <w:rPr>
          <w:b/>
          <w:bCs/>
        </w:rPr>
        <w:t>Allocating corporate and support costs</w:t>
      </w:r>
      <w:r w:rsidRPr="00DE108C">
        <w:t xml:space="preserve">: costs for corporate and other support functions are not directly attributable to a product, these are allocated to each product based on the scale of resources required for each product. A simplifying assumption is to allocate based on revenue requirement (excluding corporate). </w:t>
      </w:r>
    </w:p>
    <w:p w14:paraId="0BA5531E" w14:textId="7FC961E6" w:rsidR="00046BD5" w:rsidRPr="00DE108C" w:rsidRDefault="00046BD5">
      <w:pPr>
        <w:pStyle w:val="Heading2"/>
      </w:pPr>
      <w:bookmarkStart w:id="629" w:name="_Toc190876163"/>
      <w:bookmarkStart w:id="630" w:name="_Toc196745246"/>
      <w:bookmarkStart w:id="631" w:name="_Toc207892909"/>
      <w:bookmarkStart w:id="632" w:name="_Toc207853402"/>
      <w:r w:rsidRPr="00DE108C">
        <w:t>7.2 Baseline controllable o</w:t>
      </w:r>
      <w:r w:rsidR="00E261BB">
        <w:t xml:space="preserve">perating expenditure </w:t>
      </w:r>
      <w:bookmarkEnd w:id="629"/>
      <w:bookmarkEnd w:id="630"/>
      <w:bookmarkEnd w:id="631"/>
      <w:bookmarkEnd w:id="632"/>
    </w:p>
    <w:p w14:paraId="60726510" w14:textId="0C95C4C9" w:rsidR="00046BD5" w:rsidRPr="00DE108C" w:rsidRDefault="00046BD5" w:rsidP="00ED094E">
      <w:r w:rsidRPr="00DE108C">
        <w:t xml:space="preserve">We are proposing a baseline controllable </w:t>
      </w:r>
      <w:r w:rsidR="30598021" w:rsidRPr="00DE108C">
        <w:t>opex</w:t>
      </w:r>
      <w:r w:rsidRPr="00DE108C">
        <w:t xml:space="preserve"> for 2024-25 of $519 million. We are not forecasting the baseline to grow (as described in </w:t>
      </w:r>
      <w:r w:rsidR="3885CEE0" w:rsidRPr="00DE108C">
        <w:t>S</w:t>
      </w:r>
      <w:r w:rsidRPr="00DE108C">
        <w:t xml:space="preserve">ection </w:t>
      </w:r>
      <w:r w:rsidR="002259B0" w:rsidRPr="00DE108C">
        <w:t>7.3.1 Growth and efficiency</w:t>
      </w:r>
      <w:r>
        <w:t>)</w:t>
      </w:r>
      <w:r w:rsidRPr="00DE108C">
        <w:t xml:space="preserve"> and an additional expenditure above baseline increase of an average of $40 million per year (as described in Section 7.3.2</w:t>
      </w:r>
      <w:r w:rsidR="77A4BE44" w:rsidRPr="00DE108C">
        <w:t xml:space="preserve"> </w:t>
      </w:r>
      <w:r w:rsidR="77A4BE44">
        <w:t xml:space="preserve">Additions to baseline controllable operating expenditure – by </w:t>
      </w:r>
      <w:r w:rsidR="00411066">
        <w:t>O</w:t>
      </w:r>
      <w:r w:rsidR="77A4BE44">
        <w:t>utcome</w:t>
      </w:r>
      <w:r w:rsidRPr="00DE108C">
        <w:t xml:space="preserve">). </w:t>
      </w:r>
    </w:p>
    <w:p w14:paraId="1F9BF560" w14:textId="6945DC86" w:rsidR="00046BD5" w:rsidRPr="00DE108C" w:rsidRDefault="00046BD5">
      <w:pPr>
        <w:pStyle w:val="Heading3"/>
      </w:pPr>
      <w:r w:rsidRPr="00DE108C">
        <w:t>7.2.1 Cost categorisation of baseline controllable o</w:t>
      </w:r>
      <w:r w:rsidR="00E261BB">
        <w:t xml:space="preserve">perating expenditure </w:t>
      </w:r>
    </w:p>
    <w:p w14:paraId="3D212031" w14:textId="77777777" w:rsidR="00046BD5" w:rsidRPr="00DE108C" w:rsidRDefault="00046BD5" w:rsidP="00ED094E">
      <w:pPr>
        <w:rPr>
          <w:szCs w:val="22"/>
        </w:rPr>
      </w:pPr>
      <w:r w:rsidRPr="00DE108C">
        <w:rPr>
          <w:szCs w:val="22"/>
        </w:rPr>
        <w:t xml:space="preserve">Melbourne Water’s largest controllable opex item is labour, which accounts for over one-third of total controllable opex (as shown in Figure 7.4). </w:t>
      </w:r>
    </w:p>
    <w:p w14:paraId="3ADCDA1B" w14:textId="07BDFC6E" w:rsidR="00046BD5" w:rsidRPr="00DE108C" w:rsidRDefault="00046BD5" w:rsidP="00ED094E">
      <w:pPr>
        <w:rPr>
          <w:szCs w:val="22"/>
        </w:rPr>
      </w:pPr>
      <w:r w:rsidRPr="00DE108C">
        <w:rPr>
          <w:szCs w:val="22"/>
        </w:rPr>
        <w:t xml:space="preserve">A summary of the expenditure categories </w:t>
      </w:r>
      <w:r w:rsidR="14E31150">
        <w:t>is</w:t>
      </w:r>
      <w:r w:rsidRPr="00DE108C">
        <w:rPr>
          <w:szCs w:val="22"/>
        </w:rPr>
        <w:t>:</w:t>
      </w:r>
    </w:p>
    <w:p w14:paraId="45A823A3" w14:textId="43C0A38F" w:rsidR="00046BD5" w:rsidRPr="00DE108C" w:rsidRDefault="00046BD5" w:rsidP="00DF2168">
      <w:pPr>
        <w:pStyle w:val="ListBullet"/>
      </w:pPr>
      <w:r w:rsidRPr="00DE108C">
        <w:rPr>
          <w:b/>
          <w:bCs/>
        </w:rPr>
        <w:t>Labour:</w:t>
      </w:r>
      <w:r w:rsidRPr="00DE108C">
        <w:t xml:space="preserve"> permanent and fixed term labour</w:t>
      </w:r>
      <w:r w:rsidR="1707B7DA">
        <w:t>,</w:t>
      </w:r>
      <w:r w:rsidRPr="00DE108C">
        <w:t xml:space="preserve"> as well as contractor labour, and all associated costs of people (such as payroll tax and superannuation).</w:t>
      </w:r>
    </w:p>
    <w:p w14:paraId="5E6BF848" w14:textId="77777777" w:rsidR="00046BD5" w:rsidRPr="00DE108C" w:rsidRDefault="00046BD5" w:rsidP="00DF2168">
      <w:pPr>
        <w:pStyle w:val="ListBullet"/>
      </w:pPr>
      <w:r w:rsidRPr="00DE108C">
        <w:rPr>
          <w:b/>
          <w:bCs/>
        </w:rPr>
        <w:t>Maintenance:</w:t>
      </w:r>
      <w:r w:rsidRPr="00DE108C">
        <w:t xml:space="preserve"> contracted maintenance, waste disposal, and laboratory and chemical analysis. </w:t>
      </w:r>
    </w:p>
    <w:p w14:paraId="6F20DAB7" w14:textId="77777777" w:rsidR="00046BD5" w:rsidRPr="00DE108C" w:rsidRDefault="00046BD5" w:rsidP="00DF2168">
      <w:pPr>
        <w:pStyle w:val="ListBullet"/>
      </w:pPr>
      <w:r w:rsidRPr="00DE108C">
        <w:rPr>
          <w:b/>
          <w:bCs/>
        </w:rPr>
        <w:t>Materials:</w:t>
      </w:r>
      <w:r w:rsidRPr="00DE108C">
        <w:t xml:space="preserve"> chemicals, personal protective equipment and uniforms, stationery, and minor equipment purchases.</w:t>
      </w:r>
    </w:p>
    <w:p w14:paraId="5A738249" w14:textId="77777777" w:rsidR="00046BD5" w:rsidRPr="00DE108C" w:rsidRDefault="00046BD5" w:rsidP="00DF2168">
      <w:pPr>
        <w:pStyle w:val="ListBullet"/>
      </w:pPr>
      <w:r w:rsidRPr="00DE108C">
        <w:rPr>
          <w:b/>
          <w:bCs/>
        </w:rPr>
        <w:t>Rental and insurance:</w:t>
      </w:r>
      <w:r w:rsidRPr="00DE108C">
        <w:t xml:space="preserve"> insurance premiums and brokering costs, and rental payments (including operating lease payments for sites and buildings). </w:t>
      </w:r>
    </w:p>
    <w:p w14:paraId="1C5A0243" w14:textId="1E89BEE3" w:rsidR="00046BD5" w:rsidRPr="00DE108C" w:rsidRDefault="00046BD5" w:rsidP="00DF2168">
      <w:pPr>
        <w:pStyle w:val="ListBullet"/>
      </w:pPr>
      <w:r w:rsidRPr="00DE108C">
        <w:rPr>
          <w:b/>
          <w:bCs/>
        </w:rPr>
        <w:t>Energy:</w:t>
      </w:r>
      <w:r w:rsidRPr="00DF2168">
        <w:rPr>
          <w:b/>
        </w:rPr>
        <w:t xml:space="preserve"> </w:t>
      </w:r>
      <w:r w:rsidRPr="00DE108C">
        <w:t xml:space="preserve">electricity, gas, oil, fuel, </w:t>
      </w:r>
      <w:r>
        <w:t>renewa</w:t>
      </w:r>
      <w:r w:rsidR="1BDA00BF">
        <w:t>ble</w:t>
      </w:r>
      <w:r w:rsidRPr="00DE108C">
        <w:t xml:space="preserve"> energy certificates and carbon offsets. </w:t>
      </w:r>
    </w:p>
    <w:p w14:paraId="441592B7" w14:textId="77777777" w:rsidR="00046BD5" w:rsidRPr="00DE108C" w:rsidRDefault="00046BD5" w:rsidP="00DF2168">
      <w:pPr>
        <w:pStyle w:val="ListBullet"/>
      </w:pPr>
      <w:r w:rsidRPr="00DE108C">
        <w:rPr>
          <w:b/>
          <w:bCs/>
        </w:rPr>
        <w:t>External services:</w:t>
      </w:r>
      <w:r w:rsidRPr="00DE108C">
        <w:t xml:space="preserve"> billing and collections costs, external consultancy, training and education, advertising, external legal costs, mail, records management and other external services provided to Melbourne Water. </w:t>
      </w:r>
    </w:p>
    <w:p w14:paraId="0AAA502C" w14:textId="07CA1CEA" w:rsidR="00046BD5" w:rsidRPr="00DE108C" w:rsidRDefault="00046BD5" w:rsidP="00DF2168">
      <w:pPr>
        <w:pStyle w:val="ListBullet"/>
      </w:pPr>
      <w:r w:rsidRPr="00DE108C">
        <w:rPr>
          <w:b/>
          <w:bCs/>
        </w:rPr>
        <w:t>Grants:</w:t>
      </w:r>
      <w:r w:rsidRPr="00DE108C">
        <w:t xml:space="preserve"> provided for work to be undertaken on Melbourne Water’s behalf by community groups and provided to Melbourne Water by other </w:t>
      </w:r>
      <w:r w:rsidR="62A9C05E">
        <w:t>g</w:t>
      </w:r>
      <w:r>
        <w:t>overnment</w:t>
      </w:r>
      <w:r w:rsidRPr="00DE108C">
        <w:t xml:space="preserve"> agencies.</w:t>
      </w:r>
    </w:p>
    <w:p w14:paraId="42D26BB8" w14:textId="77777777" w:rsidR="00046BD5" w:rsidRPr="00DE108C" w:rsidRDefault="00046BD5" w:rsidP="00DF2168">
      <w:pPr>
        <w:pStyle w:val="ListBullet"/>
      </w:pPr>
      <w:r w:rsidRPr="00DE108C">
        <w:rPr>
          <w:b/>
          <w:bCs/>
        </w:rPr>
        <w:t>IT:</w:t>
      </w:r>
      <w:r w:rsidRPr="00DE108C">
        <w:t xml:space="preserve"> telecommunications, IT professional services, IT service and support fees, and minor IT hardware and equipment.</w:t>
      </w:r>
    </w:p>
    <w:p w14:paraId="1D7B537A" w14:textId="5F54E1B7" w:rsidR="00046BD5" w:rsidRPr="00DE108C" w:rsidRDefault="00046BD5" w:rsidP="00DF2168">
      <w:pPr>
        <w:pStyle w:val="ListBullet"/>
      </w:pPr>
      <w:r w:rsidRPr="00DE108C">
        <w:rPr>
          <w:b/>
          <w:bCs/>
        </w:rPr>
        <w:t>Other:</w:t>
      </w:r>
      <w:r w:rsidRPr="00DE108C">
        <w:t xml:space="preserve"> fees and charges (such as non-government fees and bank charges), transport, including fleet and parking costs, and other expenses</w:t>
      </w:r>
      <w:r w:rsidR="202FD245">
        <w:t>,</w:t>
      </w:r>
      <w:r w:rsidRPr="00DE108C">
        <w:t xml:space="preserve"> such as travel, subscriptions, and professional registrations. </w:t>
      </w:r>
    </w:p>
    <w:p w14:paraId="7364D431" w14:textId="510ABFAC" w:rsidR="39471D02" w:rsidRDefault="39471D02" w:rsidP="00DF2168"/>
    <w:p w14:paraId="1F3E3CCC" w14:textId="1E4F0286" w:rsidR="00046BD5" w:rsidRPr="00DE108C" w:rsidRDefault="00046BD5" w:rsidP="00ED094E">
      <w:pPr>
        <w:pStyle w:val="Caption"/>
      </w:pPr>
      <w:bookmarkStart w:id="633" w:name="_Ref206327239"/>
      <w:bookmarkStart w:id="634" w:name="_Toc207893049"/>
      <w:bookmarkStart w:id="635" w:name="_Toc208490573"/>
      <w:bookmarkStart w:id="636" w:name="_Toc208490911"/>
      <w:bookmarkStart w:id="637" w:name="_Toc208911069"/>
      <w:bookmarkStart w:id="638" w:name="_Toc210051375"/>
      <w:r w:rsidRPr="00DE108C">
        <w:lastRenderedPageBreak/>
        <w:t>Figure 7.4</w:t>
      </w:r>
      <w:bookmarkEnd w:id="633"/>
      <w:r w:rsidRPr="00DE108C">
        <w:t xml:space="preserve">: Controllable </w:t>
      </w:r>
      <w:r>
        <w:t>ope</w:t>
      </w:r>
      <w:r w:rsidR="0B300791">
        <w:t>x</w:t>
      </w:r>
      <w:r w:rsidRPr="00DE108C">
        <w:t xml:space="preserve"> by cost category</w:t>
      </w:r>
      <w:bookmarkEnd w:id="634"/>
      <w:bookmarkEnd w:id="635"/>
      <w:bookmarkEnd w:id="636"/>
      <w:bookmarkEnd w:id="637"/>
      <w:bookmarkEnd w:id="638"/>
      <w:r w:rsidRPr="00DE108C">
        <w:t xml:space="preserve"> </w:t>
      </w:r>
    </w:p>
    <w:p w14:paraId="31AF30E8" w14:textId="77777777" w:rsidR="00046BD5" w:rsidRPr="00DE108C" w:rsidRDefault="00046BD5">
      <w:pPr>
        <w:pStyle w:val="BodyText"/>
      </w:pPr>
      <w:r w:rsidRPr="00DE108C">
        <w:rPr>
          <w:noProof/>
          <w14:ligatures w14:val="standardContextual"/>
        </w:rPr>
        <w:drawing>
          <wp:inline distT="0" distB="0" distL="0" distR="0" wp14:anchorId="773BB321" wp14:editId="4DC805C8">
            <wp:extent cx="5554980" cy="2987748"/>
            <wp:effectExtent l="0" t="0" r="7620" b="3175"/>
            <wp:docPr id="707945153" name="Chart 1" descr="A pie chart titled &quot;Controllable opex by cost category.&quot; It shows the percentage breakdown of controllable operational expenditure across various cost categories:&#10;&#10;Labour: 36%&#10;Maintenance: 22%&#10;External services: 14%&#10;IT: 10%&#10;Energy: 7%&#10;Rental &amp; Insurance: 3%&#10;Materials: 3%&#10;Grants: 3%&#10;Other: 2%&#10;&#10;The chart highlights that Labour and Maintenance are the largest contributors to controllable opex.">
              <a:extLst xmlns:a="http://schemas.openxmlformats.org/drawingml/2006/main">
                <a:ext uri="{FF2B5EF4-FFF2-40B4-BE49-F238E27FC236}">
                  <a16:creationId xmlns:a16="http://schemas.microsoft.com/office/drawing/2014/main" id="{AAD040D8-50CD-47DF-8750-A92BAA450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8F4031C" w14:textId="77777777" w:rsidR="00046BD5" w:rsidRPr="00DE108C" w:rsidRDefault="00046BD5">
      <w:pPr>
        <w:pStyle w:val="BodyText"/>
      </w:pPr>
    </w:p>
    <w:p w14:paraId="3427FFF2" w14:textId="5E53CE1D" w:rsidR="00046BD5" w:rsidRPr="00DE108C" w:rsidRDefault="00046BD5">
      <w:pPr>
        <w:pStyle w:val="Heading3"/>
      </w:pPr>
      <w:bookmarkStart w:id="639" w:name="_Ref192512765"/>
      <w:bookmarkStart w:id="640" w:name="_Toc196745247"/>
      <w:r w:rsidRPr="00DE108C">
        <w:t xml:space="preserve">7.2.2 Baseline controllable </w:t>
      </w:r>
      <w:bookmarkEnd w:id="639"/>
      <w:bookmarkEnd w:id="640"/>
      <w:r w:rsidR="78D6DF17">
        <w:t>opex</w:t>
      </w:r>
    </w:p>
    <w:p w14:paraId="7D92B848" w14:textId="77777777" w:rsidR="00046BD5" w:rsidRPr="00DE108C" w:rsidRDefault="00046BD5">
      <w:pPr>
        <w:pStyle w:val="BodyText"/>
      </w:pPr>
      <w:r w:rsidRPr="00DE108C">
        <w:t xml:space="preserve">Our baseline controllable opex profile for the 2026-31 regulatory period is $519 million. This was calculated by taking our total prescribed opex of $1,165 million for 2024-25 and adjusting by $597 million of non-controllable costs, along with $49 million of one-off and non-recurring costs. </w:t>
      </w:r>
    </w:p>
    <w:p w14:paraId="00B4AC67" w14:textId="7D14769B" w:rsidR="00046BD5" w:rsidRPr="00DE108C" w:rsidRDefault="00046BD5">
      <w:pPr>
        <w:pStyle w:val="BodyText"/>
      </w:pPr>
      <w:r w:rsidRPr="00DE108C">
        <w:t>Melbourne Water is proposing to maintain the waterways and drainage uplift expenditure in the base year (what was spent in 2024-25 of $4.</w:t>
      </w:r>
      <w:r w:rsidR="00815769" w:rsidRPr="00DE108C">
        <w:t>9</w:t>
      </w:r>
      <w:r w:rsidRPr="00DE108C">
        <w:t> million compared to $</w:t>
      </w:r>
      <w:r w:rsidR="00815769" w:rsidRPr="00DE108C">
        <w:t>6.</w:t>
      </w:r>
      <w:r w:rsidR="002A7998" w:rsidRPr="00DE108C">
        <w:t>2</w:t>
      </w:r>
      <w:r w:rsidRPr="00DE108C">
        <w:t xml:space="preserve"> million in determination). We have removed non-recurrent expenditure as per Table 7.1. </w:t>
      </w:r>
    </w:p>
    <w:p w14:paraId="2E46A3D7" w14:textId="77777777" w:rsidR="00046BD5" w:rsidRPr="00DE108C" w:rsidRDefault="00046BD5">
      <w:pPr>
        <w:pStyle w:val="BodyText"/>
      </w:pPr>
    </w:p>
    <w:p w14:paraId="67084054" w14:textId="77777777" w:rsidR="00046BD5" w:rsidRPr="00DE108C" w:rsidRDefault="00046BD5">
      <w:pPr>
        <w:pStyle w:val="BodyText"/>
        <w:sectPr w:rsidR="00046BD5" w:rsidRPr="00DE108C" w:rsidSect="00046BD5">
          <w:pgSz w:w="11906" w:h="16838" w:code="9"/>
          <w:pgMar w:top="1134" w:right="1134" w:bottom="1134" w:left="1134" w:header="567" w:footer="680" w:gutter="0"/>
          <w:cols w:space="708"/>
          <w:docGrid w:linePitch="360"/>
        </w:sectPr>
      </w:pPr>
    </w:p>
    <w:p w14:paraId="4298B7F6" w14:textId="77777777" w:rsidR="00046BD5" w:rsidRPr="00DE108C" w:rsidRDefault="00046BD5">
      <w:pPr>
        <w:pStyle w:val="BodyText"/>
      </w:pPr>
    </w:p>
    <w:p w14:paraId="77D627A3" w14:textId="5017181C" w:rsidR="00046BD5" w:rsidRPr="00DE108C" w:rsidRDefault="00046BD5" w:rsidP="00ED094E">
      <w:pPr>
        <w:pStyle w:val="Caption"/>
      </w:pPr>
      <w:bookmarkStart w:id="641" w:name="_Toc207893050"/>
      <w:bookmarkStart w:id="642" w:name="_Toc208490574"/>
      <w:bookmarkStart w:id="643" w:name="_Toc208490912"/>
      <w:bookmarkStart w:id="644" w:name="_Toc208911070"/>
      <w:bookmarkStart w:id="645" w:name="_Toc210051376"/>
      <w:r w:rsidRPr="00D30A04">
        <w:t xml:space="preserve">Table 7.1: Baseline </w:t>
      </w:r>
      <w:r w:rsidR="4024450C" w:rsidRPr="00D30A04">
        <w:t>opex</w:t>
      </w:r>
      <w:r w:rsidRPr="00D30A04">
        <w:t xml:space="preserve"> calculation ($millions, real 2025-26)</w:t>
      </w:r>
      <w:r w:rsidRPr="00D30A04">
        <w:rPr>
          <w:rStyle w:val="FootnoteReference"/>
        </w:rPr>
        <w:footnoteReference w:id="19"/>
      </w:r>
      <w:bookmarkEnd w:id="641"/>
      <w:bookmarkEnd w:id="642"/>
      <w:bookmarkEnd w:id="643"/>
      <w:bookmarkEnd w:id="644"/>
      <w:bookmarkEnd w:id="645"/>
    </w:p>
    <w:tbl>
      <w:tblPr>
        <w:tblStyle w:val="TableGridLight2"/>
        <w:tblW w:w="5000" w:type="pct"/>
        <w:tblBorders>
          <w:insideV w:val="none" w:sz="0" w:space="0" w:color="auto"/>
        </w:tblBorders>
        <w:tblLayout w:type="fixed"/>
        <w:tblLook w:val="0420" w:firstRow="1" w:lastRow="0" w:firstColumn="0" w:lastColumn="0" w:noHBand="0" w:noVBand="1"/>
      </w:tblPr>
      <w:tblGrid>
        <w:gridCol w:w="2689"/>
        <w:gridCol w:w="6159"/>
        <w:gridCol w:w="1702"/>
        <w:gridCol w:w="1699"/>
        <w:gridCol w:w="1699"/>
      </w:tblGrid>
      <w:tr w:rsidR="00046BD5" w:rsidRPr="00DE108C" w14:paraId="41CD3C5B" w14:textId="77777777" w:rsidTr="00ED094E">
        <w:trPr>
          <w:trHeight w:val="202"/>
          <w:tblHeader/>
        </w:trPr>
        <w:tc>
          <w:tcPr>
            <w:tcW w:w="3172" w:type="pct"/>
            <w:gridSpan w:val="2"/>
            <w:shd w:val="clear" w:color="auto" w:fill="00428B" w:themeFill="accent1"/>
          </w:tcPr>
          <w:p w14:paraId="6DBB9F29" w14:textId="77777777" w:rsidR="00046BD5" w:rsidRPr="00DE108C" w:rsidRDefault="00046BD5">
            <w:pPr>
              <w:pStyle w:val="TableHeading"/>
              <w:rPr>
                <w:rFonts w:eastAsiaTheme="minorEastAsia"/>
                <w:szCs w:val="16"/>
              </w:rPr>
            </w:pPr>
          </w:p>
        </w:tc>
        <w:tc>
          <w:tcPr>
            <w:tcW w:w="610" w:type="pct"/>
            <w:shd w:val="clear" w:color="auto" w:fill="00428B" w:themeFill="accent1"/>
          </w:tcPr>
          <w:p w14:paraId="51D5C6FA" w14:textId="77777777" w:rsidR="00046BD5" w:rsidRPr="00DE108C" w:rsidRDefault="00046BD5">
            <w:pPr>
              <w:pStyle w:val="TableHeading"/>
              <w:jc w:val="right"/>
              <w:rPr>
                <w:rFonts w:eastAsiaTheme="minorEastAsia"/>
                <w:szCs w:val="16"/>
              </w:rPr>
            </w:pPr>
            <w:r w:rsidRPr="00DE108C">
              <w:rPr>
                <w:rFonts w:eastAsiaTheme="minorEastAsia"/>
                <w:szCs w:val="16"/>
              </w:rPr>
              <w:t>Total</w:t>
            </w:r>
          </w:p>
        </w:tc>
        <w:tc>
          <w:tcPr>
            <w:tcW w:w="609" w:type="pct"/>
            <w:shd w:val="clear" w:color="auto" w:fill="00428B" w:themeFill="accent1"/>
          </w:tcPr>
          <w:p w14:paraId="113F51FE" w14:textId="77777777" w:rsidR="00046BD5" w:rsidRPr="00DE108C" w:rsidRDefault="00046BD5">
            <w:pPr>
              <w:pStyle w:val="TableHeading"/>
              <w:jc w:val="right"/>
              <w:rPr>
                <w:rFonts w:eastAsiaTheme="minorEastAsia"/>
                <w:szCs w:val="16"/>
              </w:rPr>
            </w:pPr>
            <w:r w:rsidRPr="00DE108C">
              <w:rPr>
                <w:rFonts w:eastAsiaTheme="minorEastAsia"/>
                <w:szCs w:val="16"/>
              </w:rPr>
              <w:t>Water and Sewerage (incl. recycled water)</w:t>
            </w:r>
          </w:p>
        </w:tc>
        <w:tc>
          <w:tcPr>
            <w:tcW w:w="609" w:type="pct"/>
            <w:shd w:val="clear" w:color="auto" w:fill="00428B" w:themeFill="accent1"/>
          </w:tcPr>
          <w:p w14:paraId="453949B3" w14:textId="77777777" w:rsidR="00046BD5" w:rsidRPr="00DE108C" w:rsidRDefault="00046BD5">
            <w:pPr>
              <w:pStyle w:val="TableHeading"/>
              <w:jc w:val="right"/>
              <w:rPr>
                <w:rFonts w:eastAsiaTheme="minorEastAsia"/>
                <w:szCs w:val="16"/>
              </w:rPr>
            </w:pPr>
            <w:r w:rsidRPr="00DE108C">
              <w:rPr>
                <w:rFonts w:eastAsiaTheme="minorEastAsia"/>
                <w:szCs w:val="16"/>
              </w:rPr>
              <w:t>Waterways and Drainage (incl. diversions)</w:t>
            </w:r>
          </w:p>
        </w:tc>
      </w:tr>
      <w:tr w:rsidR="005B2828" w:rsidRPr="00DE108C" w14:paraId="42092852" w14:textId="77777777">
        <w:tc>
          <w:tcPr>
            <w:tcW w:w="3172" w:type="pct"/>
            <w:gridSpan w:val="2"/>
            <w:shd w:val="clear" w:color="auto" w:fill="00428B" w:themeFill="accent1"/>
          </w:tcPr>
          <w:p w14:paraId="79915136" w14:textId="77777777" w:rsidR="005B2828" w:rsidRPr="00DE108C" w:rsidRDefault="005B2828" w:rsidP="005B2828">
            <w:pPr>
              <w:pStyle w:val="TableHeading"/>
              <w:rPr>
                <w:rFonts w:eastAsiaTheme="minorEastAsia"/>
                <w:szCs w:val="16"/>
              </w:rPr>
            </w:pPr>
            <w:r w:rsidRPr="00DE108C">
              <w:rPr>
                <w:rFonts w:eastAsiaTheme="minorEastAsia"/>
                <w:szCs w:val="16"/>
              </w:rPr>
              <w:t>Total prescribed opex for 2024-25</w:t>
            </w:r>
          </w:p>
        </w:tc>
        <w:tc>
          <w:tcPr>
            <w:tcW w:w="610" w:type="pct"/>
            <w:shd w:val="clear" w:color="auto" w:fill="00428B" w:themeFill="accent1"/>
            <w:vAlign w:val="center"/>
          </w:tcPr>
          <w:p w14:paraId="56E582DF" w14:textId="214EB700" w:rsidR="005B2828" w:rsidRPr="00C307E3" w:rsidRDefault="005B2828" w:rsidP="005B2828">
            <w:pPr>
              <w:pStyle w:val="TableHeading"/>
              <w:jc w:val="right"/>
              <w:rPr>
                <w:rFonts w:eastAsiaTheme="minorEastAsia" w:cstheme="minorBidi"/>
                <w:szCs w:val="16"/>
              </w:rPr>
            </w:pPr>
            <w:r w:rsidRPr="00C307E3">
              <w:rPr>
                <w:rFonts w:eastAsiaTheme="minorEastAsia" w:cstheme="minorBidi"/>
                <w:szCs w:val="16"/>
              </w:rPr>
              <w:t xml:space="preserve"> 1,164.6 </w:t>
            </w:r>
          </w:p>
        </w:tc>
        <w:tc>
          <w:tcPr>
            <w:tcW w:w="609" w:type="pct"/>
            <w:shd w:val="clear" w:color="auto" w:fill="00428B" w:themeFill="accent1"/>
            <w:vAlign w:val="center"/>
          </w:tcPr>
          <w:p w14:paraId="3DDA8166" w14:textId="1F1CC5A6" w:rsidR="005B2828" w:rsidRPr="00C307E3" w:rsidRDefault="005B2828" w:rsidP="005B2828">
            <w:pPr>
              <w:pStyle w:val="TableHeading"/>
              <w:jc w:val="right"/>
              <w:rPr>
                <w:rFonts w:eastAsiaTheme="minorEastAsia" w:cstheme="minorBidi"/>
                <w:szCs w:val="16"/>
              </w:rPr>
            </w:pPr>
            <w:r w:rsidRPr="00C307E3">
              <w:rPr>
                <w:rFonts w:eastAsiaTheme="minorEastAsia" w:cstheme="minorBidi"/>
                <w:szCs w:val="16"/>
              </w:rPr>
              <w:t xml:space="preserve"> 957.3 </w:t>
            </w:r>
          </w:p>
        </w:tc>
        <w:tc>
          <w:tcPr>
            <w:tcW w:w="609" w:type="pct"/>
            <w:shd w:val="clear" w:color="auto" w:fill="00428B" w:themeFill="accent1"/>
            <w:vAlign w:val="center"/>
          </w:tcPr>
          <w:p w14:paraId="02A2FE79" w14:textId="33EF8435" w:rsidR="005B2828" w:rsidRPr="00C307E3" w:rsidRDefault="005B2828" w:rsidP="005B2828">
            <w:pPr>
              <w:pStyle w:val="TableHeading"/>
              <w:jc w:val="right"/>
              <w:rPr>
                <w:rFonts w:eastAsiaTheme="minorEastAsia" w:cstheme="minorBidi"/>
                <w:szCs w:val="16"/>
              </w:rPr>
            </w:pPr>
            <w:r w:rsidRPr="00C307E3">
              <w:rPr>
                <w:rFonts w:eastAsiaTheme="minorEastAsia" w:cstheme="minorBidi"/>
                <w:szCs w:val="16"/>
              </w:rPr>
              <w:t xml:space="preserve"> 207.2 </w:t>
            </w:r>
          </w:p>
        </w:tc>
      </w:tr>
      <w:tr w:rsidR="00046BD5" w:rsidRPr="00DE108C" w14:paraId="1D9B00ED" w14:textId="77777777">
        <w:tc>
          <w:tcPr>
            <w:tcW w:w="3172" w:type="pct"/>
            <w:gridSpan w:val="2"/>
            <w:shd w:val="clear" w:color="auto" w:fill="B4D7FF" w:themeFill="accent1" w:themeFillTint="33"/>
          </w:tcPr>
          <w:p w14:paraId="745CACC0" w14:textId="77777777" w:rsidR="00046BD5" w:rsidRPr="00DE108C" w:rsidRDefault="00046BD5" w:rsidP="00ED094E">
            <w:pPr>
              <w:pStyle w:val="TableText"/>
              <w:rPr>
                <w:rFonts w:eastAsiaTheme="minorEastAsia"/>
                <w:i/>
                <w:szCs w:val="16"/>
              </w:rPr>
            </w:pPr>
            <w:r w:rsidRPr="00DE108C">
              <w:rPr>
                <w:rFonts w:eastAsiaTheme="minorEastAsia"/>
                <w:i/>
                <w:szCs w:val="16"/>
              </w:rPr>
              <w:t>Less non-controllable expenditure</w:t>
            </w:r>
          </w:p>
        </w:tc>
        <w:tc>
          <w:tcPr>
            <w:tcW w:w="610" w:type="pct"/>
            <w:shd w:val="clear" w:color="auto" w:fill="B4D7FF" w:themeFill="accent1" w:themeFillTint="33"/>
            <w:vAlign w:val="center"/>
          </w:tcPr>
          <w:p w14:paraId="225C463A" w14:textId="77777777" w:rsidR="00046BD5" w:rsidRPr="00C307E3" w:rsidRDefault="00046BD5" w:rsidP="00ED094E">
            <w:pPr>
              <w:pStyle w:val="TableText"/>
              <w:jc w:val="right"/>
              <w:rPr>
                <w:rFonts w:eastAsiaTheme="minorEastAsia"/>
                <w:i/>
                <w:szCs w:val="16"/>
              </w:rPr>
            </w:pPr>
            <w:r w:rsidRPr="00C307E3">
              <w:rPr>
                <w:rFonts w:eastAsiaTheme="minorEastAsia" w:cs="Arial"/>
                <w:i/>
                <w:color w:val="000000"/>
                <w:szCs w:val="16"/>
              </w:rPr>
              <w:t> </w:t>
            </w:r>
          </w:p>
        </w:tc>
        <w:tc>
          <w:tcPr>
            <w:tcW w:w="609" w:type="pct"/>
            <w:shd w:val="clear" w:color="auto" w:fill="B4D7FF" w:themeFill="accent1" w:themeFillTint="33"/>
            <w:vAlign w:val="center"/>
          </w:tcPr>
          <w:p w14:paraId="48FED7F1" w14:textId="77777777" w:rsidR="00046BD5" w:rsidRPr="00C307E3" w:rsidRDefault="00046BD5" w:rsidP="00ED094E">
            <w:pPr>
              <w:pStyle w:val="TableText"/>
              <w:jc w:val="right"/>
              <w:rPr>
                <w:rFonts w:eastAsiaTheme="minorEastAsia"/>
                <w:i/>
                <w:szCs w:val="16"/>
              </w:rPr>
            </w:pPr>
            <w:r w:rsidRPr="00C307E3">
              <w:rPr>
                <w:rFonts w:eastAsiaTheme="minorEastAsia" w:cs="Arial"/>
                <w:i/>
                <w:color w:val="000000"/>
                <w:szCs w:val="16"/>
              </w:rPr>
              <w:t> </w:t>
            </w:r>
          </w:p>
        </w:tc>
        <w:tc>
          <w:tcPr>
            <w:tcW w:w="609" w:type="pct"/>
            <w:shd w:val="clear" w:color="auto" w:fill="B4D7FF" w:themeFill="accent1" w:themeFillTint="33"/>
            <w:vAlign w:val="center"/>
          </w:tcPr>
          <w:p w14:paraId="73AF0D38" w14:textId="77777777" w:rsidR="00046BD5" w:rsidRPr="00C307E3" w:rsidRDefault="00046BD5" w:rsidP="00ED094E">
            <w:pPr>
              <w:pStyle w:val="TableText"/>
              <w:jc w:val="right"/>
              <w:rPr>
                <w:rFonts w:eastAsiaTheme="minorEastAsia"/>
                <w:i/>
                <w:szCs w:val="16"/>
              </w:rPr>
            </w:pPr>
            <w:r w:rsidRPr="00C307E3">
              <w:rPr>
                <w:rFonts w:eastAsiaTheme="minorEastAsia" w:cs="Arial"/>
                <w:i/>
                <w:color w:val="000000"/>
                <w:szCs w:val="16"/>
              </w:rPr>
              <w:t> </w:t>
            </w:r>
          </w:p>
        </w:tc>
      </w:tr>
      <w:tr w:rsidR="00B73B16" w:rsidRPr="00DE108C" w14:paraId="4EDA20B9" w14:textId="77777777">
        <w:tc>
          <w:tcPr>
            <w:tcW w:w="3172" w:type="pct"/>
            <w:gridSpan w:val="2"/>
          </w:tcPr>
          <w:p w14:paraId="5E7F4702" w14:textId="77777777" w:rsidR="00B73B16" w:rsidRPr="00DE108C" w:rsidRDefault="00B73B16" w:rsidP="00B73B16">
            <w:pPr>
              <w:pStyle w:val="TableText"/>
              <w:rPr>
                <w:rFonts w:eastAsiaTheme="minorEastAsia"/>
                <w:szCs w:val="16"/>
              </w:rPr>
            </w:pPr>
            <w:r w:rsidRPr="00DE108C">
              <w:rPr>
                <w:rFonts w:eastAsiaTheme="minorEastAsia"/>
                <w:szCs w:val="16"/>
              </w:rPr>
              <w:t>VDP</w:t>
            </w:r>
          </w:p>
        </w:tc>
        <w:tc>
          <w:tcPr>
            <w:tcW w:w="610" w:type="pct"/>
            <w:vAlign w:val="center"/>
          </w:tcPr>
          <w:p w14:paraId="53D3F96F" w14:textId="77777777" w:rsidR="00B73B16" w:rsidRPr="00C307E3" w:rsidRDefault="00B73B16" w:rsidP="00B73B16">
            <w:pPr>
              <w:pStyle w:val="TableText"/>
              <w:jc w:val="right"/>
              <w:rPr>
                <w:rFonts w:eastAsiaTheme="minorEastAsia" w:cstheme="minorBidi"/>
                <w:color w:val="000000"/>
                <w:szCs w:val="16"/>
              </w:rPr>
            </w:pPr>
            <w:r w:rsidRPr="00C307E3">
              <w:rPr>
                <w:rFonts w:eastAsiaTheme="minorEastAsia" w:cstheme="minorBidi"/>
                <w:color w:val="000000"/>
                <w:szCs w:val="16"/>
              </w:rPr>
              <w:t xml:space="preserve"> 547.3 </w:t>
            </w:r>
          </w:p>
        </w:tc>
        <w:tc>
          <w:tcPr>
            <w:tcW w:w="609" w:type="pct"/>
            <w:vAlign w:val="center"/>
          </w:tcPr>
          <w:p w14:paraId="0614EBC6" w14:textId="77777777" w:rsidR="00B73B16" w:rsidRPr="00C307E3" w:rsidRDefault="00B73B16" w:rsidP="00B73B16">
            <w:pPr>
              <w:pStyle w:val="TableText"/>
              <w:jc w:val="right"/>
              <w:rPr>
                <w:rFonts w:eastAsiaTheme="minorEastAsia" w:cstheme="minorBidi"/>
                <w:color w:val="000000"/>
                <w:szCs w:val="16"/>
              </w:rPr>
            </w:pPr>
            <w:r w:rsidRPr="00C307E3">
              <w:rPr>
                <w:rFonts w:eastAsiaTheme="minorEastAsia" w:cstheme="minorBidi"/>
                <w:color w:val="000000"/>
                <w:szCs w:val="16"/>
              </w:rPr>
              <w:t xml:space="preserve"> 547.3 </w:t>
            </w:r>
          </w:p>
        </w:tc>
        <w:tc>
          <w:tcPr>
            <w:tcW w:w="609" w:type="pct"/>
            <w:vAlign w:val="center"/>
          </w:tcPr>
          <w:p w14:paraId="6BA5B33D" w14:textId="77777777" w:rsidR="00B73B16" w:rsidRPr="00C307E3" w:rsidRDefault="00B73B16" w:rsidP="00B73B16">
            <w:pPr>
              <w:pStyle w:val="TableText"/>
              <w:jc w:val="right"/>
              <w:rPr>
                <w:rFonts w:eastAsiaTheme="minorEastAsia" w:cstheme="minorBidi"/>
                <w:color w:val="000000"/>
                <w:szCs w:val="16"/>
              </w:rPr>
            </w:pPr>
            <w:r w:rsidRPr="00C307E3">
              <w:rPr>
                <w:rFonts w:eastAsiaTheme="minorEastAsia" w:cstheme="minorBidi"/>
                <w:color w:val="000000"/>
                <w:szCs w:val="16"/>
              </w:rPr>
              <w:t xml:space="preserve"> - </w:t>
            </w:r>
          </w:p>
        </w:tc>
      </w:tr>
      <w:tr w:rsidR="00B73B16" w:rsidRPr="00DE108C" w14:paraId="094C20C3" w14:textId="77777777">
        <w:tc>
          <w:tcPr>
            <w:tcW w:w="3172" w:type="pct"/>
            <w:gridSpan w:val="2"/>
          </w:tcPr>
          <w:p w14:paraId="212632E6" w14:textId="77777777" w:rsidR="00B73B16" w:rsidRPr="00DE108C" w:rsidRDefault="00B73B16" w:rsidP="00B73B16">
            <w:pPr>
              <w:pStyle w:val="TableText"/>
              <w:rPr>
                <w:rFonts w:eastAsiaTheme="minorEastAsia"/>
                <w:szCs w:val="16"/>
              </w:rPr>
            </w:pPr>
            <w:r w:rsidRPr="00DE108C">
              <w:rPr>
                <w:rFonts w:eastAsiaTheme="minorEastAsia"/>
                <w:szCs w:val="16"/>
              </w:rPr>
              <w:t>Licence Fees and Environmental Contribution Levy</w:t>
            </w:r>
          </w:p>
        </w:tc>
        <w:tc>
          <w:tcPr>
            <w:tcW w:w="610" w:type="pct"/>
            <w:vAlign w:val="center"/>
          </w:tcPr>
          <w:p w14:paraId="517B654A" w14:textId="77777777" w:rsidR="00B73B16" w:rsidRPr="00C307E3" w:rsidRDefault="00B73B16" w:rsidP="00B73B16">
            <w:pPr>
              <w:pStyle w:val="TableText"/>
              <w:jc w:val="right"/>
              <w:rPr>
                <w:rFonts w:eastAsiaTheme="minorEastAsia" w:cstheme="minorBidi"/>
                <w:color w:val="000000"/>
                <w:szCs w:val="16"/>
              </w:rPr>
            </w:pPr>
            <w:r w:rsidRPr="00C307E3">
              <w:rPr>
                <w:rFonts w:eastAsiaTheme="minorEastAsia" w:cstheme="minorBidi"/>
                <w:color w:val="000000"/>
                <w:szCs w:val="16"/>
              </w:rPr>
              <w:t xml:space="preserve"> 3.3 </w:t>
            </w:r>
          </w:p>
        </w:tc>
        <w:tc>
          <w:tcPr>
            <w:tcW w:w="609" w:type="pct"/>
            <w:vAlign w:val="center"/>
          </w:tcPr>
          <w:p w14:paraId="05E9A985" w14:textId="77777777" w:rsidR="00B73B16" w:rsidRPr="00C307E3" w:rsidRDefault="00B73B16" w:rsidP="00B73B16">
            <w:pPr>
              <w:pStyle w:val="TableText"/>
              <w:jc w:val="right"/>
              <w:rPr>
                <w:rFonts w:eastAsiaTheme="minorEastAsia" w:cstheme="minorBidi"/>
                <w:color w:val="000000"/>
                <w:szCs w:val="16"/>
              </w:rPr>
            </w:pPr>
            <w:r w:rsidRPr="00C307E3">
              <w:rPr>
                <w:rFonts w:eastAsiaTheme="minorEastAsia" w:cstheme="minorBidi"/>
                <w:color w:val="000000"/>
                <w:szCs w:val="16"/>
              </w:rPr>
              <w:t xml:space="preserve"> 3.0 </w:t>
            </w:r>
          </w:p>
        </w:tc>
        <w:tc>
          <w:tcPr>
            <w:tcW w:w="609" w:type="pct"/>
            <w:vAlign w:val="center"/>
          </w:tcPr>
          <w:p w14:paraId="7018FA6D" w14:textId="77777777" w:rsidR="00B73B16" w:rsidRPr="00C307E3" w:rsidRDefault="00B73B16" w:rsidP="00B73B16">
            <w:pPr>
              <w:pStyle w:val="TableText"/>
              <w:jc w:val="right"/>
              <w:rPr>
                <w:rFonts w:eastAsiaTheme="minorEastAsia" w:cstheme="minorBidi"/>
                <w:color w:val="000000"/>
                <w:szCs w:val="16"/>
              </w:rPr>
            </w:pPr>
            <w:r w:rsidRPr="00C307E3">
              <w:rPr>
                <w:rFonts w:eastAsiaTheme="minorEastAsia" w:cstheme="minorBidi"/>
                <w:color w:val="000000"/>
                <w:szCs w:val="16"/>
              </w:rPr>
              <w:t xml:space="preserve"> 0.3 </w:t>
            </w:r>
          </w:p>
        </w:tc>
      </w:tr>
      <w:tr w:rsidR="00B73B16" w:rsidRPr="00DE108C" w14:paraId="71819FF3" w14:textId="77777777">
        <w:tc>
          <w:tcPr>
            <w:tcW w:w="3172" w:type="pct"/>
            <w:gridSpan w:val="2"/>
          </w:tcPr>
          <w:p w14:paraId="48918160" w14:textId="77777777" w:rsidR="00B73B16" w:rsidRPr="00DE108C" w:rsidRDefault="00B73B16" w:rsidP="00B73B16">
            <w:pPr>
              <w:pStyle w:val="TableText"/>
              <w:rPr>
                <w:rFonts w:eastAsiaTheme="minorEastAsia"/>
                <w:szCs w:val="16"/>
              </w:rPr>
            </w:pPr>
            <w:r w:rsidRPr="00DE108C">
              <w:rPr>
                <w:rFonts w:eastAsiaTheme="minorEastAsia"/>
                <w:szCs w:val="16"/>
              </w:rPr>
              <w:t>Land tax, rates, and fire services levy</w:t>
            </w:r>
            <w:r w:rsidRPr="00DE108C">
              <w:rPr>
                <w:rStyle w:val="FootnoteReference"/>
                <w:rFonts w:eastAsiaTheme="minorHAnsi"/>
                <w:szCs w:val="16"/>
              </w:rPr>
              <w:footnoteReference w:id="20"/>
            </w:r>
          </w:p>
        </w:tc>
        <w:tc>
          <w:tcPr>
            <w:tcW w:w="610" w:type="pct"/>
            <w:vAlign w:val="center"/>
          </w:tcPr>
          <w:p w14:paraId="111D23FB" w14:textId="77777777" w:rsidR="00B73B16" w:rsidRPr="00C307E3" w:rsidRDefault="00B73B16" w:rsidP="00B73B16">
            <w:pPr>
              <w:pStyle w:val="TableText"/>
              <w:jc w:val="right"/>
              <w:rPr>
                <w:rFonts w:eastAsiaTheme="minorEastAsia" w:cstheme="minorBidi"/>
                <w:color w:val="000000"/>
                <w:szCs w:val="16"/>
              </w:rPr>
            </w:pPr>
            <w:r w:rsidRPr="00C307E3">
              <w:rPr>
                <w:rFonts w:eastAsiaTheme="minorEastAsia" w:cstheme="minorBidi"/>
                <w:color w:val="000000"/>
                <w:szCs w:val="16"/>
              </w:rPr>
              <w:t xml:space="preserve"> 46.0 </w:t>
            </w:r>
          </w:p>
        </w:tc>
        <w:tc>
          <w:tcPr>
            <w:tcW w:w="609" w:type="pct"/>
            <w:vAlign w:val="center"/>
          </w:tcPr>
          <w:p w14:paraId="25FA2170" w14:textId="77777777" w:rsidR="00B73B16" w:rsidRPr="00C307E3" w:rsidRDefault="00B73B16" w:rsidP="00B73B16">
            <w:pPr>
              <w:pStyle w:val="TableText"/>
              <w:jc w:val="right"/>
              <w:rPr>
                <w:rFonts w:eastAsiaTheme="minorEastAsia" w:cstheme="minorBidi"/>
                <w:color w:val="000000"/>
                <w:szCs w:val="16"/>
              </w:rPr>
            </w:pPr>
            <w:r w:rsidRPr="00C307E3">
              <w:rPr>
                <w:rFonts w:eastAsiaTheme="minorEastAsia" w:cstheme="minorBidi"/>
                <w:color w:val="000000"/>
                <w:szCs w:val="16"/>
              </w:rPr>
              <w:t xml:space="preserve"> 33.5 </w:t>
            </w:r>
          </w:p>
        </w:tc>
        <w:tc>
          <w:tcPr>
            <w:tcW w:w="609" w:type="pct"/>
            <w:vAlign w:val="center"/>
          </w:tcPr>
          <w:p w14:paraId="07E18395" w14:textId="77777777" w:rsidR="00B73B16" w:rsidRPr="00C307E3" w:rsidRDefault="00B73B16" w:rsidP="00B73B16">
            <w:pPr>
              <w:pStyle w:val="TableText"/>
              <w:jc w:val="right"/>
              <w:rPr>
                <w:rFonts w:eastAsiaTheme="minorEastAsia" w:cstheme="minorBidi"/>
                <w:color w:val="000000"/>
                <w:szCs w:val="16"/>
              </w:rPr>
            </w:pPr>
            <w:r w:rsidRPr="00C307E3">
              <w:rPr>
                <w:rFonts w:eastAsiaTheme="minorEastAsia" w:cstheme="minorBidi"/>
                <w:color w:val="000000"/>
                <w:szCs w:val="16"/>
              </w:rPr>
              <w:t xml:space="preserve"> 12.5 </w:t>
            </w:r>
          </w:p>
        </w:tc>
      </w:tr>
      <w:tr w:rsidR="00B73B16" w:rsidRPr="00DE108C" w14:paraId="626052D1" w14:textId="77777777">
        <w:trPr>
          <w:trHeight w:val="246"/>
        </w:trPr>
        <w:tc>
          <w:tcPr>
            <w:tcW w:w="3172" w:type="pct"/>
            <w:gridSpan w:val="2"/>
          </w:tcPr>
          <w:p w14:paraId="14E22FA8" w14:textId="77777777" w:rsidR="00B73B16" w:rsidRPr="00DE108C" w:rsidRDefault="00B73B16" w:rsidP="00B73B16">
            <w:pPr>
              <w:pStyle w:val="TableText"/>
              <w:rPr>
                <w:rFonts w:eastAsiaTheme="minorEastAsia"/>
                <w:b/>
                <w:szCs w:val="16"/>
              </w:rPr>
            </w:pPr>
            <w:r w:rsidRPr="00DE108C">
              <w:rPr>
                <w:rFonts w:eastAsiaTheme="minorEastAsia"/>
                <w:b/>
                <w:szCs w:val="16"/>
              </w:rPr>
              <w:t>Sub-total non-controllable</w:t>
            </w:r>
          </w:p>
        </w:tc>
        <w:tc>
          <w:tcPr>
            <w:tcW w:w="610" w:type="pct"/>
            <w:vAlign w:val="center"/>
          </w:tcPr>
          <w:p w14:paraId="444AF59B" w14:textId="77777777" w:rsidR="00B73B16" w:rsidRPr="00C307E3" w:rsidRDefault="00B73B16" w:rsidP="00B73B16">
            <w:pPr>
              <w:pStyle w:val="TableText"/>
              <w:jc w:val="right"/>
              <w:rPr>
                <w:rFonts w:eastAsiaTheme="minorEastAsia"/>
                <w:b/>
                <w:szCs w:val="16"/>
              </w:rPr>
            </w:pPr>
            <w:r w:rsidRPr="00C307E3">
              <w:rPr>
                <w:rFonts w:eastAsiaTheme="minorEastAsia" w:cstheme="minorBidi"/>
                <w:b/>
                <w:color w:val="000000"/>
                <w:szCs w:val="16"/>
              </w:rPr>
              <w:t xml:space="preserve"> 596.5 </w:t>
            </w:r>
          </w:p>
        </w:tc>
        <w:tc>
          <w:tcPr>
            <w:tcW w:w="609" w:type="pct"/>
            <w:vAlign w:val="center"/>
          </w:tcPr>
          <w:p w14:paraId="0ABD1048" w14:textId="77777777" w:rsidR="00B73B16" w:rsidRPr="00C307E3" w:rsidRDefault="00B73B16" w:rsidP="00B73B16">
            <w:pPr>
              <w:pStyle w:val="TableText"/>
              <w:jc w:val="right"/>
              <w:rPr>
                <w:rFonts w:eastAsiaTheme="minorEastAsia"/>
                <w:b/>
                <w:szCs w:val="16"/>
              </w:rPr>
            </w:pPr>
            <w:r w:rsidRPr="00C307E3">
              <w:rPr>
                <w:rFonts w:eastAsiaTheme="minorEastAsia" w:cstheme="minorBidi"/>
                <w:b/>
                <w:color w:val="000000"/>
                <w:szCs w:val="16"/>
              </w:rPr>
              <w:t xml:space="preserve"> 583.7 </w:t>
            </w:r>
          </w:p>
        </w:tc>
        <w:tc>
          <w:tcPr>
            <w:tcW w:w="609" w:type="pct"/>
            <w:vAlign w:val="center"/>
          </w:tcPr>
          <w:p w14:paraId="12264CE3" w14:textId="77777777" w:rsidR="00B73B16" w:rsidRPr="00C307E3" w:rsidRDefault="00B73B16" w:rsidP="00B73B16">
            <w:pPr>
              <w:pStyle w:val="TableText"/>
              <w:jc w:val="right"/>
              <w:rPr>
                <w:rFonts w:eastAsiaTheme="minorEastAsia"/>
                <w:b/>
                <w:szCs w:val="16"/>
              </w:rPr>
            </w:pPr>
            <w:r w:rsidRPr="00C307E3">
              <w:rPr>
                <w:rFonts w:eastAsiaTheme="minorEastAsia" w:cstheme="minorBidi"/>
                <w:b/>
                <w:color w:val="000000"/>
                <w:szCs w:val="16"/>
              </w:rPr>
              <w:t xml:space="preserve"> 12.8 </w:t>
            </w:r>
          </w:p>
        </w:tc>
      </w:tr>
      <w:tr w:rsidR="00B73B16" w:rsidRPr="00DE108C" w14:paraId="2EFEBB86" w14:textId="77777777">
        <w:tc>
          <w:tcPr>
            <w:tcW w:w="3172" w:type="pct"/>
            <w:gridSpan w:val="2"/>
            <w:shd w:val="clear" w:color="auto" w:fill="C9F195" w:themeFill="accent4" w:themeFillTint="66"/>
          </w:tcPr>
          <w:p w14:paraId="2455F82A" w14:textId="77777777" w:rsidR="00B73B16" w:rsidRPr="00DE108C" w:rsidRDefault="00B73B16" w:rsidP="00B73B16">
            <w:pPr>
              <w:pStyle w:val="TableText"/>
              <w:rPr>
                <w:rFonts w:eastAsiaTheme="minorEastAsia"/>
                <w:b/>
                <w:szCs w:val="16"/>
              </w:rPr>
            </w:pPr>
            <w:r w:rsidRPr="00DE108C">
              <w:rPr>
                <w:rFonts w:eastAsiaTheme="minorEastAsia"/>
                <w:b/>
                <w:szCs w:val="16"/>
              </w:rPr>
              <w:t>Total controllable opex for 2024-25</w:t>
            </w:r>
          </w:p>
        </w:tc>
        <w:tc>
          <w:tcPr>
            <w:tcW w:w="610" w:type="pct"/>
            <w:shd w:val="clear" w:color="auto" w:fill="C9F195" w:themeFill="accent4" w:themeFillTint="66"/>
            <w:vAlign w:val="center"/>
          </w:tcPr>
          <w:p w14:paraId="111E2DBD" w14:textId="0B920E3A" w:rsidR="00B73B16" w:rsidRPr="00C307E3" w:rsidRDefault="00B73B16" w:rsidP="00B73B16">
            <w:pPr>
              <w:pStyle w:val="TableText"/>
              <w:jc w:val="right"/>
              <w:rPr>
                <w:rFonts w:eastAsiaTheme="minorEastAsia"/>
                <w:b/>
                <w:szCs w:val="16"/>
              </w:rPr>
            </w:pPr>
            <w:r w:rsidRPr="00C307E3">
              <w:rPr>
                <w:rFonts w:eastAsiaTheme="minorEastAsia" w:cstheme="minorBidi"/>
                <w:b/>
                <w:color w:val="000000"/>
                <w:szCs w:val="16"/>
              </w:rPr>
              <w:t xml:space="preserve"> 568.1 </w:t>
            </w:r>
          </w:p>
        </w:tc>
        <w:tc>
          <w:tcPr>
            <w:tcW w:w="609" w:type="pct"/>
            <w:shd w:val="clear" w:color="auto" w:fill="C9F195" w:themeFill="accent4" w:themeFillTint="66"/>
            <w:vAlign w:val="center"/>
          </w:tcPr>
          <w:p w14:paraId="4DCD7444" w14:textId="5924D63D" w:rsidR="00B73B16" w:rsidRPr="00C307E3" w:rsidRDefault="00B73B16" w:rsidP="00B73B16">
            <w:pPr>
              <w:pStyle w:val="TableText"/>
              <w:jc w:val="right"/>
              <w:rPr>
                <w:rFonts w:eastAsiaTheme="minorEastAsia"/>
                <w:b/>
                <w:szCs w:val="16"/>
              </w:rPr>
            </w:pPr>
            <w:r w:rsidRPr="00C307E3">
              <w:rPr>
                <w:rFonts w:eastAsiaTheme="minorEastAsia" w:cstheme="minorBidi"/>
                <w:b/>
                <w:color w:val="000000"/>
                <w:szCs w:val="16"/>
              </w:rPr>
              <w:t xml:space="preserve"> 373.6 </w:t>
            </w:r>
          </w:p>
        </w:tc>
        <w:tc>
          <w:tcPr>
            <w:tcW w:w="609" w:type="pct"/>
            <w:shd w:val="clear" w:color="auto" w:fill="C9F195" w:themeFill="accent4" w:themeFillTint="66"/>
            <w:vAlign w:val="center"/>
          </w:tcPr>
          <w:p w14:paraId="5DF22EEA" w14:textId="77777777" w:rsidR="00B73B16" w:rsidRPr="00C307E3" w:rsidRDefault="00B73B16" w:rsidP="00B73B16">
            <w:pPr>
              <w:pStyle w:val="TableText"/>
              <w:jc w:val="right"/>
              <w:rPr>
                <w:rFonts w:eastAsiaTheme="minorEastAsia"/>
                <w:b/>
                <w:szCs w:val="16"/>
              </w:rPr>
            </w:pPr>
            <w:r w:rsidRPr="00C307E3">
              <w:rPr>
                <w:rFonts w:eastAsiaTheme="minorEastAsia" w:cstheme="minorBidi"/>
                <w:b/>
                <w:color w:val="000000"/>
                <w:szCs w:val="16"/>
              </w:rPr>
              <w:t xml:space="preserve"> 194.5 </w:t>
            </w:r>
          </w:p>
        </w:tc>
      </w:tr>
      <w:tr w:rsidR="00046BD5" w:rsidRPr="00DE108C" w14:paraId="662FAE7B" w14:textId="77777777">
        <w:tc>
          <w:tcPr>
            <w:tcW w:w="3172" w:type="pct"/>
            <w:gridSpan w:val="2"/>
            <w:shd w:val="clear" w:color="auto" w:fill="B4D7FF" w:themeFill="accent1" w:themeFillTint="33"/>
          </w:tcPr>
          <w:p w14:paraId="7D6CC876" w14:textId="77777777" w:rsidR="00046BD5" w:rsidRPr="00DE108C" w:rsidRDefault="00046BD5">
            <w:pPr>
              <w:pStyle w:val="TableText"/>
              <w:rPr>
                <w:rFonts w:eastAsiaTheme="minorEastAsia"/>
                <w:i/>
                <w:szCs w:val="16"/>
              </w:rPr>
            </w:pPr>
            <w:r w:rsidRPr="00DE108C">
              <w:rPr>
                <w:rFonts w:eastAsiaTheme="minorEastAsia"/>
                <w:i/>
                <w:szCs w:val="16"/>
              </w:rPr>
              <w:t>Less adjustments for non-recurring expenditure</w:t>
            </w:r>
          </w:p>
        </w:tc>
        <w:tc>
          <w:tcPr>
            <w:tcW w:w="610" w:type="pct"/>
            <w:shd w:val="clear" w:color="auto" w:fill="B4D7FF" w:themeFill="accent1" w:themeFillTint="33"/>
          </w:tcPr>
          <w:p w14:paraId="51534D54" w14:textId="77777777" w:rsidR="00046BD5" w:rsidRPr="00C307E3" w:rsidRDefault="00046BD5">
            <w:pPr>
              <w:pStyle w:val="TableText"/>
              <w:jc w:val="right"/>
              <w:rPr>
                <w:rFonts w:eastAsiaTheme="minorEastAsia"/>
                <w:i/>
                <w:szCs w:val="16"/>
              </w:rPr>
            </w:pPr>
          </w:p>
        </w:tc>
        <w:tc>
          <w:tcPr>
            <w:tcW w:w="609" w:type="pct"/>
            <w:shd w:val="clear" w:color="auto" w:fill="B4D7FF" w:themeFill="accent1" w:themeFillTint="33"/>
          </w:tcPr>
          <w:p w14:paraId="03CA701A" w14:textId="77777777" w:rsidR="00046BD5" w:rsidRPr="00C307E3" w:rsidRDefault="00046BD5">
            <w:pPr>
              <w:pStyle w:val="TableText"/>
              <w:jc w:val="right"/>
              <w:rPr>
                <w:rFonts w:eastAsiaTheme="minorEastAsia"/>
                <w:i/>
                <w:szCs w:val="16"/>
              </w:rPr>
            </w:pPr>
          </w:p>
        </w:tc>
        <w:tc>
          <w:tcPr>
            <w:tcW w:w="609" w:type="pct"/>
            <w:shd w:val="clear" w:color="auto" w:fill="B4D7FF" w:themeFill="accent1" w:themeFillTint="33"/>
          </w:tcPr>
          <w:p w14:paraId="083B4E18" w14:textId="77777777" w:rsidR="00046BD5" w:rsidRPr="00C307E3" w:rsidRDefault="00046BD5">
            <w:pPr>
              <w:pStyle w:val="TableText"/>
              <w:jc w:val="right"/>
              <w:rPr>
                <w:rFonts w:eastAsiaTheme="minorEastAsia"/>
                <w:i/>
                <w:szCs w:val="16"/>
              </w:rPr>
            </w:pPr>
          </w:p>
        </w:tc>
      </w:tr>
      <w:tr w:rsidR="008F3328" w:rsidRPr="00DE108C" w14:paraId="4F879875" w14:textId="77777777" w:rsidTr="2D961858">
        <w:trPr>
          <w:trHeight w:val="405"/>
        </w:trPr>
        <w:tc>
          <w:tcPr>
            <w:tcW w:w="964" w:type="pct"/>
            <w:vAlign w:val="center"/>
          </w:tcPr>
          <w:p w14:paraId="4E4594A0" w14:textId="77777777" w:rsidR="008F3328" w:rsidRPr="00DE108C" w:rsidRDefault="008F3328" w:rsidP="008F3328">
            <w:pPr>
              <w:pStyle w:val="TableText"/>
              <w:rPr>
                <w:rFonts w:eastAsiaTheme="minorEastAsia"/>
                <w:szCs w:val="16"/>
              </w:rPr>
            </w:pPr>
            <w:r w:rsidRPr="00DE108C">
              <w:rPr>
                <w:rFonts w:eastAsiaTheme="minorEastAsia"/>
                <w:szCs w:val="16"/>
              </w:rPr>
              <w:t>Labour and External Services (Legal support)</w:t>
            </w:r>
          </w:p>
        </w:tc>
        <w:tc>
          <w:tcPr>
            <w:tcW w:w="2208" w:type="pct"/>
            <w:vAlign w:val="center"/>
          </w:tcPr>
          <w:p w14:paraId="5E63A633" w14:textId="77777777" w:rsidR="008F3328" w:rsidRPr="00DE108C" w:rsidRDefault="008F3328" w:rsidP="008F3328">
            <w:pPr>
              <w:pStyle w:val="TableText"/>
              <w:rPr>
                <w:rFonts w:eastAsiaTheme="minorEastAsia" w:cstheme="minorBidi"/>
                <w:color w:val="000000"/>
              </w:rPr>
            </w:pPr>
            <w:r w:rsidRPr="00DE108C">
              <w:rPr>
                <w:rFonts w:eastAsiaTheme="minorEastAsia" w:cs="Arial"/>
                <w:color w:val="000000"/>
                <w:szCs w:val="16"/>
              </w:rPr>
              <w:t>Urban Planning and Development - Backlog</w:t>
            </w:r>
          </w:p>
        </w:tc>
        <w:tc>
          <w:tcPr>
            <w:tcW w:w="610" w:type="pct"/>
            <w:vAlign w:val="center"/>
          </w:tcPr>
          <w:p w14:paraId="2FEBD7D5" w14:textId="5A9378FE" w:rsidR="008F3328" w:rsidRPr="00DE108C" w:rsidRDefault="008F3328" w:rsidP="008F3328">
            <w:pPr>
              <w:pStyle w:val="TableText"/>
              <w:jc w:val="right"/>
              <w:rPr>
                <w:rFonts w:eastAsiaTheme="minorEastAsia"/>
                <w:szCs w:val="16"/>
              </w:rPr>
            </w:pPr>
            <w:r w:rsidRPr="2D961858">
              <w:rPr>
                <w:rFonts w:eastAsiaTheme="minorEastAsia" w:cstheme="minorBidi"/>
              </w:rPr>
              <w:t xml:space="preserve"> </w:t>
            </w:r>
            <w:r w:rsidR="0082704C" w:rsidRPr="2D961858">
              <w:rPr>
                <w:rFonts w:eastAsiaTheme="minorEastAsia" w:cstheme="minorBidi"/>
              </w:rPr>
              <w:t>3.9</w:t>
            </w:r>
            <w:r w:rsidRPr="2D961858">
              <w:rPr>
                <w:rFonts w:eastAsiaTheme="minorEastAsia" w:cstheme="minorBidi"/>
              </w:rPr>
              <w:t xml:space="preserve"> </w:t>
            </w:r>
          </w:p>
        </w:tc>
        <w:tc>
          <w:tcPr>
            <w:tcW w:w="609" w:type="pct"/>
            <w:vAlign w:val="center"/>
          </w:tcPr>
          <w:p w14:paraId="05C3D00A" w14:textId="66958ABA" w:rsidR="008F3328" w:rsidRPr="00DE108C" w:rsidRDefault="008F3328" w:rsidP="008F3328">
            <w:pPr>
              <w:pStyle w:val="TableText"/>
              <w:jc w:val="right"/>
              <w:rPr>
                <w:rFonts w:eastAsiaTheme="minorEastAsia"/>
                <w:szCs w:val="16"/>
              </w:rPr>
            </w:pPr>
            <w:r w:rsidRPr="2D961858">
              <w:rPr>
                <w:rFonts w:eastAsiaTheme="minorEastAsia" w:cstheme="minorBidi"/>
              </w:rPr>
              <w:t xml:space="preserve"> </w:t>
            </w:r>
            <w:r w:rsidR="0082704C" w:rsidRPr="2D961858">
              <w:rPr>
                <w:rFonts w:eastAsiaTheme="minorEastAsia" w:cstheme="minorBidi"/>
              </w:rPr>
              <w:t>-</w:t>
            </w:r>
            <w:r w:rsidRPr="2D961858">
              <w:rPr>
                <w:rFonts w:eastAsiaTheme="minorEastAsia" w:cstheme="minorBidi"/>
              </w:rPr>
              <w:t xml:space="preserve"> </w:t>
            </w:r>
          </w:p>
        </w:tc>
        <w:tc>
          <w:tcPr>
            <w:tcW w:w="609" w:type="pct"/>
            <w:vAlign w:val="center"/>
          </w:tcPr>
          <w:p w14:paraId="4410B1F3" w14:textId="11F7F556" w:rsidR="008F3328" w:rsidRPr="00DE108C" w:rsidRDefault="008F3328" w:rsidP="008F3328">
            <w:pPr>
              <w:pStyle w:val="TableText"/>
              <w:jc w:val="right"/>
              <w:rPr>
                <w:rFonts w:eastAsiaTheme="minorEastAsia"/>
                <w:szCs w:val="16"/>
              </w:rPr>
            </w:pPr>
            <w:r w:rsidRPr="2D961858">
              <w:rPr>
                <w:rFonts w:eastAsiaTheme="minorEastAsia" w:cstheme="minorBidi"/>
              </w:rPr>
              <w:t xml:space="preserve"> 3.9 </w:t>
            </w:r>
          </w:p>
        </w:tc>
      </w:tr>
      <w:tr w:rsidR="008F3328" w:rsidRPr="00DE108C" w14:paraId="5D0CF718" w14:textId="77777777" w:rsidTr="00245EE3">
        <w:tc>
          <w:tcPr>
            <w:tcW w:w="964" w:type="pct"/>
            <w:vAlign w:val="center"/>
          </w:tcPr>
          <w:p w14:paraId="1FF0B0E6" w14:textId="77777777" w:rsidR="008F3328" w:rsidRPr="00DE108C" w:rsidRDefault="008F3328" w:rsidP="008F3328">
            <w:pPr>
              <w:pStyle w:val="TableText"/>
              <w:rPr>
                <w:rFonts w:eastAsiaTheme="minorEastAsia"/>
                <w:szCs w:val="16"/>
              </w:rPr>
            </w:pPr>
            <w:r w:rsidRPr="00DE108C">
              <w:rPr>
                <w:rFonts w:eastAsiaTheme="minorEastAsia"/>
                <w:szCs w:val="16"/>
              </w:rPr>
              <w:t>Labour</w:t>
            </w:r>
          </w:p>
        </w:tc>
        <w:tc>
          <w:tcPr>
            <w:tcW w:w="2208" w:type="pct"/>
            <w:vAlign w:val="center"/>
          </w:tcPr>
          <w:p w14:paraId="6FBF2CB6" w14:textId="77777777" w:rsidR="008F3328" w:rsidRPr="00DE108C" w:rsidRDefault="008F3328" w:rsidP="008F3328">
            <w:pPr>
              <w:pStyle w:val="TableText"/>
              <w:rPr>
                <w:rFonts w:eastAsiaTheme="minorEastAsia" w:cs="Arial"/>
                <w:color w:val="000000"/>
                <w:szCs w:val="16"/>
              </w:rPr>
            </w:pPr>
            <w:r w:rsidRPr="00DE108C">
              <w:rPr>
                <w:rFonts w:eastAsiaTheme="minorEastAsia" w:cs="Arial"/>
                <w:color w:val="000000"/>
                <w:szCs w:val="16"/>
              </w:rPr>
              <w:t>Labour base year adjustments (delayed Enterprise Agreement changes and increased contractor spend)</w:t>
            </w:r>
          </w:p>
        </w:tc>
        <w:tc>
          <w:tcPr>
            <w:tcW w:w="610" w:type="pct"/>
            <w:vAlign w:val="center"/>
          </w:tcPr>
          <w:p w14:paraId="1423350F" w14:textId="736AA757" w:rsidR="008F3328" w:rsidRPr="00DE108C" w:rsidRDefault="008F3328" w:rsidP="008F3328">
            <w:pPr>
              <w:pStyle w:val="TableText"/>
              <w:jc w:val="right"/>
              <w:rPr>
                <w:rFonts w:eastAsiaTheme="minorEastAsia"/>
                <w:szCs w:val="16"/>
              </w:rPr>
            </w:pPr>
            <w:r w:rsidRPr="2D961858">
              <w:rPr>
                <w:rFonts w:eastAsiaTheme="minorEastAsia" w:cstheme="minorBidi"/>
              </w:rPr>
              <w:t xml:space="preserve"> </w:t>
            </w:r>
            <w:r w:rsidR="0082704C" w:rsidRPr="2D961858">
              <w:rPr>
                <w:rFonts w:eastAsiaTheme="minorEastAsia" w:cstheme="minorBidi"/>
              </w:rPr>
              <w:t>8.5</w:t>
            </w:r>
            <w:r w:rsidRPr="2D961858">
              <w:rPr>
                <w:rFonts w:eastAsiaTheme="minorEastAsia" w:cstheme="minorBidi"/>
              </w:rPr>
              <w:t xml:space="preserve"> </w:t>
            </w:r>
          </w:p>
        </w:tc>
        <w:tc>
          <w:tcPr>
            <w:tcW w:w="609" w:type="pct"/>
            <w:vAlign w:val="center"/>
          </w:tcPr>
          <w:p w14:paraId="25B74C81" w14:textId="5DA2A572" w:rsidR="008F3328" w:rsidRPr="00DE108C" w:rsidRDefault="008F3328" w:rsidP="008F3328">
            <w:pPr>
              <w:pStyle w:val="TableText"/>
              <w:jc w:val="right"/>
              <w:rPr>
                <w:rFonts w:eastAsiaTheme="minorEastAsia"/>
                <w:szCs w:val="16"/>
              </w:rPr>
            </w:pPr>
            <w:r w:rsidRPr="2D961858">
              <w:rPr>
                <w:rFonts w:eastAsiaTheme="minorEastAsia" w:cstheme="minorBidi"/>
              </w:rPr>
              <w:t xml:space="preserve"> </w:t>
            </w:r>
            <w:r w:rsidR="0082704C" w:rsidRPr="2D961858">
              <w:rPr>
                <w:rFonts w:eastAsiaTheme="minorEastAsia" w:cstheme="minorBidi"/>
              </w:rPr>
              <w:t>6.7</w:t>
            </w:r>
            <w:r w:rsidRPr="2D961858">
              <w:rPr>
                <w:rFonts w:eastAsiaTheme="minorEastAsia" w:cstheme="minorBidi"/>
              </w:rPr>
              <w:t xml:space="preserve"> </w:t>
            </w:r>
          </w:p>
        </w:tc>
        <w:tc>
          <w:tcPr>
            <w:tcW w:w="609" w:type="pct"/>
            <w:vAlign w:val="center"/>
          </w:tcPr>
          <w:p w14:paraId="03FEB25B" w14:textId="43B1F588" w:rsidR="008F3328" w:rsidRPr="00DE108C" w:rsidRDefault="008F3328" w:rsidP="008F3328">
            <w:pPr>
              <w:pStyle w:val="TableText"/>
              <w:jc w:val="right"/>
              <w:rPr>
                <w:rFonts w:eastAsiaTheme="minorEastAsia"/>
                <w:szCs w:val="16"/>
              </w:rPr>
            </w:pPr>
            <w:r w:rsidRPr="2D961858">
              <w:rPr>
                <w:rFonts w:eastAsiaTheme="minorEastAsia" w:cstheme="minorBidi"/>
              </w:rPr>
              <w:t xml:space="preserve"> 1.8 </w:t>
            </w:r>
          </w:p>
        </w:tc>
      </w:tr>
      <w:tr w:rsidR="008F3328" w:rsidRPr="00DE108C" w14:paraId="317DD22A" w14:textId="77777777" w:rsidTr="00245EE3">
        <w:tc>
          <w:tcPr>
            <w:tcW w:w="964" w:type="pct"/>
            <w:vAlign w:val="center"/>
          </w:tcPr>
          <w:p w14:paraId="557029BC" w14:textId="77777777" w:rsidR="008F3328" w:rsidRPr="00DE108C" w:rsidRDefault="008F3328" w:rsidP="008F3328">
            <w:pPr>
              <w:pStyle w:val="TableText"/>
              <w:rPr>
                <w:rFonts w:eastAsiaTheme="minorEastAsia"/>
                <w:szCs w:val="16"/>
              </w:rPr>
            </w:pPr>
          </w:p>
        </w:tc>
        <w:tc>
          <w:tcPr>
            <w:tcW w:w="2208" w:type="pct"/>
            <w:vAlign w:val="center"/>
          </w:tcPr>
          <w:p w14:paraId="4AFDFF37" w14:textId="77777777" w:rsidR="008F3328" w:rsidRPr="00DE108C" w:rsidRDefault="008F3328" w:rsidP="008F3328">
            <w:pPr>
              <w:pStyle w:val="TableText"/>
              <w:rPr>
                <w:rFonts w:eastAsiaTheme="minorEastAsia" w:cstheme="minorBidi"/>
                <w:color w:val="000000"/>
              </w:rPr>
            </w:pPr>
            <w:r w:rsidRPr="00DE108C">
              <w:rPr>
                <w:rFonts w:eastAsiaTheme="minorEastAsia" w:cs="Arial"/>
                <w:color w:val="000000"/>
                <w:szCs w:val="16"/>
              </w:rPr>
              <w:t>Superannuation guarantee change</w:t>
            </w:r>
          </w:p>
        </w:tc>
        <w:tc>
          <w:tcPr>
            <w:tcW w:w="610" w:type="pct"/>
            <w:vAlign w:val="center"/>
          </w:tcPr>
          <w:p w14:paraId="0D34CCBB" w14:textId="67B69F7A" w:rsidR="008F3328" w:rsidRPr="00DE108C" w:rsidRDefault="008F3328" w:rsidP="008F3328">
            <w:pPr>
              <w:pStyle w:val="TableText"/>
              <w:jc w:val="right"/>
              <w:rPr>
                <w:rFonts w:eastAsiaTheme="minorEastAsia"/>
                <w:szCs w:val="16"/>
              </w:rPr>
            </w:pPr>
            <w:r w:rsidRPr="2D961858">
              <w:rPr>
                <w:rFonts w:eastAsiaTheme="minorEastAsia" w:cstheme="minorBidi"/>
              </w:rPr>
              <w:t>-0.</w:t>
            </w:r>
            <w:r w:rsidR="0082704C" w:rsidRPr="2D961858">
              <w:rPr>
                <w:rFonts w:eastAsiaTheme="minorEastAsia" w:cstheme="minorBidi"/>
              </w:rPr>
              <w:t>9</w:t>
            </w:r>
          </w:p>
        </w:tc>
        <w:tc>
          <w:tcPr>
            <w:tcW w:w="609" w:type="pct"/>
            <w:vAlign w:val="center"/>
          </w:tcPr>
          <w:p w14:paraId="3D9EDD0D" w14:textId="64110261" w:rsidR="008F3328" w:rsidRPr="00DE108C" w:rsidRDefault="008F3328" w:rsidP="008F3328">
            <w:pPr>
              <w:pStyle w:val="TableText"/>
              <w:jc w:val="right"/>
              <w:rPr>
                <w:rFonts w:eastAsiaTheme="minorEastAsia"/>
                <w:szCs w:val="16"/>
              </w:rPr>
            </w:pPr>
            <w:r w:rsidRPr="2D961858">
              <w:rPr>
                <w:rFonts w:eastAsiaTheme="minorEastAsia" w:cstheme="minorBidi"/>
              </w:rPr>
              <w:t>-0.</w:t>
            </w:r>
            <w:r w:rsidR="0082704C" w:rsidRPr="2D961858">
              <w:rPr>
                <w:rFonts w:eastAsiaTheme="minorEastAsia" w:cstheme="minorBidi"/>
              </w:rPr>
              <w:t>7</w:t>
            </w:r>
          </w:p>
        </w:tc>
        <w:tc>
          <w:tcPr>
            <w:tcW w:w="609" w:type="pct"/>
            <w:vAlign w:val="center"/>
          </w:tcPr>
          <w:p w14:paraId="129321A1" w14:textId="7B953520" w:rsidR="008F3328" w:rsidRPr="00DE108C" w:rsidRDefault="008F3328" w:rsidP="008F3328">
            <w:pPr>
              <w:pStyle w:val="TableText"/>
              <w:jc w:val="right"/>
              <w:rPr>
                <w:rFonts w:eastAsiaTheme="minorEastAsia"/>
                <w:szCs w:val="16"/>
              </w:rPr>
            </w:pPr>
            <w:r w:rsidRPr="2D961858">
              <w:rPr>
                <w:rFonts w:eastAsiaTheme="minorEastAsia" w:cstheme="minorBidi"/>
              </w:rPr>
              <w:t>-0.2</w:t>
            </w:r>
          </w:p>
        </w:tc>
      </w:tr>
      <w:tr w:rsidR="008F3328" w:rsidRPr="00DE108C" w14:paraId="508422D6" w14:textId="77777777" w:rsidTr="00245EE3">
        <w:tc>
          <w:tcPr>
            <w:tcW w:w="964" w:type="pct"/>
            <w:vAlign w:val="center"/>
          </w:tcPr>
          <w:p w14:paraId="42F46355" w14:textId="77777777" w:rsidR="008F3328" w:rsidRPr="00DE108C" w:rsidRDefault="008F3328" w:rsidP="008F3328">
            <w:pPr>
              <w:pStyle w:val="TableText"/>
              <w:rPr>
                <w:rFonts w:eastAsiaTheme="minorEastAsia"/>
                <w:szCs w:val="16"/>
              </w:rPr>
            </w:pPr>
            <w:r w:rsidRPr="00DE108C">
              <w:rPr>
                <w:rFonts w:eastAsiaTheme="minorEastAsia"/>
                <w:szCs w:val="16"/>
              </w:rPr>
              <w:lastRenderedPageBreak/>
              <w:t>Labour, External Services and IT</w:t>
            </w:r>
          </w:p>
        </w:tc>
        <w:tc>
          <w:tcPr>
            <w:tcW w:w="2208" w:type="pct"/>
            <w:vAlign w:val="center"/>
          </w:tcPr>
          <w:p w14:paraId="3493980F" w14:textId="3D401EEA" w:rsidR="008F3328" w:rsidRPr="00DE108C" w:rsidRDefault="008F3328" w:rsidP="008F3328">
            <w:pPr>
              <w:pStyle w:val="TableText"/>
              <w:rPr>
                <w:rFonts w:eastAsiaTheme="minorEastAsia" w:cstheme="minorBidi"/>
                <w:color w:val="000000"/>
              </w:rPr>
            </w:pPr>
            <w:r w:rsidRPr="00DE108C">
              <w:rPr>
                <w:rFonts w:eastAsiaTheme="minorEastAsia" w:cs="Arial"/>
                <w:color w:val="000000"/>
                <w:szCs w:val="16"/>
              </w:rPr>
              <w:t xml:space="preserve">Capitalisation of projects (IT </w:t>
            </w:r>
            <w:r w:rsidRPr="6C5E397D">
              <w:rPr>
                <w:rFonts w:eastAsiaTheme="minorEastAsia" w:cs="Arial"/>
                <w:color w:val="000000"/>
              </w:rPr>
              <w:t>S</w:t>
            </w:r>
            <w:r w:rsidR="0D2FFD29" w:rsidRPr="6C5E397D">
              <w:rPr>
                <w:rFonts w:eastAsiaTheme="minorEastAsia" w:cs="Arial"/>
                <w:color w:val="000000"/>
              </w:rPr>
              <w:t>ervice as a Software (</w:t>
            </w:r>
            <w:r w:rsidRPr="00DE108C">
              <w:rPr>
                <w:rFonts w:eastAsiaTheme="minorEastAsia" w:cs="Arial"/>
                <w:color w:val="000000"/>
                <w:szCs w:val="16"/>
              </w:rPr>
              <w:t>SaaS</w:t>
            </w:r>
            <w:r w:rsidR="73103688" w:rsidRPr="6C5E397D">
              <w:rPr>
                <w:rFonts w:eastAsiaTheme="minorEastAsia" w:cs="Arial"/>
                <w:color w:val="000000"/>
              </w:rPr>
              <w:t>)</w:t>
            </w:r>
            <w:r w:rsidRPr="00DE108C">
              <w:rPr>
                <w:rFonts w:eastAsiaTheme="minorEastAsia" w:cs="Arial"/>
                <w:color w:val="000000"/>
                <w:szCs w:val="16"/>
              </w:rPr>
              <w:t xml:space="preserve"> and New Water)</w:t>
            </w:r>
          </w:p>
        </w:tc>
        <w:tc>
          <w:tcPr>
            <w:tcW w:w="610" w:type="pct"/>
            <w:vAlign w:val="center"/>
          </w:tcPr>
          <w:p w14:paraId="1D3D4BAC" w14:textId="51A05248" w:rsidR="008F3328" w:rsidRPr="00DE108C" w:rsidRDefault="008F3328" w:rsidP="008F3328">
            <w:pPr>
              <w:pStyle w:val="TableText"/>
              <w:jc w:val="right"/>
              <w:rPr>
                <w:rFonts w:eastAsiaTheme="minorEastAsia"/>
                <w:szCs w:val="16"/>
              </w:rPr>
            </w:pPr>
            <w:r w:rsidRPr="2D961858">
              <w:rPr>
                <w:rFonts w:eastAsiaTheme="minorEastAsia" w:cstheme="minorBidi"/>
              </w:rPr>
              <w:t xml:space="preserve"> </w:t>
            </w:r>
            <w:r w:rsidR="0082704C" w:rsidRPr="2D961858">
              <w:rPr>
                <w:rFonts w:eastAsiaTheme="minorEastAsia" w:cstheme="minorBidi"/>
              </w:rPr>
              <w:t>12.6</w:t>
            </w:r>
            <w:r w:rsidRPr="2D961858">
              <w:rPr>
                <w:rFonts w:eastAsiaTheme="minorEastAsia" w:cstheme="minorBidi"/>
              </w:rPr>
              <w:t xml:space="preserve"> </w:t>
            </w:r>
          </w:p>
        </w:tc>
        <w:tc>
          <w:tcPr>
            <w:tcW w:w="609" w:type="pct"/>
            <w:vAlign w:val="center"/>
          </w:tcPr>
          <w:p w14:paraId="538CBF41" w14:textId="0E8186E0" w:rsidR="008F3328" w:rsidRPr="00DE108C" w:rsidRDefault="008F3328" w:rsidP="008F3328">
            <w:pPr>
              <w:pStyle w:val="TableText"/>
              <w:jc w:val="right"/>
              <w:rPr>
                <w:rFonts w:eastAsiaTheme="minorEastAsia"/>
                <w:szCs w:val="16"/>
              </w:rPr>
            </w:pPr>
            <w:r w:rsidRPr="2D961858">
              <w:rPr>
                <w:rFonts w:eastAsiaTheme="minorEastAsia" w:cstheme="minorBidi"/>
              </w:rPr>
              <w:t xml:space="preserve"> </w:t>
            </w:r>
            <w:r w:rsidR="0082704C" w:rsidRPr="2D961858">
              <w:rPr>
                <w:rFonts w:eastAsiaTheme="minorEastAsia" w:cstheme="minorBidi"/>
              </w:rPr>
              <w:t>10.5</w:t>
            </w:r>
            <w:r w:rsidRPr="2D961858">
              <w:rPr>
                <w:rFonts w:eastAsiaTheme="minorEastAsia" w:cstheme="minorBidi"/>
              </w:rPr>
              <w:t xml:space="preserve"> </w:t>
            </w:r>
          </w:p>
        </w:tc>
        <w:tc>
          <w:tcPr>
            <w:tcW w:w="609" w:type="pct"/>
            <w:vAlign w:val="center"/>
          </w:tcPr>
          <w:p w14:paraId="5991FC2D" w14:textId="1A1FF660" w:rsidR="008F3328" w:rsidRPr="00DE108C" w:rsidRDefault="008F3328" w:rsidP="008F3328">
            <w:pPr>
              <w:pStyle w:val="TableText"/>
              <w:jc w:val="right"/>
              <w:rPr>
                <w:rFonts w:eastAsiaTheme="minorEastAsia"/>
                <w:szCs w:val="16"/>
              </w:rPr>
            </w:pPr>
            <w:r w:rsidRPr="2D961858">
              <w:rPr>
                <w:rFonts w:eastAsiaTheme="minorEastAsia" w:cstheme="minorBidi"/>
              </w:rPr>
              <w:t xml:space="preserve"> 2.1 </w:t>
            </w:r>
          </w:p>
        </w:tc>
      </w:tr>
      <w:tr w:rsidR="008F3328" w:rsidRPr="00DE108C" w14:paraId="4EEE1E19" w14:textId="77777777" w:rsidTr="00245EE3">
        <w:tc>
          <w:tcPr>
            <w:tcW w:w="964" w:type="pct"/>
            <w:vMerge w:val="restart"/>
            <w:vAlign w:val="center"/>
          </w:tcPr>
          <w:p w14:paraId="7839596F" w14:textId="77777777" w:rsidR="008F3328" w:rsidRPr="00DE108C" w:rsidRDefault="008F3328" w:rsidP="008F3328">
            <w:pPr>
              <w:pStyle w:val="TableText"/>
              <w:rPr>
                <w:rFonts w:eastAsiaTheme="minorEastAsia"/>
                <w:szCs w:val="16"/>
              </w:rPr>
            </w:pPr>
            <w:r w:rsidRPr="00DE108C">
              <w:rPr>
                <w:rFonts w:eastAsiaTheme="minorEastAsia"/>
                <w:szCs w:val="16"/>
              </w:rPr>
              <w:t>Energy</w:t>
            </w:r>
          </w:p>
        </w:tc>
        <w:tc>
          <w:tcPr>
            <w:tcW w:w="2208" w:type="pct"/>
            <w:vAlign w:val="center"/>
          </w:tcPr>
          <w:p w14:paraId="4B28F487" w14:textId="77777777" w:rsidR="008F3328" w:rsidRPr="00DE108C" w:rsidRDefault="008F3328" w:rsidP="008F3328">
            <w:pPr>
              <w:pStyle w:val="TableText"/>
              <w:rPr>
                <w:rFonts w:eastAsiaTheme="minorEastAsia" w:cstheme="minorBidi"/>
                <w:color w:val="000000"/>
              </w:rPr>
            </w:pPr>
            <w:r w:rsidRPr="00DE108C">
              <w:rPr>
                <w:rFonts w:eastAsiaTheme="minorEastAsia" w:cs="Arial"/>
                <w:color w:val="000000"/>
                <w:szCs w:val="16"/>
              </w:rPr>
              <w:t>Electricity benchmark adjustment</w:t>
            </w:r>
          </w:p>
        </w:tc>
        <w:tc>
          <w:tcPr>
            <w:tcW w:w="610" w:type="pct"/>
            <w:vAlign w:val="center"/>
          </w:tcPr>
          <w:p w14:paraId="7D39CCF6" w14:textId="017E20FE" w:rsidR="008F3328" w:rsidRPr="00DE108C" w:rsidRDefault="008F3328" w:rsidP="008F3328">
            <w:pPr>
              <w:pStyle w:val="TableText"/>
              <w:jc w:val="right"/>
              <w:rPr>
                <w:rFonts w:eastAsiaTheme="minorEastAsia"/>
                <w:szCs w:val="16"/>
              </w:rPr>
            </w:pPr>
            <w:r w:rsidRPr="2D961858">
              <w:rPr>
                <w:rFonts w:eastAsiaTheme="minorEastAsia" w:cstheme="minorBidi"/>
              </w:rPr>
              <w:t xml:space="preserve"> 8.2 </w:t>
            </w:r>
          </w:p>
        </w:tc>
        <w:tc>
          <w:tcPr>
            <w:tcW w:w="609" w:type="pct"/>
            <w:vAlign w:val="center"/>
          </w:tcPr>
          <w:p w14:paraId="2D78E51E" w14:textId="5EC458CF" w:rsidR="008F3328" w:rsidRPr="00DE108C" w:rsidRDefault="008F3328" w:rsidP="008F3328">
            <w:pPr>
              <w:pStyle w:val="TableText"/>
              <w:jc w:val="right"/>
              <w:rPr>
                <w:rFonts w:eastAsiaTheme="minorEastAsia"/>
                <w:szCs w:val="16"/>
              </w:rPr>
            </w:pPr>
            <w:r w:rsidRPr="2D961858">
              <w:rPr>
                <w:rFonts w:eastAsiaTheme="minorEastAsia" w:cstheme="minorBidi"/>
              </w:rPr>
              <w:t xml:space="preserve"> </w:t>
            </w:r>
            <w:r w:rsidR="0065361D" w:rsidRPr="2D961858">
              <w:rPr>
                <w:rFonts w:eastAsiaTheme="minorEastAsia" w:cstheme="minorBidi"/>
              </w:rPr>
              <w:t>8.2</w:t>
            </w:r>
            <w:r w:rsidRPr="2D961858">
              <w:rPr>
                <w:rFonts w:eastAsiaTheme="minorEastAsia" w:cstheme="minorBidi"/>
              </w:rPr>
              <w:t xml:space="preserve"> </w:t>
            </w:r>
          </w:p>
        </w:tc>
        <w:tc>
          <w:tcPr>
            <w:tcW w:w="609" w:type="pct"/>
            <w:vAlign w:val="center"/>
          </w:tcPr>
          <w:p w14:paraId="11FA6B2B" w14:textId="2D8FE14E" w:rsidR="008F3328" w:rsidRPr="00DE108C" w:rsidRDefault="008F3328" w:rsidP="008F3328">
            <w:pPr>
              <w:pStyle w:val="TableText"/>
              <w:jc w:val="right"/>
              <w:rPr>
                <w:rFonts w:eastAsiaTheme="minorEastAsia"/>
                <w:szCs w:val="16"/>
              </w:rPr>
            </w:pPr>
            <w:r w:rsidRPr="2D961858">
              <w:rPr>
                <w:rFonts w:eastAsiaTheme="minorEastAsia" w:cstheme="minorBidi"/>
              </w:rPr>
              <w:t xml:space="preserve"> 0.1 </w:t>
            </w:r>
          </w:p>
        </w:tc>
      </w:tr>
      <w:tr w:rsidR="008F3328" w:rsidRPr="00DE108C" w14:paraId="26833449" w14:textId="77777777" w:rsidTr="00245EE3">
        <w:tc>
          <w:tcPr>
            <w:tcW w:w="964" w:type="pct"/>
            <w:vMerge/>
            <w:vAlign w:val="center"/>
          </w:tcPr>
          <w:p w14:paraId="200577E1" w14:textId="77777777" w:rsidR="008F3328" w:rsidRPr="00DE108C" w:rsidRDefault="008F3328" w:rsidP="008F3328">
            <w:pPr>
              <w:pStyle w:val="TableText"/>
              <w:rPr>
                <w:szCs w:val="16"/>
              </w:rPr>
            </w:pPr>
          </w:p>
        </w:tc>
        <w:tc>
          <w:tcPr>
            <w:tcW w:w="2208" w:type="pct"/>
            <w:vAlign w:val="center"/>
          </w:tcPr>
          <w:p w14:paraId="0CD4C191" w14:textId="77777777" w:rsidR="008F3328" w:rsidRPr="00DE108C" w:rsidRDefault="008F3328" w:rsidP="008F3328">
            <w:pPr>
              <w:pStyle w:val="TableText"/>
              <w:rPr>
                <w:rFonts w:eastAsiaTheme="minorEastAsia" w:cstheme="minorBidi"/>
                <w:color w:val="000000"/>
              </w:rPr>
            </w:pPr>
            <w:r w:rsidRPr="00DE108C">
              <w:rPr>
                <w:rFonts w:eastAsiaTheme="minorEastAsia" w:cs="Arial"/>
                <w:color w:val="000000"/>
                <w:szCs w:val="16"/>
              </w:rPr>
              <w:t>Higher than normal carbon costs</w:t>
            </w:r>
          </w:p>
        </w:tc>
        <w:tc>
          <w:tcPr>
            <w:tcW w:w="610" w:type="pct"/>
            <w:vAlign w:val="center"/>
          </w:tcPr>
          <w:p w14:paraId="59128E72" w14:textId="0285793E" w:rsidR="008F3328" w:rsidRPr="00DE108C" w:rsidRDefault="008F3328" w:rsidP="008F3328">
            <w:pPr>
              <w:pStyle w:val="TableText"/>
              <w:jc w:val="right"/>
              <w:rPr>
                <w:rFonts w:eastAsiaTheme="minorEastAsia"/>
                <w:szCs w:val="16"/>
              </w:rPr>
            </w:pPr>
            <w:r w:rsidRPr="2D961858">
              <w:rPr>
                <w:rFonts w:eastAsiaTheme="minorEastAsia" w:cstheme="minorBidi"/>
              </w:rPr>
              <w:t xml:space="preserve"> 1.1 </w:t>
            </w:r>
          </w:p>
        </w:tc>
        <w:tc>
          <w:tcPr>
            <w:tcW w:w="609" w:type="pct"/>
            <w:vAlign w:val="center"/>
          </w:tcPr>
          <w:p w14:paraId="37EFA326" w14:textId="5588FE9D" w:rsidR="008F3328" w:rsidRPr="00DE108C" w:rsidRDefault="008F3328" w:rsidP="008F3328">
            <w:pPr>
              <w:pStyle w:val="TableText"/>
              <w:jc w:val="right"/>
              <w:rPr>
                <w:rFonts w:eastAsiaTheme="minorEastAsia"/>
                <w:szCs w:val="16"/>
              </w:rPr>
            </w:pPr>
            <w:r w:rsidRPr="2D961858">
              <w:rPr>
                <w:rFonts w:eastAsiaTheme="minorEastAsia" w:cstheme="minorBidi"/>
              </w:rPr>
              <w:t xml:space="preserve"> </w:t>
            </w:r>
            <w:r w:rsidR="00E8678D" w:rsidRPr="2D961858">
              <w:rPr>
                <w:rFonts w:eastAsiaTheme="minorEastAsia" w:cstheme="minorBidi"/>
              </w:rPr>
              <w:t>1.1</w:t>
            </w:r>
            <w:r w:rsidRPr="2D961858">
              <w:rPr>
                <w:rFonts w:eastAsiaTheme="minorEastAsia" w:cstheme="minorBidi"/>
              </w:rPr>
              <w:t xml:space="preserve"> </w:t>
            </w:r>
          </w:p>
        </w:tc>
        <w:tc>
          <w:tcPr>
            <w:tcW w:w="609" w:type="pct"/>
            <w:vAlign w:val="center"/>
          </w:tcPr>
          <w:p w14:paraId="7F52CCAE" w14:textId="039CA4A2" w:rsidR="008F3328" w:rsidRPr="00DE108C" w:rsidRDefault="008F3328" w:rsidP="008F3328">
            <w:pPr>
              <w:pStyle w:val="TableText"/>
              <w:jc w:val="right"/>
              <w:rPr>
                <w:rFonts w:eastAsiaTheme="minorEastAsia"/>
                <w:szCs w:val="16"/>
              </w:rPr>
            </w:pPr>
            <w:r w:rsidRPr="2D961858">
              <w:rPr>
                <w:rFonts w:eastAsiaTheme="minorEastAsia" w:cstheme="minorBidi"/>
              </w:rPr>
              <w:t xml:space="preserve"> 0.</w:t>
            </w:r>
            <w:r w:rsidR="00E8678D" w:rsidRPr="2D961858">
              <w:rPr>
                <w:rFonts w:eastAsiaTheme="minorEastAsia" w:cstheme="minorBidi"/>
              </w:rPr>
              <w:t>01</w:t>
            </w:r>
            <w:r w:rsidRPr="2D961858">
              <w:rPr>
                <w:rFonts w:eastAsiaTheme="minorEastAsia" w:cstheme="minorBidi"/>
              </w:rPr>
              <w:t xml:space="preserve"> </w:t>
            </w:r>
          </w:p>
        </w:tc>
      </w:tr>
      <w:tr w:rsidR="008F3328" w:rsidRPr="00DE108C" w14:paraId="5F7F93A3" w14:textId="77777777" w:rsidTr="00245EE3">
        <w:tc>
          <w:tcPr>
            <w:tcW w:w="964" w:type="pct"/>
            <w:vAlign w:val="center"/>
          </w:tcPr>
          <w:p w14:paraId="12799EC7" w14:textId="77777777" w:rsidR="008F3328" w:rsidRPr="00DE108C" w:rsidRDefault="008F3328" w:rsidP="008F3328">
            <w:pPr>
              <w:pStyle w:val="TableText"/>
              <w:rPr>
                <w:rFonts w:eastAsiaTheme="minorEastAsia"/>
                <w:szCs w:val="16"/>
              </w:rPr>
            </w:pPr>
            <w:r w:rsidRPr="00DE108C">
              <w:rPr>
                <w:rFonts w:eastAsiaTheme="minorEastAsia"/>
                <w:szCs w:val="16"/>
              </w:rPr>
              <w:t>Labour and External Services</w:t>
            </w:r>
          </w:p>
        </w:tc>
        <w:tc>
          <w:tcPr>
            <w:tcW w:w="2208" w:type="pct"/>
            <w:vAlign w:val="center"/>
          </w:tcPr>
          <w:p w14:paraId="5ECCEBFE" w14:textId="77777777" w:rsidR="008F3328" w:rsidRPr="00DE108C" w:rsidRDefault="008F3328" w:rsidP="008F3328">
            <w:pPr>
              <w:pStyle w:val="TableText"/>
              <w:rPr>
                <w:rFonts w:eastAsiaTheme="minorEastAsia" w:cstheme="minorBidi"/>
                <w:color w:val="000000"/>
              </w:rPr>
            </w:pPr>
            <w:r w:rsidRPr="00DE108C">
              <w:rPr>
                <w:rFonts w:eastAsiaTheme="minorEastAsia" w:cs="Arial"/>
                <w:color w:val="000000"/>
                <w:szCs w:val="16"/>
              </w:rPr>
              <w:t xml:space="preserve">New obligations </w:t>
            </w:r>
          </w:p>
        </w:tc>
        <w:tc>
          <w:tcPr>
            <w:tcW w:w="610" w:type="pct"/>
            <w:vAlign w:val="center"/>
          </w:tcPr>
          <w:p w14:paraId="768655D9" w14:textId="4CE05DF7" w:rsidR="008F3328" w:rsidRPr="00DE108C" w:rsidRDefault="008F3328" w:rsidP="008F3328">
            <w:pPr>
              <w:pStyle w:val="TableText"/>
              <w:jc w:val="right"/>
              <w:rPr>
                <w:rFonts w:eastAsiaTheme="minorEastAsia"/>
                <w:szCs w:val="16"/>
              </w:rPr>
            </w:pPr>
            <w:r w:rsidRPr="2D961858">
              <w:rPr>
                <w:rFonts w:eastAsiaTheme="minorEastAsia" w:cstheme="minorBidi"/>
              </w:rPr>
              <w:t>-1.</w:t>
            </w:r>
            <w:r w:rsidR="00E8678D" w:rsidRPr="2D961858">
              <w:rPr>
                <w:rFonts w:eastAsiaTheme="minorEastAsia" w:cstheme="minorBidi"/>
              </w:rPr>
              <w:t>2</w:t>
            </w:r>
          </w:p>
        </w:tc>
        <w:tc>
          <w:tcPr>
            <w:tcW w:w="609" w:type="pct"/>
            <w:vAlign w:val="center"/>
          </w:tcPr>
          <w:p w14:paraId="1A985939" w14:textId="5681B1BC" w:rsidR="008F3328" w:rsidRPr="00DE108C" w:rsidRDefault="008F3328" w:rsidP="008F3328">
            <w:pPr>
              <w:pStyle w:val="TableText"/>
              <w:jc w:val="right"/>
              <w:rPr>
                <w:rFonts w:eastAsiaTheme="minorEastAsia"/>
                <w:szCs w:val="16"/>
              </w:rPr>
            </w:pPr>
            <w:r w:rsidRPr="2D961858">
              <w:rPr>
                <w:rFonts w:eastAsiaTheme="minorEastAsia" w:cstheme="minorBidi"/>
              </w:rPr>
              <w:t>-</w:t>
            </w:r>
            <w:r w:rsidR="00E8678D" w:rsidRPr="2D961858">
              <w:rPr>
                <w:rFonts w:eastAsiaTheme="minorEastAsia" w:cstheme="minorBidi"/>
              </w:rPr>
              <w:t>1.</w:t>
            </w:r>
            <w:r w:rsidRPr="2D961858">
              <w:rPr>
                <w:rFonts w:eastAsiaTheme="minorEastAsia" w:cstheme="minorBidi"/>
              </w:rPr>
              <w:t>0</w:t>
            </w:r>
          </w:p>
        </w:tc>
        <w:tc>
          <w:tcPr>
            <w:tcW w:w="609" w:type="pct"/>
            <w:vAlign w:val="center"/>
          </w:tcPr>
          <w:p w14:paraId="61A3AF0E" w14:textId="488C4D71" w:rsidR="008F3328" w:rsidRPr="00DE108C" w:rsidRDefault="008F3328" w:rsidP="008F3328">
            <w:pPr>
              <w:pStyle w:val="TableText"/>
              <w:jc w:val="right"/>
              <w:rPr>
                <w:rFonts w:eastAsiaTheme="minorEastAsia"/>
                <w:szCs w:val="16"/>
              </w:rPr>
            </w:pPr>
            <w:r w:rsidRPr="2D961858">
              <w:rPr>
                <w:rFonts w:eastAsiaTheme="minorEastAsia" w:cstheme="minorBidi"/>
              </w:rPr>
              <w:t>-0.3</w:t>
            </w:r>
          </w:p>
        </w:tc>
      </w:tr>
      <w:tr w:rsidR="008F3328" w:rsidRPr="00DE108C" w14:paraId="080E08A9" w14:textId="77777777" w:rsidTr="00245EE3">
        <w:tc>
          <w:tcPr>
            <w:tcW w:w="964" w:type="pct"/>
            <w:vAlign w:val="center"/>
          </w:tcPr>
          <w:p w14:paraId="3C4FAF1A" w14:textId="77777777" w:rsidR="008F3328" w:rsidRPr="00DE108C" w:rsidRDefault="008F3328" w:rsidP="008F3328">
            <w:pPr>
              <w:pStyle w:val="TableText"/>
              <w:rPr>
                <w:rFonts w:eastAsiaTheme="minorEastAsia"/>
                <w:szCs w:val="16"/>
              </w:rPr>
            </w:pPr>
            <w:r w:rsidRPr="00DE108C">
              <w:rPr>
                <w:rFonts w:eastAsiaTheme="minorEastAsia"/>
                <w:szCs w:val="16"/>
              </w:rPr>
              <w:t>Predominantly External Services, IT, Labour.</w:t>
            </w:r>
          </w:p>
        </w:tc>
        <w:tc>
          <w:tcPr>
            <w:tcW w:w="2208" w:type="pct"/>
            <w:vAlign w:val="center"/>
          </w:tcPr>
          <w:p w14:paraId="57FD5EF2" w14:textId="77777777" w:rsidR="008F3328" w:rsidRPr="00DE108C" w:rsidRDefault="008F3328" w:rsidP="008F3328">
            <w:pPr>
              <w:pStyle w:val="TableText"/>
              <w:rPr>
                <w:rFonts w:eastAsiaTheme="minorEastAsia" w:cstheme="minorBidi"/>
                <w:color w:val="000000"/>
              </w:rPr>
            </w:pPr>
            <w:r w:rsidRPr="00DE108C">
              <w:rPr>
                <w:rFonts w:eastAsiaTheme="minorEastAsia" w:cs="Arial"/>
                <w:color w:val="000000"/>
                <w:szCs w:val="16"/>
              </w:rPr>
              <w:t>One-off projects and accounting adjustments</w:t>
            </w:r>
          </w:p>
        </w:tc>
        <w:tc>
          <w:tcPr>
            <w:tcW w:w="610" w:type="pct"/>
            <w:vAlign w:val="center"/>
          </w:tcPr>
          <w:p w14:paraId="2E305656" w14:textId="14A94565" w:rsidR="008F3328" w:rsidRPr="00DE108C" w:rsidRDefault="008F3328" w:rsidP="008F3328">
            <w:pPr>
              <w:pStyle w:val="TableText"/>
              <w:jc w:val="right"/>
              <w:rPr>
                <w:rFonts w:eastAsiaTheme="minorEastAsia"/>
                <w:szCs w:val="16"/>
              </w:rPr>
            </w:pPr>
            <w:r w:rsidRPr="2D961858">
              <w:rPr>
                <w:rFonts w:eastAsiaTheme="minorEastAsia" w:cstheme="minorBidi"/>
              </w:rPr>
              <w:t xml:space="preserve"> </w:t>
            </w:r>
            <w:r w:rsidR="00E8678D" w:rsidRPr="2D961858">
              <w:rPr>
                <w:rFonts w:eastAsiaTheme="minorEastAsia" w:cstheme="minorBidi"/>
              </w:rPr>
              <w:t>16.9</w:t>
            </w:r>
            <w:r w:rsidRPr="2D961858">
              <w:rPr>
                <w:rFonts w:eastAsiaTheme="minorEastAsia" w:cstheme="minorBidi"/>
              </w:rPr>
              <w:t xml:space="preserve"> </w:t>
            </w:r>
          </w:p>
        </w:tc>
        <w:tc>
          <w:tcPr>
            <w:tcW w:w="609" w:type="pct"/>
            <w:vAlign w:val="center"/>
          </w:tcPr>
          <w:p w14:paraId="0F6CF4B7" w14:textId="3CD80045" w:rsidR="008F3328" w:rsidRPr="00DE108C" w:rsidRDefault="008F3328" w:rsidP="008F3328">
            <w:pPr>
              <w:pStyle w:val="TableText"/>
              <w:jc w:val="right"/>
              <w:rPr>
                <w:rFonts w:eastAsiaTheme="minorEastAsia"/>
                <w:szCs w:val="16"/>
              </w:rPr>
            </w:pPr>
            <w:r w:rsidRPr="2D961858">
              <w:rPr>
                <w:rFonts w:eastAsiaTheme="minorEastAsia" w:cstheme="minorBidi"/>
              </w:rPr>
              <w:t xml:space="preserve"> </w:t>
            </w:r>
            <w:r w:rsidR="00E8678D" w:rsidRPr="2D961858">
              <w:rPr>
                <w:rFonts w:eastAsiaTheme="minorEastAsia" w:cstheme="minorBidi"/>
              </w:rPr>
              <w:t>11.8</w:t>
            </w:r>
            <w:r w:rsidRPr="2D961858">
              <w:rPr>
                <w:rFonts w:eastAsiaTheme="minorEastAsia" w:cstheme="minorBidi"/>
              </w:rPr>
              <w:t xml:space="preserve"> </w:t>
            </w:r>
          </w:p>
        </w:tc>
        <w:tc>
          <w:tcPr>
            <w:tcW w:w="609" w:type="pct"/>
            <w:vAlign w:val="center"/>
          </w:tcPr>
          <w:p w14:paraId="61F4D14B" w14:textId="458F22F8" w:rsidR="008F3328" w:rsidRPr="00DE108C" w:rsidRDefault="008F3328" w:rsidP="008F3328">
            <w:pPr>
              <w:pStyle w:val="TableText"/>
              <w:jc w:val="right"/>
              <w:rPr>
                <w:rFonts w:eastAsiaTheme="minorEastAsia"/>
                <w:szCs w:val="16"/>
              </w:rPr>
            </w:pPr>
            <w:r w:rsidRPr="2D961858">
              <w:rPr>
                <w:rFonts w:eastAsiaTheme="minorEastAsia" w:cstheme="minorBidi"/>
              </w:rPr>
              <w:t xml:space="preserve"> 5.1 </w:t>
            </w:r>
          </w:p>
        </w:tc>
      </w:tr>
      <w:tr w:rsidR="008F3328" w:rsidRPr="00DE108C" w14:paraId="3AA7D6AA" w14:textId="77777777" w:rsidTr="00245EE3">
        <w:tc>
          <w:tcPr>
            <w:tcW w:w="3172" w:type="pct"/>
            <w:gridSpan w:val="2"/>
          </w:tcPr>
          <w:p w14:paraId="1D6EE9C7" w14:textId="77777777" w:rsidR="008F3328" w:rsidRPr="00DE108C" w:rsidRDefault="008F3328" w:rsidP="008F3328">
            <w:pPr>
              <w:pStyle w:val="TableText"/>
              <w:rPr>
                <w:rFonts w:eastAsiaTheme="minorEastAsia" w:cstheme="minorBidi"/>
                <w:b/>
              </w:rPr>
            </w:pPr>
            <w:r w:rsidRPr="00DE108C">
              <w:rPr>
                <w:rFonts w:eastAsiaTheme="minorEastAsia"/>
                <w:b/>
                <w:szCs w:val="16"/>
              </w:rPr>
              <w:t>Sub-total 2024-25 non-recurring adjustments</w:t>
            </w:r>
          </w:p>
        </w:tc>
        <w:tc>
          <w:tcPr>
            <w:tcW w:w="610" w:type="pct"/>
          </w:tcPr>
          <w:p w14:paraId="430B3B7A" w14:textId="77777777" w:rsidR="008F3328" w:rsidRPr="00DE108C" w:rsidRDefault="008F3328" w:rsidP="008F3328">
            <w:pPr>
              <w:pStyle w:val="TableText"/>
              <w:jc w:val="right"/>
              <w:rPr>
                <w:rFonts w:eastAsiaTheme="minorEastAsia"/>
                <w:b/>
                <w:szCs w:val="16"/>
              </w:rPr>
            </w:pPr>
            <w:r w:rsidRPr="00DE108C">
              <w:rPr>
                <w:rFonts w:eastAsiaTheme="minorEastAsia"/>
                <w:b/>
                <w:szCs w:val="16"/>
              </w:rPr>
              <w:t xml:space="preserve"> 49.1 </w:t>
            </w:r>
          </w:p>
        </w:tc>
        <w:tc>
          <w:tcPr>
            <w:tcW w:w="609" w:type="pct"/>
            <w:vAlign w:val="center"/>
          </w:tcPr>
          <w:p w14:paraId="20F59C67" w14:textId="5989F6B6" w:rsidR="008F3328" w:rsidRPr="00DE108C" w:rsidRDefault="008F3328" w:rsidP="008F3328">
            <w:pPr>
              <w:pStyle w:val="TableText"/>
              <w:jc w:val="right"/>
              <w:rPr>
                <w:rFonts w:eastAsiaTheme="minorEastAsia"/>
                <w:b/>
                <w:szCs w:val="16"/>
              </w:rPr>
            </w:pPr>
            <w:r w:rsidRPr="2D961858">
              <w:rPr>
                <w:rFonts w:eastAsiaTheme="minorEastAsia" w:cstheme="minorBidi"/>
                <w:b/>
              </w:rPr>
              <w:t xml:space="preserve"> 36.6 </w:t>
            </w:r>
          </w:p>
        </w:tc>
        <w:tc>
          <w:tcPr>
            <w:tcW w:w="609" w:type="pct"/>
            <w:vAlign w:val="center"/>
          </w:tcPr>
          <w:p w14:paraId="097DD02C" w14:textId="70EA765D" w:rsidR="008F3328" w:rsidRPr="00DE108C" w:rsidRDefault="008F3328" w:rsidP="008F3328">
            <w:pPr>
              <w:pStyle w:val="TableText"/>
              <w:jc w:val="right"/>
              <w:rPr>
                <w:rFonts w:eastAsiaTheme="minorEastAsia"/>
                <w:b/>
                <w:szCs w:val="16"/>
              </w:rPr>
            </w:pPr>
            <w:r w:rsidRPr="2D961858">
              <w:rPr>
                <w:rFonts w:eastAsiaTheme="minorEastAsia" w:cstheme="minorBidi"/>
                <w:b/>
              </w:rPr>
              <w:t xml:space="preserve"> 12.5 </w:t>
            </w:r>
          </w:p>
        </w:tc>
      </w:tr>
      <w:tr w:rsidR="008F3328" w:rsidRPr="00DE108C" w14:paraId="76900F3B" w14:textId="77777777" w:rsidTr="00245EE3">
        <w:tc>
          <w:tcPr>
            <w:tcW w:w="3172" w:type="pct"/>
            <w:gridSpan w:val="2"/>
            <w:shd w:val="clear" w:color="auto" w:fill="E4F8CA" w:themeFill="accent4" w:themeFillTint="33"/>
          </w:tcPr>
          <w:p w14:paraId="53E317D1" w14:textId="77777777" w:rsidR="008F3328" w:rsidRPr="00DE108C" w:rsidRDefault="008F3328" w:rsidP="008F3328">
            <w:pPr>
              <w:pStyle w:val="TableText"/>
              <w:rPr>
                <w:rFonts w:eastAsiaTheme="minorEastAsia"/>
                <w:b/>
                <w:szCs w:val="16"/>
              </w:rPr>
            </w:pPr>
            <w:r w:rsidRPr="00DE108C">
              <w:rPr>
                <w:rFonts w:eastAsiaTheme="minorEastAsia"/>
                <w:b/>
                <w:szCs w:val="16"/>
              </w:rPr>
              <w:t>Baseline controllable operating expenditure 2024-25</w:t>
            </w:r>
          </w:p>
        </w:tc>
        <w:tc>
          <w:tcPr>
            <w:tcW w:w="610" w:type="pct"/>
            <w:shd w:val="clear" w:color="auto" w:fill="E4F8CA" w:themeFill="accent4" w:themeFillTint="33"/>
          </w:tcPr>
          <w:p w14:paraId="4A158185" w14:textId="30DC400B" w:rsidR="008F3328" w:rsidRPr="00DE108C" w:rsidRDefault="008F3328" w:rsidP="008F3328">
            <w:pPr>
              <w:pStyle w:val="TableText"/>
              <w:jc w:val="right"/>
              <w:rPr>
                <w:rFonts w:eastAsiaTheme="minorEastAsia"/>
                <w:b/>
                <w:szCs w:val="16"/>
              </w:rPr>
            </w:pPr>
            <w:r w:rsidRPr="00DE108C">
              <w:rPr>
                <w:rFonts w:eastAsiaTheme="minorEastAsia"/>
                <w:b/>
                <w:szCs w:val="16"/>
              </w:rPr>
              <w:t xml:space="preserve"> 51</w:t>
            </w:r>
            <w:r>
              <w:rPr>
                <w:rFonts w:eastAsiaTheme="minorEastAsia"/>
                <w:b/>
                <w:szCs w:val="16"/>
              </w:rPr>
              <w:t>8</w:t>
            </w:r>
            <w:r w:rsidRPr="00DE108C">
              <w:rPr>
                <w:rFonts w:eastAsiaTheme="minorEastAsia"/>
                <w:b/>
                <w:szCs w:val="16"/>
              </w:rPr>
              <w:t>.</w:t>
            </w:r>
            <w:r>
              <w:rPr>
                <w:rFonts w:eastAsiaTheme="minorEastAsia"/>
                <w:b/>
                <w:szCs w:val="16"/>
              </w:rPr>
              <w:t>9</w:t>
            </w:r>
            <w:r w:rsidRPr="00DE108C">
              <w:rPr>
                <w:rFonts w:eastAsiaTheme="minorEastAsia"/>
                <w:b/>
                <w:szCs w:val="16"/>
              </w:rPr>
              <w:t xml:space="preserve"> </w:t>
            </w:r>
          </w:p>
        </w:tc>
        <w:tc>
          <w:tcPr>
            <w:tcW w:w="609" w:type="pct"/>
            <w:shd w:val="clear" w:color="auto" w:fill="E4F8CA" w:themeFill="accent4" w:themeFillTint="33"/>
            <w:vAlign w:val="center"/>
          </w:tcPr>
          <w:p w14:paraId="3616A7EE" w14:textId="1CCA9BA1" w:rsidR="008F3328" w:rsidRPr="00DE108C" w:rsidRDefault="008F3328" w:rsidP="008F3328">
            <w:pPr>
              <w:pStyle w:val="TableText"/>
              <w:jc w:val="right"/>
              <w:rPr>
                <w:rFonts w:eastAsiaTheme="minorEastAsia"/>
                <w:b/>
                <w:szCs w:val="16"/>
              </w:rPr>
            </w:pPr>
            <w:r w:rsidRPr="2D961858">
              <w:rPr>
                <w:rFonts w:eastAsiaTheme="minorEastAsia" w:cstheme="minorBidi"/>
                <w:b/>
              </w:rPr>
              <w:t xml:space="preserve"> 337.0 </w:t>
            </w:r>
          </w:p>
        </w:tc>
        <w:tc>
          <w:tcPr>
            <w:tcW w:w="609" w:type="pct"/>
            <w:shd w:val="clear" w:color="auto" w:fill="E4F8CA" w:themeFill="accent4" w:themeFillTint="33"/>
            <w:vAlign w:val="center"/>
          </w:tcPr>
          <w:p w14:paraId="1E351C6C" w14:textId="3DAD400A" w:rsidR="008F3328" w:rsidRPr="00DE108C" w:rsidRDefault="008F3328" w:rsidP="008F3328">
            <w:pPr>
              <w:pStyle w:val="TableText"/>
              <w:jc w:val="right"/>
              <w:rPr>
                <w:rFonts w:eastAsiaTheme="minorEastAsia"/>
                <w:b/>
                <w:szCs w:val="16"/>
              </w:rPr>
            </w:pPr>
            <w:r w:rsidRPr="2D961858">
              <w:rPr>
                <w:rFonts w:eastAsiaTheme="minorEastAsia" w:cstheme="minorBidi"/>
                <w:b/>
              </w:rPr>
              <w:t xml:space="preserve"> 182.0 </w:t>
            </w:r>
          </w:p>
        </w:tc>
      </w:tr>
      <w:tr w:rsidR="00046BD5" w:rsidRPr="00DE108C" w14:paraId="1F53601F" w14:textId="77777777">
        <w:tc>
          <w:tcPr>
            <w:tcW w:w="3172" w:type="pct"/>
            <w:gridSpan w:val="2"/>
            <w:shd w:val="clear" w:color="auto" w:fill="00428B" w:themeFill="accent1"/>
          </w:tcPr>
          <w:p w14:paraId="0FA54CE3" w14:textId="77777777" w:rsidR="00046BD5" w:rsidRPr="00DE108C" w:rsidRDefault="00046BD5">
            <w:pPr>
              <w:pStyle w:val="TableText"/>
              <w:rPr>
                <w:rFonts w:eastAsiaTheme="minorEastAsia"/>
                <w:b/>
                <w:color w:val="FFFFFF" w:themeColor="background1"/>
                <w:szCs w:val="16"/>
              </w:rPr>
            </w:pPr>
            <w:r w:rsidRPr="00DE108C">
              <w:rPr>
                <w:rFonts w:eastAsiaTheme="minorEastAsia"/>
                <w:b/>
                <w:color w:val="FFFFFF" w:themeColor="background1"/>
                <w:szCs w:val="16"/>
              </w:rPr>
              <w:t>Controllable operating expenditure in prices for 2024-25</w:t>
            </w:r>
          </w:p>
        </w:tc>
        <w:tc>
          <w:tcPr>
            <w:tcW w:w="610" w:type="pct"/>
            <w:shd w:val="clear" w:color="auto" w:fill="00428B" w:themeFill="accent1"/>
          </w:tcPr>
          <w:p w14:paraId="53835D15" w14:textId="77777777" w:rsidR="00046BD5" w:rsidRPr="00DE108C" w:rsidRDefault="00046BD5">
            <w:pPr>
              <w:pStyle w:val="TableText"/>
              <w:jc w:val="right"/>
              <w:rPr>
                <w:rFonts w:eastAsiaTheme="minorEastAsia"/>
                <w:color w:val="FFFFFF" w:themeColor="background1"/>
                <w:szCs w:val="16"/>
              </w:rPr>
            </w:pPr>
          </w:p>
        </w:tc>
        <w:tc>
          <w:tcPr>
            <w:tcW w:w="609" w:type="pct"/>
            <w:shd w:val="clear" w:color="auto" w:fill="00428B" w:themeFill="accent1"/>
          </w:tcPr>
          <w:p w14:paraId="7196C671" w14:textId="77777777" w:rsidR="00046BD5" w:rsidRPr="00DE108C" w:rsidRDefault="00046BD5">
            <w:pPr>
              <w:pStyle w:val="TableText"/>
              <w:jc w:val="right"/>
              <w:rPr>
                <w:rFonts w:eastAsiaTheme="minorEastAsia"/>
                <w:color w:val="FFFFFF" w:themeColor="background1"/>
                <w:szCs w:val="16"/>
              </w:rPr>
            </w:pPr>
          </w:p>
        </w:tc>
        <w:tc>
          <w:tcPr>
            <w:tcW w:w="609" w:type="pct"/>
            <w:shd w:val="clear" w:color="auto" w:fill="00428B" w:themeFill="accent1"/>
          </w:tcPr>
          <w:p w14:paraId="4047D8C2" w14:textId="77777777" w:rsidR="00046BD5" w:rsidRPr="00DE108C" w:rsidRDefault="00046BD5">
            <w:pPr>
              <w:pStyle w:val="TableText"/>
              <w:jc w:val="right"/>
              <w:rPr>
                <w:rFonts w:eastAsiaTheme="minorEastAsia"/>
                <w:color w:val="FFFFFF" w:themeColor="background1"/>
                <w:szCs w:val="16"/>
              </w:rPr>
            </w:pPr>
          </w:p>
        </w:tc>
      </w:tr>
      <w:tr w:rsidR="008F3328" w:rsidRPr="00DE108C" w14:paraId="04EAAD3C" w14:textId="77777777" w:rsidTr="00245EE3">
        <w:tc>
          <w:tcPr>
            <w:tcW w:w="3172" w:type="pct"/>
            <w:gridSpan w:val="2"/>
          </w:tcPr>
          <w:p w14:paraId="5C9B5057" w14:textId="77777777" w:rsidR="008F3328" w:rsidRPr="00DE108C" w:rsidRDefault="008F3328" w:rsidP="008F3328">
            <w:pPr>
              <w:pStyle w:val="TableText"/>
              <w:rPr>
                <w:rFonts w:eastAsiaTheme="minorEastAsia"/>
                <w:szCs w:val="16"/>
              </w:rPr>
            </w:pPr>
            <w:r w:rsidRPr="00DE108C">
              <w:rPr>
                <w:rFonts w:eastAsiaTheme="minorEastAsia"/>
                <w:szCs w:val="16"/>
              </w:rPr>
              <w:t>Determination</w:t>
            </w:r>
          </w:p>
        </w:tc>
        <w:tc>
          <w:tcPr>
            <w:tcW w:w="610" w:type="pct"/>
            <w:vAlign w:val="center"/>
          </w:tcPr>
          <w:p w14:paraId="4D65F398" w14:textId="77777777" w:rsidR="008F3328" w:rsidRPr="00DE108C" w:rsidRDefault="008F3328" w:rsidP="008F3328">
            <w:pPr>
              <w:pStyle w:val="TableText"/>
              <w:jc w:val="right"/>
              <w:rPr>
                <w:rFonts w:eastAsiaTheme="minorEastAsia"/>
                <w:szCs w:val="16"/>
              </w:rPr>
            </w:pPr>
            <w:r w:rsidRPr="2D961858">
              <w:rPr>
                <w:rFonts w:eastAsiaTheme="minorEastAsia" w:cstheme="minorBidi"/>
              </w:rPr>
              <w:t xml:space="preserve"> 467.4 </w:t>
            </w:r>
          </w:p>
        </w:tc>
        <w:tc>
          <w:tcPr>
            <w:tcW w:w="609" w:type="pct"/>
            <w:vAlign w:val="center"/>
          </w:tcPr>
          <w:p w14:paraId="5B3EEDD3" w14:textId="77777777" w:rsidR="008F3328" w:rsidRPr="00DE108C" w:rsidRDefault="008F3328" w:rsidP="008F3328">
            <w:pPr>
              <w:pStyle w:val="TableText"/>
              <w:jc w:val="right"/>
              <w:rPr>
                <w:rFonts w:eastAsiaTheme="minorEastAsia" w:cs="Arial"/>
                <w:color w:val="000000"/>
                <w:szCs w:val="16"/>
              </w:rPr>
            </w:pPr>
            <w:r w:rsidRPr="2D961858">
              <w:rPr>
                <w:rFonts w:eastAsiaTheme="minorEastAsia" w:cstheme="minorBidi"/>
              </w:rPr>
              <w:t xml:space="preserve"> 285.1 </w:t>
            </w:r>
          </w:p>
        </w:tc>
        <w:tc>
          <w:tcPr>
            <w:tcW w:w="609" w:type="pct"/>
            <w:vAlign w:val="center"/>
          </w:tcPr>
          <w:p w14:paraId="1836AF2A" w14:textId="5B18216B" w:rsidR="008F3328" w:rsidRPr="00DE108C" w:rsidRDefault="008F3328" w:rsidP="008F3328">
            <w:pPr>
              <w:pStyle w:val="TableText"/>
              <w:jc w:val="right"/>
              <w:rPr>
                <w:rFonts w:eastAsiaTheme="minorEastAsia" w:cs="Arial"/>
                <w:color w:val="000000"/>
                <w:szCs w:val="16"/>
              </w:rPr>
            </w:pPr>
            <w:r w:rsidRPr="2D961858">
              <w:rPr>
                <w:rFonts w:eastAsiaTheme="minorEastAsia" w:cstheme="minorBidi"/>
              </w:rPr>
              <w:t xml:space="preserve"> 182.3 </w:t>
            </w:r>
          </w:p>
        </w:tc>
      </w:tr>
      <w:tr w:rsidR="008F3328" w:rsidRPr="00DE108C" w14:paraId="41ECDAB7" w14:textId="77777777" w:rsidTr="00245EE3">
        <w:tc>
          <w:tcPr>
            <w:tcW w:w="3172" w:type="pct"/>
            <w:gridSpan w:val="2"/>
          </w:tcPr>
          <w:p w14:paraId="3A049B82" w14:textId="77777777" w:rsidR="008F3328" w:rsidRPr="00DE108C" w:rsidRDefault="008F3328" w:rsidP="008F3328">
            <w:pPr>
              <w:pStyle w:val="TableText"/>
              <w:rPr>
                <w:rFonts w:eastAsiaTheme="minorEastAsia"/>
                <w:szCs w:val="16"/>
              </w:rPr>
            </w:pPr>
            <w:r w:rsidRPr="00DE108C">
              <w:rPr>
                <w:rFonts w:eastAsiaTheme="minorEastAsia"/>
                <w:szCs w:val="16"/>
              </w:rPr>
              <w:t>Difference</w:t>
            </w:r>
          </w:p>
        </w:tc>
        <w:tc>
          <w:tcPr>
            <w:tcW w:w="610" w:type="pct"/>
            <w:vAlign w:val="center"/>
          </w:tcPr>
          <w:p w14:paraId="5DCE935B" w14:textId="35B48171" w:rsidR="008F3328" w:rsidRPr="00DE108C" w:rsidRDefault="008F3328" w:rsidP="008F3328">
            <w:pPr>
              <w:pStyle w:val="TableText"/>
              <w:jc w:val="right"/>
              <w:rPr>
                <w:rFonts w:eastAsiaTheme="minorEastAsia"/>
                <w:szCs w:val="16"/>
              </w:rPr>
            </w:pPr>
            <w:r w:rsidRPr="2D961858">
              <w:rPr>
                <w:rFonts w:eastAsiaTheme="minorEastAsia" w:cstheme="minorBidi"/>
              </w:rPr>
              <w:t xml:space="preserve"> 51.5 </w:t>
            </w:r>
          </w:p>
        </w:tc>
        <w:tc>
          <w:tcPr>
            <w:tcW w:w="609" w:type="pct"/>
            <w:vAlign w:val="center"/>
          </w:tcPr>
          <w:p w14:paraId="58F7EEB0" w14:textId="0D4531E7" w:rsidR="008F3328" w:rsidRPr="00DE108C" w:rsidRDefault="008F3328" w:rsidP="008F3328">
            <w:pPr>
              <w:pStyle w:val="TableText"/>
              <w:jc w:val="right"/>
              <w:rPr>
                <w:rFonts w:eastAsiaTheme="minorEastAsia" w:cs="Arial"/>
                <w:color w:val="000000"/>
                <w:szCs w:val="16"/>
              </w:rPr>
            </w:pPr>
            <w:r w:rsidRPr="2D961858">
              <w:rPr>
                <w:rFonts w:eastAsiaTheme="minorEastAsia" w:cstheme="minorBidi"/>
              </w:rPr>
              <w:t xml:space="preserve"> 51.8 </w:t>
            </w:r>
          </w:p>
        </w:tc>
        <w:tc>
          <w:tcPr>
            <w:tcW w:w="609" w:type="pct"/>
            <w:vAlign w:val="center"/>
          </w:tcPr>
          <w:p w14:paraId="3A8CAD9B" w14:textId="0EC1F22A" w:rsidR="008F3328" w:rsidRPr="00DE108C" w:rsidRDefault="008F3328" w:rsidP="008F3328">
            <w:pPr>
              <w:pStyle w:val="TableText"/>
              <w:jc w:val="right"/>
              <w:rPr>
                <w:rFonts w:eastAsiaTheme="minorEastAsia" w:cs="Arial"/>
                <w:color w:val="000000"/>
                <w:szCs w:val="16"/>
              </w:rPr>
            </w:pPr>
            <w:r w:rsidRPr="2D961858">
              <w:rPr>
                <w:rFonts w:eastAsiaTheme="minorEastAsia" w:cstheme="minorBidi"/>
              </w:rPr>
              <w:t>-0.3</w:t>
            </w:r>
          </w:p>
        </w:tc>
      </w:tr>
      <w:tr w:rsidR="008F3328" w:rsidRPr="00DE108C" w14:paraId="276B1E34" w14:textId="77777777" w:rsidTr="00245EE3">
        <w:tc>
          <w:tcPr>
            <w:tcW w:w="3172" w:type="pct"/>
            <w:gridSpan w:val="2"/>
          </w:tcPr>
          <w:p w14:paraId="368F7C4B" w14:textId="77777777" w:rsidR="008F3328" w:rsidRPr="00DE108C" w:rsidRDefault="008F3328" w:rsidP="008F3328">
            <w:pPr>
              <w:pStyle w:val="TableText"/>
              <w:rPr>
                <w:rFonts w:eastAsiaTheme="minorEastAsia"/>
                <w:szCs w:val="16"/>
              </w:rPr>
            </w:pPr>
            <w:r w:rsidRPr="00DE108C">
              <w:rPr>
                <w:rFonts w:eastAsiaTheme="minorEastAsia"/>
                <w:szCs w:val="16"/>
              </w:rPr>
              <w:t>%</w:t>
            </w:r>
          </w:p>
        </w:tc>
        <w:tc>
          <w:tcPr>
            <w:tcW w:w="610" w:type="pct"/>
            <w:vAlign w:val="center"/>
          </w:tcPr>
          <w:p w14:paraId="39A00C9B" w14:textId="77777777" w:rsidR="008F3328" w:rsidRPr="00DE108C" w:rsidRDefault="008F3328" w:rsidP="008F3328">
            <w:pPr>
              <w:pStyle w:val="TableText"/>
              <w:jc w:val="right"/>
              <w:rPr>
                <w:rFonts w:eastAsiaTheme="minorEastAsia" w:cs="Arial"/>
                <w:color w:val="000000"/>
                <w:szCs w:val="16"/>
              </w:rPr>
            </w:pPr>
            <w:r w:rsidRPr="2D961858">
              <w:rPr>
                <w:rFonts w:eastAsiaTheme="minorEastAsia" w:cstheme="minorBidi"/>
              </w:rPr>
              <w:t>11%</w:t>
            </w:r>
          </w:p>
        </w:tc>
        <w:tc>
          <w:tcPr>
            <w:tcW w:w="609" w:type="pct"/>
            <w:vAlign w:val="center"/>
          </w:tcPr>
          <w:p w14:paraId="4C107B76" w14:textId="77777777" w:rsidR="008F3328" w:rsidRPr="00DE108C" w:rsidRDefault="008F3328" w:rsidP="008F3328">
            <w:pPr>
              <w:pStyle w:val="TableText"/>
              <w:jc w:val="right"/>
              <w:rPr>
                <w:rFonts w:eastAsiaTheme="minorEastAsia" w:cs="Arial"/>
                <w:color w:val="000000"/>
                <w:szCs w:val="16"/>
              </w:rPr>
            </w:pPr>
            <w:r w:rsidRPr="2D961858">
              <w:rPr>
                <w:rFonts w:eastAsiaTheme="minorEastAsia" w:cstheme="minorBidi"/>
              </w:rPr>
              <w:t>18%</w:t>
            </w:r>
          </w:p>
        </w:tc>
        <w:tc>
          <w:tcPr>
            <w:tcW w:w="609" w:type="pct"/>
            <w:vAlign w:val="center"/>
          </w:tcPr>
          <w:p w14:paraId="2F5D3FF3" w14:textId="77777777" w:rsidR="008F3328" w:rsidRPr="00DE108C" w:rsidRDefault="008F3328" w:rsidP="008F3328">
            <w:pPr>
              <w:pStyle w:val="TableText"/>
              <w:jc w:val="right"/>
              <w:rPr>
                <w:rFonts w:eastAsiaTheme="minorEastAsia" w:cs="Arial"/>
                <w:color w:val="000000"/>
                <w:szCs w:val="16"/>
              </w:rPr>
            </w:pPr>
            <w:r w:rsidRPr="2D961858">
              <w:rPr>
                <w:rFonts w:eastAsiaTheme="minorEastAsia" w:cstheme="minorBidi"/>
                <w:color w:val="000000"/>
              </w:rPr>
              <w:t>-0.2%</w:t>
            </w:r>
          </w:p>
        </w:tc>
      </w:tr>
    </w:tbl>
    <w:p w14:paraId="53726AF6" w14:textId="77777777" w:rsidR="00046BD5" w:rsidRPr="00DE108C" w:rsidRDefault="00046BD5" w:rsidP="00ED094E">
      <w:pPr>
        <w:rPr>
          <w:noProof/>
        </w:rPr>
        <w:sectPr w:rsidR="00046BD5" w:rsidRPr="00DE108C" w:rsidSect="00046BD5">
          <w:pgSz w:w="16838" w:h="11906" w:orient="landscape"/>
          <w:pgMar w:top="1440" w:right="1440" w:bottom="1440" w:left="1440" w:header="708" w:footer="708" w:gutter="0"/>
          <w:cols w:space="708"/>
          <w:docGrid w:linePitch="360"/>
        </w:sectPr>
      </w:pPr>
      <w:bookmarkStart w:id="646" w:name="_Toc196745248"/>
    </w:p>
    <w:p w14:paraId="677E3070" w14:textId="77777777" w:rsidR="00046BD5" w:rsidRPr="00DE108C" w:rsidRDefault="00046BD5" w:rsidP="00ED094E">
      <w:pPr>
        <w:pStyle w:val="Heading3"/>
        <w:rPr>
          <w:noProof/>
        </w:rPr>
      </w:pPr>
      <w:r w:rsidRPr="00DE108C">
        <w:rPr>
          <w:noProof/>
        </w:rPr>
        <w:lastRenderedPageBreak/>
        <w:t>7.2.3 Removing non-recurrent expenditure</w:t>
      </w:r>
      <w:bookmarkEnd w:id="646"/>
    </w:p>
    <w:p w14:paraId="6F15270E" w14:textId="10CDCB82" w:rsidR="00046BD5" w:rsidRPr="00DE108C" w:rsidRDefault="00046BD5" w:rsidP="00ED094E">
      <w:r>
        <w:t>We have identified the non-recurring expenditure by a detail</w:t>
      </w:r>
      <w:r w:rsidR="46ABE9FE">
        <w:t>ed</w:t>
      </w:r>
      <w:r>
        <w:t xml:space="preserve"> bottom-up assessment of our baseline opex. Our adjustments to our baseline opex are:</w:t>
      </w:r>
    </w:p>
    <w:p w14:paraId="19883348" w14:textId="0D9D7A16" w:rsidR="00046BD5" w:rsidRPr="00DE108C" w:rsidRDefault="00046BD5" w:rsidP="00DF2168">
      <w:pPr>
        <w:pStyle w:val="ListBullet"/>
      </w:pPr>
      <w:r w:rsidRPr="00DE108C">
        <w:rPr>
          <w:b/>
        </w:rPr>
        <w:t>Development services (backlog) non-ongoing uplift:</w:t>
      </w:r>
      <w:r w:rsidRPr="00DE108C">
        <w:t xml:space="preserve"> During 2023-24 and 2024-25, significant operating expense was incurred to eliminate the backlog of development services applications that built up over the COVID-19 pandemic. Non-recurrent expenditure has been identified as predominately legal and additional contractor costs of $3.</w:t>
      </w:r>
      <w:r>
        <w:t>9</w:t>
      </w:r>
      <w:r w:rsidR="30002B4D">
        <w:t xml:space="preserve"> </w:t>
      </w:r>
      <w:r>
        <w:t>m</w:t>
      </w:r>
      <w:r w:rsidR="30002B4D">
        <w:t>illion</w:t>
      </w:r>
      <w:r w:rsidRPr="00DE108C">
        <w:t xml:space="preserve"> and has been removed from the normally recurrent base year. </w:t>
      </w:r>
    </w:p>
    <w:p w14:paraId="192419EA" w14:textId="36A35B2E" w:rsidR="00046BD5" w:rsidRPr="00DE108C" w:rsidRDefault="00046BD5" w:rsidP="00DF2168">
      <w:pPr>
        <w:pStyle w:val="ListBullet"/>
      </w:pPr>
      <w:r w:rsidRPr="00DE108C">
        <w:rPr>
          <w:b/>
        </w:rPr>
        <w:t>Labour base year adjustments:</w:t>
      </w:r>
      <w:r w:rsidRPr="00DE108C">
        <w:t xml:space="preserve"> During 2024-25, there was additional spend on contractors and a </w:t>
      </w:r>
      <w:r w:rsidR="005E3650">
        <w:t>‘</w:t>
      </w:r>
      <w:r w:rsidRPr="00DE108C">
        <w:t xml:space="preserve">patience </w:t>
      </w:r>
      <w:r w:rsidR="005E3650">
        <w:t>in</w:t>
      </w:r>
      <w:r w:rsidRPr="00DF2168">
        <w:t xml:space="preserve"> bargaining</w:t>
      </w:r>
      <w:r w:rsidR="00A163B7">
        <w:t>’</w:t>
      </w:r>
      <w:r w:rsidRPr="00DE108C">
        <w:t xml:space="preserve"> payment made to staff due to the delay in the finalisation of the </w:t>
      </w:r>
      <w:r w:rsidR="00A163B7">
        <w:t>E</w:t>
      </w:r>
      <w:r w:rsidRPr="00DF2168">
        <w:t xml:space="preserve">nterprise </w:t>
      </w:r>
      <w:r w:rsidR="00A163B7">
        <w:t>A</w:t>
      </w:r>
      <w:r w:rsidRPr="00DF2168">
        <w:t>greement.</w:t>
      </w:r>
      <w:r w:rsidRPr="00DE108C">
        <w:t xml:space="preserve"> This has been excluded as it is non-recurrent. </w:t>
      </w:r>
    </w:p>
    <w:p w14:paraId="1902E7CC" w14:textId="77777777" w:rsidR="00046BD5" w:rsidRPr="00DE108C" w:rsidRDefault="00046BD5" w:rsidP="00DF2168">
      <w:pPr>
        <w:pStyle w:val="ListBullet"/>
      </w:pPr>
      <w:r w:rsidRPr="00DE108C">
        <w:rPr>
          <w:b/>
        </w:rPr>
        <w:t>Superannuation guarantee:</w:t>
      </w:r>
      <w:r w:rsidRPr="00DE108C">
        <w:t xml:space="preserve"> The Australian Government superannuation guarantee increased to 12.0 per cent in 2025-26 and the base year has been adjusted to reflect this normally recurrent, higher superannuation contribution expense for Melbourne Water. </w:t>
      </w:r>
    </w:p>
    <w:p w14:paraId="1F834305" w14:textId="2104C164" w:rsidR="00046BD5" w:rsidRPr="00DE108C" w:rsidRDefault="00046BD5" w:rsidP="00DF2168">
      <w:pPr>
        <w:pStyle w:val="ListBullet"/>
        <w:rPr>
          <w:b/>
        </w:rPr>
      </w:pPr>
      <w:r w:rsidRPr="00DE108C">
        <w:rPr>
          <w:b/>
        </w:rPr>
        <w:t>Opex projects proposed to be capex:</w:t>
      </w:r>
    </w:p>
    <w:p w14:paraId="09AEDC5A" w14:textId="2D8BEC63" w:rsidR="00046BD5" w:rsidRPr="00DE108C" w:rsidRDefault="00046BD5" w:rsidP="00B720A0">
      <w:pPr>
        <w:pStyle w:val="ListBullet2"/>
      </w:pPr>
      <w:r w:rsidRPr="00DE108C">
        <w:rPr>
          <w:b/>
          <w:bCs/>
        </w:rPr>
        <w:t xml:space="preserve">Investment in </w:t>
      </w:r>
      <w:r w:rsidR="00494535">
        <w:rPr>
          <w:b/>
          <w:bCs/>
        </w:rPr>
        <w:t>development of new large-scale water supplies</w:t>
      </w:r>
      <w:r w:rsidRPr="00DE108C">
        <w:t xml:space="preserve">: We are proposing </w:t>
      </w:r>
      <w:r w:rsidR="52AA5DC0" w:rsidRPr="00401F9E">
        <w:t xml:space="preserve">capex </w:t>
      </w:r>
      <w:r w:rsidRPr="00DE108C">
        <w:t xml:space="preserve">over the 2026-31 regulatory period for development of a new water </w:t>
      </w:r>
      <w:r w:rsidR="00171753">
        <w:t>supply</w:t>
      </w:r>
      <w:r w:rsidRPr="00DE108C">
        <w:t xml:space="preserve">. This project commenced in 2024-25 and we incurred $2.8 million in operating costs. We have removed these costs from the base year opex and incorporated it into historical capex. The investment we made this year will deliver significant benefits to the Greater Melbourne community across many decades. </w:t>
      </w:r>
    </w:p>
    <w:p w14:paraId="144831C1" w14:textId="20183D9E" w:rsidR="00046BD5" w:rsidRPr="00DE108C" w:rsidRDefault="00046BD5" w:rsidP="00B720A0">
      <w:pPr>
        <w:pStyle w:val="ListBullet2"/>
        <w:rPr>
          <w:sz w:val="18"/>
          <w:szCs w:val="18"/>
          <w:vertAlign w:val="superscript"/>
        </w:rPr>
      </w:pPr>
      <w:r w:rsidRPr="00DE108C">
        <w:rPr>
          <w:b/>
          <w:bCs/>
        </w:rPr>
        <w:t>IT projects</w:t>
      </w:r>
      <w:r w:rsidRPr="00DE108C">
        <w:t>: Due to changes in the accounting treatment</w:t>
      </w:r>
      <w:r w:rsidRPr="00DE108C">
        <w:rPr>
          <w:rStyle w:val="FootnoteReference"/>
          <w:rFonts w:eastAsiaTheme="minorEastAsia"/>
        </w:rPr>
        <w:footnoteReference w:id="21"/>
      </w:r>
      <w:r w:rsidRPr="00DE108C">
        <w:t xml:space="preserve"> associated with IT projects, we are proposing to capitalise $9.8 million </w:t>
      </w:r>
      <w:r w:rsidR="006A6239">
        <w:t xml:space="preserve">in </w:t>
      </w:r>
      <w:r w:rsidRPr="00DE108C">
        <w:t>project</w:t>
      </w:r>
      <w:r w:rsidR="006A6239">
        <w:t xml:space="preserve"> </w:t>
      </w:r>
      <w:r w:rsidRPr="00DE108C">
        <w:t xml:space="preserve">costs completed under a SaaS arrangement. This would see the inclusion of the development costs associated with SaaS projects rolled into the regulatory asset base as capex, and ongoing licence fees treated as opex. This is consistent with the Regulatory Accounting Code that states </w:t>
      </w:r>
      <w:r w:rsidR="005C54D6">
        <w:t>o</w:t>
      </w:r>
      <w:r w:rsidRPr="00DE108C">
        <w:t>perating costs means those costs which relate to the day-to-day operations of the water business.</w:t>
      </w:r>
      <w:r w:rsidRPr="00DE108C">
        <w:rPr>
          <w:rStyle w:val="FootnoteReference"/>
          <w:rFonts w:eastAsiaTheme="minorEastAsia"/>
          <w:sz w:val="18"/>
          <w:szCs w:val="18"/>
        </w:rPr>
        <w:footnoteReference w:id="22"/>
      </w:r>
      <w:r w:rsidRPr="00DE108C">
        <w:rPr>
          <w:sz w:val="18"/>
          <w:szCs w:val="18"/>
          <w:vertAlign w:val="superscript"/>
        </w:rPr>
        <w:t xml:space="preserve"> </w:t>
      </w:r>
    </w:p>
    <w:p w14:paraId="30A97069" w14:textId="77777777" w:rsidR="00046BD5" w:rsidRPr="00DE108C" w:rsidRDefault="00046BD5" w:rsidP="00326B02">
      <w:pPr>
        <w:pStyle w:val="ListBullet"/>
        <w:rPr>
          <w:szCs w:val="22"/>
        </w:rPr>
      </w:pPr>
      <w:r w:rsidRPr="00DE108C">
        <w:rPr>
          <w:b/>
          <w:szCs w:val="22"/>
        </w:rPr>
        <w:t>Electricity benchmark:</w:t>
      </w:r>
      <w:r w:rsidRPr="00DE108C">
        <w:rPr>
          <w:szCs w:val="22"/>
        </w:rPr>
        <w:t xml:space="preserve"> In PS21, Melbourne Water’s opex was based on a benchmark energy rate rather than its actual electricity costs, consistent with previous determinations. The adjustment reflects the difference between actual electricity costs and the benchmark electricity rates. </w:t>
      </w:r>
    </w:p>
    <w:p w14:paraId="6F4A47EE" w14:textId="77777777" w:rsidR="00046BD5" w:rsidRPr="00DE108C" w:rsidRDefault="00046BD5" w:rsidP="00326B02">
      <w:pPr>
        <w:pStyle w:val="ListBullet"/>
        <w:rPr>
          <w:szCs w:val="22"/>
        </w:rPr>
      </w:pPr>
      <w:r w:rsidRPr="00DE108C">
        <w:rPr>
          <w:b/>
          <w:szCs w:val="22"/>
        </w:rPr>
        <w:lastRenderedPageBreak/>
        <w:t>Carbon offset purchases:</w:t>
      </w:r>
      <w:r w:rsidRPr="00DE108C">
        <w:rPr>
          <w:szCs w:val="22"/>
        </w:rPr>
        <w:t xml:space="preserve"> In 2024-25, we purchased significantly more carbon offsets than we typically would. Our carbon offset purchases will form part of our overall energy strategy incorporated into PS26 and will therefore have been removed from the base year. This adjustment reflects Melbourne Water’s normally recurrent carbon offset expense under the </w:t>
      </w:r>
      <w:r w:rsidRPr="00DF2168">
        <w:t>Statement of Obligations (Emissions Reduction)</w:t>
      </w:r>
      <w:r w:rsidRPr="00DE108C">
        <w:rPr>
          <w:szCs w:val="22"/>
        </w:rPr>
        <w:t>.</w:t>
      </w:r>
    </w:p>
    <w:p w14:paraId="0FB662DC" w14:textId="77777777" w:rsidR="00046BD5" w:rsidRPr="00DE108C" w:rsidRDefault="00046BD5" w:rsidP="00326B02">
      <w:pPr>
        <w:pStyle w:val="ListBullet"/>
        <w:rPr>
          <w:szCs w:val="22"/>
        </w:rPr>
      </w:pPr>
      <w:r w:rsidRPr="00DE108C">
        <w:rPr>
          <w:b/>
          <w:szCs w:val="22"/>
        </w:rPr>
        <w:t>New obligations:</w:t>
      </w:r>
      <w:r w:rsidRPr="00DE108C">
        <w:rPr>
          <w:szCs w:val="22"/>
        </w:rPr>
        <w:t xml:space="preserve"> From 1 July 2026, Melbourne Water will no longer receive grants to facilitate and manage the </w:t>
      </w:r>
      <w:r w:rsidRPr="00A94B59">
        <w:rPr>
          <w:i/>
          <w:iCs/>
        </w:rPr>
        <w:t>Burndap Birrarung burndap umarkoo</w:t>
      </w:r>
      <w:r w:rsidRPr="00DE108C">
        <w:rPr>
          <w:szCs w:val="22"/>
        </w:rPr>
        <w:t xml:space="preserve"> (previously referred to as the Yarra Strategic Plan). As this is a normally recurrent expense, the 2024-25 base year includes a positive adjustment to reflect the grant contribution received in that year. </w:t>
      </w:r>
    </w:p>
    <w:p w14:paraId="62FB4CE3" w14:textId="77777777" w:rsidR="00046BD5" w:rsidRPr="00DE108C" w:rsidRDefault="00046BD5" w:rsidP="00326B02">
      <w:pPr>
        <w:pStyle w:val="ListBullet"/>
        <w:rPr>
          <w:b/>
          <w:szCs w:val="22"/>
        </w:rPr>
      </w:pPr>
      <w:r w:rsidRPr="00DE108C">
        <w:rPr>
          <w:b/>
          <w:szCs w:val="22"/>
        </w:rPr>
        <w:t>One-off projects and accounting adjustments:</w:t>
      </w:r>
    </w:p>
    <w:p w14:paraId="5DC19ECB" w14:textId="7C41EF10" w:rsidR="00046BD5" w:rsidRPr="00DE108C" w:rsidRDefault="00046BD5" w:rsidP="00DF2168">
      <w:pPr>
        <w:pStyle w:val="ListBullet2"/>
      </w:pPr>
      <w:r w:rsidRPr="1AE04F93">
        <w:rPr>
          <w:b/>
        </w:rPr>
        <w:t xml:space="preserve">Price </w:t>
      </w:r>
      <w:r w:rsidR="03CF19EF" w:rsidRPr="192F8ECF">
        <w:rPr>
          <w:b/>
          <w:bCs/>
        </w:rPr>
        <w:t>S</w:t>
      </w:r>
      <w:r w:rsidRPr="192F8ECF">
        <w:rPr>
          <w:b/>
          <w:bCs/>
        </w:rPr>
        <w:t>ubmission</w:t>
      </w:r>
      <w:r w:rsidRPr="1AE04F93">
        <w:rPr>
          <w:b/>
        </w:rPr>
        <w:t>:</w:t>
      </w:r>
      <w:r>
        <w:t xml:space="preserve"> We have undertaken a significant amount of work both internally and externally to complete PS26. We are proposing to embed the regulatory practices into Business as Usual, including ongoing engagement. This work will be delivered through efficiencies in the business. </w:t>
      </w:r>
    </w:p>
    <w:p w14:paraId="67F5B506" w14:textId="7E5356DE" w:rsidR="00046BD5" w:rsidRPr="00DE108C" w:rsidRDefault="00046BD5" w:rsidP="00DF2168">
      <w:pPr>
        <w:pStyle w:val="ListBullet2"/>
      </w:pPr>
      <w:r w:rsidRPr="1AE04F93">
        <w:rPr>
          <w:b/>
        </w:rPr>
        <w:t>Finalisation of the Flood Review:</w:t>
      </w:r>
      <w:r>
        <w:t xml:space="preserve"> We finalised the Maribyrnong Flood Review at the start of 2024-25. This is a once off expense that we have removed from the baseline </w:t>
      </w:r>
      <w:r w:rsidR="517F4D38">
        <w:t>opex</w:t>
      </w:r>
      <w:r>
        <w:t xml:space="preserve">. </w:t>
      </w:r>
    </w:p>
    <w:p w14:paraId="582E9ADE" w14:textId="77777777" w:rsidR="00046BD5" w:rsidRPr="00DE108C" w:rsidRDefault="00046BD5" w:rsidP="00DF2168">
      <w:pPr>
        <w:pStyle w:val="ListBullet2"/>
      </w:pPr>
      <w:r w:rsidRPr="1AE04F93">
        <w:rPr>
          <w:b/>
        </w:rPr>
        <w:t>Finalisation of COVID-19 working arrangements:</w:t>
      </w:r>
      <w:r>
        <w:t xml:space="preserve"> A small reduction due to suspension of car-parking for staff with return to work. </w:t>
      </w:r>
    </w:p>
    <w:p w14:paraId="0EF821E0" w14:textId="77777777" w:rsidR="00046BD5" w:rsidRPr="00DE108C" w:rsidRDefault="00046BD5" w:rsidP="00DF2168">
      <w:pPr>
        <w:pStyle w:val="ListBullet2"/>
      </w:pPr>
      <w:r w:rsidRPr="1AE04F93">
        <w:rPr>
          <w:b/>
        </w:rPr>
        <w:t>Accounting adjustments:</w:t>
      </w:r>
      <w:r>
        <w:t xml:space="preserve"> The 2024-25 normally recurrent year has been adjusted downwards to reflect the write-offs and timing of invoicing for the Environmental Contribution Levy. </w:t>
      </w:r>
    </w:p>
    <w:p w14:paraId="60383F14" w14:textId="5E386E65" w:rsidR="00046BD5" w:rsidRPr="00DE108C" w:rsidRDefault="00046BD5" w:rsidP="00ED094E">
      <w:pPr>
        <w:pStyle w:val="Heading3"/>
      </w:pPr>
      <w:bookmarkStart w:id="647" w:name="_Toc196745249"/>
      <w:r w:rsidRPr="00DE108C">
        <w:t xml:space="preserve">7.2.4 Reconciliation to controllable </w:t>
      </w:r>
      <w:r w:rsidR="33003820">
        <w:t>opex</w:t>
      </w:r>
      <w:r w:rsidRPr="00DE108C">
        <w:t xml:space="preserve"> </w:t>
      </w:r>
      <w:bookmarkEnd w:id="647"/>
      <w:r w:rsidRPr="00DE108C">
        <w:t>allowance</w:t>
      </w:r>
    </w:p>
    <w:p w14:paraId="68D8BEA6" w14:textId="35EFFA53" w:rsidR="00046BD5" w:rsidRPr="00DE108C" w:rsidRDefault="00046BD5">
      <w:pPr>
        <w:pStyle w:val="BodyText"/>
      </w:pPr>
      <w:r w:rsidRPr="00DE108C">
        <w:t xml:space="preserve">In the 2021 Determination, the benchmark controllable </w:t>
      </w:r>
      <w:r w:rsidR="6831D375">
        <w:t>opex</w:t>
      </w:r>
      <w:r w:rsidRPr="00DE108C">
        <w:t xml:space="preserve"> in prices for 2024-25 is $467 million. The proposed controllable baseline expenditure for 2024-25 is $519 million. This is </w:t>
      </w:r>
      <w:r w:rsidRPr="001164EE">
        <w:t>$51.</w:t>
      </w:r>
      <w:r w:rsidR="00F11687" w:rsidRPr="001164EE">
        <w:t>5</w:t>
      </w:r>
      <w:r w:rsidRPr="001164EE">
        <w:t> million</w:t>
      </w:r>
      <w:r w:rsidRPr="00DE108C">
        <w:t xml:space="preserve"> or 11 per cent difference. </w:t>
      </w:r>
    </w:p>
    <w:p w14:paraId="5E16E515" w14:textId="1E7FE040" w:rsidR="00046BD5" w:rsidRPr="00DE108C" w:rsidRDefault="00046BD5">
      <w:pPr>
        <w:pStyle w:val="BodyText"/>
        <w:sectPr w:rsidR="00046BD5" w:rsidRPr="00DE108C" w:rsidSect="00046BD5">
          <w:pgSz w:w="11906" w:h="16838"/>
          <w:pgMar w:top="1440" w:right="1440" w:bottom="1440" w:left="1440" w:header="708" w:footer="708" w:gutter="0"/>
          <w:cols w:space="708"/>
          <w:docGrid w:linePitch="360"/>
        </w:sectPr>
      </w:pPr>
      <w:r w:rsidRPr="00DE108C">
        <w:t xml:space="preserve">Table 7.2 shows the significant variations between the baseline year and determination benchmark. These explain three-quarters of the variation, with the remainder being smaller and immaterial items. The </w:t>
      </w:r>
      <w:r w:rsidR="008C12C8">
        <w:t>w</w:t>
      </w:r>
      <w:r w:rsidRPr="00DE108C">
        <w:t xml:space="preserve">ater and </w:t>
      </w:r>
      <w:r w:rsidR="008C12C8">
        <w:t>s</w:t>
      </w:r>
      <w:r w:rsidRPr="00DE108C">
        <w:t xml:space="preserve">ewerage variations include recycled water, and the </w:t>
      </w:r>
      <w:r w:rsidR="008C12C8">
        <w:t>w</w:t>
      </w:r>
      <w:r w:rsidRPr="00DE108C">
        <w:t xml:space="preserve">aterways and </w:t>
      </w:r>
      <w:r w:rsidR="008C12C8">
        <w:t>d</w:t>
      </w:r>
      <w:r w:rsidRPr="00DE108C">
        <w:t xml:space="preserve">rainage variation includes diversions. </w:t>
      </w:r>
    </w:p>
    <w:p w14:paraId="2F5F3D5B" w14:textId="15CDDFCB" w:rsidR="00046BD5" w:rsidRPr="00DE108C" w:rsidRDefault="00046BD5">
      <w:pPr>
        <w:pStyle w:val="Caption"/>
      </w:pPr>
      <w:bookmarkStart w:id="648" w:name="_Ref192510466"/>
      <w:bookmarkStart w:id="649" w:name="_Toc207893051"/>
      <w:bookmarkStart w:id="650" w:name="_Toc208490575"/>
      <w:bookmarkStart w:id="651" w:name="_Toc208490913"/>
      <w:bookmarkStart w:id="652" w:name="_Toc208911071"/>
      <w:bookmarkStart w:id="653" w:name="_Toc210051377"/>
      <w:r w:rsidRPr="001164EE">
        <w:lastRenderedPageBreak/>
        <w:t>Table 7.2</w:t>
      </w:r>
      <w:bookmarkEnd w:id="648"/>
      <w:r w:rsidRPr="001164EE">
        <w:t>: Variations to the baseline year benchmark</w:t>
      </w:r>
      <w:bookmarkEnd w:id="649"/>
      <w:bookmarkEnd w:id="650"/>
      <w:bookmarkEnd w:id="651"/>
      <w:bookmarkEnd w:id="652"/>
      <w:r w:rsidR="00E109E6">
        <w:t xml:space="preserve"> ($millions, real 2025-26)</w:t>
      </w:r>
      <w:bookmarkEnd w:id="653"/>
    </w:p>
    <w:tbl>
      <w:tblPr>
        <w:tblStyle w:val="MWTableGrid"/>
        <w:tblW w:w="5000" w:type="pct"/>
        <w:tblLayout w:type="fixed"/>
        <w:tblLook w:val="0420" w:firstRow="1" w:lastRow="0" w:firstColumn="0" w:lastColumn="0" w:noHBand="0" w:noVBand="1"/>
      </w:tblPr>
      <w:tblGrid>
        <w:gridCol w:w="1397"/>
        <w:gridCol w:w="1398"/>
        <w:gridCol w:w="6416"/>
        <w:gridCol w:w="1470"/>
        <w:gridCol w:w="1635"/>
        <w:gridCol w:w="1632"/>
      </w:tblGrid>
      <w:tr w:rsidR="00046BD5" w:rsidRPr="00DE108C" w14:paraId="05DD3565" w14:textId="77777777" w:rsidTr="0015154E">
        <w:trPr>
          <w:cnfStyle w:val="100000000000" w:firstRow="1" w:lastRow="0" w:firstColumn="0" w:lastColumn="0" w:oddVBand="0" w:evenVBand="0" w:oddHBand="0" w:evenHBand="0" w:firstRowFirstColumn="0" w:firstRowLastColumn="0" w:lastRowFirstColumn="0" w:lastRowLastColumn="0"/>
        </w:trPr>
        <w:tc>
          <w:tcPr>
            <w:tcW w:w="501" w:type="pct"/>
          </w:tcPr>
          <w:p w14:paraId="73C1A705" w14:textId="77777777" w:rsidR="00046BD5" w:rsidRPr="00DE108C" w:rsidRDefault="00046BD5">
            <w:pPr>
              <w:pStyle w:val="TableHeading"/>
              <w:rPr>
                <w:szCs w:val="16"/>
              </w:rPr>
            </w:pPr>
            <w:r w:rsidRPr="00DE108C">
              <w:rPr>
                <w:szCs w:val="16"/>
              </w:rPr>
              <w:t>Category</w:t>
            </w:r>
          </w:p>
        </w:tc>
        <w:tc>
          <w:tcPr>
            <w:tcW w:w="501" w:type="pct"/>
          </w:tcPr>
          <w:p w14:paraId="67315849" w14:textId="77777777" w:rsidR="00046BD5" w:rsidRPr="00DE108C" w:rsidRDefault="00046BD5">
            <w:pPr>
              <w:pStyle w:val="TableHeading"/>
              <w:rPr>
                <w:szCs w:val="16"/>
              </w:rPr>
            </w:pPr>
            <w:r w:rsidRPr="00DE108C">
              <w:rPr>
                <w:szCs w:val="16"/>
              </w:rPr>
              <w:t>Item</w:t>
            </w:r>
          </w:p>
        </w:tc>
        <w:tc>
          <w:tcPr>
            <w:tcW w:w="2300" w:type="pct"/>
          </w:tcPr>
          <w:p w14:paraId="6B14D0E4" w14:textId="77777777" w:rsidR="00046BD5" w:rsidRPr="00DE108C" w:rsidRDefault="00046BD5">
            <w:pPr>
              <w:pStyle w:val="TableHeading"/>
              <w:rPr>
                <w:szCs w:val="16"/>
              </w:rPr>
            </w:pPr>
            <w:r w:rsidRPr="00DE108C">
              <w:rPr>
                <w:szCs w:val="16"/>
              </w:rPr>
              <w:t>Description</w:t>
            </w:r>
          </w:p>
        </w:tc>
        <w:tc>
          <w:tcPr>
            <w:tcW w:w="527" w:type="pct"/>
          </w:tcPr>
          <w:p w14:paraId="189EBC02" w14:textId="77777777" w:rsidR="00046BD5" w:rsidRPr="00DE108C" w:rsidRDefault="00046BD5">
            <w:pPr>
              <w:pStyle w:val="TableHeading"/>
              <w:jc w:val="right"/>
              <w:rPr>
                <w:szCs w:val="16"/>
              </w:rPr>
            </w:pPr>
            <w:r w:rsidRPr="00DE108C">
              <w:rPr>
                <w:szCs w:val="16"/>
              </w:rPr>
              <w:t>Total</w:t>
            </w:r>
          </w:p>
        </w:tc>
        <w:tc>
          <w:tcPr>
            <w:tcW w:w="586" w:type="pct"/>
          </w:tcPr>
          <w:p w14:paraId="1C9F51E6" w14:textId="77777777" w:rsidR="00046BD5" w:rsidRPr="00DE108C" w:rsidRDefault="00046BD5">
            <w:pPr>
              <w:pStyle w:val="TableHeading"/>
              <w:jc w:val="right"/>
              <w:rPr>
                <w:szCs w:val="16"/>
              </w:rPr>
            </w:pPr>
            <w:r w:rsidRPr="00DE108C">
              <w:rPr>
                <w:szCs w:val="16"/>
              </w:rPr>
              <w:t>Water and Sewerage</w:t>
            </w:r>
          </w:p>
        </w:tc>
        <w:tc>
          <w:tcPr>
            <w:tcW w:w="586" w:type="pct"/>
          </w:tcPr>
          <w:p w14:paraId="2715AEBC" w14:textId="77777777" w:rsidR="00046BD5" w:rsidRPr="00DE108C" w:rsidRDefault="00046BD5">
            <w:pPr>
              <w:pStyle w:val="TableHeading"/>
              <w:jc w:val="right"/>
              <w:rPr>
                <w:szCs w:val="16"/>
              </w:rPr>
            </w:pPr>
            <w:r w:rsidRPr="00DE108C">
              <w:rPr>
                <w:szCs w:val="16"/>
              </w:rPr>
              <w:t xml:space="preserve">Waterways and Drainage </w:t>
            </w:r>
          </w:p>
        </w:tc>
      </w:tr>
      <w:tr w:rsidR="00982681" w:rsidRPr="00DE108C" w14:paraId="465496FB" w14:textId="77777777" w:rsidTr="0015154E">
        <w:tc>
          <w:tcPr>
            <w:tcW w:w="501" w:type="pct"/>
          </w:tcPr>
          <w:p w14:paraId="12562807" w14:textId="77777777" w:rsidR="00982681" w:rsidRPr="00DE108C" w:rsidRDefault="00982681" w:rsidP="00982681">
            <w:pPr>
              <w:pStyle w:val="TableText"/>
              <w:rPr>
                <w:szCs w:val="16"/>
              </w:rPr>
            </w:pPr>
            <w:r w:rsidRPr="00DE108C">
              <w:rPr>
                <w:szCs w:val="16"/>
              </w:rPr>
              <w:t>Maintenance</w:t>
            </w:r>
          </w:p>
        </w:tc>
        <w:tc>
          <w:tcPr>
            <w:tcW w:w="501" w:type="pct"/>
          </w:tcPr>
          <w:p w14:paraId="0E4A6133" w14:textId="77777777" w:rsidR="00982681" w:rsidRPr="00DE108C" w:rsidRDefault="00982681" w:rsidP="00982681">
            <w:pPr>
              <w:pStyle w:val="TableText"/>
              <w:rPr>
                <w:szCs w:val="16"/>
              </w:rPr>
            </w:pPr>
            <w:r w:rsidRPr="00DE108C">
              <w:rPr>
                <w:szCs w:val="16"/>
              </w:rPr>
              <w:t>Water - maintenance</w:t>
            </w:r>
          </w:p>
        </w:tc>
        <w:tc>
          <w:tcPr>
            <w:tcW w:w="2300" w:type="pct"/>
          </w:tcPr>
          <w:p w14:paraId="567F8E09" w14:textId="77777777" w:rsidR="00982681" w:rsidRPr="00DE108C" w:rsidRDefault="00982681" w:rsidP="00982681">
            <w:pPr>
              <w:pStyle w:val="TableText"/>
              <w:rPr>
                <w:szCs w:val="16"/>
              </w:rPr>
            </w:pPr>
            <w:r w:rsidRPr="00DE108C">
              <w:rPr>
                <w:szCs w:val="16"/>
              </w:rPr>
              <w:t xml:space="preserve">Higher maintenance expenditure has impacted our water service over the regulatory period with an observed higher opex in 2024-25 compared to the forecast used to set prices in PS21. </w:t>
            </w:r>
          </w:p>
          <w:p w14:paraId="7678C50F" w14:textId="08AFDFDF" w:rsidR="00982681" w:rsidRPr="00DE108C" w:rsidRDefault="00982681" w:rsidP="00982681">
            <w:pPr>
              <w:pStyle w:val="TableText"/>
              <w:rPr>
                <w:szCs w:val="16"/>
              </w:rPr>
            </w:pPr>
            <w:r w:rsidRPr="00DE108C">
              <w:rPr>
                <w:szCs w:val="16"/>
              </w:rPr>
              <w:t xml:space="preserve">Our water assets have had higher corrective maintenance over the last two years, driven by climatic conditions and ageing assets. In addition, increased security costs at our assets to ensure they are protected from unauthorised access. </w:t>
            </w:r>
          </w:p>
          <w:p w14:paraId="122CCFD5" w14:textId="77777777" w:rsidR="00982681" w:rsidRPr="00DE108C" w:rsidRDefault="00982681" w:rsidP="00982681">
            <w:pPr>
              <w:pStyle w:val="TableText"/>
              <w:rPr>
                <w:szCs w:val="16"/>
              </w:rPr>
            </w:pPr>
            <w:r w:rsidRPr="00DE108C">
              <w:rPr>
                <w:szCs w:val="16"/>
              </w:rPr>
              <w:t xml:space="preserve"> </w:t>
            </w:r>
          </w:p>
        </w:tc>
        <w:tc>
          <w:tcPr>
            <w:tcW w:w="527" w:type="pct"/>
          </w:tcPr>
          <w:p w14:paraId="5C2DC9C3" w14:textId="525E924E" w:rsidR="00982681" w:rsidRPr="00DE108C" w:rsidRDefault="00982681" w:rsidP="00982681">
            <w:pPr>
              <w:pStyle w:val="TableText"/>
              <w:jc w:val="right"/>
              <w:rPr>
                <w:b/>
                <w:bCs/>
                <w:szCs w:val="16"/>
              </w:rPr>
            </w:pPr>
            <w:r>
              <w:rPr>
                <w:rFonts w:ascii="Verdana" w:hAnsi="Verdana" w:cs="Arial"/>
                <w:b/>
                <w:bCs/>
                <w:color w:val="231F20"/>
                <w:szCs w:val="16"/>
              </w:rPr>
              <w:t xml:space="preserve"> 1.6 </w:t>
            </w:r>
          </w:p>
        </w:tc>
        <w:tc>
          <w:tcPr>
            <w:tcW w:w="586" w:type="pct"/>
          </w:tcPr>
          <w:p w14:paraId="63A21E32" w14:textId="027BDFEC" w:rsidR="00982681" w:rsidRPr="00DE108C" w:rsidRDefault="00982681" w:rsidP="00982681">
            <w:pPr>
              <w:pStyle w:val="TableText"/>
              <w:jc w:val="right"/>
              <w:rPr>
                <w:szCs w:val="16"/>
              </w:rPr>
            </w:pPr>
            <w:r>
              <w:rPr>
                <w:rFonts w:ascii="Verdana" w:hAnsi="Verdana" w:cs="Arial"/>
                <w:color w:val="231F20"/>
                <w:szCs w:val="16"/>
              </w:rPr>
              <w:t xml:space="preserve"> 1.6 </w:t>
            </w:r>
          </w:p>
        </w:tc>
        <w:tc>
          <w:tcPr>
            <w:tcW w:w="586" w:type="pct"/>
          </w:tcPr>
          <w:p w14:paraId="5D6D54A1" w14:textId="653875D3" w:rsidR="00982681" w:rsidRPr="00DE108C" w:rsidRDefault="00982681" w:rsidP="00982681">
            <w:pPr>
              <w:pStyle w:val="TableText"/>
              <w:jc w:val="right"/>
              <w:rPr>
                <w:szCs w:val="16"/>
              </w:rPr>
            </w:pPr>
            <w:r>
              <w:rPr>
                <w:rFonts w:ascii="Verdana" w:hAnsi="Verdana" w:cs="Arial"/>
                <w:color w:val="231F20"/>
                <w:szCs w:val="16"/>
              </w:rPr>
              <w:t xml:space="preserve"> - </w:t>
            </w:r>
          </w:p>
        </w:tc>
      </w:tr>
      <w:tr w:rsidR="00982681" w:rsidRPr="00DE108C" w14:paraId="267A8BF9" w14:textId="77777777" w:rsidTr="0015154E">
        <w:trPr>
          <w:cnfStyle w:val="000000010000" w:firstRow="0" w:lastRow="0" w:firstColumn="0" w:lastColumn="0" w:oddVBand="0" w:evenVBand="0" w:oddHBand="0" w:evenHBand="1" w:firstRowFirstColumn="0" w:firstRowLastColumn="0" w:lastRowFirstColumn="0" w:lastRowLastColumn="0"/>
        </w:trPr>
        <w:tc>
          <w:tcPr>
            <w:tcW w:w="501" w:type="pct"/>
          </w:tcPr>
          <w:p w14:paraId="3630E3A4" w14:textId="77777777" w:rsidR="00982681" w:rsidRPr="00DE108C" w:rsidRDefault="00982681" w:rsidP="00982681">
            <w:pPr>
              <w:pStyle w:val="TableText"/>
              <w:rPr>
                <w:szCs w:val="16"/>
              </w:rPr>
            </w:pPr>
            <w:r w:rsidRPr="00DE108C">
              <w:rPr>
                <w:szCs w:val="16"/>
              </w:rPr>
              <w:t>Materials</w:t>
            </w:r>
          </w:p>
        </w:tc>
        <w:tc>
          <w:tcPr>
            <w:tcW w:w="501" w:type="pct"/>
          </w:tcPr>
          <w:p w14:paraId="0C99D6DC" w14:textId="77777777" w:rsidR="00982681" w:rsidRPr="00DE108C" w:rsidRDefault="00982681" w:rsidP="00982681">
            <w:pPr>
              <w:pStyle w:val="TableText"/>
              <w:rPr>
                <w:szCs w:val="16"/>
              </w:rPr>
            </w:pPr>
            <w:r w:rsidRPr="00DE108C">
              <w:rPr>
                <w:szCs w:val="16"/>
              </w:rPr>
              <w:t>Water - chemicals</w:t>
            </w:r>
          </w:p>
        </w:tc>
        <w:tc>
          <w:tcPr>
            <w:tcW w:w="2300" w:type="pct"/>
          </w:tcPr>
          <w:p w14:paraId="04D465F4" w14:textId="77777777" w:rsidR="00982681" w:rsidRPr="00DE108C" w:rsidRDefault="00982681" w:rsidP="00982681">
            <w:pPr>
              <w:pStyle w:val="TableText"/>
              <w:rPr>
                <w:szCs w:val="16"/>
              </w:rPr>
            </w:pPr>
            <w:r w:rsidRPr="00DE108C">
              <w:rPr>
                <w:szCs w:val="16"/>
              </w:rPr>
              <w:t>Drinking water treatment costs have increased due to higher chemical costs. This is primarily driven by market changes in the supply of raw materials and highlighting existing supply chain issues, in addition to increased demand over the regulatory period. The higher demand has resulted in a greater volume of river water pumped and treated through Winneke Treatment Plant (note that the higher pumping costs have been captured in the electricity cost movements).</w:t>
            </w:r>
          </w:p>
          <w:p w14:paraId="635805AC" w14:textId="0F38354C" w:rsidR="00982681" w:rsidRPr="00DE108C" w:rsidRDefault="00982681" w:rsidP="00982681">
            <w:pPr>
              <w:pStyle w:val="TableText"/>
            </w:pPr>
            <w:r>
              <w:t>We have also experienced higher input prices for fluoride (which are expected to increase further) due to the closure of local processing facilities and, to a lesser extent</w:t>
            </w:r>
            <w:r w:rsidR="6607B2C9">
              <w:t>,</w:t>
            </w:r>
            <w:r>
              <w:t xml:space="preserve"> other chemicals used in front-end process water treatment, such as aluminium sulphate at Winneke Treatment Plant. Additionally, Melbourne Water has increased its chlorine set points across the system, in conjunction with the water corporations, to ensure there is greater chlorine residuals as the water enters the water corporation’s distribution system.</w:t>
            </w:r>
          </w:p>
          <w:p w14:paraId="42DE94FD" w14:textId="3BBBBEC6" w:rsidR="00982681" w:rsidRPr="00DE108C" w:rsidRDefault="00982681" w:rsidP="00982681">
            <w:pPr>
              <w:pStyle w:val="TableText"/>
            </w:pPr>
            <w:r>
              <w:t xml:space="preserve">As noted in Chapter 10 </w:t>
            </w:r>
            <w:r w:rsidR="6B62E8F5">
              <w:t>(</w:t>
            </w:r>
            <w:r>
              <w:t>Demand</w:t>
            </w:r>
            <w:r w:rsidR="0D9A7C5A">
              <w:t>)</w:t>
            </w:r>
            <w:r>
              <w:t>, demand is expected to remain strong over the PS26 period with forecast demands in 2026-27 greater than 2024-25, meaning these chemical costs will continue to be normally recurrent.</w:t>
            </w:r>
          </w:p>
        </w:tc>
        <w:tc>
          <w:tcPr>
            <w:tcW w:w="527" w:type="pct"/>
          </w:tcPr>
          <w:p w14:paraId="70069143" w14:textId="0AB19B93" w:rsidR="00982681" w:rsidRPr="00DE108C" w:rsidRDefault="00982681" w:rsidP="00982681">
            <w:pPr>
              <w:pStyle w:val="TableText"/>
              <w:jc w:val="right"/>
              <w:rPr>
                <w:b/>
                <w:bCs/>
                <w:szCs w:val="16"/>
              </w:rPr>
            </w:pPr>
            <w:r>
              <w:rPr>
                <w:rFonts w:ascii="Verdana" w:hAnsi="Verdana" w:cs="Arial"/>
                <w:b/>
                <w:bCs/>
                <w:color w:val="231F20"/>
                <w:szCs w:val="16"/>
              </w:rPr>
              <w:t xml:space="preserve"> 4.5 </w:t>
            </w:r>
          </w:p>
        </w:tc>
        <w:tc>
          <w:tcPr>
            <w:tcW w:w="586" w:type="pct"/>
          </w:tcPr>
          <w:p w14:paraId="46FFB1FF" w14:textId="46A3416C" w:rsidR="00982681" w:rsidRPr="00DE108C" w:rsidRDefault="00982681" w:rsidP="00982681">
            <w:pPr>
              <w:pStyle w:val="TableText"/>
              <w:jc w:val="right"/>
              <w:rPr>
                <w:szCs w:val="16"/>
              </w:rPr>
            </w:pPr>
            <w:r>
              <w:rPr>
                <w:rFonts w:ascii="Verdana" w:hAnsi="Verdana" w:cs="Arial"/>
                <w:color w:val="231F20"/>
                <w:szCs w:val="16"/>
              </w:rPr>
              <w:t xml:space="preserve"> 4.5 </w:t>
            </w:r>
          </w:p>
        </w:tc>
        <w:tc>
          <w:tcPr>
            <w:tcW w:w="586" w:type="pct"/>
          </w:tcPr>
          <w:p w14:paraId="5A5C6AD0" w14:textId="3ED82730" w:rsidR="00982681" w:rsidRPr="00DE108C" w:rsidRDefault="00982681" w:rsidP="00982681">
            <w:pPr>
              <w:pStyle w:val="TableText"/>
              <w:jc w:val="right"/>
              <w:rPr>
                <w:szCs w:val="16"/>
              </w:rPr>
            </w:pPr>
            <w:r>
              <w:rPr>
                <w:rFonts w:ascii="Verdana" w:hAnsi="Verdana" w:cs="Arial"/>
                <w:color w:val="231F20"/>
                <w:szCs w:val="16"/>
              </w:rPr>
              <w:t xml:space="preserve"> - </w:t>
            </w:r>
          </w:p>
        </w:tc>
      </w:tr>
      <w:tr w:rsidR="00982681" w:rsidRPr="00DE108C" w14:paraId="6702462A" w14:textId="77777777" w:rsidTr="0015154E">
        <w:tc>
          <w:tcPr>
            <w:tcW w:w="501" w:type="pct"/>
          </w:tcPr>
          <w:p w14:paraId="4658A433" w14:textId="77777777" w:rsidR="00982681" w:rsidRPr="00DE108C" w:rsidRDefault="00982681" w:rsidP="00982681">
            <w:pPr>
              <w:pStyle w:val="TableText"/>
              <w:rPr>
                <w:szCs w:val="16"/>
              </w:rPr>
            </w:pPr>
            <w:r w:rsidRPr="00DE108C">
              <w:rPr>
                <w:szCs w:val="16"/>
              </w:rPr>
              <w:lastRenderedPageBreak/>
              <w:t>Maintenance</w:t>
            </w:r>
          </w:p>
        </w:tc>
        <w:tc>
          <w:tcPr>
            <w:tcW w:w="501" w:type="pct"/>
          </w:tcPr>
          <w:p w14:paraId="51A02313" w14:textId="77777777" w:rsidR="00982681" w:rsidRPr="00DE108C" w:rsidRDefault="00982681" w:rsidP="00982681">
            <w:pPr>
              <w:pStyle w:val="TableText"/>
              <w:rPr>
                <w:szCs w:val="16"/>
              </w:rPr>
            </w:pPr>
            <w:r w:rsidRPr="00DE108C">
              <w:rPr>
                <w:szCs w:val="16"/>
              </w:rPr>
              <w:t>WWD uplift</w:t>
            </w:r>
          </w:p>
        </w:tc>
        <w:tc>
          <w:tcPr>
            <w:tcW w:w="2300" w:type="pct"/>
          </w:tcPr>
          <w:p w14:paraId="076E74FC" w14:textId="6A16F00D" w:rsidR="00982681" w:rsidRPr="00DE108C" w:rsidRDefault="00982681" w:rsidP="00982681">
            <w:pPr>
              <w:pStyle w:val="TableText"/>
            </w:pPr>
            <w:r>
              <w:t xml:space="preserve">As noted in the Chapter 2 </w:t>
            </w:r>
            <w:r w:rsidR="100EE075">
              <w:t>(</w:t>
            </w:r>
            <w:r>
              <w:t>Performance</w:t>
            </w:r>
            <w:r w:rsidR="2C299C19">
              <w:t>)</w:t>
            </w:r>
            <w:r>
              <w:t>, Melbourne Water has underspent its waterways and drainage uplift spend due to slower than anticipated delivery of the natural wetlands management program and complexities in delivering large</w:t>
            </w:r>
            <w:r w:rsidR="0E982106">
              <w:t>-</w:t>
            </w:r>
            <w:r>
              <w:t xml:space="preserve">scale stormwater harvesting. </w:t>
            </w:r>
          </w:p>
        </w:tc>
        <w:tc>
          <w:tcPr>
            <w:tcW w:w="527" w:type="pct"/>
          </w:tcPr>
          <w:p w14:paraId="338A9C4C" w14:textId="05643B27" w:rsidR="00982681" w:rsidRPr="00DE108C" w:rsidRDefault="00982681" w:rsidP="00982681">
            <w:pPr>
              <w:pStyle w:val="TableText"/>
              <w:jc w:val="right"/>
              <w:rPr>
                <w:b/>
                <w:bCs/>
                <w:szCs w:val="16"/>
              </w:rPr>
            </w:pPr>
            <w:r>
              <w:rPr>
                <w:rFonts w:ascii="Verdana" w:hAnsi="Verdana" w:cs="Arial"/>
                <w:b/>
                <w:bCs/>
                <w:color w:val="231F20"/>
                <w:szCs w:val="16"/>
              </w:rPr>
              <w:t>-1.3</w:t>
            </w:r>
          </w:p>
        </w:tc>
        <w:tc>
          <w:tcPr>
            <w:tcW w:w="586" w:type="pct"/>
          </w:tcPr>
          <w:p w14:paraId="679AE4A7" w14:textId="713DF8B1" w:rsidR="00982681" w:rsidRPr="00DE108C" w:rsidRDefault="00982681" w:rsidP="00982681">
            <w:pPr>
              <w:pStyle w:val="TableText"/>
              <w:jc w:val="right"/>
              <w:rPr>
                <w:szCs w:val="16"/>
              </w:rPr>
            </w:pPr>
            <w:r>
              <w:rPr>
                <w:rFonts w:ascii="Verdana" w:hAnsi="Verdana" w:cs="Arial"/>
                <w:color w:val="231F20"/>
                <w:szCs w:val="16"/>
              </w:rPr>
              <w:t xml:space="preserve"> - </w:t>
            </w:r>
          </w:p>
        </w:tc>
        <w:tc>
          <w:tcPr>
            <w:tcW w:w="586" w:type="pct"/>
          </w:tcPr>
          <w:p w14:paraId="3C42BABA" w14:textId="717AA0F9" w:rsidR="00982681" w:rsidRPr="00DE108C" w:rsidRDefault="00982681" w:rsidP="00982681">
            <w:pPr>
              <w:pStyle w:val="TableText"/>
              <w:jc w:val="right"/>
              <w:rPr>
                <w:szCs w:val="16"/>
              </w:rPr>
            </w:pPr>
            <w:r>
              <w:rPr>
                <w:rFonts w:ascii="Verdana" w:hAnsi="Verdana" w:cs="Arial"/>
                <w:color w:val="231F20"/>
                <w:szCs w:val="16"/>
              </w:rPr>
              <w:t>-1.3</w:t>
            </w:r>
          </w:p>
        </w:tc>
      </w:tr>
      <w:tr w:rsidR="00982681" w:rsidRPr="00DE108C" w14:paraId="019C7B68" w14:textId="77777777" w:rsidTr="0015154E">
        <w:trPr>
          <w:cnfStyle w:val="000000010000" w:firstRow="0" w:lastRow="0" w:firstColumn="0" w:lastColumn="0" w:oddVBand="0" w:evenVBand="0" w:oddHBand="0" w:evenHBand="1" w:firstRowFirstColumn="0" w:firstRowLastColumn="0" w:lastRowFirstColumn="0" w:lastRowLastColumn="0"/>
        </w:trPr>
        <w:tc>
          <w:tcPr>
            <w:tcW w:w="501" w:type="pct"/>
          </w:tcPr>
          <w:p w14:paraId="5D4A95DE" w14:textId="77777777" w:rsidR="00982681" w:rsidRPr="00DE108C" w:rsidRDefault="00982681" w:rsidP="00982681">
            <w:pPr>
              <w:pStyle w:val="TableText"/>
              <w:rPr>
                <w:szCs w:val="16"/>
              </w:rPr>
            </w:pPr>
            <w:r w:rsidRPr="00DE108C">
              <w:rPr>
                <w:szCs w:val="16"/>
              </w:rPr>
              <w:t>Labour</w:t>
            </w:r>
          </w:p>
        </w:tc>
        <w:tc>
          <w:tcPr>
            <w:tcW w:w="501" w:type="pct"/>
          </w:tcPr>
          <w:p w14:paraId="116452F9" w14:textId="77777777" w:rsidR="00982681" w:rsidRPr="00DE108C" w:rsidRDefault="00982681" w:rsidP="00982681">
            <w:pPr>
              <w:pStyle w:val="TableText"/>
              <w:rPr>
                <w:szCs w:val="16"/>
              </w:rPr>
            </w:pPr>
            <w:r w:rsidRPr="00DE108C">
              <w:rPr>
                <w:szCs w:val="16"/>
              </w:rPr>
              <w:t>Land Development</w:t>
            </w:r>
          </w:p>
        </w:tc>
        <w:tc>
          <w:tcPr>
            <w:tcW w:w="2300" w:type="pct"/>
          </w:tcPr>
          <w:p w14:paraId="50CFCE75" w14:textId="54118DE9" w:rsidR="00982681" w:rsidRPr="00DE108C" w:rsidRDefault="00982681" w:rsidP="00982681">
            <w:pPr>
              <w:pStyle w:val="TableText"/>
              <w:rPr>
                <w:szCs w:val="16"/>
              </w:rPr>
            </w:pPr>
            <w:r w:rsidRPr="00DE108C">
              <w:rPr>
                <w:szCs w:val="16"/>
              </w:rPr>
              <w:t xml:space="preserve">Melbourne Water has significantly increased its capacity and capability in land development to meet the Victorian Government’s </w:t>
            </w:r>
            <w:r w:rsidRPr="00DE108C">
              <w:rPr>
                <w:i/>
                <w:iCs/>
                <w:szCs w:val="16"/>
              </w:rPr>
              <w:t>Housing Statement</w:t>
            </w:r>
            <w:r w:rsidRPr="00DE108C">
              <w:rPr>
                <w:szCs w:val="16"/>
              </w:rPr>
              <w:t>. This has ensured that statutory referrals for development and greenfield development applications, contributions and asset handover from developers occur in a timely manner. These costs will continue into the next regulatory period and will be partially offset by an increase in the Develop</w:t>
            </w:r>
            <w:r w:rsidR="00F376A4">
              <w:rPr>
                <w:szCs w:val="16"/>
              </w:rPr>
              <w:t>ment</w:t>
            </w:r>
            <w:r w:rsidRPr="00DE108C">
              <w:rPr>
                <w:szCs w:val="16"/>
              </w:rPr>
              <w:t xml:space="preserve"> Services Scheme’s administration charge. </w:t>
            </w:r>
          </w:p>
        </w:tc>
        <w:tc>
          <w:tcPr>
            <w:tcW w:w="527" w:type="pct"/>
          </w:tcPr>
          <w:p w14:paraId="4F303A97" w14:textId="7472E39F" w:rsidR="00982681" w:rsidRPr="00DE108C" w:rsidRDefault="00982681" w:rsidP="00982681">
            <w:pPr>
              <w:pStyle w:val="TableText"/>
              <w:jc w:val="right"/>
              <w:rPr>
                <w:b/>
                <w:bCs/>
                <w:szCs w:val="16"/>
              </w:rPr>
            </w:pPr>
            <w:r>
              <w:rPr>
                <w:rFonts w:ascii="Verdana" w:hAnsi="Verdana" w:cs="Arial"/>
                <w:b/>
                <w:bCs/>
                <w:color w:val="231F20"/>
                <w:szCs w:val="16"/>
              </w:rPr>
              <w:t xml:space="preserve"> 9.3 </w:t>
            </w:r>
          </w:p>
        </w:tc>
        <w:tc>
          <w:tcPr>
            <w:tcW w:w="586" w:type="pct"/>
          </w:tcPr>
          <w:p w14:paraId="084495C4" w14:textId="0CD7CA3C" w:rsidR="00982681" w:rsidRPr="00DE108C" w:rsidRDefault="00982681" w:rsidP="00982681">
            <w:pPr>
              <w:pStyle w:val="TableText"/>
              <w:jc w:val="right"/>
              <w:rPr>
                <w:szCs w:val="16"/>
              </w:rPr>
            </w:pPr>
            <w:r>
              <w:rPr>
                <w:rFonts w:ascii="Verdana" w:hAnsi="Verdana" w:cs="Arial"/>
                <w:color w:val="231F20"/>
                <w:szCs w:val="16"/>
              </w:rPr>
              <w:t>-</w:t>
            </w:r>
          </w:p>
        </w:tc>
        <w:tc>
          <w:tcPr>
            <w:tcW w:w="586" w:type="pct"/>
          </w:tcPr>
          <w:p w14:paraId="4A322AB0" w14:textId="4777A2F6" w:rsidR="00982681" w:rsidRPr="00DE108C" w:rsidRDefault="00982681" w:rsidP="00982681">
            <w:pPr>
              <w:pStyle w:val="TableText"/>
              <w:jc w:val="right"/>
              <w:rPr>
                <w:szCs w:val="16"/>
              </w:rPr>
            </w:pPr>
            <w:r>
              <w:rPr>
                <w:rFonts w:ascii="Verdana" w:hAnsi="Verdana" w:cs="Arial"/>
                <w:color w:val="231F20"/>
                <w:szCs w:val="16"/>
              </w:rPr>
              <w:t xml:space="preserve"> 9.3 </w:t>
            </w:r>
          </w:p>
        </w:tc>
      </w:tr>
      <w:tr w:rsidR="00982681" w:rsidRPr="00DE108C" w14:paraId="0DEBEBF1" w14:textId="77777777" w:rsidTr="0015154E">
        <w:tc>
          <w:tcPr>
            <w:tcW w:w="501" w:type="pct"/>
          </w:tcPr>
          <w:p w14:paraId="6B36F39C" w14:textId="77777777" w:rsidR="00982681" w:rsidRPr="00DE108C" w:rsidRDefault="00982681" w:rsidP="00982681">
            <w:pPr>
              <w:pStyle w:val="TableText"/>
              <w:rPr>
                <w:szCs w:val="16"/>
              </w:rPr>
            </w:pPr>
            <w:r w:rsidRPr="00DE108C">
              <w:rPr>
                <w:szCs w:val="16"/>
              </w:rPr>
              <w:t>IT and Labour</w:t>
            </w:r>
          </w:p>
        </w:tc>
        <w:tc>
          <w:tcPr>
            <w:tcW w:w="501" w:type="pct"/>
          </w:tcPr>
          <w:p w14:paraId="362C95AB" w14:textId="77777777" w:rsidR="00982681" w:rsidRPr="00DE108C" w:rsidRDefault="00982681" w:rsidP="00982681">
            <w:pPr>
              <w:pStyle w:val="TableText"/>
              <w:rPr>
                <w:szCs w:val="16"/>
              </w:rPr>
            </w:pPr>
            <w:r w:rsidRPr="00DE108C">
              <w:rPr>
                <w:szCs w:val="16"/>
              </w:rPr>
              <w:t>Cyber</w:t>
            </w:r>
          </w:p>
        </w:tc>
        <w:tc>
          <w:tcPr>
            <w:tcW w:w="2300" w:type="pct"/>
          </w:tcPr>
          <w:p w14:paraId="67769903" w14:textId="5D193513" w:rsidR="00982681" w:rsidRPr="00DE108C" w:rsidRDefault="00982681" w:rsidP="00982681">
            <w:pPr>
              <w:pStyle w:val="TableText"/>
            </w:pPr>
            <w:r>
              <w:t>The 2021 Determination was made early into application of</w:t>
            </w:r>
            <w:r w:rsidR="36F9F270">
              <w:t xml:space="preserve"> </w:t>
            </w:r>
            <w:r>
              <w:t xml:space="preserve">the new </w:t>
            </w:r>
            <w:r w:rsidRPr="6D4E7084">
              <w:rPr>
                <w:i/>
              </w:rPr>
              <w:t xml:space="preserve">Security of Critical Infrastructure Act </w:t>
            </w:r>
            <w:r w:rsidRPr="00E261BB">
              <w:t>(SOCI Act)</w:t>
            </w:r>
            <w:r>
              <w:t xml:space="preserve">. At the time, little was understood about how this legislation would change both the way we manage IT systems, as well as the cost associated with it. Therefore, no significant uplift in </w:t>
            </w:r>
            <w:r w:rsidR="538C29EC">
              <w:t xml:space="preserve">opex </w:t>
            </w:r>
            <w:r>
              <w:t xml:space="preserve">was proposed in PS21 and Melbourne Water has carried the risk over the last five years to meet its obligations. </w:t>
            </w:r>
          </w:p>
        </w:tc>
        <w:tc>
          <w:tcPr>
            <w:tcW w:w="527" w:type="pct"/>
          </w:tcPr>
          <w:p w14:paraId="4BD8E467" w14:textId="2B5AA9FA" w:rsidR="00982681" w:rsidRPr="00DE108C" w:rsidRDefault="00982681" w:rsidP="00982681">
            <w:pPr>
              <w:pStyle w:val="TableText"/>
              <w:jc w:val="right"/>
              <w:rPr>
                <w:b/>
                <w:bCs/>
                <w:szCs w:val="16"/>
              </w:rPr>
            </w:pPr>
            <w:r>
              <w:rPr>
                <w:rFonts w:ascii="Verdana" w:hAnsi="Verdana" w:cs="Arial"/>
                <w:b/>
                <w:bCs/>
                <w:color w:val="231F20"/>
                <w:szCs w:val="16"/>
              </w:rPr>
              <w:t xml:space="preserve"> 5.4 </w:t>
            </w:r>
          </w:p>
        </w:tc>
        <w:tc>
          <w:tcPr>
            <w:tcW w:w="586" w:type="pct"/>
          </w:tcPr>
          <w:p w14:paraId="5ABF14DD" w14:textId="0485E2F7" w:rsidR="00982681" w:rsidRPr="00DE108C" w:rsidRDefault="00982681" w:rsidP="00982681">
            <w:pPr>
              <w:pStyle w:val="TableText"/>
              <w:jc w:val="right"/>
              <w:rPr>
                <w:szCs w:val="16"/>
              </w:rPr>
            </w:pPr>
            <w:r>
              <w:rPr>
                <w:rFonts w:ascii="Verdana" w:hAnsi="Verdana" w:cs="Arial"/>
                <w:color w:val="231F20"/>
                <w:szCs w:val="16"/>
              </w:rPr>
              <w:t xml:space="preserve"> 4.3 </w:t>
            </w:r>
          </w:p>
        </w:tc>
        <w:tc>
          <w:tcPr>
            <w:tcW w:w="586" w:type="pct"/>
          </w:tcPr>
          <w:p w14:paraId="6F904D21" w14:textId="62A254C4" w:rsidR="00982681" w:rsidRPr="00DE108C" w:rsidRDefault="00982681" w:rsidP="00982681">
            <w:pPr>
              <w:pStyle w:val="TableText"/>
              <w:jc w:val="right"/>
              <w:rPr>
                <w:szCs w:val="16"/>
              </w:rPr>
            </w:pPr>
            <w:r>
              <w:rPr>
                <w:rFonts w:ascii="Verdana" w:hAnsi="Verdana" w:cs="Arial"/>
                <w:color w:val="231F20"/>
                <w:szCs w:val="16"/>
              </w:rPr>
              <w:t xml:space="preserve"> 1.2 </w:t>
            </w:r>
          </w:p>
        </w:tc>
      </w:tr>
      <w:tr w:rsidR="00982681" w:rsidRPr="00DE108C" w14:paraId="271018D0" w14:textId="77777777" w:rsidTr="0015154E">
        <w:trPr>
          <w:cnfStyle w:val="000000010000" w:firstRow="0" w:lastRow="0" w:firstColumn="0" w:lastColumn="0" w:oddVBand="0" w:evenVBand="0" w:oddHBand="0" w:evenHBand="1" w:firstRowFirstColumn="0" w:firstRowLastColumn="0" w:lastRowFirstColumn="0" w:lastRowLastColumn="0"/>
        </w:trPr>
        <w:tc>
          <w:tcPr>
            <w:tcW w:w="501" w:type="pct"/>
          </w:tcPr>
          <w:p w14:paraId="2EC74741" w14:textId="77777777" w:rsidR="00982681" w:rsidRPr="00DE108C" w:rsidRDefault="00982681" w:rsidP="00982681">
            <w:pPr>
              <w:pStyle w:val="TableText"/>
              <w:rPr>
                <w:szCs w:val="16"/>
              </w:rPr>
            </w:pPr>
            <w:r w:rsidRPr="00DE108C">
              <w:rPr>
                <w:szCs w:val="16"/>
              </w:rPr>
              <w:t>IT</w:t>
            </w:r>
          </w:p>
        </w:tc>
        <w:tc>
          <w:tcPr>
            <w:tcW w:w="501" w:type="pct"/>
          </w:tcPr>
          <w:p w14:paraId="2E056620" w14:textId="77777777" w:rsidR="00982681" w:rsidRPr="00DE108C" w:rsidRDefault="00982681" w:rsidP="00982681">
            <w:pPr>
              <w:pStyle w:val="TableText"/>
              <w:rPr>
                <w:szCs w:val="16"/>
              </w:rPr>
            </w:pPr>
            <w:r w:rsidRPr="00DE108C">
              <w:rPr>
                <w:szCs w:val="16"/>
              </w:rPr>
              <w:t xml:space="preserve">Other IT </w:t>
            </w:r>
          </w:p>
        </w:tc>
        <w:tc>
          <w:tcPr>
            <w:tcW w:w="2300" w:type="pct"/>
          </w:tcPr>
          <w:p w14:paraId="202BA77A" w14:textId="77777777" w:rsidR="00982681" w:rsidRPr="00DE108C" w:rsidRDefault="00982681" w:rsidP="00982681">
            <w:pPr>
              <w:pStyle w:val="TableText"/>
              <w:rPr>
                <w:szCs w:val="16"/>
              </w:rPr>
            </w:pPr>
            <w:r w:rsidRPr="00DE108C">
              <w:rPr>
                <w:szCs w:val="16"/>
              </w:rPr>
              <w:t xml:space="preserve">As we continue to transition to the Cloud, there has been a significant increase in licence fee costs that are higher than the determination. </w:t>
            </w:r>
          </w:p>
        </w:tc>
        <w:tc>
          <w:tcPr>
            <w:tcW w:w="527" w:type="pct"/>
          </w:tcPr>
          <w:p w14:paraId="45C4C298" w14:textId="35CB8438" w:rsidR="00982681" w:rsidRPr="00DE108C" w:rsidRDefault="00982681" w:rsidP="00982681">
            <w:pPr>
              <w:pStyle w:val="TableText"/>
              <w:jc w:val="right"/>
              <w:rPr>
                <w:b/>
                <w:bCs/>
                <w:szCs w:val="16"/>
              </w:rPr>
            </w:pPr>
            <w:r>
              <w:rPr>
                <w:rFonts w:ascii="Verdana" w:hAnsi="Verdana" w:cs="Arial"/>
                <w:b/>
                <w:bCs/>
                <w:color w:val="231F20"/>
                <w:szCs w:val="16"/>
              </w:rPr>
              <w:t xml:space="preserve"> 8.7 </w:t>
            </w:r>
          </w:p>
        </w:tc>
        <w:tc>
          <w:tcPr>
            <w:tcW w:w="586" w:type="pct"/>
          </w:tcPr>
          <w:p w14:paraId="286A21CE" w14:textId="0E89716D" w:rsidR="00982681" w:rsidRPr="00DE108C" w:rsidRDefault="00982681" w:rsidP="00982681">
            <w:pPr>
              <w:pStyle w:val="TableText"/>
              <w:jc w:val="right"/>
              <w:rPr>
                <w:szCs w:val="16"/>
              </w:rPr>
            </w:pPr>
            <w:r>
              <w:rPr>
                <w:rFonts w:ascii="Verdana" w:hAnsi="Verdana" w:cs="Arial"/>
                <w:color w:val="231F20"/>
                <w:szCs w:val="16"/>
              </w:rPr>
              <w:t xml:space="preserve"> 6.9 </w:t>
            </w:r>
          </w:p>
        </w:tc>
        <w:tc>
          <w:tcPr>
            <w:tcW w:w="586" w:type="pct"/>
          </w:tcPr>
          <w:p w14:paraId="0A9F947C" w14:textId="77CC8B9A" w:rsidR="00982681" w:rsidRPr="00DE108C" w:rsidRDefault="00982681" w:rsidP="00982681">
            <w:pPr>
              <w:pStyle w:val="TableText"/>
              <w:jc w:val="right"/>
              <w:rPr>
                <w:szCs w:val="16"/>
              </w:rPr>
            </w:pPr>
            <w:r>
              <w:rPr>
                <w:rFonts w:ascii="Verdana" w:hAnsi="Verdana" w:cs="Arial"/>
                <w:color w:val="231F20"/>
                <w:szCs w:val="16"/>
              </w:rPr>
              <w:t xml:space="preserve"> 1.8 </w:t>
            </w:r>
          </w:p>
        </w:tc>
      </w:tr>
      <w:tr w:rsidR="00982681" w:rsidRPr="00DE108C" w14:paraId="512955C9" w14:textId="77777777" w:rsidTr="0015154E">
        <w:tc>
          <w:tcPr>
            <w:tcW w:w="501" w:type="pct"/>
          </w:tcPr>
          <w:p w14:paraId="2F94AD25" w14:textId="77777777" w:rsidR="00982681" w:rsidRPr="00DE108C" w:rsidRDefault="00982681" w:rsidP="00982681">
            <w:pPr>
              <w:pStyle w:val="TableText"/>
              <w:rPr>
                <w:szCs w:val="16"/>
              </w:rPr>
            </w:pPr>
            <w:r w:rsidRPr="00DE108C">
              <w:rPr>
                <w:szCs w:val="16"/>
              </w:rPr>
              <w:t>Fees and Charges</w:t>
            </w:r>
          </w:p>
        </w:tc>
        <w:tc>
          <w:tcPr>
            <w:tcW w:w="501" w:type="pct"/>
          </w:tcPr>
          <w:p w14:paraId="75C32627" w14:textId="77777777" w:rsidR="00982681" w:rsidRPr="00DE108C" w:rsidRDefault="00982681" w:rsidP="00982681">
            <w:pPr>
              <w:pStyle w:val="TableText"/>
              <w:rPr>
                <w:szCs w:val="16"/>
              </w:rPr>
            </w:pPr>
            <w:r w:rsidRPr="00DE108C">
              <w:rPr>
                <w:szCs w:val="16"/>
              </w:rPr>
              <w:t>Insurance</w:t>
            </w:r>
          </w:p>
        </w:tc>
        <w:tc>
          <w:tcPr>
            <w:tcW w:w="2300" w:type="pct"/>
          </w:tcPr>
          <w:p w14:paraId="5A9B8B78" w14:textId="5D816FA7" w:rsidR="00982681" w:rsidRPr="00DE108C" w:rsidRDefault="00982681" w:rsidP="00982681">
            <w:pPr>
              <w:pStyle w:val="TableText"/>
            </w:pPr>
            <w:r w:rsidRPr="00DE108C">
              <w:t>Costs have increased over the regulatory period as a result of market conditions</w:t>
            </w:r>
            <w:r w:rsidR="5A5115CB">
              <w:t>,</w:t>
            </w:r>
            <w:r w:rsidRPr="00DE108C">
              <w:t xml:space="preserve"> including COVID-19, increased natural disasters and global insurance market changes. Melbourne Water has forecast savings in the 2026-31 regulatory period (see Section 7.</w:t>
            </w:r>
            <w:r w:rsidR="00E3211C">
              <w:t>3.3</w:t>
            </w:r>
            <w:r w:rsidRPr="00DE108C">
              <w:t xml:space="preserve">.5), however the 2025 base year spend is above the determination value. </w:t>
            </w:r>
          </w:p>
        </w:tc>
        <w:tc>
          <w:tcPr>
            <w:tcW w:w="527" w:type="pct"/>
          </w:tcPr>
          <w:p w14:paraId="1C426A9D" w14:textId="18F0AF78" w:rsidR="00982681" w:rsidRPr="00DE108C" w:rsidRDefault="00982681" w:rsidP="00982681">
            <w:pPr>
              <w:pStyle w:val="TableText"/>
              <w:jc w:val="right"/>
              <w:rPr>
                <w:b/>
                <w:bCs/>
                <w:szCs w:val="16"/>
              </w:rPr>
            </w:pPr>
            <w:r>
              <w:rPr>
                <w:rFonts w:ascii="Verdana" w:hAnsi="Verdana" w:cs="Arial"/>
                <w:b/>
                <w:bCs/>
                <w:color w:val="231F20"/>
                <w:szCs w:val="16"/>
              </w:rPr>
              <w:t xml:space="preserve"> 1.1 </w:t>
            </w:r>
          </w:p>
        </w:tc>
        <w:tc>
          <w:tcPr>
            <w:tcW w:w="586" w:type="pct"/>
          </w:tcPr>
          <w:p w14:paraId="3B00D1B7" w14:textId="5BD12D66" w:rsidR="00982681" w:rsidRPr="00DE108C" w:rsidRDefault="00982681" w:rsidP="00982681">
            <w:pPr>
              <w:pStyle w:val="TableText"/>
              <w:jc w:val="right"/>
              <w:rPr>
                <w:szCs w:val="16"/>
              </w:rPr>
            </w:pPr>
            <w:r>
              <w:rPr>
                <w:rFonts w:ascii="Verdana" w:hAnsi="Verdana" w:cs="Arial"/>
                <w:color w:val="231F20"/>
                <w:szCs w:val="16"/>
              </w:rPr>
              <w:t xml:space="preserve"> 0.9 </w:t>
            </w:r>
          </w:p>
        </w:tc>
        <w:tc>
          <w:tcPr>
            <w:tcW w:w="586" w:type="pct"/>
          </w:tcPr>
          <w:p w14:paraId="297A3AAA" w14:textId="3A0B5050" w:rsidR="00982681" w:rsidRPr="00DE108C" w:rsidRDefault="00982681" w:rsidP="00982681">
            <w:pPr>
              <w:pStyle w:val="TableText"/>
              <w:jc w:val="right"/>
              <w:rPr>
                <w:szCs w:val="16"/>
              </w:rPr>
            </w:pPr>
            <w:r>
              <w:rPr>
                <w:rFonts w:ascii="Verdana" w:hAnsi="Verdana" w:cs="Arial"/>
                <w:color w:val="231F20"/>
                <w:szCs w:val="16"/>
              </w:rPr>
              <w:t xml:space="preserve"> 0.2 </w:t>
            </w:r>
          </w:p>
        </w:tc>
      </w:tr>
      <w:tr w:rsidR="00982681" w:rsidRPr="00DE108C" w14:paraId="19B2C459" w14:textId="77777777" w:rsidTr="0015154E">
        <w:trPr>
          <w:cnfStyle w:val="000000010000" w:firstRow="0" w:lastRow="0" w:firstColumn="0" w:lastColumn="0" w:oddVBand="0" w:evenVBand="0" w:oddHBand="0" w:evenHBand="1" w:firstRowFirstColumn="0" w:firstRowLastColumn="0" w:lastRowFirstColumn="0" w:lastRowLastColumn="0"/>
        </w:trPr>
        <w:tc>
          <w:tcPr>
            <w:tcW w:w="501" w:type="pct"/>
          </w:tcPr>
          <w:p w14:paraId="39CCEB8B" w14:textId="77777777" w:rsidR="00982681" w:rsidRPr="00DE108C" w:rsidRDefault="00982681" w:rsidP="00982681">
            <w:pPr>
              <w:pStyle w:val="TableText"/>
              <w:rPr>
                <w:szCs w:val="16"/>
              </w:rPr>
            </w:pPr>
            <w:r w:rsidRPr="00DE108C">
              <w:rPr>
                <w:szCs w:val="16"/>
              </w:rPr>
              <w:lastRenderedPageBreak/>
              <w:t>Labour</w:t>
            </w:r>
          </w:p>
        </w:tc>
        <w:tc>
          <w:tcPr>
            <w:tcW w:w="501" w:type="pct"/>
          </w:tcPr>
          <w:p w14:paraId="05750014" w14:textId="77777777" w:rsidR="00982681" w:rsidRPr="00DE108C" w:rsidRDefault="00982681" w:rsidP="00982681">
            <w:pPr>
              <w:pStyle w:val="TableText"/>
              <w:rPr>
                <w:szCs w:val="16"/>
              </w:rPr>
            </w:pPr>
            <w:r w:rsidRPr="00DE108C">
              <w:rPr>
                <w:szCs w:val="16"/>
              </w:rPr>
              <w:t xml:space="preserve">Labour and superannuation guarantee changes. </w:t>
            </w:r>
          </w:p>
        </w:tc>
        <w:tc>
          <w:tcPr>
            <w:tcW w:w="2300" w:type="pct"/>
          </w:tcPr>
          <w:p w14:paraId="7490A4CD" w14:textId="77777777" w:rsidR="00982681" w:rsidRPr="00DE108C" w:rsidRDefault="00982681" w:rsidP="00982681">
            <w:pPr>
              <w:pStyle w:val="TableText"/>
              <w:rPr>
                <w:szCs w:val="16"/>
              </w:rPr>
            </w:pPr>
            <w:r w:rsidRPr="00DE108C">
              <w:rPr>
                <w:szCs w:val="16"/>
              </w:rPr>
              <w:t xml:space="preserve">In PS21, Melbourne Water proposed a significant labour vacancy rate of 12 per cent. This was a risk that we took on as the proposal was made during the COVID-19 pandemic. This was equivalent to $4.6 million in labour costs that has now been filled. </w:t>
            </w:r>
          </w:p>
          <w:p w14:paraId="6C0F4CBF" w14:textId="04E3E9CF" w:rsidR="00982681" w:rsidRPr="00DE108C" w:rsidRDefault="00982681" w:rsidP="00982681">
            <w:pPr>
              <w:pStyle w:val="TableText"/>
              <w:rPr>
                <w:szCs w:val="16"/>
              </w:rPr>
            </w:pPr>
            <w:r w:rsidRPr="00DE108C">
              <w:rPr>
                <w:szCs w:val="16"/>
              </w:rPr>
              <w:t xml:space="preserve">Additionally, Melbourne Water has applied the Superannuation Guarantee changes, which has resulted in an additional $4.1 million in superannuation costs for all staff. </w:t>
            </w:r>
          </w:p>
        </w:tc>
        <w:tc>
          <w:tcPr>
            <w:tcW w:w="527" w:type="pct"/>
          </w:tcPr>
          <w:p w14:paraId="22003A64" w14:textId="3E306882" w:rsidR="00982681" w:rsidRPr="00DE108C" w:rsidRDefault="00982681" w:rsidP="00982681">
            <w:pPr>
              <w:pStyle w:val="TableText"/>
              <w:jc w:val="right"/>
              <w:rPr>
                <w:b/>
                <w:bCs/>
                <w:szCs w:val="16"/>
              </w:rPr>
            </w:pPr>
            <w:r>
              <w:rPr>
                <w:rFonts w:ascii="Verdana" w:hAnsi="Verdana" w:cs="Arial"/>
                <w:b/>
                <w:bCs/>
                <w:color w:val="231F20"/>
                <w:szCs w:val="16"/>
              </w:rPr>
              <w:t xml:space="preserve"> 9.6 </w:t>
            </w:r>
          </w:p>
        </w:tc>
        <w:tc>
          <w:tcPr>
            <w:tcW w:w="586" w:type="pct"/>
          </w:tcPr>
          <w:p w14:paraId="7DCCE3AB" w14:textId="6CE7F351" w:rsidR="00982681" w:rsidRPr="00DE108C" w:rsidRDefault="00982681" w:rsidP="00982681">
            <w:pPr>
              <w:pStyle w:val="TableText"/>
              <w:jc w:val="right"/>
              <w:rPr>
                <w:szCs w:val="16"/>
              </w:rPr>
            </w:pPr>
            <w:r>
              <w:rPr>
                <w:rFonts w:ascii="Verdana" w:hAnsi="Verdana" w:cs="Arial"/>
                <w:color w:val="231F20"/>
              </w:rPr>
              <w:t xml:space="preserve"> 7.6 </w:t>
            </w:r>
          </w:p>
        </w:tc>
        <w:tc>
          <w:tcPr>
            <w:tcW w:w="586" w:type="pct"/>
          </w:tcPr>
          <w:p w14:paraId="3847130E" w14:textId="3AA7638D" w:rsidR="00982681" w:rsidRPr="00DE108C" w:rsidRDefault="00982681" w:rsidP="00982681">
            <w:pPr>
              <w:pStyle w:val="TableText"/>
              <w:jc w:val="right"/>
              <w:rPr>
                <w:szCs w:val="16"/>
              </w:rPr>
            </w:pPr>
            <w:r>
              <w:rPr>
                <w:rFonts w:ascii="Verdana" w:hAnsi="Verdana" w:cs="Arial"/>
                <w:color w:val="231F20"/>
                <w:szCs w:val="16"/>
              </w:rPr>
              <w:t xml:space="preserve"> 2.0 </w:t>
            </w:r>
          </w:p>
        </w:tc>
      </w:tr>
      <w:tr w:rsidR="00982681" w:rsidRPr="00DE108C" w14:paraId="5F50E795" w14:textId="77777777" w:rsidTr="0015154E">
        <w:tc>
          <w:tcPr>
            <w:tcW w:w="501" w:type="pct"/>
          </w:tcPr>
          <w:p w14:paraId="74C639FD" w14:textId="3A718332" w:rsidR="00982681" w:rsidRPr="00DE108C" w:rsidRDefault="00982681" w:rsidP="00982681">
            <w:pPr>
              <w:pStyle w:val="TableText"/>
              <w:rPr>
                <w:szCs w:val="16"/>
              </w:rPr>
            </w:pPr>
            <w:r w:rsidRPr="00DE108C">
              <w:rPr>
                <w:szCs w:val="16"/>
              </w:rPr>
              <w:t>Fees and Charges</w:t>
            </w:r>
          </w:p>
        </w:tc>
        <w:tc>
          <w:tcPr>
            <w:tcW w:w="501" w:type="pct"/>
          </w:tcPr>
          <w:p w14:paraId="73AB9D16" w14:textId="4EB45F1B" w:rsidR="00982681" w:rsidRPr="00DE108C" w:rsidRDefault="00982681" w:rsidP="00982681">
            <w:pPr>
              <w:pStyle w:val="TableText"/>
              <w:rPr>
                <w:szCs w:val="16"/>
              </w:rPr>
            </w:pPr>
            <w:r w:rsidRPr="00DE108C">
              <w:rPr>
                <w:szCs w:val="16"/>
              </w:rPr>
              <w:t>Mental health care levy</w:t>
            </w:r>
          </w:p>
        </w:tc>
        <w:tc>
          <w:tcPr>
            <w:tcW w:w="2300" w:type="pct"/>
          </w:tcPr>
          <w:p w14:paraId="19B650B4" w14:textId="6D7EEC70" w:rsidR="00982681" w:rsidRPr="00DE108C" w:rsidRDefault="00982681" w:rsidP="00982681">
            <w:pPr>
              <w:pStyle w:val="TableText"/>
            </w:pPr>
            <w:r w:rsidRPr="00DE108C">
              <w:t>In PS21, Melbourne Water identified the new payroll tax (i.e. the Mental health care levy) as non-controllable. This has been incorporated into controllable</w:t>
            </w:r>
            <w:r w:rsidR="022EDD1D">
              <w:t>.</w:t>
            </w:r>
          </w:p>
        </w:tc>
        <w:tc>
          <w:tcPr>
            <w:tcW w:w="527" w:type="pct"/>
          </w:tcPr>
          <w:p w14:paraId="0242B8AD" w14:textId="7EDCD09D" w:rsidR="00982681" w:rsidRPr="00DE108C" w:rsidRDefault="00982681" w:rsidP="00982681">
            <w:pPr>
              <w:pStyle w:val="TableText"/>
              <w:jc w:val="right"/>
              <w:rPr>
                <w:rFonts w:cs="Arial"/>
                <w:b/>
                <w:color w:val="231F20"/>
              </w:rPr>
            </w:pPr>
            <w:r>
              <w:rPr>
                <w:rFonts w:ascii="Verdana" w:hAnsi="Verdana" w:cs="Arial"/>
                <w:b/>
                <w:bCs/>
                <w:color w:val="231F20"/>
                <w:szCs w:val="16"/>
              </w:rPr>
              <w:t xml:space="preserve"> 3.2 </w:t>
            </w:r>
          </w:p>
        </w:tc>
        <w:tc>
          <w:tcPr>
            <w:tcW w:w="586" w:type="pct"/>
          </w:tcPr>
          <w:p w14:paraId="54B36990" w14:textId="31C7CE31" w:rsidR="00982681" w:rsidRPr="00DE108C" w:rsidRDefault="00982681" w:rsidP="00982681">
            <w:pPr>
              <w:pStyle w:val="TableText"/>
              <w:jc w:val="right"/>
              <w:rPr>
                <w:rFonts w:cs="Arial"/>
                <w:color w:val="231F20"/>
              </w:rPr>
            </w:pPr>
            <w:r>
              <w:rPr>
                <w:rFonts w:ascii="Verdana" w:hAnsi="Verdana" w:cs="Arial"/>
                <w:color w:val="231F20"/>
              </w:rPr>
              <w:t xml:space="preserve"> 2.5 </w:t>
            </w:r>
          </w:p>
        </w:tc>
        <w:tc>
          <w:tcPr>
            <w:tcW w:w="586" w:type="pct"/>
          </w:tcPr>
          <w:p w14:paraId="01E5934F" w14:textId="382019A3" w:rsidR="00982681" w:rsidRPr="00DE108C" w:rsidRDefault="00982681" w:rsidP="00982681">
            <w:pPr>
              <w:pStyle w:val="TableText"/>
              <w:jc w:val="right"/>
              <w:rPr>
                <w:rFonts w:cs="Arial"/>
                <w:color w:val="231F20"/>
              </w:rPr>
            </w:pPr>
            <w:r>
              <w:rPr>
                <w:rFonts w:ascii="Verdana" w:hAnsi="Verdana" w:cs="Arial"/>
                <w:color w:val="231F20"/>
              </w:rPr>
              <w:t xml:space="preserve"> 0.7 </w:t>
            </w:r>
          </w:p>
        </w:tc>
      </w:tr>
      <w:tr w:rsidR="00982681" w:rsidRPr="00DE108C" w14:paraId="275A7E5D" w14:textId="77777777" w:rsidTr="0015154E">
        <w:trPr>
          <w:cnfStyle w:val="000000010000" w:firstRow="0" w:lastRow="0" w:firstColumn="0" w:lastColumn="0" w:oddVBand="0" w:evenVBand="0" w:oddHBand="0" w:evenHBand="1" w:firstRowFirstColumn="0" w:firstRowLastColumn="0" w:lastRowFirstColumn="0" w:lastRowLastColumn="0"/>
        </w:trPr>
        <w:tc>
          <w:tcPr>
            <w:tcW w:w="501" w:type="pct"/>
          </w:tcPr>
          <w:p w14:paraId="7A235003" w14:textId="58C1A05A" w:rsidR="00982681" w:rsidRPr="00DE108C" w:rsidRDefault="00982681" w:rsidP="00982681">
            <w:pPr>
              <w:pStyle w:val="TableText"/>
              <w:rPr>
                <w:szCs w:val="16"/>
              </w:rPr>
            </w:pPr>
            <w:r w:rsidRPr="00DE108C">
              <w:rPr>
                <w:szCs w:val="16"/>
              </w:rPr>
              <w:t>N/A</w:t>
            </w:r>
          </w:p>
        </w:tc>
        <w:tc>
          <w:tcPr>
            <w:tcW w:w="501" w:type="pct"/>
          </w:tcPr>
          <w:p w14:paraId="37C18072" w14:textId="77777777" w:rsidR="00982681" w:rsidRPr="00DE108C" w:rsidRDefault="00982681" w:rsidP="00982681">
            <w:pPr>
              <w:pStyle w:val="TableText"/>
              <w:rPr>
                <w:szCs w:val="16"/>
              </w:rPr>
            </w:pPr>
            <w:r w:rsidRPr="00DE108C">
              <w:rPr>
                <w:szCs w:val="16"/>
              </w:rPr>
              <w:t>Corporate cost allocation</w:t>
            </w:r>
          </w:p>
        </w:tc>
        <w:tc>
          <w:tcPr>
            <w:tcW w:w="2300" w:type="pct"/>
          </w:tcPr>
          <w:p w14:paraId="15696AE9" w14:textId="1682C4F8" w:rsidR="00982681" w:rsidRPr="00DE108C" w:rsidRDefault="00982681" w:rsidP="00982681">
            <w:pPr>
              <w:pStyle w:val="TableText"/>
            </w:pPr>
            <w:r w:rsidRPr="00DE108C">
              <w:t xml:space="preserve">Melbourne Water allocates its shared corporate costs on a revenue share basis as it is the most fair and equitable basis. During PS21, the corporate cost allocation was re-calculated to align the cost with recent revenue shares (excluding costs associated with VDP). This has resulted in a decrease in costs allocated to </w:t>
            </w:r>
            <w:r w:rsidR="001C47B1">
              <w:t>w</w:t>
            </w:r>
            <w:r w:rsidRPr="00DE108C">
              <w:t xml:space="preserve">aterways and </w:t>
            </w:r>
            <w:r w:rsidR="001C47B1">
              <w:t>d</w:t>
            </w:r>
            <w:r w:rsidRPr="00DE108C">
              <w:t xml:space="preserve">rainage and an increase in costs allocated to </w:t>
            </w:r>
            <w:r w:rsidR="001C47B1">
              <w:t>w</w:t>
            </w:r>
            <w:r w:rsidRPr="00DE108C">
              <w:t xml:space="preserve">ater and </w:t>
            </w:r>
            <w:r w:rsidR="001C47B1">
              <w:t>s</w:t>
            </w:r>
            <w:r w:rsidRPr="00DE108C">
              <w:t xml:space="preserve">ewerage. </w:t>
            </w:r>
          </w:p>
        </w:tc>
        <w:tc>
          <w:tcPr>
            <w:tcW w:w="527" w:type="pct"/>
          </w:tcPr>
          <w:p w14:paraId="083729CA" w14:textId="672340EA" w:rsidR="00982681" w:rsidRPr="00DE108C" w:rsidRDefault="00982681" w:rsidP="00982681">
            <w:pPr>
              <w:pStyle w:val="TableText"/>
              <w:jc w:val="right"/>
              <w:rPr>
                <w:b/>
              </w:rPr>
            </w:pPr>
            <w:r>
              <w:rPr>
                <w:rFonts w:ascii="Verdana" w:hAnsi="Verdana" w:cs="Arial"/>
                <w:b/>
                <w:bCs/>
                <w:color w:val="231F20"/>
                <w:szCs w:val="16"/>
              </w:rPr>
              <w:t xml:space="preserve"> - </w:t>
            </w:r>
          </w:p>
        </w:tc>
        <w:tc>
          <w:tcPr>
            <w:tcW w:w="586" w:type="pct"/>
          </w:tcPr>
          <w:p w14:paraId="474AE640" w14:textId="5F09D5C5" w:rsidR="00982681" w:rsidRPr="00DE108C" w:rsidRDefault="00982681" w:rsidP="00982681">
            <w:pPr>
              <w:pStyle w:val="TableText"/>
              <w:jc w:val="right"/>
              <w:rPr>
                <w:rFonts w:cs="Arial"/>
              </w:rPr>
            </w:pPr>
            <w:r>
              <w:rPr>
                <w:rFonts w:ascii="Verdana" w:hAnsi="Verdana" w:cs="Arial"/>
                <w:color w:val="231F20"/>
                <w:szCs w:val="16"/>
              </w:rPr>
              <w:t xml:space="preserve"> 14.8 </w:t>
            </w:r>
          </w:p>
        </w:tc>
        <w:tc>
          <w:tcPr>
            <w:tcW w:w="586" w:type="pct"/>
          </w:tcPr>
          <w:p w14:paraId="1F70041D" w14:textId="12CA4278" w:rsidR="00982681" w:rsidRPr="00DE108C" w:rsidRDefault="00982681" w:rsidP="00982681">
            <w:pPr>
              <w:pStyle w:val="TableText"/>
              <w:jc w:val="right"/>
              <w:rPr>
                <w:rFonts w:cs="Arial"/>
              </w:rPr>
            </w:pPr>
            <w:r>
              <w:rPr>
                <w:rFonts w:ascii="Verdana" w:hAnsi="Verdana" w:cs="Arial"/>
                <w:color w:val="231F20"/>
                <w:szCs w:val="16"/>
              </w:rPr>
              <w:t>-14.8</w:t>
            </w:r>
          </w:p>
        </w:tc>
      </w:tr>
      <w:tr w:rsidR="00982681" w:rsidRPr="00DE108C" w14:paraId="0B04BE59" w14:textId="77777777" w:rsidTr="0015154E">
        <w:tc>
          <w:tcPr>
            <w:tcW w:w="501" w:type="pct"/>
          </w:tcPr>
          <w:p w14:paraId="55AE879B" w14:textId="77777777" w:rsidR="00982681" w:rsidRPr="00DE108C" w:rsidRDefault="00982681" w:rsidP="00982681">
            <w:pPr>
              <w:pStyle w:val="TableText"/>
              <w:rPr>
                <w:b/>
                <w:bCs/>
                <w:szCs w:val="16"/>
              </w:rPr>
            </w:pPr>
          </w:p>
        </w:tc>
        <w:tc>
          <w:tcPr>
            <w:tcW w:w="501" w:type="pct"/>
          </w:tcPr>
          <w:p w14:paraId="23952CA3" w14:textId="77777777" w:rsidR="00982681" w:rsidRPr="00DE108C" w:rsidRDefault="00982681" w:rsidP="00982681">
            <w:pPr>
              <w:pStyle w:val="TableText"/>
              <w:rPr>
                <w:b/>
                <w:bCs/>
                <w:szCs w:val="16"/>
              </w:rPr>
            </w:pPr>
            <w:r w:rsidRPr="00DE108C">
              <w:rPr>
                <w:b/>
                <w:bCs/>
                <w:szCs w:val="16"/>
              </w:rPr>
              <w:t>Total</w:t>
            </w:r>
          </w:p>
        </w:tc>
        <w:tc>
          <w:tcPr>
            <w:tcW w:w="2300" w:type="pct"/>
          </w:tcPr>
          <w:p w14:paraId="2CDE2F33" w14:textId="77777777" w:rsidR="00982681" w:rsidRPr="00DE108C" w:rsidRDefault="00982681" w:rsidP="00982681">
            <w:pPr>
              <w:pStyle w:val="TableText"/>
            </w:pPr>
          </w:p>
        </w:tc>
        <w:tc>
          <w:tcPr>
            <w:tcW w:w="527" w:type="pct"/>
          </w:tcPr>
          <w:p w14:paraId="62C58407" w14:textId="563DD79F" w:rsidR="00982681" w:rsidRPr="00DE108C" w:rsidRDefault="00982681" w:rsidP="00982681">
            <w:pPr>
              <w:pStyle w:val="TableText"/>
              <w:jc w:val="right"/>
              <w:rPr>
                <w:b/>
              </w:rPr>
            </w:pPr>
            <w:r>
              <w:rPr>
                <w:rFonts w:ascii="Verdana" w:hAnsi="Verdana" w:cs="Arial"/>
                <w:b/>
                <w:bCs/>
                <w:color w:val="231F20"/>
              </w:rPr>
              <w:t xml:space="preserve"> 42.3 </w:t>
            </w:r>
          </w:p>
        </w:tc>
        <w:tc>
          <w:tcPr>
            <w:tcW w:w="586" w:type="pct"/>
          </w:tcPr>
          <w:p w14:paraId="4E66EBD7" w14:textId="32A0F445" w:rsidR="00982681" w:rsidRPr="00DE108C" w:rsidRDefault="00982681" w:rsidP="00982681">
            <w:pPr>
              <w:pStyle w:val="TableText"/>
              <w:jc w:val="right"/>
              <w:rPr>
                <w:b/>
              </w:rPr>
            </w:pPr>
            <w:r>
              <w:rPr>
                <w:rFonts w:ascii="Verdana" w:hAnsi="Verdana" w:cs="Arial"/>
                <w:b/>
                <w:bCs/>
                <w:color w:val="231F20"/>
              </w:rPr>
              <w:t xml:space="preserve"> 43.1 </w:t>
            </w:r>
          </w:p>
        </w:tc>
        <w:tc>
          <w:tcPr>
            <w:tcW w:w="586" w:type="pct"/>
          </w:tcPr>
          <w:p w14:paraId="5D727524" w14:textId="03DDDE5B" w:rsidR="00982681" w:rsidRPr="00DE108C" w:rsidRDefault="00982681" w:rsidP="00982681">
            <w:pPr>
              <w:pStyle w:val="TableText"/>
              <w:jc w:val="right"/>
              <w:rPr>
                <w:b/>
              </w:rPr>
            </w:pPr>
            <w:r>
              <w:rPr>
                <w:rFonts w:ascii="Verdana" w:hAnsi="Verdana" w:cs="Arial"/>
                <w:b/>
                <w:bCs/>
                <w:color w:val="231F20"/>
              </w:rPr>
              <w:t>-0.8</w:t>
            </w:r>
          </w:p>
        </w:tc>
      </w:tr>
    </w:tbl>
    <w:p w14:paraId="50070EC2" w14:textId="77777777" w:rsidR="00046BD5" w:rsidRPr="00DE108C" w:rsidRDefault="00046BD5">
      <w:pPr>
        <w:pStyle w:val="BodyText"/>
        <w:sectPr w:rsidR="00046BD5" w:rsidRPr="00DE108C" w:rsidSect="00046BD5">
          <w:pgSz w:w="16838" w:h="11906" w:orient="landscape"/>
          <w:pgMar w:top="1440" w:right="1440" w:bottom="1440" w:left="1440" w:header="708" w:footer="708" w:gutter="0"/>
          <w:cols w:space="708"/>
          <w:docGrid w:linePitch="360"/>
        </w:sectPr>
      </w:pPr>
      <w:bookmarkStart w:id="654" w:name="_Toc196745250"/>
    </w:p>
    <w:p w14:paraId="30A2FEEF" w14:textId="6868B78D" w:rsidR="00046BD5" w:rsidRPr="00DE108C" w:rsidRDefault="00046BD5">
      <w:pPr>
        <w:pStyle w:val="Heading2"/>
      </w:pPr>
      <w:bookmarkStart w:id="655" w:name="_Toc207892910"/>
      <w:bookmarkStart w:id="656" w:name="_Toc207853403"/>
      <w:r w:rsidRPr="00DE108C">
        <w:lastRenderedPageBreak/>
        <w:t>7.3 Annual adjustments to baseline controllable operating expenditure</w:t>
      </w:r>
      <w:bookmarkEnd w:id="654"/>
      <w:bookmarkEnd w:id="655"/>
      <w:bookmarkEnd w:id="656"/>
      <w:r w:rsidRPr="00DE108C">
        <w:t xml:space="preserve"> </w:t>
      </w:r>
    </w:p>
    <w:p w14:paraId="781ADFCD" w14:textId="358E860E" w:rsidR="00046BD5" w:rsidRPr="00DE108C" w:rsidRDefault="00046BD5">
      <w:pPr>
        <w:pStyle w:val="BodyText"/>
      </w:pPr>
      <w:r>
        <w:t xml:space="preserve">The following section provides our annual growth rate, annual cost efficiency improvement rate and proposed new expenditure to deliver on customer </w:t>
      </w:r>
      <w:r w:rsidR="3FFC5D76">
        <w:t>O</w:t>
      </w:r>
      <w:r>
        <w:t xml:space="preserve">utcomes. Together these vary the baseline controllable </w:t>
      </w:r>
      <w:r w:rsidR="71226496">
        <w:t>opex</w:t>
      </w:r>
      <w:r>
        <w:t xml:space="preserve"> in each year.</w:t>
      </w:r>
    </w:p>
    <w:p w14:paraId="3A08B887" w14:textId="7B728C41" w:rsidR="00046BD5" w:rsidRPr="00DE108C" w:rsidRDefault="00046BD5">
      <w:pPr>
        <w:pStyle w:val="BodyText"/>
      </w:pPr>
      <w:r>
        <w:t>The growth rate aligns with verified forecasts. In addition, an ambitious cost efficiency improvement rate has been proposed</w:t>
      </w:r>
      <w:r w:rsidR="0DBD22D8">
        <w:t>,</w:t>
      </w:r>
      <w:r>
        <w:t xml:space="preserve"> which will deliver significant customer value and will assist to moderate bills over the 2026-31 period.</w:t>
      </w:r>
    </w:p>
    <w:p w14:paraId="7B9BF306" w14:textId="37B9A413" w:rsidR="00046BD5" w:rsidRPr="00DE108C" w:rsidRDefault="00046BD5">
      <w:pPr>
        <w:pStyle w:val="BodyText"/>
      </w:pPr>
      <w:r>
        <w:t xml:space="preserve">With these assumptions, forecast increases to baseline controllable </w:t>
      </w:r>
      <w:r w:rsidR="7A269ABA">
        <w:t>opex</w:t>
      </w:r>
      <w:r>
        <w:t xml:space="preserve"> only arise due to proposed controllable opex additions. The prudency and efficiency of these additions, which are associated with new or changed obligations and to deliver on agreed customer Outcomes, is explained below. Additional supporting analysis to demonstrate the prudency and efficiency of the proposed additions is also available on request.</w:t>
      </w:r>
    </w:p>
    <w:p w14:paraId="28C7212C" w14:textId="77777777" w:rsidR="00046BD5" w:rsidRPr="00DE108C" w:rsidRDefault="00046BD5">
      <w:pPr>
        <w:pStyle w:val="Heading3"/>
      </w:pPr>
      <w:bookmarkStart w:id="657" w:name="_Toc196745251"/>
      <w:bookmarkStart w:id="658" w:name="_Ref206686586"/>
      <w:bookmarkStart w:id="659" w:name="_Ref206686593"/>
      <w:bookmarkStart w:id="660" w:name="_Ref206686598"/>
      <w:r w:rsidRPr="00DE108C">
        <w:t>7.3.1 Growth and efficiency</w:t>
      </w:r>
      <w:bookmarkEnd w:id="657"/>
      <w:bookmarkEnd w:id="658"/>
      <w:bookmarkEnd w:id="659"/>
      <w:bookmarkEnd w:id="660"/>
      <w:r w:rsidRPr="00DE108C">
        <w:t xml:space="preserve"> </w:t>
      </w:r>
    </w:p>
    <w:p w14:paraId="7A504F5A" w14:textId="312360D6" w:rsidR="00046BD5" w:rsidRPr="00DE108C" w:rsidRDefault="00046BD5">
      <w:pPr>
        <w:pStyle w:val="BodyText"/>
      </w:pPr>
      <w:r w:rsidRPr="00DE108C">
        <w:t xml:space="preserve">The proposed annual growth rates and efficiency improvement rates are shown in </w:t>
      </w:r>
      <w:r w:rsidR="2C638E8B" w:rsidRPr="00DE108C">
        <w:t>Table 7.3</w:t>
      </w:r>
      <w:r w:rsidRPr="00DE108C">
        <w:t>. As the proposed growth and efficiency improvement rates match, these offset to mean there is no net increase in baseline opex associated with these rates.</w:t>
      </w:r>
    </w:p>
    <w:p w14:paraId="76011CA3" w14:textId="77777777" w:rsidR="00046BD5" w:rsidRPr="00DE108C" w:rsidRDefault="00046BD5">
      <w:pPr>
        <w:pStyle w:val="BodyText"/>
      </w:pPr>
      <w:r w:rsidRPr="00DE108C">
        <w:t>Further information on how we have determined the proposed growth and efficiency improvement rates is provided below.</w:t>
      </w:r>
    </w:p>
    <w:p w14:paraId="23B49D9D" w14:textId="3546B63A" w:rsidR="00046BD5" w:rsidRPr="00DE108C" w:rsidRDefault="00046BD5">
      <w:pPr>
        <w:pStyle w:val="Caption"/>
      </w:pPr>
      <w:bookmarkStart w:id="661" w:name="_Toc207893052"/>
      <w:bookmarkStart w:id="662" w:name="_Toc208490576"/>
      <w:bookmarkStart w:id="663" w:name="_Toc208490914"/>
      <w:bookmarkStart w:id="664" w:name="_Toc208911072"/>
      <w:bookmarkStart w:id="665" w:name="_Toc210051378"/>
      <w:r w:rsidRPr="00DE108C">
        <w:t xml:space="preserve">Table 7.3: Controllable </w:t>
      </w:r>
      <w:r w:rsidR="491FD665">
        <w:t>opex</w:t>
      </w:r>
      <w:r w:rsidRPr="00DE108C">
        <w:t xml:space="preserve"> growth and efficiency forecasts</w:t>
      </w:r>
      <w:bookmarkEnd w:id="661"/>
      <w:bookmarkEnd w:id="662"/>
      <w:bookmarkEnd w:id="663"/>
      <w:bookmarkEnd w:id="664"/>
      <w:bookmarkEnd w:id="665"/>
    </w:p>
    <w:tbl>
      <w:tblPr>
        <w:tblStyle w:val="MWTableGrid"/>
        <w:tblW w:w="5000" w:type="pct"/>
        <w:tblLayout w:type="fixed"/>
        <w:tblLook w:val="0420" w:firstRow="1" w:lastRow="0" w:firstColumn="0" w:lastColumn="0" w:noHBand="0" w:noVBand="1"/>
      </w:tblPr>
      <w:tblGrid>
        <w:gridCol w:w="1604"/>
        <w:gridCol w:w="1604"/>
        <w:gridCol w:w="1606"/>
        <w:gridCol w:w="1606"/>
        <w:gridCol w:w="1606"/>
        <w:gridCol w:w="1602"/>
      </w:tblGrid>
      <w:tr w:rsidR="00556A0D" w:rsidRPr="00DE108C" w14:paraId="421B5C08" w14:textId="77777777">
        <w:trPr>
          <w:cnfStyle w:val="100000000000" w:firstRow="1" w:lastRow="0" w:firstColumn="0" w:lastColumn="0" w:oddVBand="0" w:evenVBand="0" w:oddHBand="0" w:evenHBand="0" w:firstRowFirstColumn="0" w:firstRowLastColumn="0" w:lastRowFirstColumn="0" w:lastRowLastColumn="0"/>
          <w:cantSplit/>
        </w:trPr>
        <w:tc>
          <w:tcPr>
            <w:tcW w:w="833" w:type="pct"/>
          </w:tcPr>
          <w:p w14:paraId="630F6860" w14:textId="77777777" w:rsidR="00046BD5" w:rsidRPr="00DE108C" w:rsidRDefault="00046BD5">
            <w:pPr>
              <w:pStyle w:val="TableHeading"/>
            </w:pPr>
          </w:p>
        </w:tc>
        <w:tc>
          <w:tcPr>
            <w:tcW w:w="833" w:type="pct"/>
          </w:tcPr>
          <w:p w14:paraId="61240AA2" w14:textId="77777777" w:rsidR="00046BD5" w:rsidRPr="00DE108C" w:rsidRDefault="00046BD5">
            <w:pPr>
              <w:pStyle w:val="TableHeading"/>
            </w:pPr>
            <w:r w:rsidRPr="00DE108C">
              <w:t>2026-27</w:t>
            </w:r>
          </w:p>
        </w:tc>
        <w:tc>
          <w:tcPr>
            <w:tcW w:w="834" w:type="pct"/>
          </w:tcPr>
          <w:p w14:paraId="3EB8C7F0" w14:textId="77777777" w:rsidR="00046BD5" w:rsidRPr="00DE108C" w:rsidRDefault="00046BD5">
            <w:pPr>
              <w:pStyle w:val="TableHeading"/>
            </w:pPr>
            <w:r w:rsidRPr="00DE108C">
              <w:t>2027-28</w:t>
            </w:r>
          </w:p>
        </w:tc>
        <w:tc>
          <w:tcPr>
            <w:tcW w:w="834" w:type="pct"/>
          </w:tcPr>
          <w:p w14:paraId="51DB08EB" w14:textId="77777777" w:rsidR="00046BD5" w:rsidRPr="00DE108C" w:rsidRDefault="00046BD5">
            <w:pPr>
              <w:pStyle w:val="TableHeading"/>
            </w:pPr>
            <w:r w:rsidRPr="00DE108C">
              <w:t>2028-29</w:t>
            </w:r>
          </w:p>
        </w:tc>
        <w:tc>
          <w:tcPr>
            <w:tcW w:w="834" w:type="pct"/>
          </w:tcPr>
          <w:p w14:paraId="5AF20B31" w14:textId="77777777" w:rsidR="00046BD5" w:rsidRPr="00DE108C" w:rsidRDefault="00046BD5">
            <w:pPr>
              <w:pStyle w:val="TableHeading"/>
            </w:pPr>
            <w:r w:rsidRPr="00DE108C">
              <w:t>2029-30</w:t>
            </w:r>
          </w:p>
        </w:tc>
        <w:tc>
          <w:tcPr>
            <w:tcW w:w="832" w:type="pct"/>
          </w:tcPr>
          <w:p w14:paraId="12A43F41" w14:textId="77777777" w:rsidR="00046BD5" w:rsidRPr="00DE108C" w:rsidRDefault="00046BD5">
            <w:pPr>
              <w:pStyle w:val="TableHeading"/>
            </w:pPr>
            <w:r w:rsidRPr="00DE108C">
              <w:t>2030-31</w:t>
            </w:r>
          </w:p>
        </w:tc>
      </w:tr>
      <w:tr w:rsidR="00046BD5" w:rsidRPr="00DE108C" w14:paraId="041EC625" w14:textId="77777777">
        <w:trPr>
          <w:cantSplit/>
        </w:trPr>
        <w:tc>
          <w:tcPr>
            <w:tcW w:w="833" w:type="pct"/>
          </w:tcPr>
          <w:p w14:paraId="2EA67A52" w14:textId="77777777" w:rsidR="00046BD5" w:rsidRPr="00DE108C" w:rsidRDefault="00046BD5">
            <w:pPr>
              <w:pStyle w:val="TableText"/>
              <w:rPr>
                <w:szCs w:val="16"/>
              </w:rPr>
            </w:pPr>
            <w:r w:rsidRPr="00DE108C">
              <w:rPr>
                <w:szCs w:val="16"/>
              </w:rPr>
              <w:t>Growth</w:t>
            </w:r>
          </w:p>
        </w:tc>
        <w:tc>
          <w:tcPr>
            <w:tcW w:w="833" w:type="pct"/>
          </w:tcPr>
          <w:p w14:paraId="43AF6658" w14:textId="77777777" w:rsidR="00046BD5" w:rsidRPr="00DE108C" w:rsidRDefault="00046BD5">
            <w:pPr>
              <w:pStyle w:val="TableText"/>
              <w:rPr>
                <w:szCs w:val="16"/>
              </w:rPr>
            </w:pPr>
            <w:r w:rsidRPr="00DE108C">
              <w:rPr>
                <w:szCs w:val="16"/>
              </w:rPr>
              <w:t>2.0%</w:t>
            </w:r>
          </w:p>
        </w:tc>
        <w:tc>
          <w:tcPr>
            <w:tcW w:w="834" w:type="pct"/>
          </w:tcPr>
          <w:p w14:paraId="3AF60D8B" w14:textId="77777777" w:rsidR="00046BD5" w:rsidRPr="00DE108C" w:rsidRDefault="00046BD5">
            <w:pPr>
              <w:pStyle w:val="TableText"/>
              <w:rPr>
                <w:szCs w:val="16"/>
              </w:rPr>
            </w:pPr>
            <w:r w:rsidRPr="00DE108C">
              <w:rPr>
                <w:szCs w:val="16"/>
              </w:rPr>
              <w:t>2.0%</w:t>
            </w:r>
          </w:p>
        </w:tc>
        <w:tc>
          <w:tcPr>
            <w:tcW w:w="834" w:type="pct"/>
          </w:tcPr>
          <w:p w14:paraId="0C726398" w14:textId="77777777" w:rsidR="00046BD5" w:rsidRPr="00DE108C" w:rsidRDefault="00046BD5">
            <w:pPr>
              <w:pStyle w:val="TableText"/>
              <w:rPr>
                <w:szCs w:val="16"/>
              </w:rPr>
            </w:pPr>
            <w:r w:rsidRPr="00DE108C">
              <w:rPr>
                <w:szCs w:val="16"/>
              </w:rPr>
              <w:t>2.0%</w:t>
            </w:r>
          </w:p>
        </w:tc>
        <w:tc>
          <w:tcPr>
            <w:tcW w:w="834" w:type="pct"/>
          </w:tcPr>
          <w:p w14:paraId="1B636662" w14:textId="77777777" w:rsidR="00046BD5" w:rsidRPr="00DE108C" w:rsidRDefault="00046BD5">
            <w:pPr>
              <w:pStyle w:val="TableText"/>
              <w:rPr>
                <w:szCs w:val="16"/>
              </w:rPr>
            </w:pPr>
            <w:r w:rsidRPr="00DE108C">
              <w:rPr>
                <w:szCs w:val="16"/>
              </w:rPr>
              <w:t>2.0%</w:t>
            </w:r>
          </w:p>
        </w:tc>
        <w:tc>
          <w:tcPr>
            <w:tcW w:w="832" w:type="pct"/>
          </w:tcPr>
          <w:p w14:paraId="4F5B7EDD" w14:textId="77777777" w:rsidR="00046BD5" w:rsidRPr="00DE108C" w:rsidRDefault="00046BD5">
            <w:pPr>
              <w:pStyle w:val="TableText"/>
              <w:rPr>
                <w:szCs w:val="16"/>
              </w:rPr>
            </w:pPr>
            <w:r w:rsidRPr="00DE108C">
              <w:rPr>
                <w:szCs w:val="16"/>
              </w:rPr>
              <w:t>2.0%</w:t>
            </w:r>
          </w:p>
        </w:tc>
      </w:tr>
      <w:tr w:rsidR="00556A0D" w:rsidRPr="00DE108C" w14:paraId="3CB1CCAD" w14:textId="77777777">
        <w:trPr>
          <w:cnfStyle w:val="000000010000" w:firstRow="0" w:lastRow="0" w:firstColumn="0" w:lastColumn="0" w:oddVBand="0" w:evenVBand="0" w:oddHBand="0" w:evenHBand="1" w:firstRowFirstColumn="0" w:firstRowLastColumn="0" w:lastRowFirstColumn="0" w:lastRowLastColumn="0"/>
          <w:cantSplit/>
        </w:trPr>
        <w:tc>
          <w:tcPr>
            <w:tcW w:w="833" w:type="pct"/>
          </w:tcPr>
          <w:p w14:paraId="2BA43576" w14:textId="77777777" w:rsidR="00046BD5" w:rsidRPr="00DE108C" w:rsidRDefault="00046BD5">
            <w:pPr>
              <w:pStyle w:val="TableText"/>
              <w:rPr>
                <w:szCs w:val="16"/>
              </w:rPr>
            </w:pPr>
            <w:r w:rsidRPr="00DE108C">
              <w:rPr>
                <w:szCs w:val="16"/>
              </w:rPr>
              <w:t>Opex efficiency</w:t>
            </w:r>
          </w:p>
        </w:tc>
        <w:tc>
          <w:tcPr>
            <w:tcW w:w="833" w:type="pct"/>
          </w:tcPr>
          <w:p w14:paraId="55A3B64C" w14:textId="77777777" w:rsidR="00046BD5" w:rsidRPr="00DE108C" w:rsidRDefault="00046BD5">
            <w:pPr>
              <w:pStyle w:val="TableText"/>
              <w:rPr>
                <w:szCs w:val="16"/>
              </w:rPr>
            </w:pPr>
            <w:r w:rsidRPr="00DE108C">
              <w:rPr>
                <w:szCs w:val="16"/>
              </w:rPr>
              <w:t>2.0%</w:t>
            </w:r>
          </w:p>
        </w:tc>
        <w:tc>
          <w:tcPr>
            <w:tcW w:w="834" w:type="pct"/>
          </w:tcPr>
          <w:p w14:paraId="049577ED" w14:textId="77777777" w:rsidR="00046BD5" w:rsidRPr="00DE108C" w:rsidRDefault="00046BD5">
            <w:pPr>
              <w:pStyle w:val="TableText"/>
              <w:rPr>
                <w:szCs w:val="16"/>
              </w:rPr>
            </w:pPr>
            <w:r w:rsidRPr="00DE108C">
              <w:rPr>
                <w:szCs w:val="16"/>
              </w:rPr>
              <w:t>2.0%</w:t>
            </w:r>
          </w:p>
        </w:tc>
        <w:tc>
          <w:tcPr>
            <w:tcW w:w="834" w:type="pct"/>
          </w:tcPr>
          <w:p w14:paraId="75266B4D" w14:textId="77777777" w:rsidR="00046BD5" w:rsidRPr="00DE108C" w:rsidRDefault="00046BD5">
            <w:pPr>
              <w:pStyle w:val="TableText"/>
              <w:rPr>
                <w:szCs w:val="16"/>
              </w:rPr>
            </w:pPr>
            <w:r w:rsidRPr="00DE108C">
              <w:rPr>
                <w:szCs w:val="16"/>
              </w:rPr>
              <w:t>2.0%</w:t>
            </w:r>
          </w:p>
        </w:tc>
        <w:tc>
          <w:tcPr>
            <w:tcW w:w="834" w:type="pct"/>
          </w:tcPr>
          <w:p w14:paraId="5DEF6F9E" w14:textId="77777777" w:rsidR="00046BD5" w:rsidRPr="00DE108C" w:rsidRDefault="00046BD5">
            <w:pPr>
              <w:pStyle w:val="TableText"/>
              <w:rPr>
                <w:szCs w:val="16"/>
              </w:rPr>
            </w:pPr>
            <w:r w:rsidRPr="00DE108C">
              <w:rPr>
                <w:szCs w:val="16"/>
              </w:rPr>
              <w:t>2.0%</w:t>
            </w:r>
          </w:p>
        </w:tc>
        <w:tc>
          <w:tcPr>
            <w:tcW w:w="832" w:type="pct"/>
          </w:tcPr>
          <w:p w14:paraId="4599E9F9" w14:textId="77777777" w:rsidR="00046BD5" w:rsidRPr="00DE108C" w:rsidRDefault="00046BD5">
            <w:pPr>
              <w:pStyle w:val="TableText"/>
              <w:rPr>
                <w:szCs w:val="16"/>
              </w:rPr>
            </w:pPr>
            <w:r w:rsidRPr="00DE108C">
              <w:rPr>
                <w:szCs w:val="16"/>
              </w:rPr>
              <w:t>2.0%</w:t>
            </w:r>
          </w:p>
        </w:tc>
      </w:tr>
      <w:tr w:rsidR="00046BD5" w:rsidRPr="00DE108C" w14:paraId="425CDE47" w14:textId="77777777">
        <w:trPr>
          <w:cantSplit/>
        </w:trPr>
        <w:tc>
          <w:tcPr>
            <w:tcW w:w="833" w:type="pct"/>
          </w:tcPr>
          <w:p w14:paraId="0C05CCD0" w14:textId="77777777" w:rsidR="00046BD5" w:rsidRPr="00DE108C" w:rsidRDefault="00046BD5">
            <w:pPr>
              <w:pStyle w:val="TableText"/>
              <w:rPr>
                <w:szCs w:val="16"/>
              </w:rPr>
            </w:pPr>
            <w:r w:rsidRPr="00DE108C">
              <w:rPr>
                <w:szCs w:val="16"/>
              </w:rPr>
              <w:t>Net efficiency (Growth – Opex)</w:t>
            </w:r>
          </w:p>
        </w:tc>
        <w:tc>
          <w:tcPr>
            <w:tcW w:w="833" w:type="pct"/>
          </w:tcPr>
          <w:p w14:paraId="558EF15F" w14:textId="77777777" w:rsidR="00046BD5" w:rsidRPr="00DE108C" w:rsidRDefault="00046BD5">
            <w:pPr>
              <w:pStyle w:val="TableText"/>
              <w:rPr>
                <w:szCs w:val="16"/>
              </w:rPr>
            </w:pPr>
            <w:r w:rsidRPr="00DE108C">
              <w:rPr>
                <w:szCs w:val="16"/>
              </w:rPr>
              <w:t>0.0%</w:t>
            </w:r>
          </w:p>
        </w:tc>
        <w:tc>
          <w:tcPr>
            <w:tcW w:w="834" w:type="pct"/>
          </w:tcPr>
          <w:p w14:paraId="67CEB0FC" w14:textId="77777777" w:rsidR="00046BD5" w:rsidRPr="00DE108C" w:rsidRDefault="00046BD5">
            <w:pPr>
              <w:pStyle w:val="TableText"/>
              <w:rPr>
                <w:szCs w:val="16"/>
              </w:rPr>
            </w:pPr>
            <w:r w:rsidRPr="00DE108C">
              <w:rPr>
                <w:szCs w:val="16"/>
              </w:rPr>
              <w:t>0.0%</w:t>
            </w:r>
          </w:p>
        </w:tc>
        <w:tc>
          <w:tcPr>
            <w:tcW w:w="834" w:type="pct"/>
          </w:tcPr>
          <w:p w14:paraId="7F68ADD4" w14:textId="77777777" w:rsidR="00046BD5" w:rsidRPr="00DE108C" w:rsidRDefault="00046BD5">
            <w:pPr>
              <w:pStyle w:val="TableText"/>
              <w:rPr>
                <w:szCs w:val="16"/>
              </w:rPr>
            </w:pPr>
            <w:r w:rsidRPr="00DE108C">
              <w:rPr>
                <w:szCs w:val="16"/>
              </w:rPr>
              <w:t>0.0%</w:t>
            </w:r>
          </w:p>
        </w:tc>
        <w:tc>
          <w:tcPr>
            <w:tcW w:w="834" w:type="pct"/>
          </w:tcPr>
          <w:p w14:paraId="6DE188A3" w14:textId="77777777" w:rsidR="00046BD5" w:rsidRPr="00DE108C" w:rsidRDefault="00046BD5">
            <w:pPr>
              <w:pStyle w:val="TableText"/>
              <w:rPr>
                <w:szCs w:val="16"/>
              </w:rPr>
            </w:pPr>
            <w:r w:rsidRPr="00DE108C">
              <w:rPr>
                <w:szCs w:val="16"/>
              </w:rPr>
              <w:t>0.0%</w:t>
            </w:r>
          </w:p>
        </w:tc>
        <w:tc>
          <w:tcPr>
            <w:tcW w:w="832" w:type="pct"/>
          </w:tcPr>
          <w:p w14:paraId="0043C157" w14:textId="77777777" w:rsidR="00046BD5" w:rsidRPr="00DE108C" w:rsidRDefault="00046BD5">
            <w:pPr>
              <w:pStyle w:val="TableText"/>
              <w:rPr>
                <w:szCs w:val="16"/>
              </w:rPr>
            </w:pPr>
            <w:r w:rsidRPr="00DE108C">
              <w:rPr>
                <w:szCs w:val="16"/>
              </w:rPr>
              <w:t>0.0%</w:t>
            </w:r>
          </w:p>
        </w:tc>
      </w:tr>
    </w:tbl>
    <w:p w14:paraId="7FC8220E" w14:textId="77777777" w:rsidR="00046BD5" w:rsidRPr="00DE108C" w:rsidRDefault="00046BD5" w:rsidP="00ED094E">
      <w:bookmarkStart w:id="666" w:name="_Toc196745252"/>
    </w:p>
    <w:bookmarkEnd w:id="666"/>
    <w:p w14:paraId="3BCF80A0" w14:textId="74C9A9A8" w:rsidR="00046BD5" w:rsidRPr="00DE108C" w:rsidRDefault="00046BD5">
      <w:pPr>
        <w:pStyle w:val="Heading4"/>
      </w:pPr>
      <w:r w:rsidRPr="00DE108C">
        <w:t>7.3.1.1 Operating expenditure growth</w:t>
      </w:r>
    </w:p>
    <w:p w14:paraId="2286589D" w14:textId="03660486" w:rsidR="00046BD5" w:rsidRPr="00DE108C" w:rsidRDefault="00046BD5" w:rsidP="00ED094E">
      <w:pPr>
        <w:pStyle w:val="BodyText"/>
      </w:pPr>
      <w:r w:rsidRPr="00DE108C">
        <w:t xml:space="preserve">The proposed controllable </w:t>
      </w:r>
      <w:r w:rsidR="77A01557">
        <w:t>opex</w:t>
      </w:r>
      <w:r w:rsidRPr="00DE108C">
        <w:t xml:space="preserve"> growth rates for all service categories is based on forecast growth in residential customer connections. This retains the approach used to determine growth rates in the current determination.</w:t>
      </w:r>
    </w:p>
    <w:p w14:paraId="17023463" w14:textId="2FA9727E" w:rsidR="00046BD5" w:rsidRPr="00DE108C" w:rsidRDefault="00046BD5">
      <w:pPr>
        <w:pStyle w:val="BodyText"/>
        <w:rPr>
          <w:szCs w:val="22"/>
        </w:rPr>
      </w:pPr>
      <w:r w:rsidRPr="00DE108C">
        <w:t xml:space="preserve">The customer connection forecast has been developed using the </w:t>
      </w:r>
      <w:r w:rsidR="00BF09C4">
        <w:t xml:space="preserve">data provided by the </w:t>
      </w:r>
      <w:r w:rsidRPr="00401F9E">
        <w:t xml:space="preserve">Victorian Government </w:t>
      </w:r>
      <w:r w:rsidRPr="00DE108C">
        <w:t>Department of Transport and Planning</w:t>
      </w:r>
      <w:r w:rsidR="00602E15">
        <w:t xml:space="preserve"> in 2025</w:t>
      </w:r>
      <w:r w:rsidRPr="00DE108C">
        <w:t>. This source has also been adopted for our demand forecasts</w:t>
      </w:r>
      <w:r w:rsidR="00602E15">
        <w:t>. Further detail is included in</w:t>
      </w:r>
      <w:r w:rsidRPr="00DE108C">
        <w:rPr>
          <w:szCs w:val="22"/>
        </w:rPr>
        <w:t xml:space="preserve"> Chapter 10 </w:t>
      </w:r>
      <w:r w:rsidR="56412D48">
        <w:t>(</w:t>
      </w:r>
      <w:r w:rsidRPr="00DE108C">
        <w:rPr>
          <w:szCs w:val="22"/>
        </w:rPr>
        <w:t>Demand</w:t>
      </w:r>
      <w:r w:rsidR="2DD9E1ED">
        <w:t>)</w:t>
      </w:r>
      <w:r>
        <w:t>.</w:t>
      </w:r>
    </w:p>
    <w:p w14:paraId="4AA07A07" w14:textId="328A8EA9" w:rsidR="00046BD5" w:rsidRPr="00DE108C" w:rsidRDefault="00046BD5" w:rsidP="00ED094E">
      <w:pPr>
        <w:pStyle w:val="BodyText"/>
      </w:pPr>
      <w:r w:rsidRPr="00DE108C">
        <w:t xml:space="preserve">Historically, growth in residential customer connections has been shown to have a strong relationship with </w:t>
      </w:r>
      <w:r w:rsidR="218EF356">
        <w:t xml:space="preserve">opex </w:t>
      </w:r>
      <w:r w:rsidRPr="00DE108C">
        <w:t xml:space="preserve">growth across our services. </w:t>
      </w:r>
    </w:p>
    <w:p w14:paraId="09764400" w14:textId="0BBDC371" w:rsidR="00046BD5" w:rsidRPr="00DE108C" w:rsidRDefault="00046BD5" w:rsidP="00ED094E">
      <w:pPr>
        <w:pStyle w:val="Heading5"/>
      </w:pPr>
      <w:r w:rsidRPr="00DE108C">
        <w:lastRenderedPageBreak/>
        <w:t>Evidence of the relationship between customer and operating expenditure growth</w:t>
      </w:r>
    </w:p>
    <w:p w14:paraId="191B653B" w14:textId="77777777" w:rsidR="00046BD5" w:rsidRPr="00DE108C" w:rsidRDefault="00046BD5" w:rsidP="00ED094E">
      <w:pPr>
        <w:pStyle w:val="BodyText"/>
      </w:pPr>
      <w:r w:rsidRPr="00DE108C">
        <w:t>We have re-examined the relationship between customer and operating expenditure growth for bulk water and sewerage services and for waterways and drainage services using historical data.</w:t>
      </w:r>
    </w:p>
    <w:p w14:paraId="4B0748DF" w14:textId="51D5DF09" w:rsidR="00046BD5" w:rsidRPr="00DE108C" w:rsidRDefault="00046BD5" w:rsidP="00ED094E">
      <w:pPr>
        <w:pStyle w:val="BodyText"/>
      </w:pPr>
      <w:r w:rsidRPr="00DE108C">
        <w:t xml:space="preserve">While it would be preferable to use a long time series for this analysis, the COVID-19 period has caused a significant break in the data series that has impacted both the customer connection and </w:t>
      </w:r>
      <w:r w:rsidR="007970CD">
        <w:t>ope</w:t>
      </w:r>
      <w:r w:rsidR="225B13EE">
        <w:t>x</w:t>
      </w:r>
      <w:r w:rsidRPr="00DE108C">
        <w:t xml:space="preserve"> time series. </w:t>
      </w:r>
    </w:p>
    <w:p w14:paraId="718374F1" w14:textId="4F0755B9" w:rsidR="00046BD5" w:rsidRPr="00DE108C" w:rsidRDefault="00046BD5" w:rsidP="00ED094E">
      <w:pPr>
        <w:pStyle w:val="BodyText"/>
      </w:pPr>
      <w:r w:rsidRPr="00DE108C">
        <w:t xml:space="preserve">As a result, we have examined the relationship based on historical data from 2019-20 to 2024-25 – this is summarised in Box </w:t>
      </w:r>
      <w:r w:rsidR="47E16C98" w:rsidRPr="00DE108C">
        <w:t>7.</w:t>
      </w:r>
      <w:r w:rsidRPr="00DE108C">
        <w:t>1. The evidence from this five</w:t>
      </w:r>
      <w:r w:rsidR="2ECD82DF" w:rsidRPr="00DE108C">
        <w:t>-</w:t>
      </w:r>
      <w:r w:rsidRPr="00DE108C">
        <w:t xml:space="preserve">year period </w:t>
      </w:r>
      <w:r w:rsidR="45382BD8">
        <w:t>shows</w:t>
      </w:r>
      <w:r w:rsidRPr="00DE108C">
        <w:t xml:space="preserve"> that residential customer connection growth may be a conservative measure of growth in </w:t>
      </w:r>
      <w:r w:rsidR="4D6AE19B">
        <w:t>opex</w:t>
      </w:r>
      <w:r>
        <w:t>.</w:t>
      </w:r>
      <w:r w:rsidRPr="00DE108C">
        <w:t xml:space="preserve"> Average annual customer growth was 2.0 per cent</w:t>
      </w:r>
      <w:r w:rsidR="364E61FE">
        <w:t>,</w:t>
      </w:r>
      <w:r w:rsidRPr="00DE108C">
        <w:t xml:space="preserve"> while average annual </w:t>
      </w:r>
      <w:r w:rsidR="501C81D2">
        <w:t>opex</w:t>
      </w:r>
      <w:r w:rsidRPr="00DE108C">
        <w:t xml:space="preserve"> growth was over 3 per cent (including or excluding corporate costs).</w:t>
      </w:r>
      <w:r w:rsidRPr="00DE108C">
        <w:rPr>
          <w:rStyle w:val="FootnoteReference"/>
        </w:rPr>
        <w:footnoteReference w:id="23"/>
      </w:r>
      <w:r w:rsidRPr="00DE108C">
        <w:t xml:space="preserve"> </w:t>
      </w:r>
    </w:p>
    <w:p w14:paraId="5B2A2AE6" w14:textId="6AD08AAD" w:rsidR="00046BD5" w:rsidRPr="00DE108C" w:rsidRDefault="00046BD5" w:rsidP="00ED094E">
      <w:pPr>
        <w:pStyle w:val="BodyText"/>
      </w:pPr>
      <w:r w:rsidRPr="00DE108C">
        <w:t xml:space="preserve">Given the simplicity and necessary limitations to the current time series analysis and our willingness to take on the risk that the chosen growth factor underestimates the true drivers of </w:t>
      </w:r>
      <w:r w:rsidR="061F8D32">
        <w:t>opex</w:t>
      </w:r>
      <w:r w:rsidRPr="00DE108C">
        <w:t xml:space="preserve"> growth, maintaining the conservative customer connection growth factor is proposed.</w:t>
      </w:r>
    </w:p>
    <w:p w14:paraId="7BBCA260" w14:textId="207BD354" w:rsidR="00046BD5" w:rsidRPr="00DE108C" w:rsidRDefault="00046BD5" w:rsidP="00ED094E">
      <w:pPr>
        <w:pStyle w:val="BodyText"/>
      </w:pPr>
      <w:r w:rsidRPr="00DE108C">
        <w:t xml:space="preserve">We note this also aligns with the approach taken by other water corporations, </w:t>
      </w:r>
      <w:r w:rsidR="73436A95" w:rsidRPr="00DE108C">
        <w:t>that</w:t>
      </w:r>
      <w:r w:rsidRPr="00DE108C">
        <w:t xml:space="preserve"> have also adopted the customer connections growth rate as the appropriate </w:t>
      </w:r>
      <w:r w:rsidR="4FAD589F" w:rsidRPr="00DE108C">
        <w:t xml:space="preserve">opex </w:t>
      </w:r>
      <w:r w:rsidRPr="00DE108C">
        <w:t>growth factor, and this has been accepted by the ESC.</w:t>
      </w:r>
      <w:r w:rsidRPr="5E0DE76D">
        <w:rPr>
          <w:rStyle w:val="FootnoteReference"/>
          <w:rFonts w:eastAsiaTheme="minorEastAsia"/>
        </w:rPr>
        <w:footnoteReference w:id="24"/>
      </w:r>
    </w:p>
    <w:p w14:paraId="0EAE4180" w14:textId="77777777" w:rsidR="00046BD5" w:rsidRPr="00DE108C" w:rsidRDefault="00046BD5" w:rsidP="00ED094E">
      <w:pPr>
        <w:spacing w:before="0" w:after="160" w:line="259" w:lineRule="auto"/>
      </w:pPr>
      <w:r w:rsidRPr="00DE108C">
        <w:br w:type="page"/>
      </w:r>
    </w:p>
    <w:p w14:paraId="4E139275" w14:textId="4C11BA5B" w:rsidR="00046BD5" w:rsidRDefault="00046BD5" w:rsidP="00ED094E">
      <w:pPr>
        <w:pStyle w:val="Caption"/>
      </w:pPr>
      <w:bookmarkStart w:id="667" w:name="_Toc207893053"/>
      <w:bookmarkStart w:id="668" w:name="_Toc208490577"/>
      <w:bookmarkStart w:id="669" w:name="_Toc208490915"/>
      <w:bookmarkStart w:id="670" w:name="_Toc208911073"/>
      <w:bookmarkStart w:id="671" w:name="_Toc210051379"/>
      <w:r w:rsidRPr="00DE108C">
        <w:lastRenderedPageBreak/>
        <w:t xml:space="preserve">Box </w:t>
      </w:r>
      <w:r w:rsidR="381C1842" w:rsidRPr="00DE108C">
        <w:t>7.</w:t>
      </w:r>
      <w:r w:rsidR="004F6718">
        <w:fldChar w:fldCharType="begin"/>
      </w:r>
      <w:r w:rsidR="004F6718">
        <w:instrText xml:space="preserve"> SEQ Box \* ARABIC </w:instrText>
      </w:r>
      <w:r w:rsidR="004F6718">
        <w:fldChar w:fldCharType="separate"/>
      </w:r>
      <w:r w:rsidR="002259B0">
        <w:rPr>
          <w:noProof/>
        </w:rPr>
        <w:t>1</w:t>
      </w:r>
      <w:r w:rsidR="004F6718">
        <w:rPr>
          <w:noProof/>
        </w:rPr>
        <w:fldChar w:fldCharType="end"/>
      </w:r>
      <w:r w:rsidRPr="00DE108C">
        <w:t xml:space="preserve">: Customer connections and </w:t>
      </w:r>
      <w:r w:rsidR="367A2FFE">
        <w:t>opex</w:t>
      </w:r>
      <w:r w:rsidRPr="00DE108C">
        <w:t xml:space="preserve"> growth</w:t>
      </w:r>
      <w:bookmarkEnd w:id="667"/>
      <w:bookmarkEnd w:id="668"/>
      <w:bookmarkEnd w:id="669"/>
      <w:bookmarkEnd w:id="670"/>
      <w:bookmarkEnd w:id="671"/>
    </w:p>
    <w:p w14:paraId="4384A681" w14:textId="04643AA4" w:rsidR="00C8121C" w:rsidRPr="00C8121C" w:rsidRDefault="00C8121C" w:rsidP="00C8121C">
      <w:pPr>
        <w:pStyle w:val="BodyText"/>
        <w:rPr>
          <w:lang w:eastAsia="fr-CA"/>
        </w:rPr>
      </w:pPr>
      <w:r w:rsidRPr="00DE108C">
        <w:rPr>
          <w:noProof/>
        </w:rPr>
        <mc:AlternateContent>
          <mc:Choice Requires="wps">
            <w:drawing>
              <wp:inline distT="0" distB="0" distL="0" distR="0" wp14:anchorId="142A4DBE" wp14:editId="790DADF6">
                <wp:extent cx="6134100" cy="4975860"/>
                <wp:effectExtent l="0" t="0" r="19050" b="15240"/>
                <wp:docPr id="83097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34100" cy="4976037"/>
                        </a:xfrm>
                        <a:prstGeom prst="rect">
                          <a:avLst/>
                        </a:prstGeom>
                        <a:solidFill>
                          <a:schemeClr val="bg2"/>
                        </a:solidFill>
                        <a:ln w="9525">
                          <a:solidFill>
                            <a:srgbClr val="000000"/>
                          </a:solidFill>
                          <a:miter/>
                        </a:ln>
                      </wps:spPr>
                      <wps:txbx>
                        <w:txbxContent>
                          <w:p w14:paraId="52F480D3" w14:textId="77777777" w:rsidR="00C8121C" w:rsidRPr="00DE108C" w:rsidRDefault="00C8121C" w:rsidP="00C8121C">
                            <w:pPr>
                              <w:pStyle w:val="BodyText"/>
                              <w:rPr>
                                <w:b/>
                                <w:bCs/>
                              </w:rPr>
                            </w:pPr>
                            <w:r w:rsidRPr="00DE108C">
                              <w:rPr>
                                <w:b/>
                                <w:bCs/>
                              </w:rPr>
                              <w:t>Examining the relationship between customer connection and operating expenditure growth</w:t>
                            </w:r>
                          </w:p>
                          <w:p w14:paraId="08FEEFF4" w14:textId="77777777" w:rsidR="00C8121C" w:rsidRPr="00DE108C" w:rsidRDefault="00C8121C" w:rsidP="00C8121C">
                            <w:pPr>
                              <w:pStyle w:val="BodyText"/>
                            </w:pPr>
                            <w:r w:rsidRPr="00DE108C">
                              <w:t xml:space="preserve">Table 7.4 provides a comparison for the 2019-20 to 2024-25 period of: </w:t>
                            </w:r>
                          </w:p>
                          <w:p w14:paraId="37481A30" w14:textId="77777777" w:rsidR="00C8121C" w:rsidRPr="00DE108C" w:rsidRDefault="00C8121C" w:rsidP="00C8121C">
                            <w:pPr>
                              <w:pStyle w:val="ListBullet"/>
                            </w:pPr>
                            <w:r w:rsidRPr="00DE108C">
                              <w:t>Residential customer connection growth, measured by the compound annual growth rate (CAGR) over the period. The CAGR is used as it provides the mean annualised growth rate over the period and addresses any volatility in the time series</w:t>
                            </w:r>
                          </w:p>
                          <w:p w14:paraId="64218644" w14:textId="77777777" w:rsidR="00C8121C" w:rsidRPr="00DE108C" w:rsidRDefault="00C8121C" w:rsidP="00C8121C">
                            <w:pPr>
                              <w:pStyle w:val="ListBullet"/>
                            </w:pPr>
                            <w:r w:rsidRPr="00DE108C">
                              <w:t>Actual operating expenditure growth</w:t>
                            </w:r>
                            <w:r>
                              <w:t xml:space="preserve"> is also </w:t>
                            </w:r>
                            <w:r w:rsidRPr="00DE108C">
                              <w:t>measured by CAGR over the period. The expenditure growth is shown separately for bulk and waterways and drainage services and for all services combined. Also, to aid the analysis, a comparison is provided by different operating costs measures</w:t>
                            </w:r>
                            <w:r>
                              <w:t>,</w:t>
                            </w:r>
                            <w:r w:rsidRPr="00DE108C">
                              <w:t xml:space="preserve"> including:</w:t>
                            </w:r>
                          </w:p>
                          <w:p w14:paraId="7528CEF1" w14:textId="77777777" w:rsidR="00C8121C" w:rsidRPr="00DE108C" w:rsidRDefault="00C8121C" w:rsidP="00C8121C">
                            <w:pPr>
                              <w:pStyle w:val="ListBullet2"/>
                              <w:ind w:left="1363" w:hanging="360"/>
                            </w:pPr>
                            <w:r>
                              <w:t>t</w:t>
                            </w:r>
                            <w:r w:rsidRPr="00DE108C">
                              <w:t>otal operating expenditure</w:t>
                            </w:r>
                          </w:p>
                          <w:p w14:paraId="3997F780" w14:textId="77777777" w:rsidR="00C8121C" w:rsidRPr="00DE108C" w:rsidRDefault="00C8121C" w:rsidP="00C8121C">
                            <w:pPr>
                              <w:pStyle w:val="ListBullet2"/>
                              <w:ind w:left="1363" w:hanging="360"/>
                            </w:pPr>
                            <w:r>
                              <w:t>t</w:t>
                            </w:r>
                            <w:r w:rsidRPr="00DE108C">
                              <w:t xml:space="preserve">otal excluding corporate operating expenditure, as a means of excluding potential one-off costs. </w:t>
                            </w:r>
                          </w:p>
                          <w:p w14:paraId="15FEBE66" w14:textId="77777777" w:rsidR="00C8121C" w:rsidRPr="00DE108C" w:rsidRDefault="00C8121C" w:rsidP="00C8121C">
                            <w:pPr>
                              <w:pStyle w:val="Caption"/>
                            </w:pPr>
                            <w:bookmarkStart w:id="672" w:name="_Toc207893054"/>
                            <w:bookmarkStart w:id="673" w:name="_Toc208490578"/>
                            <w:bookmarkStart w:id="674" w:name="_Toc208490916"/>
                            <w:bookmarkStart w:id="675" w:name="_Toc208911074"/>
                            <w:bookmarkStart w:id="676" w:name="_Toc209536327"/>
                            <w:bookmarkStart w:id="677" w:name="_Toc210051380"/>
                            <w:r w:rsidRPr="00DE108C">
                              <w:t xml:space="preserve">Table 7.4: 2019-20 to 2024-25 customer connection and </w:t>
                            </w:r>
                            <w:r>
                              <w:t>opex</w:t>
                            </w:r>
                            <w:r w:rsidRPr="00DE108C">
                              <w:t xml:space="preserve"> CAGR</w:t>
                            </w:r>
                            <w:bookmarkEnd w:id="672"/>
                            <w:bookmarkEnd w:id="673"/>
                            <w:bookmarkEnd w:id="674"/>
                            <w:bookmarkEnd w:id="675"/>
                            <w:bookmarkEnd w:id="676"/>
                            <w:bookmarkEnd w:id="677"/>
                          </w:p>
                          <w:tbl>
                            <w:tblPr>
                              <w:tblStyle w:val="MWTableGrid"/>
                              <w:tblW w:w="5000" w:type="pct"/>
                              <w:tblLayout w:type="fixed"/>
                              <w:tblLook w:val="0420" w:firstRow="1" w:lastRow="0" w:firstColumn="0" w:lastColumn="0" w:noHBand="0" w:noVBand="1"/>
                            </w:tblPr>
                            <w:tblGrid>
                              <w:gridCol w:w="2340"/>
                              <w:gridCol w:w="2341"/>
                              <w:gridCol w:w="2341"/>
                              <w:gridCol w:w="2341"/>
                            </w:tblGrid>
                            <w:tr w:rsidR="00C8121C" w:rsidRPr="00DE108C" w14:paraId="036F70BA" w14:textId="77777777">
                              <w:trPr>
                                <w:cnfStyle w:val="100000000000" w:firstRow="1" w:lastRow="0" w:firstColumn="0" w:lastColumn="0" w:oddVBand="0" w:evenVBand="0" w:oddHBand="0" w:evenHBand="0" w:firstRowFirstColumn="0" w:firstRowLastColumn="0" w:lastRowFirstColumn="0" w:lastRowLastColumn="0"/>
                              </w:trPr>
                              <w:tc>
                                <w:tcPr>
                                  <w:tcW w:w="1250" w:type="pct"/>
                                </w:tcPr>
                                <w:p w14:paraId="68DAFAD0" w14:textId="77777777" w:rsidR="00C8121C" w:rsidRPr="00DE108C" w:rsidRDefault="00C8121C">
                                  <w:pPr>
                                    <w:pStyle w:val="TableHeading"/>
                                    <w:rPr>
                                      <w:szCs w:val="16"/>
                                    </w:rPr>
                                  </w:pPr>
                                  <w:r w:rsidRPr="00DE108C">
                                    <w:rPr>
                                      <w:szCs w:val="16"/>
                                    </w:rPr>
                                    <w:t xml:space="preserve">Residential customer connections </w:t>
                                  </w:r>
                                </w:p>
                              </w:tc>
                              <w:tc>
                                <w:tcPr>
                                  <w:tcW w:w="1250" w:type="pct"/>
                                </w:tcPr>
                                <w:p w14:paraId="33D4DA66" w14:textId="77777777" w:rsidR="00C8121C" w:rsidRPr="00DE108C" w:rsidRDefault="00C8121C">
                                  <w:pPr>
                                    <w:pStyle w:val="TableHeading"/>
                                    <w:rPr>
                                      <w:szCs w:val="16"/>
                                    </w:rPr>
                                  </w:pPr>
                                  <w:r w:rsidRPr="00DE108C">
                                    <w:rPr>
                                      <w:szCs w:val="16"/>
                                    </w:rPr>
                                    <w:t xml:space="preserve">Water and sewerage </w:t>
                                  </w:r>
                                </w:p>
                              </w:tc>
                              <w:tc>
                                <w:tcPr>
                                  <w:tcW w:w="1250" w:type="pct"/>
                                </w:tcPr>
                                <w:p w14:paraId="07CB56EC" w14:textId="77777777" w:rsidR="00C8121C" w:rsidRPr="00DE108C" w:rsidRDefault="00C8121C">
                                  <w:pPr>
                                    <w:pStyle w:val="TableHeading"/>
                                    <w:rPr>
                                      <w:szCs w:val="16"/>
                                    </w:rPr>
                                  </w:pPr>
                                  <w:r w:rsidRPr="00DE108C">
                                    <w:rPr>
                                      <w:szCs w:val="16"/>
                                    </w:rPr>
                                    <w:t xml:space="preserve">Waterways and drainage </w:t>
                                  </w:r>
                                </w:p>
                              </w:tc>
                              <w:tc>
                                <w:tcPr>
                                  <w:tcW w:w="1250" w:type="pct"/>
                                </w:tcPr>
                                <w:p w14:paraId="1ED24360" w14:textId="77777777" w:rsidR="00C8121C" w:rsidRPr="00DE108C" w:rsidRDefault="00C8121C">
                                  <w:pPr>
                                    <w:pStyle w:val="TableHeading"/>
                                    <w:rPr>
                                      <w:szCs w:val="16"/>
                                    </w:rPr>
                                  </w:pPr>
                                  <w:r w:rsidRPr="00DE108C">
                                    <w:rPr>
                                      <w:szCs w:val="16"/>
                                    </w:rPr>
                                    <w:t>All services</w:t>
                                  </w:r>
                                </w:p>
                              </w:tc>
                            </w:tr>
                            <w:tr w:rsidR="00C8121C" w:rsidRPr="00DE108C" w14:paraId="4E00DEED" w14:textId="77777777">
                              <w:tc>
                                <w:tcPr>
                                  <w:tcW w:w="1250" w:type="pct"/>
                                </w:tcPr>
                                <w:p w14:paraId="6544418C" w14:textId="77777777" w:rsidR="00C8121C" w:rsidRPr="00DE108C" w:rsidRDefault="00C8121C">
                                  <w:pPr>
                                    <w:pStyle w:val="TableText"/>
                                    <w:rPr>
                                      <w:szCs w:val="16"/>
                                    </w:rPr>
                                  </w:pPr>
                                  <w:r w:rsidRPr="00DE108C">
                                    <w:rPr>
                                      <w:b/>
                                      <w:bCs/>
                                      <w:szCs w:val="16"/>
                                    </w:rPr>
                                    <w:t>2.0%</w:t>
                                  </w:r>
                                </w:p>
                              </w:tc>
                              <w:tc>
                                <w:tcPr>
                                  <w:tcW w:w="1250" w:type="pct"/>
                                </w:tcPr>
                                <w:p w14:paraId="0693779F" w14:textId="77777777" w:rsidR="00C8121C" w:rsidRPr="00DE108C" w:rsidRDefault="00C8121C">
                                  <w:pPr>
                                    <w:pStyle w:val="TableText"/>
                                    <w:rPr>
                                      <w:szCs w:val="16"/>
                                    </w:rPr>
                                  </w:pPr>
                                  <w:r w:rsidRPr="00DE108C">
                                    <w:rPr>
                                      <w:szCs w:val="16"/>
                                    </w:rPr>
                                    <w:t xml:space="preserve">Total opex: </w:t>
                                  </w:r>
                                  <w:r w:rsidRPr="00DE108C">
                                    <w:rPr>
                                      <w:b/>
                                      <w:bCs/>
                                      <w:szCs w:val="16"/>
                                    </w:rPr>
                                    <w:t>2.4%</w:t>
                                  </w:r>
                                  <w:r w:rsidRPr="00DE108C">
                                    <w:rPr>
                                      <w:szCs w:val="16"/>
                                    </w:rPr>
                                    <w:t xml:space="preserve"> </w:t>
                                  </w:r>
                                </w:p>
                                <w:p w14:paraId="6260C77B" w14:textId="77777777" w:rsidR="00C8121C" w:rsidRPr="00DE108C" w:rsidRDefault="00C8121C">
                                  <w:pPr>
                                    <w:pStyle w:val="TableText"/>
                                    <w:rPr>
                                      <w:szCs w:val="16"/>
                                    </w:rPr>
                                  </w:pPr>
                                  <w:r w:rsidRPr="00DE108C">
                                    <w:rPr>
                                      <w:szCs w:val="16"/>
                                    </w:rPr>
                                    <w:t xml:space="preserve">Total excluding corporate opex: </w:t>
                                  </w:r>
                                  <w:r w:rsidRPr="00DE108C">
                                    <w:rPr>
                                      <w:b/>
                                      <w:bCs/>
                                      <w:szCs w:val="16"/>
                                    </w:rPr>
                                    <w:t>1.5%</w:t>
                                  </w:r>
                                  <w:r w:rsidRPr="00DE108C">
                                    <w:rPr>
                                      <w:szCs w:val="16"/>
                                    </w:rPr>
                                    <w:t xml:space="preserve"> </w:t>
                                  </w:r>
                                </w:p>
                              </w:tc>
                              <w:tc>
                                <w:tcPr>
                                  <w:tcW w:w="1250" w:type="pct"/>
                                </w:tcPr>
                                <w:p w14:paraId="35D1A6C8" w14:textId="77777777" w:rsidR="00C8121C" w:rsidRPr="00DE108C" w:rsidRDefault="00C8121C">
                                  <w:pPr>
                                    <w:pStyle w:val="TableText"/>
                                    <w:rPr>
                                      <w:szCs w:val="16"/>
                                    </w:rPr>
                                  </w:pPr>
                                  <w:r w:rsidRPr="00DE108C">
                                    <w:rPr>
                                      <w:szCs w:val="16"/>
                                    </w:rPr>
                                    <w:t xml:space="preserve">Total opex: </w:t>
                                  </w:r>
                                  <w:r w:rsidRPr="00DE108C">
                                    <w:rPr>
                                      <w:b/>
                                      <w:bCs/>
                                      <w:szCs w:val="16"/>
                                    </w:rPr>
                                    <w:t>4.2%</w:t>
                                  </w:r>
                                </w:p>
                                <w:p w14:paraId="46F80C1D" w14:textId="77777777" w:rsidR="00C8121C" w:rsidRPr="00DE108C" w:rsidRDefault="00C8121C">
                                  <w:pPr>
                                    <w:pStyle w:val="TableText"/>
                                    <w:rPr>
                                      <w:szCs w:val="16"/>
                                    </w:rPr>
                                  </w:pPr>
                                  <w:r w:rsidRPr="00DE108C">
                                    <w:rPr>
                                      <w:szCs w:val="16"/>
                                    </w:rPr>
                                    <w:t xml:space="preserve">Total excluding corporate opex: </w:t>
                                  </w:r>
                                  <w:r w:rsidRPr="00DE108C">
                                    <w:rPr>
                                      <w:b/>
                                      <w:bCs/>
                                      <w:szCs w:val="16"/>
                                    </w:rPr>
                                    <w:t>4.3%</w:t>
                                  </w:r>
                                </w:p>
                              </w:tc>
                              <w:tc>
                                <w:tcPr>
                                  <w:tcW w:w="1250" w:type="pct"/>
                                </w:tcPr>
                                <w:p w14:paraId="34F59CFC" w14:textId="77777777" w:rsidR="00C8121C" w:rsidRPr="00DE108C" w:rsidRDefault="00C8121C">
                                  <w:pPr>
                                    <w:pStyle w:val="TableText"/>
                                    <w:rPr>
                                      <w:szCs w:val="16"/>
                                    </w:rPr>
                                  </w:pPr>
                                  <w:r w:rsidRPr="00DE108C">
                                    <w:rPr>
                                      <w:szCs w:val="16"/>
                                    </w:rPr>
                                    <w:t xml:space="preserve">Total opex: </w:t>
                                  </w:r>
                                  <w:r w:rsidRPr="00DE108C">
                                    <w:rPr>
                                      <w:b/>
                                      <w:bCs/>
                                      <w:szCs w:val="16"/>
                                    </w:rPr>
                                    <w:t>3.5%</w:t>
                                  </w:r>
                                </w:p>
                                <w:p w14:paraId="4D945154" w14:textId="77777777" w:rsidR="00C8121C" w:rsidRPr="00DE108C" w:rsidRDefault="00C8121C">
                                  <w:pPr>
                                    <w:pStyle w:val="TableText"/>
                                    <w:rPr>
                                      <w:szCs w:val="16"/>
                                    </w:rPr>
                                  </w:pPr>
                                  <w:r w:rsidRPr="00DE108C">
                                    <w:rPr>
                                      <w:szCs w:val="16"/>
                                    </w:rPr>
                                    <w:t xml:space="preserve">Total excluding corporate opex: </w:t>
                                  </w:r>
                                  <w:r w:rsidRPr="00DE108C">
                                    <w:rPr>
                                      <w:b/>
                                      <w:bCs/>
                                      <w:szCs w:val="16"/>
                                    </w:rPr>
                                    <w:t>3.1%</w:t>
                                  </w:r>
                                </w:p>
                              </w:tc>
                            </w:tr>
                          </w:tbl>
                          <w:p w14:paraId="12751B05" w14:textId="77777777" w:rsidR="00C8121C" w:rsidRDefault="00C8121C" w:rsidP="00C8121C">
                            <w:pPr>
                              <w:spacing w:line="276" w:lineRule="auto"/>
                              <w:rPr>
                                <w:rFonts w:ascii="Verdana" w:eastAsia="Verdana" w:hAnsi="Verdana"/>
                              </w:rPr>
                            </w:pPr>
                            <w:r w:rsidRPr="00DE108C">
                              <w:t>This shows that average annual opex growth is generally higher than average annual customer connection growth over the same period</w:t>
                            </w:r>
                            <w:r>
                              <w:t xml:space="preserve"> (2019-20 to 2024-25).</w:t>
                            </w:r>
                            <w:r w:rsidRPr="00DE108C">
                              <w:t xml:space="preserve"> For waterways and drainage</w:t>
                            </w:r>
                            <w:r>
                              <w:t>,</w:t>
                            </w:r>
                            <w:r w:rsidRPr="00DE108C">
                              <w:t xml:space="preserve"> there is a greater gap between average </w:t>
                            </w:r>
                            <w:r>
                              <w:t>opex</w:t>
                            </w:r>
                            <w:r w:rsidRPr="00DE108C">
                              <w:t xml:space="preserve"> growth and customer connection growth</w:t>
                            </w:r>
                          </w:p>
                        </w:txbxContent>
                      </wps:txbx>
                      <wps:bodyPr wrap="square" lIns="91440" tIns="45720" rIns="91440" bIns="45720" anchor="t">
                        <a:noAutofit/>
                      </wps:bodyPr>
                    </wps:wsp>
                  </a:graphicData>
                </a:graphic>
              </wp:inline>
            </w:drawing>
          </mc:Choice>
          <mc:Fallback>
            <w:pict>
              <v:rect w14:anchorId="142A4DBE" id="Text Box 2" o:spid="_x0000_s1049" style="width:483pt;height:39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" fillcolor="#eff5fb [3214]">
                <v:textbox>
                  <w:txbxContent>
                    <w:p w14:paraId="52F480D3" w14:textId="77777777" w:rsidR="00C8121C" w:rsidRPr="00DE108C" w:rsidRDefault="00C8121C" w:rsidP="00C8121C">
                      <w:pPr>
                        <w:pStyle w:val="BodyText"/>
                        <w:rPr>
                          <w:b/>
                          <w:bCs/>
                        </w:rPr>
                      </w:pPr>
                      <w:r w:rsidRPr="00DE108C">
                        <w:rPr>
                          <w:b/>
                          <w:bCs/>
                        </w:rPr>
                        <w:t>Examining the relationship between customer connection and operating expenditure growth</w:t>
                      </w:r>
                    </w:p>
                    <w:p w14:paraId="08FEEFF4" w14:textId="77777777" w:rsidR="00C8121C" w:rsidRPr="00DE108C" w:rsidRDefault="00C8121C" w:rsidP="00C8121C">
                      <w:pPr>
                        <w:pStyle w:val="BodyText"/>
                      </w:pPr>
                      <w:r w:rsidRPr="00DE108C">
                        <w:t xml:space="preserve">Table 7.4 provides a comparison for the 2019-20 to 2024-25 period of: </w:t>
                      </w:r>
                    </w:p>
                    <w:p w14:paraId="37481A30" w14:textId="77777777" w:rsidR="00C8121C" w:rsidRPr="00DE108C" w:rsidRDefault="00C8121C" w:rsidP="00C8121C">
                      <w:pPr>
                        <w:pStyle w:val="ListBullet"/>
                      </w:pPr>
                      <w:r w:rsidRPr="00DE108C">
                        <w:t>Residential customer connection growth, measured by the compound annual growth rate (CAGR) over the period. The CAGR is used as it provides the mean annualised growth rate over the period and addresses any volatility in the time series</w:t>
                      </w:r>
                    </w:p>
                    <w:p w14:paraId="64218644" w14:textId="77777777" w:rsidR="00C8121C" w:rsidRPr="00DE108C" w:rsidRDefault="00C8121C" w:rsidP="00C8121C">
                      <w:pPr>
                        <w:pStyle w:val="ListBullet"/>
                      </w:pPr>
                      <w:r w:rsidRPr="00DE108C">
                        <w:t>Actual operating expenditure growth</w:t>
                      </w:r>
                      <w:r>
                        <w:t xml:space="preserve"> is also </w:t>
                      </w:r>
                      <w:r w:rsidRPr="00DE108C">
                        <w:t>measured by CAGR over the period. The expenditure growth is shown separately for bulk and waterways and drainage services and for all services combined. Also, to aid the analysis, a comparison is provided by different operating costs measures</w:t>
                      </w:r>
                      <w:r>
                        <w:t>,</w:t>
                      </w:r>
                      <w:r w:rsidRPr="00DE108C">
                        <w:t xml:space="preserve"> including:</w:t>
                      </w:r>
                    </w:p>
                    <w:p w14:paraId="7528CEF1" w14:textId="77777777" w:rsidR="00C8121C" w:rsidRPr="00DE108C" w:rsidRDefault="00C8121C" w:rsidP="00C8121C">
                      <w:pPr>
                        <w:pStyle w:val="ListBullet2"/>
                        <w:ind w:left="1363" w:hanging="360"/>
                      </w:pPr>
                      <w:r>
                        <w:t>t</w:t>
                      </w:r>
                      <w:r w:rsidRPr="00DE108C">
                        <w:t>otal operating expenditure</w:t>
                      </w:r>
                    </w:p>
                    <w:p w14:paraId="3997F780" w14:textId="77777777" w:rsidR="00C8121C" w:rsidRPr="00DE108C" w:rsidRDefault="00C8121C" w:rsidP="00C8121C">
                      <w:pPr>
                        <w:pStyle w:val="ListBullet2"/>
                        <w:ind w:left="1363" w:hanging="360"/>
                      </w:pPr>
                      <w:r>
                        <w:t>t</w:t>
                      </w:r>
                      <w:r w:rsidRPr="00DE108C">
                        <w:t xml:space="preserve">otal excluding corporate operating expenditure, as a means of excluding potential one-off costs. </w:t>
                      </w:r>
                    </w:p>
                    <w:p w14:paraId="15FEBE66" w14:textId="77777777" w:rsidR="00C8121C" w:rsidRPr="00DE108C" w:rsidRDefault="00C8121C" w:rsidP="00C8121C">
                      <w:pPr>
                        <w:pStyle w:val="Caption"/>
                      </w:pPr>
                      <w:bookmarkStart w:id="678" w:name="_Toc207893054"/>
                      <w:bookmarkStart w:id="679" w:name="_Toc208490578"/>
                      <w:bookmarkStart w:id="680" w:name="_Toc208490916"/>
                      <w:bookmarkStart w:id="681" w:name="_Toc208911074"/>
                      <w:bookmarkStart w:id="682" w:name="_Toc209536327"/>
                      <w:bookmarkStart w:id="683" w:name="_Toc210051380"/>
                      <w:r w:rsidRPr="00DE108C">
                        <w:t xml:space="preserve">Table 7.4: 2019-20 to 2024-25 customer connection and </w:t>
                      </w:r>
                      <w:r>
                        <w:t>opex</w:t>
                      </w:r>
                      <w:r w:rsidRPr="00DE108C">
                        <w:t xml:space="preserve"> CAGR</w:t>
                      </w:r>
                      <w:bookmarkEnd w:id="678"/>
                      <w:bookmarkEnd w:id="679"/>
                      <w:bookmarkEnd w:id="680"/>
                      <w:bookmarkEnd w:id="681"/>
                      <w:bookmarkEnd w:id="682"/>
                      <w:bookmarkEnd w:id="683"/>
                    </w:p>
                    <w:tbl>
                      <w:tblPr>
                        <w:tblStyle w:val="MWTableGrid"/>
                        <w:tblW w:w="5000" w:type="pct"/>
                        <w:tblLayout w:type="fixed"/>
                        <w:tblLook w:val="0420" w:firstRow="1" w:lastRow="0" w:firstColumn="0" w:lastColumn="0" w:noHBand="0" w:noVBand="1"/>
                      </w:tblPr>
                      <w:tblGrid>
                        <w:gridCol w:w="2340"/>
                        <w:gridCol w:w="2341"/>
                        <w:gridCol w:w="2341"/>
                        <w:gridCol w:w="2341"/>
                      </w:tblGrid>
                      <w:tr w:rsidR="00C8121C" w:rsidRPr="00DE108C" w14:paraId="036F70BA" w14:textId="77777777">
                        <w:trPr>
                          <w:cnfStyle w:val="100000000000" w:firstRow="1" w:lastRow="0" w:firstColumn="0" w:lastColumn="0" w:oddVBand="0" w:evenVBand="0" w:oddHBand="0" w:evenHBand="0" w:firstRowFirstColumn="0" w:firstRowLastColumn="0" w:lastRowFirstColumn="0" w:lastRowLastColumn="0"/>
                        </w:trPr>
                        <w:tc>
                          <w:tcPr>
                            <w:tcW w:w="1250" w:type="pct"/>
                          </w:tcPr>
                          <w:p w14:paraId="68DAFAD0" w14:textId="77777777" w:rsidR="00C8121C" w:rsidRPr="00DE108C" w:rsidRDefault="00C8121C">
                            <w:pPr>
                              <w:pStyle w:val="TableHeading"/>
                              <w:rPr>
                                <w:szCs w:val="16"/>
                              </w:rPr>
                            </w:pPr>
                            <w:r w:rsidRPr="00DE108C">
                              <w:rPr>
                                <w:szCs w:val="16"/>
                              </w:rPr>
                              <w:t xml:space="preserve">Residential customer connections </w:t>
                            </w:r>
                          </w:p>
                        </w:tc>
                        <w:tc>
                          <w:tcPr>
                            <w:tcW w:w="1250" w:type="pct"/>
                          </w:tcPr>
                          <w:p w14:paraId="33D4DA66" w14:textId="77777777" w:rsidR="00C8121C" w:rsidRPr="00DE108C" w:rsidRDefault="00C8121C">
                            <w:pPr>
                              <w:pStyle w:val="TableHeading"/>
                              <w:rPr>
                                <w:szCs w:val="16"/>
                              </w:rPr>
                            </w:pPr>
                            <w:r w:rsidRPr="00DE108C">
                              <w:rPr>
                                <w:szCs w:val="16"/>
                              </w:rPr>
                              <w:t xml:space="preserve">Water and sewerage </w:t>
                            </w:r>
                          </w:p>
                        </w:tc>
                        <w:tc>
                          <w:tcPr>
                            <w:tcW w:w="1250" w:type="pct"/>
                          </w:tcPr>
                          <w:p w14:paraId="07CB56EC" w14:textId="77777777" w:rsidR="00C8121C" w:rsidRPr="00DE108C" w:rsidRDefault="00C8121C">
                            <w:pPr>
                              <w:pStyle w:val="TableHeading"/>
                              <w:rPr>
                                <w:szCs w:val="16"/>
                              </w:rPr>
                            </w:pPr>
                            <w:r w:rsidRPr="00DE108C">
                              <w:rPr>
                                <w:szCs w:val="16"/>
                              </w:rPr>
                              <w:t xml:space="preserve">Waterways and drainage </w:t>
                            </w:r>
                          </w:p>
                        </w:tc>
                        <w:tc>
                          <w:tcPr>
                            <w:tcW w:w="1250" w:type="pct"/>
                          </w:tcPr>
                          <w:p w14:paraId="1ED24360" w14:textId="77777777" w:rsidR="00C8121C" w:rsidRPr="00DE108C" w:rsidRDefault="00C8121C">
                            <w:pPr>
                              <w:pStyle w:val="TableHeading"/>
                              <w:rPr>
                                <w:szCs w:val="16"/>
                              </w:rPr>
                            </w:pPr>
                            <w:r w:rsidRPr="00DE108C">
                              <w:rPr>
                                <w:szCs w:val="16"/>
                              </w:rPr>
                              <w:t>All services</w:t>
                            </w:r>
                          </w:p>
                        </w:tc>
                      </w:tr>
                      <w:tr w:rsidR="00C8121C" w:rsidRPr="00DE108C" w14:paraId="4E00DEED" w14:textId="77777777">
                        <w:tc>
                          <w:tcPr>
                            <w:tcW w:w="1250" w:type="pct"/>
                          </w:tcPr>
                          <w:p w14:paraId="6544418C" w14:textId="77777777" w:rsidR="00C8121C" w:rsidRPr="00DE108C" w:rsidRDefault="00C8121C">
                            <w:pPr>
                              <w:pStyle w:val="TableText"/>
                              <w:rPr>
                                <w:szCs w:val="16"/>
                              </w:rPr>
                            </w:pPr>
                            <w:r w:rsidRPr="00DE108C">
                              <w:rPr>
                                <w:b/>
                                <w:bCs/>
                                <w:szCs w:val="16"/>
                              </w:rPr>
                              <w:t>2.0%</w:t>
                            </w:r>
                          </w:p>
                        </w:tc>
                        <w:tc>
                          <w:tcPr>
                            <w:tcW w:w="1250" w:type="pct"/>
                          </w:tcPr>
                          <w:p w14:paraId="0693779F" w14:textId="77777777" w:rsidR="00C8121C" w:rsidRPr="00DE108C" w:rsidRDefault="00C8121C">
                            <w:pPr>
                              <w:pStyle w:val="TableText"/>
                              <w:rPr>
                                <w:szCs w:val="16"/>
                              </w:rPr>
                            </w:pPr>
                            <w:r w:rsidRPr="00DE108C">
                              <w:rPr>
                                <w:szCs w:val="16"/>
                              </w:rPr>
                              <w:t xml:space="preserve">Total opex: </w:t>
                            </w:r>
                            <w:r w:rsidRPr="00DE108C">
                              <w:rPr>
                                <w:b/>
                                <w:bCs/>
                                <w:szCs w:val="16"/>
                              </w:rPr>
                              <w:t>2.4%</w:t>
                            </w:r>
                            <w:r w:rsidRPr="00DE108C">
                              <w:rPr>
                                <w:szCs w:val="16"/>
                              </w:rPr>
                              <w:t xml:space="preserve"> </w:t>
                            </w:r>
                          </w:p>
                          <w:p w14:paraId="6260C77B" w14:textId="77777777" w:rsidR="00C8121C" w:rsidRPr="00DE108C" w:rsidRDefault="00C8121C">
                            <w:pPr>
                              <w:pStyle w:val="TableText"/>
                              <w:rPr>
                                <w:szCs w:val="16"/>
                              </w:rPr>
                            </w:pPr>
                            <w:r w:rsidRPr="00DE108C">
                              <w:rPr>
                                <w:szCs w:val="16"/>
                              </w:rPr>
                              <w:t xml:space="preserve">Total excluding corporate opex: </w:t>
                            </w:r>
                            <w:r w:rsidRPr="00DE108C">
                              <w:rPr>
                                <w:b/>
                                <w:bCs/>
                                <w:szCs w:val="16"/>
                              </w:rPr>
                              <w:t>1.5%</w:t>
                            </w:r>
                            <w:r w:rsidRPr="00DE108C">
                              <w:rPr>
                                <w:szCs w:val="16"/>
                              </w:rPr>
                              <w:t xml:space="preserve"> </w:t>
                            </w:r>
                          </w:p>
                        </w:tc>
                        <w:tc>
                          <w:tcPr>
                            <w:tcW w:w="1250" w:type="pct"/>
                          </w:tcPr>
                          <w:p w14:paraId="35D1A6C8" w14:textId="77777777" w:rsidR="00C8121C" w:rsidRPr="00DE108C" w:rsidRDefault="00C8121C">
                            <w:pPr>
                              <w:pStyle w:val="TableText"/>
                              <w:rPr>
                                <w:szCs w:val="16"/>
                              </w:rPr>
                            </w:pPr>
                            <w:r w:rsidRPr="00DE108C">
                              <w:rPr>
                                <w:szCs w:val="16"/>
                              </w:rPr>
                              <w:t xml:space="preserve">Total opex: </w:t>
                            </w:r>
                            <w:r w:rsidRPr="00DE108C">
                              <w:rPr>
                                <w:b/>
                                <w:bCs/>
                                <w:szCs w:val="16"/>
                              </w:rPr>
                              <w:t>4.2%</w:t>
                            </w:r>
                          </w:p>
                          <w:p w14:paraId="46F80C1D" w14:textId="77777777" w:rsidR="00C8121C" w:rsidRPr="00DE108C" w:rsidRDefault="00C8121C">
                            <w:pPr>
                              <w:pStyle w:val="TableText"/>
                              <w:rPr>
                                <w:szCs w:val="16"/>
                              </w:rPr>
                            </w:pPr>
                            <w:r w:rsidRPr="00DE108C">
                              <w:rPr>
                                <w:szCs w:val="16"/>
                              </w:rPr>
                              <w:t xml:space="preserve">Total excluding corporate opex: </w:t>
                            </w:r>
                            <w:r w:rsidRPr="00DE108C">
                              <w:rPr>
                                <w:b/>
                                <w:bCs/>
                                <w:szCs w:val="16"/>
                              </w:rPr>
                              <w:t>4.3%</w:t>
                            </w:r>
                          </w:p>
                        </w:tc>
                        <w:tc>
                          <w:tcPr>
                            <w:tcW w:w="1250" w:type="pct"/>
                          </w:tcPr>
                          <w:p w14:paraId="34F59CFC" w14:textId="77777777" w:rsidR="00C8121C" w:rsidRPr="00DE108C" w:rsidRDefault="00C8121C">
                            <w:pPr>
                              <w:pStyle w:val="TableText"/>
                              <w:rPr>
                                <w:szCs w:val="16"/>
                              </w:rPr>
                            </w:pPr>
                            <w:r w:rsidRPr="00DE108C">
                              <w:rPr>
                                <w:szCs w:val="16"/>
                              </w:rPr>
                              <w:t xml:space="preserve">Total opex: </w:t>
                            </w:r>
                            <w:r w:rsidRPr="00DE108C">
                              <w:rPr>
                                <w:b/>
                                <w:bCs/>
                                <w:szCs w:val="16"/>
                              </w:rPr>
                              <w:t>3.5%</w:t>
                            </w:r>
                          </w:p>
                          <w:p w14:paraId="4D945154" w14:textId="77777777" w:rsidR="00C8121C" w:rsidRPr="00DE108C" w:rsidRDefault="00C8121C">
                            <w:pPr>
                              <w:pStyle w:val="TableText"/>
                              <w:rPr>
                                <w:szCs w:val="16"/>
                              </w:rPr>
                            </w:pPr>
                            <w:r w:rsidRPr="00DE108C">
                              <w:rPr>
                                <w:szCs w:val="16"/>
                              </w:rPr>
                              <w:t xml:space="preserve">Total excluding corporate opex: </w:t>
                            </w:r>
                            <w:r w:rsidRPr="00DE108C">
                              <w:rPr>
                                <w:b/>
                                <w:bCs/>
                                <w:szCs w:val="16"/>
                              </w:rPr>
                              <w:t>3.1%</w:t>
                            </w:r>
                          </w:p>
                        </w:tc>
                      </w:tr>
                    </w:tbl>
                    <w:p w14:paraId="12751B05" w14:textId="77777777" w:rsidR="00C8121C" w:rsidRDefault="00C8121C" w:rsidP="00C8121C">
                      <w:pPr>
                        <w:spacing w:line="276" w:lineRule="auto"/>
                        <w:rPr>
                          <w:rFonts w:ascii="Verdana" w:eastAsia="Verdana" w:hAnsi="Verdana"/>
                        </w:rPr>
                      </w:pPr>
                      <w:r w:rsidRPr="00DE108C">
                        <w:t>This shows that average annual opex growth is generally higher than average annual customer connection growth over the same period</w:t>
                      </w:r>
                      <w:r>
                        <w:t xml:space="preserve"> (2019-20 to 2024-25).</w:t>
                      </w:r>
                      <w:r w:rsidRPr="00DE108C">
                        <w:t xml:space="preserve"> For waterways and drainage</w:t>
                      </w:r>
                      <w:r>
                        <w:t>,</w:t>
                      </w:r>
                      <w:r w:rsidRPr="00DE108C">
                        <w:t xml:space="preserve"> there is a greater gap between average </w:t>
                      </w:r>
                      <w:r>
                        <w:t>opex</w:t>
                      </w:r>
                      <w:r w:rsidRPr="00DE108C">
                        <w:t xml:space="preserve"> growth and customer connection growth</w:t>
                      </w:r>
                    </w:p>
                  </w:txbxContent>
                </v:textbox>
                <w10:anchorlock/>
              </v:rect>
            </w:pict>
          </mc:Fallback>
        </mc:AlternateContent>
      </w:r>
    </w:p>
    <w:p w14:paraId="28CFB7D3" w14:textId="5CFFBC50" w:rsidR="00046BD5" w:rsidRPr="00DE108C" w:rsidRDefault="00046BD5">
      <w:pPr>
        <w:pStyle w:val="Heading4"/>
      </w:pPr>
      <w:bookmarkStart w:id="684" w:name="_Toc196745253"/>
      <w:r w:rsidRPr="00DE108C">
        <w:t>7.3.1.2 Efficiency</w:t>
      </w:r>
      <w:bookmarkEnd w:id="684"/>
    </w:p>
    <w:p w14:paraId="43CBDBBD" w14:textId="77777777" w:rsidR="00046BD5" w:rsidRPr="00DE108C" w:rsidRDefault="00046BD5" w:rsidP="00ED094E">
      <w:pPr>
        <w:pStyle w:val="BodyText"/>
      </w:pPr>
      <w:r w:rsidRPr="00DE108C">
        <w:t xml:space="preserve">Melbourne Water proposes a 2.0 per cent annual efficiency rate for controllable opex forecasts for all major services. This rate will deliver significant value to customers and is higher than Melbourne Water’s 2021 Determination efficiency target of 1.2 per cent per annum. </w:t>
      </w:r>
    </w:p>
    <w:p w14:paraId="7EB9C370" w14:textId="77777777" w:rsidR="00046BD5" w:rsidRPr="00DE108C" w:rsidRDefault="00046BD5" w:rsidP="00ED094E">
      <w:pPr>
        <w:pStyle w:val="BodyText"/>
      </w:pPr>
      <w:r w:rsidRPr="00DE108C">
        <w:t xml:space="preserve">This rate also outperforms the average rate of an ‘Advanced’ rated business at the 2023 water price review (of approximately 1.8 per cent per annum). </w:t>
      </w:r>
    </w:p>
    <w:p w14:paraId="378BA177" w14:textId="4A465912" w:rsidR="00046BD5" w:rsidRPr="00DE108C" w:rsidRDefault="00046BD5" w:rsidP="00ED094E">
      <w:pPr>
        <w:pStyle w:val="BodyText"/>
      </w:pPr>
      <w:r w:rsidRPr="00DE108C">
        <w:t>We recognise that systematic effort will be needed to make sure that we deliver on this target. We have developed a Cost Efficiency Plan (available on request) to continually drive efficiencies across our business and achieve the efficiency target within the 2026-3</w:t>
      </w:r>
      <w:r w:rsidR="00932812">
        <w:t>1 regulatory</w:t>
      </w:r>
      <w:r w:rsidRPr="00DE108C">
        <w:t xml:space="preserve"> period.</w:t>
      </w:r>
    </w:p>
    <w:p w14:paraId="02BE1CCA" w14:textId="5DBF7C87" w:rsidR="00046BD5" w:rsidRPr="00DE108C" w:rsidRDefault="00046BD5" w:rsidP="00ED094E">
      <w:r w:rsidRPr="00DE108C">
        <w:t>The Cost Efficiency Plan outlines:</w:t>
      </w:r>
    </w:p>
    <w:p w14:paraId="52631A98" w14:textId="0CC2891D" w:rsidR="00046BD5" w:rsidRPr="00DE108C" w:rsidRDefault="528C15CF" w:rsidP="00D371B0">
      <w:pPr>
        <w:pStyle w:val="ListBullet"/>
      </w:pPr>
      <w:r>
        <w:t>o</w:t>
      </w:r>
      <w:r w:rsidR="00046BD5">
        <w:t>ur</w:t>
      </w:r>
      <w:r w:rsidR="00046BD5" w:rsidRPr="00DE108C">
        <w:t xml:space="preserve"> recent performance</w:t>
      </w:r>
    </w:p>
    <w:p w14:paraId="3F000F50" w14:textId="1E12DAAE" w:rsidR="00046BD5" w:rsidRPr="00DE108C" w:rsidRDefault="495F209D" w:rsidP="00D371B0">
      <w:pPr>
        <w:pStyle w:val="ListBullet"/>
      </w:pPr>
      <w:r>
        <w:t>t</w:t>
      </w:r>
      <w:r w:rsidR="00046BD5" w:rsidRPr="00DE108C">
        <w:t>he strategy that Melbourne Water will use to maintain downward pressure on prices</w:t>
      </w:r>
    </w:p>
    <w:p w14:paraId="00585598" w14:textId="545C0114" w:rsidR="00046BD5" w:rsidRPr="00DE108C" w:rsidRDefault="23E5E9CF" w:rsidP="00D371B0">
      <w:pPr>
        <w:pStyle w:val="ListBullet"/>
      </w:pPr>
      <w:r>
        <w:t>o</w:t>
      </w:r>
      <w:r w:rsidR="00046BD5" w:rsidRPr="00DE108C">
        <w:t xml:space="preserve">ur approaches to benchmarking, including our benchmarking through participation in the </w:t>
      </w:r>
      <w:r w:rsidR="00046BD5">
        <w:t>W</w:t>
      </w:r>
      <w:r w:rsidR="03437E66">
        <w:t xml:space="preserve">ater </w:t>
      </w:r>
      <w:r w:rsidR="00046BD5">
        <w:t>S</w:t>
      </w:r>
      <w:r w:rsidR="63849D38">
        <w:t xml:space="preserve">ervices </w:t>
      </w:r>
      <w:r w:rsidR="00046BD5">
        <w:t>A</w:t>
      </w:r>
      <w:r w:rsidR="76E66513">
        <w:t xml:space="preserve">ssociation of </w:t>
      </w:r>
      <w:r w:rsidR="00046BD5">
        <w:t>A</w:t>
      </w:r>
      <w:r w:rsidR="54065B52">
        <w:t>ustralia</w:t>
      </w:r>
      <w:r w:rsidR="00046BD5" w:rsidRPr="00DE108C">
        <w:t xml:space="preserve"> </w:t>
      </w:r>
      <w:r w:rsidR="481A418E">
        <w:t>(</w:t>
      </w:r>
      <w:r w:rsidR="00046BD5" w:rsidRPr="00DE108C">
        <w:t>WSAA</w:t>
      </w:r>
      <w:r w:rsidR="481A418E">
        <w:t>)</w:t>
      </w:r>
      <w:r w:rsidR="00046BD5" w:rsidRPr="00DE108C">
        <w:t xml:space="preserve"> totex benchmarking study</w:t>
      </w:r>
    </w:p>
    <w:p w14:paraId="57D8606A" w14:textId="00B5ADC0" w:rsidR="00046BD5" w:rsidRPr="00DE108C" w:rsidRDefault="53858557" w:rsidP="00D371B0">
      <w:pPr>
        <w:pStyle w:val="ListBullet"/>
      </w:pPr>
      <w:r>
        <w:t>o</w:t>
      </w:r>
      <w:r w:rsidR="00046BD5" w:rsidRPr="00DE108C">
        <w:t xml:space="preserve">ur cost efficiency framework that will identify, deliver, evaluate and share our results </w:t>
      </w:r>
    </w:p>
    <w:p w14:paraId="22F7A531" w14:textId="54D75FB6" w:rsidR="00046BD5" w:rsidRPr="00DE108C" w:rsidRDefault="58A85D1A" w:rsidP="00D371B0">
      <w:pPr>
        <w:pStyle w:val="ListBullet"/>
      </w:pPr>
      <w:r>
        <w:lastRenderedPageBreak/>
        <w:t>t</w:t>
      </w:r>
      <w:r w:rsidR="00046BD5" w:rsidRPr="00DE108C">
        <w:t>he initial efficiency opportunities identified to offset the growth in opex expected as our customer base grows</w:t>
      </w:r>
      <w:r w:rsidR="4C8DD01C">
        <w:t>,</w:t>
      </w:r>
      <w:r w:rsidR="00046BD5" w:rsidRPr="00DE108C">
        <w:t xml:space="preserve"> including through project delivery, planning and decision making, digital solutions, actions identified through the WSAA totex benchmarking, savings from capital investments, cost rationalisation, enterprise workforce planning, workplace facilities, and maintenance.</w:t>
      </w:r>
    </w:p>
    <w:p w14:paraId="11891322" w14:textId="5ECDB7B0" w:rsidR="00046BD5" w:rsidRPr="00DE108C" w:rsidRDefault="00046BD5">
      <w:pPr>
        <w:pStyle w:val="Heading3"/>
      </w:pPr>
      <w:bookmarkStart w:id="685" w:name="_Toc196745254"/>
      <w:bookmarkStart w:id="686" w:name="_Ref206686631"/>
      <w:r w:rsidRPr="00DE108C">
        <w:t>7.3.2 Additions to baseline controllable operating expenditure</w:t>
      </w:r>
      <w:bookmarkEnd w:id="685"/>
      <w:bookmarkEnd w:id="686"/>
      <w:r w:rsidRPr="00DE108C">
        <w:t xml:space="preserve"> </w:t>
      </w:r>
      <w:r w:rsidR="001637AC" w:rsidRPr="00DE108C">
        <w:t xml:space="preserve">– by </w:t>
      </w:r>
      <w:r w:rsidR="000200F7">
        <w:t>O</w:t>
      </w:r>
      <w:r w:rsidR="001637AC" w:rsidRPr="00DE108C">
        <w:t>utcome</w:t>
      </w:r>
    </w:p>
    <w:p w14:paraId="52AFBA05" w14:textId="09301533" w:rsidR="00046BD5" w:rsidRPr="00DE108C" w:rsidRDefault="00046BD5" w:rsidP="00ED094E">
      <w:r w:rsidRPr="00DE108C">
        <w:t xml:space="preserve">The total additions to the baseline operating expenditure is $201 million over the five-year regulatory period. These costs are not covered by the growth forecast and involve a substantive additional spend beyond baseline year to achieve our customer </w:t>
      </w:r>
      <w:r w:rsidR="759DAC8B">
        <w:t>O</w:t>
      </w:r>
      <w:r w:rsidRPr="00DE108C">
        <w:t xml:space="preserve">utcomes, and to meet changed or new legislative, policy and regulatory obligations (see Table 7.5 for more details). </w:t>
      </w:r>
    </w:p>
    <w:p w14:paraId="3A803446" w14:textId="77777777" w:rsidR="00046BD5" w:rsidRPr="00DE108C" w:rsidRDefault="00046BD5" w:rsidP="00665959"/>
    <w:p w14:paraId="63622ED4" w14:textId="477ED5E2" w:rsidR="00046BD5" w:rsidRPr="00DE108C" w:rsidRDefault="00046BD5">
      <w:pPr>
        <w:pStyle w:val="Caption"/>
      </w:pPr>
      <w:bookmarkStart w:id="687" w:name="_Ref192506290"/>
      <w:bookmarkStart w:id="688" w:name="_Toc207893055"/>
      <w:bookmarkStart w:id="689" w:name="_Toc208490579"/>
      <w:bookmarkStart w:id="690" w:name="_Toc208490917"/>
      <w:bookmarkStart w:id="691" w:name="_Toc208911075"/>
      <w:bookmarkStart w:id="692" w:name="_Toc210051381"/>
      <w:r w:rsidRPr="00DE108C">
        <w:t>Table 7.5</w:t>
      </w:r>
      <w:bookmarkEnd w:id="687"/>
      <w:r w:rsidRPr="00DE108C">
        <w:t xml:space="preserve">: Proposed additions above growth allowance aligned to customer </w:t>
      </w:r>
      <w:r w:rsidR="00AD6ACB">
        <w:t>O</w:t>
      </w:r>
      <w:r w:rsidRPr="00DE108C">
        <w:t>utcomes ($millions, real 2025-26)</w:t>
      </w:r>
      <w:bookmarkEnd w:id="688"/>
      <w:bookmarkEnd w:id="689"/>
      <w:bookmarkEnd w:id="690"/>
      <w:bookmarkEnd w:id="691"/>
      <w:bookmarkEnd w:id="692"/>
    </w:p>
    <w:tbl>
      <w:tblPr>
        <w:tblStyle w:val="MWTableGrid"/>
        <w:tblW w:w="5000" w:type="pct"/>
        <w:tblLook w:val="0420" w:firstRow="1" w:lastRow="0" w:firstColumn="0" w:lastColumn="0" w:noHBand="0" w:noVBand="1"/>
      </w:tblPr>
      <w:tblGrid>
        <w:gridCol w:w="3384"/>
        <w:gridCol w:w="1040"/>
        <w:gridCol w:w="1040"/>
        <w:gridCol w:w="1040"/>
        <w:gridCol w:w="1040"/>
        <w:gridCol w:w="1040"/>
        <w:gridCol w:w="1044"/>
      </w:tblGrid>
      <w:tr w:rsidR="00556A0D" w:rsidRPr="00DE108C" w14:paraId="0D4A267E" w14:textId="77777777" w:rsidTr="004149FC">
        <w:trPr>
          <w:cnfStyle w:val="100000000000" w:firstRow="1" w:lastRow="0" w:firstColumn="0" w:lastColumn="0" w:oddVBand="0" w:evenVBand="0" w:oddHBand="0" w:evenHBand="0" w:firstRowFirstColumn="0" w:firstRowLastColumn="0" w:lastRowFirstColumn="0" w:lastRowLastColumn="0"/>
          <w:cantSplit/>
        </w:trPr>
        <w:tc>
          <w:tcPr>
            <w:tcW w:w="1757" w:type="pct"/>
          </w:tcPr>
          <w:p w14:paraId="48AB6D35" w14:textId="77777777" w:rsidR="00046BD5" w:rsidRPr="00DE108C" w:rsidRDefault="00046BD5">
            <w:pPr>
              <w:pStyle w:val="TableHeading"/>
              <w:rPr>
                <w:szCs w:val="16"/>
              </w:rPr>
            </w:pPr>
            <w:r w:rsidRPr="00DE108C">
              <w:rPr>
                <w:szCs w:val="16"/>
              </w:rPr>
              <w:t>Outcome</w:t>
            </w:r>
          </w:p>
        </w:tc>
        <w:tc>
          <w:tcPr>
            <w:tcW w:w="540" w:type="pct"/>
          </w:tcPr>
          <w:p w14:paraId="73895D32" w14:textId="77777777" w:rsidR="00046BD5" w:rsidRPr="00DE108C" w:rsidRDefault="00046BD5">
            <w:pPr>
              <w:pStyle w:val="TableHeading"/>
              <w:rPr>
                <w:szCs w:val="16"/>
              </w:rPr>
            </w:pPr>
            <w:r w:rsidRPr="00DE108C">
              <w:rPr>
                <w:szCs w:val="16"/>
              </w:rPr>
              <w:t>2026-27</w:t>
            </w:r>
          </w:p>
        </w:tc>
        <w:tc>
          <w:tcPr>
            <w:tcW w:w="540" w:type="pct"/>
          </w:tcPr>
          <w:p w14:paraId="77C94A49" w14:textId="77777777" w:rsidR="00046BD5" w:rsidRPr="00DE108C" w:rsidRDefault="00046BD5">
            <w:pPr>
              <w:pStyle w:val="TableHeading"/>
              <w:rPr>
                <w:szCs w:val="16"/>
              </w:rPr>
            </w:pPr>
            <w:r w:rsidRPr="00DE108C">
              <w:rPr>
                <w:szCs w:val="16"/>
              </w:rPr>
              <w:t>2027-28</w:t>
            </w:r>
          </w:p>
        </w:tc>
        <w:tc>
          <w:tcPr>
            <w:tcW w:w="540" w:type="pct"/>
          </w:tcPr>
          <w:p w14:paraId="0033CDEE" w14:textId="77777777" w:rsidR="00046BD5" w:rsidRPr="00DE108C" w:rsidRDefault="00046BD5">
            <w:pPr>
              <w:pStyle w:val="TableHeading"/>
              <w:rPr>
                <w:szCs w:val="16"/>
              </w:rPr>
            </w:pPr>
            <w:r w:rsidRPr="00DE108C">
              <w:rPr>
                <w:szCs w:val="16"/>
              </w:rPr>
              <w:t>2028-29</w:t>
            </w:r>
          </w:p>
        </w:tc>
        <w:tc>
          <w:tcPr>
            <w:tcW w:w="540" w:type="pct"/>
          </w:tcPr>
          <w:p w14:paraId="5E6FDD3B" w14:textId="77777777" w:rsidR="00046BD5" w:rsidRPr="00DE108C" w:rsidRDefault="00046BD5">
            <w:pPr>
              <w:pStyle w:val="TableHeading"/>
              <w:rPr>
                <w:szCs w:val="16"/>
              </w:rPr>
            </w:pPr>
            <w:r w:rsidRPr="00DE108C">
              <w:rPr>
                <w:szCs w:val="16"/>
              </w:rPr>
              <w:t>2029-30</w:t>
            </w:r>
          </w:p>
        </w:tc>
        <w:tc>
          <w:tcPr>
            <w:tcW w:w="540" w:type="pct"/>
          </w:tcPr>
          <w:p w14:paraId="0486FC00" w14:textId="77777777" w:rsidR="00046BD5" w:rsidRPr="00DE108C" w:rsidRDefault="00046BD5">
            <w:pPr>
              <w:pStyle w:val="TableHeading"/>
              <w:rPr>
                <w:szCs w:val="16"/>
              </w:rPr>
            </w:pPr>
            <w:r w:rsidRPr="00DE108C">
              <w:rPr>
                <w:szCs w:val="16"/>
              </w:rPr>
              <w:t>2030-31</w:t>
            </w:r>
          </w:p>
        </w:tc>
        <w:tc>
          <w:tcPr>
            <w:tcW w:w="542" w:type="pct"/>
          </w:tcPr>
          <w:p w14:paraId="497E4C83" w14:textId="77777777" w:rsidR="00046BD5" w:rsidRPr="00DE108C" w:rsidRDefault="00046BD5">
            <w:pPr>
              <w:pStyle w:val="TableHeading"/>
              <w:rPr>
                <w:szCs w:val="16"/>
              </w:rPr>
            </w:pPr>
            <w:r w:rsidRPr="00DE108C">
              <w:rPr>
                <w:szCs w:val="16"/>
              </w:rPr>
              <w:t>Total</w:t>
            </w:r>
          </w:p>
        </w:tc>
      </w:tr>
      <w:tr w:rsidR="004149FC" w:rsidRPr="00DE108C" w14:paraId="64A9ADAB" w14:textId="77777777" w:rsidTr="00ED094E">
        <w:trPr>
          <w:cantSplit/>
        </w:trPr>
        <w:tc>
          <w:tcPr>
            <w:tcW w:w="1757" w:type="pct"/>
          </w:tcPr>
          <w:p w14:paraId="70B36EA3" w14:textId="55CF1102" w:rsidR="004149FC" w:rsidRPr="00DE108C" w:rsidRDefault="004149FC" w:rsidP="004149FC">
            <w:pPr>
              <w:pStyle w:val="TableText"/>
              <w:rPr>
                <w:szCs w:val="16"/>
              </w:rPr>
            </w:pPr>
            <w:r w:rsidRPr="00DE108C">
              <w:rPr>
                <w:szCs w:val="16"/>
              </w:rPr>
              <w:t xml:space="preserve">Outcome 1: Safe and reliable bulk water supplies </w:t>
            </w:r>
            <w:r w:rsidR="006A6530">
              <w:rPr>
                <w:szCs w:val="16"/>
              </w:rPr>
              <w:t xml:space="preserve">for </w:t>
            </w:r>
            <w:r w:rsidRPr="00DE108C">
              <w:rPr>
                <w:szCs w:val="16"/>
              </w:rPr>
              <w:t>now and the long term</w:t>
            </w:r>
          </w:p>
        </w:tc>
        <w:tc>
          <w:tcPr>
            <w:tcW w:w="540" w:type="pct"/>
            <w:vAlign w:val="center"/>
          </w:tcPr>
          <w:p w14:paraId="2EA84C44" w14:textId="77777777" w:rsidR="004149FC" w:rsidRPr="00DE108C" w:rsidRDefault="004149FC" w:rsidP="004149FC">
            <w:pPr>
              <w:pStyle w:val="TableText"/>
              <w:rPr>
                <w:szCs w:val="16"/>
              </w:rPr>
            </w:pPr>
            <w:r>
              <w:rPr>
                <w:rFonts w:ascii="Verdana" w:hAnsi="Verdana" w:cs="Arial"/>
                <w:color w:val="000000"/>
                <w:szCs w:val="16"/>
              </w:rPr>
              <w:t xml:space="preserve"> 7.1 </w:t>
            </w:r>
          </w:p>
        </w:tc>
        <w:tc>
          <w:tcPr>
            <w:tcW w:w="540" w:type="pct"/>
            <w:vAlign w:val="center"/>
          </w:tcPr>
          <w:p w14:paraId="098299A8" w14:textId="77777777" w:rsidR="004149FC" w:rsidRPr="00DE108C" w:rsidRDefault="004149FC" w:rsidP="004149FC">
            <w:pPr>
              <w:pStyle w:val="TableText"/>
              <w:rPr>
                <w:szCs w:val="16"/>
              </w:rPr>
            </w:pPr>
            <w:r>
              <w:rPr>
                <w:rFonts w:ascii="Verdana" w:hAnsi="Verdana" w:cs="Arial"/>
                <w:color w:val="000000"/>
                <w:szCs w:val="16"/>
              </w:rPr>
              <w:t xml:space="preserve"> 8.7 </w:t>
            </w:r>
          </w:p>
        </w:tc>
        <w:tc>
          <w:tcPr>
            <w:tcW w:w="540" w:type="pct"/>
            <w:vAlign w:val="center"/>
          </w:tcPr>
          <w:p w14:paraId="724D8A69" w14:textId="77777777" w:rsidR="004149FC" w:rsidRPr="00DE108C" w:rsidRDefault="004149FC" w:rsidP="004149FC">
            <w:pPr>
              <w:pStyle w:val="TableText"/>
              <w:rPr>
                <w:szCs w:val="16"/>
              </w:rPr>
            </w:pPr>
            <w:r>
              <w:rPr>
                <w:rFonts w:ascii="Verdana" w:hAnsi="Verdana" w:cs="Arial"/>
                <w:color w:val="000000"/>
                <w:szCs w:val="16"/>
              </w:rPr>
              <w:t xml:space="preserve"> 10.5 </w:t>
            </w:r>
          </w:p>
        </w:tc>
        <w:tc>
          <w:tcPr>
            <w:tcW w:w="540" w:type="pct"/>
            <w:vAlign w:val="center"/>
          </w:tcPr>
          <w:p w14:paraId="23C3C9D2" w14:textId="77777777" w:rsidR="004149FC" w:rsidRPr="00DE108C" w:rsidRDefault="004149FC" w:rsidP="004149FC">
            <w:pPr>
              <w:pStyle w:val="TableText"/>
              <w:rPr>
                <w:szCs w:val="16"/>
              </w:rPr>
            </w:pPr>
            <w:r>
              <w:rPr>
                <w:rFonts w:ascii="Verdana" w:hAnsi="Verdana" w:cs="Arial"/>
                <w:color w:val="000000"/>
                <w:szCs w:val="16"/>
              </w:rPr>
              <w:t xml:space="preserve"> 9.9 </w:t>
            </w:r>
          </w:p>
        </w:tc>
        <w:tc>
          <w:tcPr>
            <w:tcW w:w="540" w:type="pct"/>
            <w:vAlign w:val="center"/>
          </w:tcPr>
          <w:p w14:paraId="29223184" w14:textId="77777777" w:rsidR="004149FC" w:rsidRPr="00DE108C" w:rsidRDefault="004149FC" w:rsidP="004149FC">
            <w:pPr>
              <w:pStyle w:val="TableText"/>
              <w:rPr>
                <w:szCs w:val="16"/>
              </w:rPr>
            </w:pPr>
            <w:r>
              <w:rPr>
                <w:rFonts w:ascii="Verdana" w:hAnsi="Verdana" w:cs="Arial"/>
                <w:color w:val="000000"/>
                <w:szCs w:val="16"/>
              </w:rPr>
              <w:t xml:space="preserve"> 9.8 </w:t>
            </w:r>
          </w:p>
        </w:tc>
        <w:tc>
          <w:tcPr>
            <w:tcW w:w="542" w:type="pct"/>
            <w:vAlign w:val="center"/>
          </w:tcPr>
          <w:p w14:paraId="1FD25F96" w14:textId="77777777" w:rsidR="004149FC" w:rsidRPr="00DE108C" w:rsidRDefault="004149FC" w:rsidP="004149FC">
            <w:pPr>
              <w:pStyle w:val="TableText"/>
              <w:rPr>
                <w:b/>
                <w:bCs/>
                <w:szCs w:val="16"/>
              </w:rPr>
            </w:pPr>
            <w:r>
              <w:rPr>
                <w:rFonts w:ascii="Verdana" w:hAnsi="Verdana" w:cs="Arial"/>
                <w:b/>
                <w:bCs/>
                <w:color w:val="000000"/>
                <w:szCs w:val="16"/>
              </w:rPr>
              <w:t xml:space="preserve"> 46.0 </w:t>
            </w:r>
          </w:p>
        </w:tc>
      </w:tr>
      <w:tr w:rsidR="00A043F7" w:rsidRPr="00DE108C" w14:paraId="4857B129" w14:textId="77777777" w:rsidTr="004149FC">
        <w:trPr>
          <w:cnfStyle w:val="000000010000" w:firstRow="0" w:lastRow="0" w:firstColumn="0" w:lastColumn="0" w:oddVBand="0" w:evenVBand="0" w:oddHBand="0" w:evenHBand="1" w:firstRowFirstColumn="0" w:firstRowLastColumn="0" w:lastRowFirstColumn="0" w:lastRowLastColumn="0"/>
          <w:cantSplit/>
        </w:trPr>
        <w:tc>
          <w:tcPr>
            <w:tcW w:w="1757" w:type="pct"/>
          </w:tcPr>
          <w:p w14:paraId="5C787174" w14:textId="37708CCB" w:rsidR="004149FC" w:rsidRPr="00DE108C" w:rsidRDefault="004149FC" w:rsidP="004149FC">
            <w:pPr>
              <w:pStyle w:val="TableText"/>
              <w:rPr>
                <w:szCs w:val="16"/>
              </w:rPr>
            </w:pPr>
            <w:r w:rsidRPr="00DE108C">
              <w:rPr>
                <w:szCs w:val="16"/>
              </w:rPr>
              <w:t xml:space="preserve">Outcome 2: Environmentally sustainable </w:t>
            </w:r>
            <w:r w:rsidR="006A6530">
              <w:rPr>
                <w:szCs w:val="16"/>
              </w:rPr>
              <w:t xml:space="preserve">and reliable </w:t>
            </w:r>
            <w:r w:rsidRPr="00DE108C">
              <w:rPr>
                <w:szCs w:val="16"/>
              </w:rPr>
              <w:t>bulk sewerage services</w:t>
            </w:r>
          </w:p>
        </w:tc>
        <w:tc>
          <w:tcPr>
            <w:tcW w:w="540" w:type="pct"/>
            <w:vAlign w:val="center"/>
          </w:tcPr>
          <w:p w14:paraId="13A56468" w14:textId="77777777" w:rsidR="004149FC" w:rsidRPr="00DE108C" w:rsidRDefault="004149FC" w:rsidP="004149FC">
            <w:pPr>
              <w:pStyle w:val="TableText"/>
              <w:rPr>
                <w:szCs w:val="16"/>
              </w:rPr>
            </w:pPr>
            <w:r>
              <w:rPr>
                <w:rFonts w:ascii="Verdana" w:hAnsi="Verdana" w:cs="Arial"/>
                <w:color w:val="000000"/>
                <w:szCs w:val="16"/>
              </w:rPr>
              <w:t xml:space="preserve"> 12.0 </w:t>
            </w:r>
          </w:p>
        </w:tc>
        <w:tc>
          <w:tcPr>
            <w:tcW w:w="540" w:type="pct"/>
            <w:vAlign w:val="center"/>
          </w:tcPr>
          <w:p w14:paraId="4B09A786" w14:textId="77777777" w:rsidR="004149FC" w:rsidRPr="00DE108C" w:rsidRDefault="004149FC" w:rsidP="004149FC">
            <w:pPr>
              <w:pStyle w:val="TableText"/>
              <w:rPr>
                <w:szCs w:val="16"/>
              </w:rPr>
            </w:pPr>
            <w:r>
              <w:rPr>
                <w:rFonts w:ascii="Verdana" w:hAnsi="Verdana" w:cs="Arial"/>
                <w:color w:val="000000"/>
                <w:szCs w:val="16"/>
              </w:rPr>
              <w:t xml:space="preserve"> 13.1 </w:t>
            </w:r>
          </w:p>
        </w:tc>
        <w:tc>
          <w:tcPr>
            <w:tcW w:w="540" w:type="pct"/>
            <w:vAlign w:val="center"/>
          </w:tcPr>
          <w:p w14:paraId="4C6C8CEE" w14:textId="77777777" w:rsidR="004149FC" w:rsidRPr="00DE108C" w:rsidRDefault="004149FC" w:rsidP="004149FC">
            <w:pPr>
              <w:pStyle w:val="TableText"/>
              <w:rPr>
                <w:szCs w:val="16"/>
              </w:rPr>
            </w:pPr>
            <w:r>
              <w:rPr>
                <w:rFonts w:ascii="Verdana" w:hAnsi="Verdana" w:cs="Arial"/>
                <w:color w:val="000000"/>
                <w:szCs w:val="16"/>
              </w:rPr>
              <w:t xml:space="preserve"> 20.3 </w:t>
            </w:r>
          </w:p>
        </w:tc>
        <w:tc>
          <w:tcPr>
            <w:tcW w:w="540" w:type="pct"/>
            <w:vAlign w:val="center"/>
          </w:tcPr>
          <w:p w14:paraId="7B676AB6" w14:textId="77777777" w:rsidR="004149FC" w:rsidRPr="00DE108C" w:rsidRDefault="004149FC" w:rsidP="004149FC">
            <w:pPr>
              <w:pStyle w:val="TableText"/>
              <w:rPr>
                <w:szCs w:val="16"/>
              </w:rPr>
            </w:pPr>
            <w:r>
              <w:rPr>
                <w:rFonts w:ascii="Verdana" w:hAnsi="Verdana" w:cs="Arial"/>
                <w:color w:val="000000"/>
                <w:szCs w:val="16"/>
              </w:rPr>
              <w:t xml:space="preserve"> 24.7 </w:t>
            </w:r>
          </w:p>
        </w:tc>
        <w:tc>
          <w:tcPr>
            <w:tcW w:w="540" w:type="pct"/>
            <w:vAlign w:val="center"/>
          </w:tcPr>
          <w:p w14:paraId="4975C9AB" w14:textId="77777777" w:rsidR="004149FC" w:rsidRPr="00DE108C" w:rsidRDefault="004149FC" w:rsidP="004149FC">
            <w:pPr>
              <w:pStyle w:val="TableText"/>
              <w:rPr>
                <w:szCs w:val="16"/>
              </w:rPr>
            </w:pPr>
            <w:r>
              <w:rPr>
                <w:rFonts w:ascii="Verdana" w:hAnsi="Verdana" w:cs="Arial"/>
                <w:color w:val="000000"/>
                <w:szCs w:val="16"/>
              </w:rPr>
              <w:t xml:space="preserve"> 25.8 </w:t>
            </w:r>
          </w:p>
        </w:tc>
        <w:tc>
          <w:tcPr>
            <w:tcW w:w="542" w:type="pct"/>
            <w:vAlign w:val="center"/>
          </w:tcPr>
          <w:p w14:paraId="46C68135" w14:textId="77777777" w:rsidR="004149FC" w:rsidRPr="00DE108C" w:rsidRDefault="004149FC" w:rsidP="004149FC">
            <w:pPr>
              <w:pStyle w:val="TableText"/>
              <w:rPr>
                <w:b/>
                <w:bCs/>
                <w:szCs w:val="16"/>
              </w:rPr>
            </w:pPr>
            <w:r>
              <w:rPr>
                <w:rFonts w:ascii="Verdana" w:hAnsi="Verdana" w:cs="Arial"/>
                <w:b/>
                <w:bCs/>
                <w:color w:val="000000"/>
                <w:szCs w:val="16"/>
              </w:rPr>
              <w:t xml:space="preserve"> 95.8 </w:t>
            </w:r>
          </w:p>
        </w:tc>
      </w:tr>
      <w:tr w:rsidR="004149FC" w:rsidRPr="00DE108C" w14:paraId="3F40590E" w14:textId="77777777" w:rsidTr="00ED094E">
        <w:trPr>
          <w:cantSplit/>
        </w:trPr>
        <w:tc>
          <w:tcPr>
            <w:tcW w:w="1757" w:type="pct"/>
          </w:tcPr>
          <w:p w14:paraId="673442BD" w14:textId="73D60FD3" w:rsidR="004149FC" w:rsidRPr="00DE108C" w:rsidRDefault="004149FC" w:rsidP="004149FC">
            <w:pPr>
              <w:pStyle w:val="TableText"/>
              <w:rPr>
                <w:szCs w:val="16"/>
              </w:rPr>
            </w:pPr>
            <w:r w:rsidRPr="00DE108C">
              <w:rPr>
                <w:szCs w:val="16"/>
              </w:rPr>
              <w:t xml:space="preserve">Outcome 3: Healthy, resilient waterways </w:t>
            </w:r>
          </w:p>
        </w:tc>
        <w:tc>
          <w:tcPr>
            <w:tcW w:w="540" w:type="pct"/>
            <w:vAlign w:val="center"/>
          </w:tcPr>
          <w:p w14:paraId="5AF14C7D" w14:textId="77777777" w:rsidR="004149FC" w:rsidRPr="00DE108C" w:rsidRDefault="004149FC" w:rsidP="004149FC">
            <w:pPr>
              <w:pStyle w:val="TableText"/>
              <w:rPr>
                <w:szCs w:val="16"/>
              </w:rPr>
            </w:pPr>
            <w:r>
              <w:rPr>
                <w:rFonts w:ascii="Verdana" w:hAnsi="Verdana" w:cs="Arial"/>
                <w:color w:val="000000"/>
                <w:szCs w:val="16"/>
              </w:rPr>
              <w:t xml:space="preserve"> 4.7 </w:t>
            </w:r>
          </w:p>
        </w:tc>
        <w:tc>
          <w:tcPr>
            <w:tcW w:w="540" w:type="pct"/>
            <w:vAlign w:val="center"/>
          </w:tcPr>
          <w:p w14:paraId="76102C9A" w14:textId="77777777" w:rsidR="004149FC" w:rsidRPr="00DE108C" w:rsidRDefault="004149FC" w:rsidP="004149FC">
            <w:pPr>
              <w:pStyle w:val="TableText"/>
              <w:rPr>
                <w:szCs w:val="16"/>
              </w:rPr>
            </w:pPr>
            <w:r>
              <w:rPr>
                <w:rFonts w:ascii="Verdana" w:hAnsi="Verdana" w:cs="Arial"/>
                <w:color w:val="000000"/>
                <w:szCs w:val="16"/>
              </w:rPr>
              <w:t xml:space="preserve"> 5.9 </w:t>
            </w:r>
          </w:p>
        </w:tc>
        <w:tc>
          <w:tcPr>
            <w:tcW w:w="540" w:type="pct"/>
            <w:vAlign w:val="center"/>
          </w:tcPr>
          <w:p w14:paraId="658BFDF0" w14:textId="77777777" w:rsidR="004149FC" w:rsidRPr="00DE108C" w:rsidRDefault="004149FC" w:rsidP="004149FC">
            <w:pPr>
              <w:pStyle w:val="TableText"/>
              <w:rPr>
                <w:szCs w:val="16"/>
              </w:rPr>
            </w:pPr>
            <w:r>
              <w:rPr>
                <w:rFonts w:ascii="Verdana" w:hAnsi="Verdana" w:cs="Arial"/>
                <w:color w:val="000000"/>
                <w:szCs w:val="16"/>
              </w:rPr>
              <w:t xml:space="preserve"> 6.9 </w:t>
            </w:r>
          </w:p>
        </w:tc>
        <w:tc>
          <w:tcPr>
            <w:tcW w:w="540" w:type="pct"/>
            <w:vAlign w:val="center"/>
          </w:tcPr>
          <w:p w14:paraId="4699D2E7" w14:textId="77777777" w:rsidR="004149FC" w:rsidRPr="00DE108C" w:rsidRDefault="004149FC" w:rsidP="004149FC">
            <w:pPr>
              <w:pStyle w:val="TableText"/>
              <w:rPr>
                <w:szCs w:val="16"/>
              </w:rPr>
            </w:pPr>
            <w:r>
              <w:rPr>
                <w:rFonts w:ascii="Verdana" w:hAnsi="Verdana" w:cs="Arial"/>
                <w:color w:val="000000"/>
                <w:szCs w:val="16"/>
              </w:rPr>
              <w:t xml:space="preserve"> 6.3 </w:t>
            </w:r>
          </w:p>
        </w:tc>
        <w:tc>
          <w:tcPr>
            <w:tcW w:w="540" w:type="pct"/>
            <w:vAlign w:val="center"/>
          </w:tcPr>
          <w:p w14:paraId="163CC548" w14:textId="77777777" w:rsidR="004149FC" w:rsidRPr="00DE108C" w:rsidRDefault="004149FC" w:rsidP="004149FC">
            <w:pPr>
              <w:pStyle w:val="TableText"/>
              <w:rPr>
                <w:szCs w:val="16"/>
              </w:rPr>
            </w:pPr>
            <w:r>
              <w:rPr>
                <w:rFonts w:ascii="Verdana" w:hAnsi="Verdana" w:cs="Arial"/>
                <w:color w:val="000000"/>
                <w:szCs w:val="16"/>
              </w:rPr>
              <w:t xml:space="preserve"> 6.3 </w:t>
            </w:r>
          </w:p>
        </w:tc>
        <w:tc>
          <w:tcPr>
            <w:tcW w:w="542" w:type="pct"/>
            <w:vAlign w:val="center"/>
          </w:tcPr>
          <w:p w14:paraId="34691B12" w14:textId="77777777" w:rsidR="004149FC" w:rsidRPr="00DE108C" w:rsidRDefault="004149FC" w:rsidP="004149FC">
            <w:pPr>
              <w:pStyle w:val="TableText"/>
              <w:rPr>
                <w:b/>
                <w:bCs/>
                <w:szCs w:val="16"/>
              </w:rPr>
            </w:pPr>
            <w:r>
              <w:rPr>
                <w:rFonts w:ascii="Verdana" w:hAnsi="Verdana" w:cs="Arial"/>
                <w:b/>
                <w:bCs/>
                <w:color w:val="000000"/>
                <w:szCs w:val="16"/>
              </w:rPr>
              <w:t xml:space="preserve"> 30.1 </w:t>
            </w:r>
          </w:p>
        </w:tc>
      </w:tr>
      <w:tr w:rsidR="00A043F7" w:rsidRPr="00DE108C" w14:paraId="131740B3" w14:textId="77777777" w:rsidTr="004149FC">
        <w:trPr>
          <w:cnfStyle w:val="000000010000" w:firstRow="0" w:lastRow="0" w:firstColumn="0" w:lastColumn="0" w:oddVBand="0" w:evenVBand="0" w:oddHBand="0" w:evenHBand="1" w:firstRowFirstColumn="0" w:firstRowLastColumn="0" w:lastRowFirstColumn="0" w:lastRowLastColumn="0"/>
          <w:cantSplit/>
        </w:trPr>
        <w:tc>
          <w:tcPr>
            <w:tcW w:w="1757" w:type="pct"/>
          </w:tcPr>
          <w:p w14:paraId="22A54DEC" w14:textId="762A07D0" w:rsidR="004149FC" w:rsidRPr="00DE108C" w:rsidRDefault="004149FC" w:rsidP="004149FC">
            <w:pPr>
              <w:pStyle w:val="TableText"/>
              <w:rPr>
                <w:szCs w:val="16"/>
              </w:rPr>
            </w:pPr>
            <w:r w:rsidRPr="00DE108C">
              <w:rPr>
                <w:szCs w:val="16"/>
              </w:rPr>
              <w:t xml:space="preserve">Outcome 4: Urban drainage and flood resilience </w:t>
            </w:r>
          </w:p>
        </w:tc>
        <w:tc>
          <w:tcPr>
            <w:tcW w:w="540" w:type="pct"/>
            <w:vAlign w:val="center"/>
          </w:tcPr>
          <w:p w14:paraId="3AAB166D" w14:textId="77777777" w:rsidR="004149FC" w:rsidRPr="00DE108C" w:rsidRDefault="004149FC" w:rsidP="004149FC">
            <w:pPr>
              <w:pStyle w:val="TableText"/>
              <w:rPr>
                <w:szCs w:val="16"/>
              </w:rPr>
            </w:pPr>
            <w:r>
              <w:rPr>
                <w:rFonts w:ascii="Verdana" w:hAnsi="Verdana" w:cs="Arial"/>
                <w:color w:val="000000"/>
                <w:szCs w:val="16"/>
              </w:rPr>
              <w:t xml:space="preserve"> 2.2 </w:t>
            </w:r>
          </w:p>
        </w:tc>
        <w:tc>
          <w:tcPr>
            <w:tcW w:w="540" w:type="pct"/>
            <w:vAlign w:val="center"/>
          </w:tcPr>
          <w:p w14:paraId="50881635" w14:textId="77777777" w:rsidR="004149FC" w:rsidRPr="00DE108C" w:rsidRDefault="004149FC" w:rsidP="004149FC">
            <w:pPr>
              <w:pStyle w:val="TableText"/>
              <w:rPr>
                <w:szCs w:val="16"/>
              </w:rPr>
            </w:pPr>
            <w:r>
              <w:rPr>
                <w:rFonts w:ascii="Verdana" w:hAnsi="Verdana" w:cs="Arial"/>
                <w:color w:val="000000"/>
                <w:szCs w:val="16"/>
              </w:rPr>
              <w:t xml:space="preserve"> 2.6 </w:t>
            </w:r>
          </w:p>
        </w:tc>
        <w:tc>
          <w:tcPr>
            <w:tcW w:w="540" w:type="pct"/>
            <w:vAlign w:val="center"/>
          </w:tcPr>
          <w:p w14:paraId="0FC8DB74" w14:textId="77777777" w:rsidR="004149FC" w:rsidRPr="00DE108C" w:rsidRDefault="004149FC" w:rsidP="004149FC">
            <w:pPr>
              <w:pStyle w:val="TableText"/>
              <w:rPr>
                <w:szCs w:val="16"/>
              </w:rPr>
            </w:pPr>
            <w:r>
              <w:rPr>
                <w:rFonts w:ascii="Verdana" w:hAnsi="Verdana" w:cs="Arial"/>
                <w:color w:val="000000"/>
                <w:szCs w:val="16"/>
              </w:rPr>
              <w:t xml:space="preserve"> 2.7 </w:t>
            </w:r>
          </w:p>
        </w:tc>
        <w:tc>
          <w:tcPr>
            <w:tcW w:w="540" w:type="pct"/>
            <w:vAlign w:val="center"/>
          </w:tcPr>
          <w:p w14:paraId="2797AFB5" w14:textId="77777777" w:rsidR="004149FC" w:rsidRPr="00DE108C" w:rsidRDefault="004149FC" w:rsidP="004149FC">
            <w:pPr>
              <w:pStyle w:val="TableText"/>
              <w:rPr>
                <w:szCs w:val="16"/>
              </w:rPr>
            </w:pPr>
            <w:r>
              <w:rPr>
                <w:rFonts w:ascii="Verdana" w:hAnsi="Verdana" w:cs="Arial"/>
                <w:color w:val="000000"/>
                <w:szCs w:val="16"/>
              </w:rPr>
              <w:t xml:space="preserve"> 2.3 </w:t>
            </w:r>
          </w:p>
        </w:tc>
        <w:tc>
          <w:tcPr>
            <w:tcW w:w="540" w:type="pct"/>
            <w:vAlign w:val="center"/>
          </w:tcPr>
          <w:p w14:paraId="013C7FEF" w14:textId="77777777" w:rsidR="004149FC" w:rsidRPr="00DE108C" w:rsidRDefault="004149FC" w:rsidP="004149FC">
            <w:pPr>
              <w:pStyle w:val="TableText"/>
              <w:rPr>
                <w:szCs w:val="16"/>
              </w:rPr>
            </w:pPr>
            <w:r>
              <w:rPr>
                <w:rFonts w:ascii="Verdana" w:hAnsi="Verdana" w:cs="Arial"/>
                <w:color w:val="000000"/>
                <w:szCs w:val="16"/>
              </w:rPr>
              <w:t xml:space="preserve"> 2.3 </w:t>
            </w:r>
          </w:p>
        </w:tc>
        <w:tc>
          <w:tcPr>
            <w:tcW w:w="542" w:type="pct"/>
            <w:vAlign w:val="center"/>
          </w:tcPr>
          <w:p w14:paraId="0904AAC0" w14:textId="77777777" w:rsidR="004149FC" w:rsidRPr="00DE108C" w:rsidRDefault="004149FC" w:rsidP="004149FC">
            <w:pPr>
              <w:pStyle w:val="TableText"/>
              <w:rPr>
                <w:b/>
                <w:bCs/>
                <w:szCs w:val="16"/>
              </w:rPr>
            </w:pPr>
            <w:r>
              <w:rPr>
                <w:rFonts w:ascii="Verdana" w:hAnsi="Verdana" w:cs="Arial"/>
                <w:b/>
                <w:bCs/>
                <w:color w:val="000000"/>
                <w:szCs w:val="16"/>
              </w:rPr>
              <w:t xml:space="preserve"> 12.1 </w:t>
            </w:r>
          </w:p>
        </w:tc>
      </w:tr>
      <w:tr w:rsidR="004149FC" w:rsidRPr="00DE108C" w14:paraId="05F96CB4" w14:textId="77777777" w:rsidTr="00ED094E">
        <w:trPr>
          <w:cantSplit/>
        </w:trPr>
        <w:tc>
          <w:tcPr>
            <w:tcW w:w="1757" w:type="pct"/>
          </w:tcPr>
          <w:p w14:paraId="7E19D3CD" w14:textId="457AA1A3" w:rsidR="004149FC" w:rsidRPr="00DE108C" w:rsidRDefault="004149FC" w:rsidP="004149FC">
            <w:pPr>
              <w:pStyle w:val="TableText"/>
              <w:rPr>
                <w:szCs w:val="16"/>
              </w:rPr>
            </w:pPr>
            <w:r w:rsidRPr="00DE108C">
              <w:rPr>
                <w:szCs w:val="16"/>
              </w:rPr>
              <w:t>Outcome 5: A valued partner in water cycle services (water and sewerage)</w:t>
            </w:r>
          </w:p>
        </w:tc>
        <w:tc>
          <w:tcPr>
            <w:tcW w:w="540" w:type="pct"/>
            <w:vAlign w:val="center"/>
          </w:tcPr>
          <w:p w14:paraId="3FDF4D95" w14:textId="77777777" w:rsidR="004149FC" w:rsidRPr="00DE108C" w:rsidRDefault="004149FC" w:rsidP="004149FC">
            <w:pPr>
              <w:pStyle w:val="TableText"/>
              <w:rPr>
                <w:szCs w:val="16"/>
              </w:rPr>
            </w:pPr>
            <w:r>
              <w:rPr>
                <w:rFonts w:ascii="Verdana" w:hAnsi="Verdana" w:cs="Arial"/>
                <w:color w:val="000000"/>
                <w:szCs w:val="16"/>
              </w:rPr>
              <w:t xml:space="preserve"> 1.3 </w:t>
            </w:r>
          </w:p>
        </w:tc>
        <w:tc>
          <w:tcPr>
            <w:tcW w:w="540" w:type="pct"/>
            <w:vAlign w:val="center"/>
          </w:tcPr>
          <w:p w14:paraId="74B010C9" w14:textId="77777777" w:rsidR="004149FC" w:rsidRPr="00DE108C" w:rsidRDefault="004149FC" w:rsidP="004149FC">
            <w:pPr>
              <w:pStyle w:val="TableText"/>
              <w:rPr>
                <w:szCs w:val="16"/>
              </w:rPr>
            </w:pPr>
            <w:r>
              <w:rPr>
                <w:rFonts w:ascii="Verdana" w:hAnsi="Verdana" w:cs="Arial"/>
                <w:color w:val="000000"/>
                <w:szCs w:val="16"/>
              </w:rPr>
              <w:t xml:space="preserve"> 2.3 </w:t>
            </w:r>
          </w:p>
        </w:tc>
        <w:tc>
          <w:tcPr>
            <w:tcW w:w="540" w:type="pct"/>
            <w:vAlign w:val="center"/>
          </w:tcPr>
          <w:p w14:paraId="2180F00C" w14:textId="77777777" w:rsidR="004149FC" w:rsidRPr="00DE108C" w:rsidRDefault="004149FC" w:rsidP="004149FC">
            <w:pPr>
              <w:pStyle w:val="TableText"/>
              <w:rPr>
                <w:szCs w:val="16"/>
              </w:rPr>
            </w:pPr>
            <w:r>
              <w:rPr>
                <w:rFonts w:ascii="Verdana" w:hAnsi="Verdana" w:cs="Arial"/>
                <w:color w:val="000000"/>
                <w:szCs w:val="16"/>
              </w:rPr>
              <w:t xml:space="preserve"> 2.9 </w:t>
            </w:r>
          </w:p>
        </w:tc>
        <w:tc>
          <w:tcPr>
            <w:tcW w:w="540" w:type="pct"/>
            <w:vAlign w:val="center"/>
          </w:tcPr>
          <w:p w14:paraId="6A85CE1B" w14:textId="77777777" w:rsidR="004149FC" w:rsidRPr="00DE108C" w:rsidRDefault="004149FC" w:rsidP="004149FC">
            <w:pPr>
              <w:pStyle w:val="TableText"/>
              <w:rPr>
                <w:szCs w:val="16"/>
              </w:rPr>
            </w:pPr>
            <w:r>
              <w:rPr>
                <w:rFonts w:ascii="Verdana" w:hAnsi="Verdana" w:cs="Arial"/>
                <w:color w:val="000000"/>
                <w:szCs w:val="16"/>
              </w:rPr>
              <w:t xml:space="preserve"> 3.3 </w:t>
            </w:r>
          </w:p>
        </w:tc>
        <w:tc>
          <w:tcPr>
            <w:tcW w:w="540" w:type="pct"/>
            <w:vAlign w:val="center"/>
          </w:tcPr>
          <w:p w14:paraId="2A40C22B" w14:textId="77777777" w:rsidR="004149FC" w:rsidRPr="00DE108C" w:rsidRDefault="004149FC" w:rsidP="004149FC">
            <w:pPr>
              <w:pStyle w:val="TableText"/>
              <w:rPr>
                <w:szCs w:val="16"/>
              </w:rPr>
            </w:pPr>
            <w:r>
              <w:rPr>
                <w:rFonts w:ascii="Verdana" w:hAnsi="Verdana" w:cs="Arial"/>
                <w:color w:val="000000"/>
                <w:szCs w:val="16"/>
              </w:rPr>
              <w:t xml:space="preserve"> 3.3 </w:t>
            </w:r>
          </w:p>
        </w:tc>
        <w:tc>
          <w:tcPr>
            <w:tcW w:w="542" w:type="pct"/>
            <w:vAlign w:val="center"/>
          </w:tcPr>
          <w:p w14:paraId="1165B5BA" w14:textId="77777777" w:rsidR="004149FC" w:rsidRPr="00DE108C" w:rsidRDefault="004149FC" w:rsidP="004149FC">
            <w:pPr>
              <w:pStyle w:val="TableText"/>
              <w:rPr>
                <w:b/>
                <w:bCs/>
                <w:szCs w:val="16"/>
              </w:rPr>
            </w:pPr>
            <w:r>
              <w:rPr>
                <w:rFonts w:ascii="Verdana" w:hAnsi="Verdana" w:cs="Arial"/>
                <w:b/>
                <w:bCs/>
                <w:color w:val="000000"/>
                <w:szCs w:val="16"/>
              </w:rPr>
              <w:t xml:space="preserve"> 13.0 </w:t>
            </w:r>
          </w:p>
        </w:tc>
      </w:tr>
      <w:tr w:rsidR="00A043F7" w:rsidRPr="00DE108C" w14:paraId="78987D58" w14:textId="77777777" w:rsidTr="004149FC">
        <w:trPr>
          <w:cnfStyle w:val="000000010000" w:firstRow="0" w:lastRow="0" w:firstColumn="0" w:lastColumn="0" w:oddVBand="0" w:evenVBand="0" w:oddHBand="0" w:evenHBand="1" w:firstRowFirstColumn="0" w:firstRowLastColumn="0" w:lastRowFirstColumn="0" w:lastRowLastColumn="0"/>
          <w:cantSplit/>
        </w:trPr>
        <w:tc>
          <w:tcPr>
            <w:tcW w:w="1757" w:type="pct"/>
          </w:tcPr>
          <w:p w14:paraId="4CCBD77C" w14:textId="0C97B36C" w:rsidR="004149FC" w:rsidRPr="00DE108C" w:rsidRDefault="004149FC" w:rsidP="004149FC">
            <w:pPr>
              <w:pStyle w:val="TableText"/>
              <w:rPr>
                <w:szCs w:val="16"/>
              </w:rPr>
            </w:pPr>
            <w:r w:rsidRPr="00DE108C">
              <w:rPr>
                <w:szCs w:val="16"/>
              </w:rPr>
              <w:t>Outcome 5: A valued partner in water cycle services (waterways and drainage)</w:t>
            </w:r>
          </w:p>
        </w:tc>
        <w:tc>
          <w:tcPr>
            <w:tcW w:w="540" w:type="pct"/>
            <w:vAlign w:val="center"/>
          </w:tcPr>
          <w:p w14:paraId="43167C53" w14:textId="77777777" w:rsidR="004149FC" w:rsidRPr="00DE108C" w:rsidRDefault="004149FC" w:rsidP="004149FC">
            <w:pPr>
              <w:pStyle w:val="TableText"/>
              <w:rPr>
                <w:szCs w:val="16"/>
              </w:rPr>
            </w:pPr>
            <w:r>
              <w:rPr>
                <w:rFonts w:ascii="Verdana" w:hAnsi="Verdana" w:cs="Arial"/>
                <w:color w:val="000000"/>
                <w:szCs w:val="16"/>
              </w:rPr>
              <w:t xml:space="preserve"> 0.3 </w:t>
            </w:r>
          </w:p>
        </w:tc>
        <w:tc>
          <w:tcPr>
            <w:tcW w:w="540" w:type="pct"/>
            <w:vAlign w:val="center"/>
          </w:tcPr>
          <w:p w14:paraId="50AC528B" w14:textId="77777777" w:rsidR="004149FC" w:rsidRPr="00DE108C" w:rsidRDefault="004149FC" w:rsidP="004149FC">
            <w:pPr>
              <w:pStyle w:val="TableText"/>
              <w:rPr>
                <w:szCs w:val="16"/>
              </w:rPr>
            </w:pPr>
            <w:r>
              <w:rPr>
                <w:rFonts w:ascii="Verdana" w:hAnsi="Verdana" w:cs="Arial"/>
                <w:color w:val="000000"/>
                <w:szCs w:val="16"/>
              </w:rPr>
              <w:t xml:space="preserve"> 0.6 </w:t>
            </w:r>
          </w:p>
        </w:tc>
        <w:tc>
          <w:tcPr>
            <w:tcW w:w="540" w:type="pct"/>
            <w:vAlign w:val="center"/>
          </w:tcPr>
          <w:p w14:paraId="7DE788E4" w14:textId="77777777" w:rsidR="004149FC" w:rsidRPr="00DE108C" w:rsidRDefault="004149FC" w:rsidP="004149FC">
            <w:pPr>
              <w:pStyle w:val="TableText"/>
              <w:rPr>
                <w:szCs w:val="16"/>
              </w:rPr>
            </w:pPr>
            <w:r>
              <w:rPr>
                <w:rFonts w:ascii="Verdana" w:hAnsi="Verdana" w:cs="Arial"/>
                <w:color w:val="000000"/>
                <w:szCs w:val="16"/>
              </w:rPr>
              <w:t xml:space="preserve"> 0.8 </w:t>
            </w:r>
          </w:p>
        </w:tc>
        <w:tc>
          <w:tcPr>
            <w:tcW w:w="540" w:type="pct"/>
            <w:vAlign w:val="center"/>
          </w:tcPr>
          <w:p w14:paraId="367B9055" w14:textId="77777777" w:rsidR="004149FC" w:rsidRPr="00DE108C" w:rsidRDefault="004149FC" w:rsidP="004149FC">
            <w:pPr>
              <w:pStyle w:val="TableText"/>
              <w:rPr>
                <w:szCs w:val="16"/>
              </w:rPr>
            </w:pPr>
            <w:r>
              <w:rPr>
                <w:rFonts w:ascii="Verdana" w:hAnsi="Verdana" w:cs="Arial"/>
                <w:color w:val="000000"/>
                <w:szCs w:val="16"/>
              </w:rPr>
              <w:t xml:space="preserve"> 0.9 </w:t>
            </w:r>
          </w:p>
        </w:tc>
        <w:tc>
          <w:tcPr>
            <w:tcW w:w="540" w:type="pct"/>
            <w:vAlign w:val="center"/>
          </w:tcPr>
          <w:p w14:paraId="3D5CF04F" w14:textId="77777777" w:rsidR="004149FC" w:rsidRPr="00DE108C" w:rsidRDefault="004149FC" w:rsidP="004149FC">
            <w:pPr>
              <w:pStyle w:val="TableText"/>
              <w:rPr>
                <w:szCs w:val="16"/>
              </w:rPr>
            </w:pPr>
            <w:r>
              <w:rPr>
                <w:rFonts w:ascii="Verdana" w:hAnsi="Verdana" w:cs="Arial"/>
                <w:color w:val="000000"/>
                <w:szCs w:val="16"/>
              </w:rPr>
              <w:t xml:space="preserve"> 0.9 </w:t>
            </w:r>
          </w:p>
        </w:tc>
        <w:tc>
          <w:tcPr>
            <w:tcW w:w="542" w:type="pct"/>
            <w:vAlign w:val="center"/>
          </w:tcPr>
          <w:p w14:paraId="317BE1F7" w14:textId="77777777" w:rsidR="004149FC" w:rsidRPr="00DE108C" w:rsidRDefault="004149FC" w:rsidP="004149FC">
            <w:pPr>
              <w:pStyle w:val="TableText"/>
              <w:rPr>
                <w:b/>
                <w:bCs/>
                <w:szCs w:val="16"/>
              </w:rPr>
            </w:pPr>
            <w:r>
              <w:rPr>
                <w:rFonts w:ascii="Verdana" w:hAnsi="Verdana" w:cs="Arial"/>
                <w:b/>
                <w:bCs/>
                <w:color w:val="000000"/>
                <w:szCs w:val="16"/>
              </w:rPr>
              <w:t xml:space="preserve"> 3.5 </w:t>
            </w:r>
          </w:p>
        </w:tc>
      </w:tr>
      <w:tr w:rsidR="004149FC" w:rsidRPr="00DE108C" w14:paraId="55AB1517" w14:textId="77777777" w:rsidTr="00ED094E">
        <w:trPr>
          <w:cantSplit/>
        </w:trPr>
        <w:tc>
          <w:tcPr>
            <w:tcW w:w="1757" w:type="pct"/>
          </w:tcPr>
          <w:p w14:paraId="0D0D9727" w14:textId="77777777" w:rsidR="004149FC" w:rsidRPr="00DE108C" w:rsidRDefault="004149FC" w:rsidP="004149FC">
            <w:pPr>
              <w:pStyle w:val="TableText"/>
              <w:rPr>
                <w:b/>
                <w:bCs/>
                <w:szCs w:val="16"/>
              </w:rPr>
            </w:pPr>
            <w:r w:rsidRPr="00DE108C">
              <w:rPr>
                <w:b/>
                <w:bCs/>
                <w:szCs w:val="16"/>
              </w:rPr>
              <w:t>Total</w:t>
            </w:r>
          </w:p>
        </w:tc>
        <w:tc>
          <w:tcPr>
            <w:tcW w:w="540" w:type="pct"/>
            <w:vAlign w:val="center"/>
          </w:tcPr>
          <w:p w14:paraId="5D6C6226" w14:textId="77777777" w:rsidR="004149FC" w:rsidRPr="00DE108C" w:rsidRDefault="004149FC" w:rsidP="004149FC">
            <w:pPr>
              <w:pStyle w:val="TableText"/>
              <w:rPr>
                <w:b/>
                <w:bCs/>
                <w:szCs w:val="16"/>
              </w:rPr>
            </w:pPr>
            <w:r>
              <w:rPr>
                <w:rFonts w:ascii="Verdana" w:hAnsi="Verdana" w:cs="Arial"/>
                <w:b/>
                <w:bCs/>
                <w:color w:val="000000"/>
                <w:szCs w:val="16"/>
              </w:rPr>
              <w:t xml:space="preserve"> 27.6 </w:t>
            </w:r>
          </w:p>
        </w:tc>
        <w:tc>
          <w:tcPr>
            <w:tcW w:w="540" w:type="pct"/>
            <w:vAlign w:val="center"/>
          </w:tcPr>
          <w:p w14:paraId="21FE2160" w14:textId="77777777" w:rsidR="004149FC" w:rsidRPr="00DE108C" w:rsidRDefault="004149FC" w:rsidP="004149FC">
            <w:pPr>
              <w:pStyle w:val="TableText"/>
              <w:rPr>
                <w:b/>
                <w:bCs/>
                <w:szCs w:val="16"/>
              </w:rPr>
            </w:pPr>
            <w:r>
              <w:rPr>
                <w:rFonts w:ascii="Verdana" w:hAnsi="Verdana" w:cs="Arial"/>
                <w:b/>
                <w:bCs/>
                <w:color w:val="000000"/>
                <w:szCs w:val="16"/>
              </w:rPr>
              <w:t xml:space="preserve"> 33.3 </w:t>
            </w:r>
          </w:p>
        </w:tc>
        <w:tc>
          <w:tcPr>
            <w:tcW w:w="540" w:type="pct"/>
            <w:vAlign w:val="center"/>
          </w:tcPr>
          <w:p w14:paraId="2D5323FC" w14:textId="77777777" w:rsidR="004149FC" w:rsidRPr="00DE108C" w:rsidRDefault="004149FC" w:rsidP="004149FC">
            <w:pPr>
              <w:pStyle w:val="TableText"/>
              <w:rPr>
                <w:b/>
                <w:bCs/>
                <w:szCs w:val="16"/>
              </w:rPr>
            </w:pPr>
            <w:r>
              <w:rPr>
                <w:rFonts w:ascii="Verdana" w:hAnsi="Verdana" w:cs="Arial"/>
                <w:b/>
                <w:bCs/>
                <w:color w:val="000000"/>
                <w:szCs w:val="16"/>
              </w:rPr>
              <w:t xml:space="preserve"> 44.1 </w:t>
            </w:r>
          </w:p>
        </w:tc>
        <w:tc>
          <w:tcPr>
            <w:tcW w:w="540" w:type="pct"/>
            <w:vAlign w:val="center"/>
          </w:tcPr>
          <w:p w14:paraId="699858A8" w14:textId="77777777" w:rsidR="004149FC" w:rsidRPr="00DE108C" w:rsidRDefault="004149FC" w:rsidP="004149FC">
            <w:pPr>
              <w:pStyle w:val="TableText"/>
              <w:rPr>
                <w:b/>
                <w:bCs/>
                <w:szCs w:val="16"/>
              </w:rPr>
            </w:pPr>
            <w:r>
              <w:rPr>
                <w:rFonts w:ascii="Verdana" w:hAnsi="Verdana" w:cs="Arial"/>
                <w:b/>
                <w:bCs/>
                <w:color w:val="000000"/>
                <w:szCs w:val="16"/>
              </w:rPr>
              <w:t xml:space="preserve"> 47.4 </w:t>
            </w:r>
          </w:p>
        </w:tc>
        <w:tc>
          <w:tcPr>
            <w:tcW w:w="540" w:type="pct"/>
            <w:vAlign w:val="center"/>
          </w:tcPr>
          <w:p w14:paraId="148E0445" w14:textId="77777777" w:rsidR="004149FC" w:rsidRPr="00DE108C" w:rsidRDefault="004149FC" w:rsidP="004149FC">
            <w:pPr>
              <w:pStyle w:val="TableText"/>
              <w:rPr>
                <w:b/>
                <w:bCs/>
                <w:szCs w:val="16"/>
              </w:rPr>
            </w:pPr>
            <w:r>
              <w:rPr>
                <w:rFonts w:ascii="Verdana" w:hAnsi="Verdana" w:cs="Arial"/>
                <w:b/>
                <w:bCs/>
                <w:color w:val="000000"/>
                <w:szCs w:val="16"/>
              </w:rPr>
              <w:t xml:space="preserve"> 48.3 </w:t>
            </w:r>
          </w:p>
        </w:tc>
        <w:tc>
          <w:tcPr>
            <w:tcW w:w="542" w:type="pct"/>
            <w:vAlign w:val="center"/>
          </w:tcPr>
          <w:p w14:paraId="27467960" w14:textId="0A5099B7" w:rsidR="004149FC" w:rsidRPr="00DE108C" w:rsidRDefault="004149FC" w:rsidP="004149FC">
            <w:pPr>
              <w:pStyle w:val="TableText"/>
              <w:rPr>
                <w:b/>
                <w:bCs/>
                <w:szCs w:val="16"/>
              </w:rPr>
            </w:pPr>
            <w:r>
              <w:rPr>
                <w:rFonts w:ascii="Verdana" w:hAnsi="Verdana" w:cs="Arial"/>
                <w:b/>
                <w:bCs/>
                <w:color w:val="000000"/>
                <w:szCs w:val="16"/>
              </w:rPr>
              <w:t xml:space="preserve"> 200.6 </w:t>
            </w:r>
          </w:p>
        </w:tc>
      </w:tr>
    </w:tbl>
    <w:p w14:paraId="1F54FC8F" w14:textId="77777777" w:rsidR="00046BD5" w:rsidRPr="00DE108C" w:rsidRDefault="00046BD5">
      <w:pPr>
        <w:pStyle w:val="BodyText"/>
      </w:pPr>
    </w:p>
    <w:p w14:paraId="1A69AE54" w14:textId="0C8DEB99" w:rsidR="00046BD5" w:rsidRPr="00DE108C" w:rsidRDefault="00046BD5" w:rsidP="005C0FA9">
      <w:pPr>
        <w:pStyle w:val="Heading4"/>
      </w:pPr>
      <w:bookmarkStart w:id="693" w:name="_Toc196745255"/>
      <w:r w:rsidRPr="00DE108C">
        <w:t>7.3.</w:t>
      </w:r>
      <w:r w:rsidR="005C0FA9" w:rsidRPr="00DE108C">
        <w:t>2.1</w:t>
      </w:r>
      <w:r w:rsidRPr="00DE108C">
        <w:t xml:space="preserve"> Additional operating expenditure for Outcome 1: Safe and reliable bulk water supplies </w:t>
      </w:r>
      <w:r w:rsidR="00E6108F" w:rsidRPr="00DE108C">
        <w:t xml:space="preserve">for </w:t>
      </w:r>
      <w:r w:rsidRPr="00DE108C">
        <w:t>now and the long term</w:t>
      </w:r>
      <w:bookmarkEnd w:id="693"/>
    </w:p>
    <w:p w14:paraId="63517EB7" w14:textId="77777777" w:rsidR="00046BD5" w:rsidRPr="00DE108C" w:rsidRDefault="00046BD5">
      <w:pPr>
        <w:pStyle w:val="BodyText"/>
      </w:pPr>
      <w:r w:rsidRPr="00DE108C">
        <w:t>We are proposing an additional $46.0 million over the regulatory period for the continued delivery of safe and reliable bulk water services. This is comprised of:</w:t>
      </w:r>
    </w:p>
    <w:p w14:paraId="48772725" w14:textId="6BA07DD0" w:rsidR="00046BD5" w:rsidRPr="00DE108C" w:rsidRDefault="00046BD5" w:rsidP="00727F8E">
      <w:pPr>
        <w:pStyle w:val="ListBullet"/>
      </w:pPr>
      <w:r w:rsidRPr="00DE108C">
        <w:t xml:space="preserve">Additional </w:t>
      </w:r>
      <w:r w:rsidR="10A8B1A9">
        <w:t>opex</w:t>
      </w:r>
      <w:r w:rsidRPr="00DE108C">
        <w:t xml:space="preserve"> of $9.9 million associated with new capital works delivered that reflect our capital program. The additional opex reflects the higher labour, maintenance and materials required to operate the new assets, as well as a small proportion of the additional expenditure for project managers to deliver the new capex.</w:t>
      </w:r>
    </w:p>
    <w:p w14:paraId="1E25892A" w14:textId="58B1024D" w:rsidR="00046BD5" w:rsidRPr="00DE108C" w:rsidRDefault="00046BD5" w:rsidP="00727F8E">
      <w:pPr>
        <w:pStyle w:val="ListBullet"/>
      </w:pPr>
      <w:r w:rsidRPr="00DE108C">
        <w:lastRenderedPageBreak/>
        <w:t xml:space="preserve">Further increases to fluoride costs are expected in the order of $9.7 million over the next regulatory period. Melbourne Water has taken the average of recent tenders to forecast the expected cost during the next regulatory period.  </w:t>
      </w:r>
    </w:p>
    <w:p w14:paraId="210BD81E" w14:textId="070786C2" w:rsidR="00046BD5" w:rsidRPr="00DE108C" w:rsidRDefault="00046BD5" w:rsidP="00727F8E">
      <w:pPr>
        <w:pStyle w:val="ListBullet"/>
      </w:pPr>
      <w:r w:rsidRPr="00DE108C">
        <w:t xml:space="preserve">Additional operating costs for the management of recreational access at Tarago Reservoir under the Victorian Government’s </w:t>
      </w:r>
      <w:r w:rsidRPr="00727F8E">
        <w:t xml:space="preserve">Water for Victoria </w:t>
      </w:r>
      <w:r w:rsidRPr="00DE108C">
        <w:t>policy. These costs total $4.8 million.</w:t>
      </w:r>
    </w:p>
    <w:p w14:paraId="5E6EB1CA" w14:textId="6E3A6F4C" w:rsidR="00046BD5" w:rsidRPr="00DE108C" w:rsidRDefault="00046BD5" w:rsidP="00727F8E">
      <w:pPr>
        <w:pStyle w:val="ListBullet"/>
      </w:pPr>
      <w:r w:rsidRPr="00DE108C">
        <w:t>Additional corporate shared costs of $21.6 million. The allocation to Outcome 1 is comprised of $11.1 million in IT, $5.0 million in operational technology, $7.0 million in electricity and $0.03 million in carbon offsets. These are partially offset by a forecast saving of $1.6 million in insurance costs. These are explained further below in Section 7.</w:t>
      </w:r>
      <w:r w:rsidR="001D64E8" w:rsidRPr="00DE108C">
        <w:t>3.3</w:t>
      </w:r>
      <w:r w:rsidR="58F1CEBE">
        <w:t xml:space="preserve"> (Additions to baseline controllable opex – specific cost items)</w:t>
      </w:r>
      <w:r>
        <w:t>.</w:t>
      </w:r>
      <w:r w:rsidRPr="00DE108C">
        <w:t xml:space="preserve"> </w:t>
      </w:r>
    </w:p>
    <w:p w14:paraId="4CF1362E" w14:textId="09A5D49D" w:rsidR="579EA713" w:rsidRDefault="579EA713" w:rsidP="00727F8E"/>
    <w:p w14:paraId="57A789BE" w14:textId="77777777" w:rsidR="00046BD5" w:rsidRPr="00DE108C" w:rsidRDefault="00046BD5" w:rsidP="00ED094E">
      <w:pPr>
        <w:pStyle w:val="Caption"/>
      </w:pPr>
      <w:bookmarkStart w:id="694" w:name="_Toc207893056"/>
      <w:bookmarkStart w:id="695" w:name="_Toc208490580"/>
      <w:bookmarkStart w:id="696" w:name="_Toc208490918"/>
      <w:bookmarkStart w:id="697" w:name="_Toc208911076"/>
      <w:bookmarkStart w:id="698" w:name="_Toc210051382"/>
      <w:r w:rsidRPr="00DE108C">
        <w:t>Table 7.6: Outcome 1 additional expenditure ($millions, real 2025-26)</w:t>
      </w:r>
      <w:bookmarkEnd w:id="694"/>
      <w:bookmarkEnd w:id="695"/>
      <w:bookmarkEnd w:id="696"/>
      <w:bookmarkEnd w:id="697"/>
      <w:bookmarkEnd w:id="698"/>
    </w:p>
    <w:tbl>
      <w:tblPr>
        <w:tblStyle w:val="MWTableGrid"/>
        <w:tblW w:w="5000" w:type="pct"/>
        <w:tblLook w:val="0420" w:firstRow="1" w:lastRow="0" w:firstColumn="0" w:lastColumn="0" w:noHBand="0" w:noVBand="1"/>
      </w:tblPr>
      <w:tblGrid>
        <w:gridCol w:w="2718"/>
        <w:gridCol w:w="1151"/>
        <w:gridCol w:w="1151"/>
        <w:gridCol w:w="1152"/>
        <w:gridCol w:w="1152"/>
        <w:gridCol w:w="1152"/>
        <w:gridCol w:w="1152"/>
      </w:tblGrid>
      <w:tr w:rsidR="00556A0D" w:rsidRPr="00DE108C" w14:paraId="5773787C" w14:textId="77777777">
        <w:trPr>
          <w:cnfStyle w:val="100000000000" w:firstRow="1" w:lastRow="0" w:firstColumn="0" w:lastColumn="0" w:oddVBand="0" w:evenVBand="0" w:oddHBand="0" w:evenHBand="0" w:firstRowFirstColumn="0" w:firstRowLastColumn="0" w:lastRowFirstColumn="0" w:lastRowLastColumn="0"/>
          <w:cantSplit/>
        </w:trPr>
        <w:tc>
          <w:tcPr>
            <w:tcW w:w="1412" w:type="pct"/>
          </w:tcPr>
          <w:p w14:paraId="515C256C" w14:textId="77777777" w:rsidR="00046BD5" w:rsidRPr="00DE108C" w:rsidRDefault="00046BD5">
            <w:pPr>
              <w:pStyle w:val="TableHeading"/>
              <w:rPr>
                <w:szCs w:val="16"/>
              </w:rPr>
            </w:pPr>
            <w:r w:rsidRPr="00DE108C">
              <w:rPr>
                <w:szCs w:val="16"/>
              </w:rPr>
              <w:t>Additional expenditure item</w:t>
            </w:r>
          </w:p>
        </w:tc>
        <w:tc>
          <w:tcPr>
            <w:tcW w:w="598" w:type="pct"/>
          </w:tcPr>
          <w:p w14:paraId="5714938C" w14:textId="77777777" w:rsidR="00046BD5" w:rsidRPr="00DE108C" w:rsidRDefault="00046BD5">
            <w:pPr>
              <w:pStyle w:val="TableHeading"/>
              <w:rPr>
                <w:szCs w:val="16"/>
              </w:rPr>
            </w:pPr>
            <w:r w:rsidRPr="00DE108C">
              <w:rPr>
                <w:szCs w:val="16"/>
              </w:rPr>
              <w:t>2026-27</w:t>
            </w:r>
          </w:p>
        </w:tc>
        <w:tc>
          <w:tcPr>
            <w:tcW w:w="598" w:type="pct"/>
          </w:tcPr>
          <w:p w14:paraId="4B6D509A" w14:textId="77777777" w:rsidR="00046BD5" w:rsidRPr="00DE108C" w:rsidRDefault="00046BD5">
            <w:pPr>
              <w:pStyle w:val="TableHeading"/>
              <w:rPr>
                <w:szCs w:val="16"/>
              </w:rPr>
            </w:pPr>
            <w:r w:rsidRPr="00DE108C">
              <w:rPr>
                <w:szCs w:val="16"/>
              </w:rPr>
              <w:t>2027-28</w:t>
            </w:r>
          </w:p>
        </w:tc>
        <w:tc>
          <w:tcPr>
            <w:tcW w:w="598" w:type="pct"/>
          </w:tcPr>
          <w:p w14:paraId="3BBA0F9E" w14:textId="77777777" w:rsidR="00046BD5" w:rsidRPr="00DE108C" w:rsidRDefault="00046BD5">
            <w:pPr>
              <w:pStyle w:val="TableHeading"/>
              <w:rPr>
                <w:szCs w:val="16"/>
              </w:rPr>
            </w:pPr>
            <w:r w:rsidRPr="00DE108C">
              <w:rPr>
                <w:szCs w:val="16"/>
              </w:rPr>
              <w:t>2028-29</w:t>
            </w:r>
          </w:p>
        </w:tc>
        <w:tc>
          <w:tcPr>
            <w:tcW w:w="598" w:type="pct"/>
          </w:tcPr>
          <w:p w14:paraId="6BF5FAE9" w14:textId="77777777" w:rsidR="00046BD5" w:rsidRPr="00DE108C" w:rsidRDefault="00046BD5">
            <w:pPr>
              <w:pStyle w:val="TableHeading"/>
              <w:rPr>
                <w:szCs w:val="16"/>
              </w:rPr>
            </w:pPr>
            <w:r w:rsidRPr="00DE108C">
              <w:rPr>
                <w:szCs w:val="16"/>
              </w:rPr>
              <w:t>2029-30</w:t>
            </w:r>
          </w:p>
        </w:tc>
        <w:tc>
          <w:tcPr>
            <w:tcW w:w="598" w:type="pct"/>
          </w:tcPr>
          <w:p w14:paraId="56A7A6AB" w14:textId="77777777" w:rsidR="00046BD5" w:rsidRPr="00DE108C" w:rsidRDefault="00046BD5">
            <w:pPr>
              <w:pStyle w:val="TableHeading"/>
              <w:rPr>
                <w:szCs w:val="16"/>
              </w:rPr>
            </w:pPr>
            <w:r w:rsidRPr="00DE108C">
              <w:rPr>
                <w:szCs w:val="16"/>
              </w:rPr>
              <w:t>2030-31</w:t>
            </w:r>
          </w:p>
        </w:tc>
        <w:tc>
          <w:tcPr>
            <w:tcW w:w="598" w:type="pct"/>
          </w:tcPr>
          <w:p w14:paraId="78B1C8DB" w14:textId="77777777" w:rsidR="00046BD5" w:rsidRPr="00DE108C" w:rsidRDefault="00046BD5">
            <w:pPr>
              <w:pStyle w:val="TableHeading"/>
              <w:rPr>
                <w:szCs w:val="16"/>
              </w:rPr>
            </w:pPr>
            <w:r w:rsidRPr="00DE108C">
              <w:rPr>
                <w:szCs w:val="16"/>
              </w:rPr>
              <w:t>Total</w:t>
            </w:r>
          </w:p>
        </w:tc>
      </w:tr>
      <w:tr w:rsidR="00046BD5" w:rsidRPr="00DE108C" w14:paraId="346C613C" w14:textId="77777777" w:rsidTr="00ED094E">
        <w:trPr>
          <w:cantSplit/>
        </w:trPr>
        <w:tc>
          <w:tcPr>
            <w:tcW w:w="1412" w:type="pct"/>
          </w:tcPr>
          <w:p w14:paraId="03E221DD" w14:textId="46C96D0F" w:rsidR="00046BD5" w:rsidRPr="00DE108C" w:rsidRDefault="3DCB36BC" w:rsidP="00ED094E">
            <w:pPr>
              <w:pStyle w:val="TableText"/>
            </w:pPr>
            <w:r>
              <w:t>Opex</w:t>
            </w:r>
            <w:r w:rsidR="00046BD5">
              <w:t xml:space="preserve"> from capital program</w:t>
            </w:r>
          </w:p>
        </w:tc>
        <w:tc>
          <w:tcPr>
            <w:tcW w:w="598" w:type="pct"/>
          </w:tcPr>
          <w:p w14:paraId="1539D595" w14:textId="77777777" w:rsidR="00046BD5" w:rsidRPr="00DE108C" w:rsidRDefault="00046BD5" w:rsidP="00ED094E">
            <w:pPr>
              <w:pStyle w:val="TableText"/>
              <w:rPr>
                <w:szCs w:val="16"/>
              </w:rPr>
            </w:pPr>
            <w:r w:rsidRPr="00DE108C">
              <w:rPr>
                <w:szCs w:val="16"/>
              </w:rPr>
              <w:t xml:space="preserve"> 0.6 </w:t>
            </w:r>
          </w:p>
        </w:tc>
        <w:tc>
          <w:tcPr>
            <w:tcW w:w="598" w:type="pct"/>
          </w:tcPr>
          <w:p w14:paraId="66C374BE" w14:textId="77777777" w:rsidR="00046BD5" w:rsidRPr="00DE108C" w:rsidRDefault="00046BD5" w:rsidP="00ED094E">
            <w:pPr>
              <w:pStyle w:val="TableText"/>
              <w:rPr>
                <w:szCs w:val="16"/>
              </w:rPr>
            </w:pPr>
            <w:r w:rsidRPr="00DE108C">
              <w:rPr>
                <w:szCs w:val="16"/>
              </w:rPr>
              <w:t xml:space="preserve"> 0.9 </w:t>
            </w:r>
          </w:p>
        </w:tc>
        <w:tc>
          <w:tcPr>
            <w:tcW w:w="598" w:type="pct"/>
          </w:tcPr>
          <w:p w14:paraId="73627F07" w14:textId="77777777" w:rsidR="00046BD5" w:rsidRPr="00DE108C" w:rsidRDefault="00046BD5" w:rsidP="00ED094E">
            <w:pPr>
              <w:pStyle w:val="TableText"/>
              <w:rPr>
                <w:szCs w:val="16"/>
              </w:rPr>
            </w:pPr>
            <w:r w:rsidRPr="00DE108C">
              <w:rPr>
                <w:szCs w:val="16"/>
              </w:rPr>
              <w:t xml:space="preserve"> 2.3 </w:t>
            </w:r>
          </w:p>
        </w:tc>
        <w:tc>
          <w:tcPr>
            <w:tcW w:w="598" w:type="pct"/>
          </w:tcPr>
          <w:p w14:paraId="24B01FDD" w14:textId="77777777" w:rsidR="00046BD5" w:rsidRPr="00DE108C" w:rsidRDefault="00046BD5" w:rsidP="00ED094E">
            <w:pPr>
              <w:pStyle w:val="TableText"/>
              <w:rPr>
                <w:szCs w:val="16"/>
              </w:rPr>
            </w:pPr>
            <w:r w:rsidRPr="00DE108C">
              <w:rPr>
                <w:szCs w:val="16"/>
              </w:rPr>
              <w:t xml:space="preserve"> 2.9 </w:t>
            </w:r>
          </w:p>
        </w:tc>
        <w:tc>
          <w:tcPr>
            <w:tcW w:w="598" w:type="pct"/>
          </w:tcPr>
          <w:p w14:paraId="13C31F8E" w14:textId="77777777" w:rsidR="00046BD5" w:rsidRPr="00DE108C" w:rsidRDefault="00046BD5" w:rsidP="00ED094E">
            <w:pPr>
              <w:pStyle w:val="TableText"/>
              <w:rPr>
                <w:szCs w:val="16"/>
              </w:rPr>
            </w:pPr>
            <w:r w:rsidRPr="00DE108C">
              <w:rPr>
                <w:szCs w:val="16"/>
              </w:rPr>
              <w:t xml:space="preserve"> 3.3 </w:t>
            </w:r>
          </w:p>
        </w:tc>
        <w:tc>
          <w:tcPr>
            <w:tcW w:w="598" w:type="pct"/>
          </w:tcPr>
          <w:p w14:paraId="3F9E3BE4" w14:textId="77777777" w:rsidR="00046BD5" w:rsidRPr="00DE108C" w:rsidRDefault="00046BD5" w:rsidP="00ED094E">
            <w:pPr>
              <w:pStyle w:val="TableText"/>
              <w:rPr>
                <w:b/>
                <w:bCs/>
                <w:szCs w:val="16"/>
              </w:rPr>
            </w:pPr>
            <w:r w:rsidRPr="00DE108C">
              <w:rPr>
                <w:b/>
                <w:bCs/>
                <w:szCs w:val="16"/>
              </w:rPr>
              <w:t xml:space="preserve"> 9.9 </w:t>
            </w:r>
          </w:p>
        </w:tc>
      </w:tr>
      <w:tr w:rsidR="00A043F7" w:rsidRPr="00DE108C" w14:paraId="6A06043D" w14:textId="77777777">
        <w:trPr>
          <w:cnfStyle w:val="000000010000" w:firstRow="0" w:lastRow="0" w:firstColumn="0" w:lastColumn="0" w:oddVBand="0" w:evenVBand="0" w:oddHBand="0" w:evenHBand="1" w:firstRowFirstColumn="0" w:firstRowLastColumn="0" w:lastRowFirstColumn="0" w:lastRowLastColumn="0"/>
          <w:cantSplit/>
        </w:trPr>
        <w:tc>
          <w:tcPr>
            <w:tcW w:w="1412" w:type="pct"/>
          </w:tcPr>
          <w:p w14:paraId="3CDB189C" w14:textId="77777777" w:rsidR="00046BD5" w:rsidRPr="00DE108C" w:rsidRDefault="00046BD5" w:rsidP="00ED094E">
            <w:pPr>
              <w:pStyle w:val="TableText"/>
              <w:rPr>
                <w:szCs w:val="16"/>
              </w:rPr>
            </w:pPr>
            <w:r w:rsidRPr="00DE108C">
              <w:rPr>
                <w:szCs w:val="16"/>
              </w:rPr>
              <w:t>Fluoride contract costs</w:t>
            </w:r>
          </w:p>
        </w:tc>
        <w:tc>
          <w:tcPr>
            <w:tcW w:w="598" w:type="pct"/>
            <w:vAlign w:val="center"/>
          </w:tcPr>
          <w:p w14:paraId="3C4BDC08" w14:textId="77777777" w:rsidR="00046BD5" w:rsidRPr="00DE108C" w:rsidRDefault="00046BD5" w:rsidP="00ED094E">
            <w:pPr>
              <w:pStyle w:val="TableText"/>
              <w:rPr>
                <w:szCs w:val="16"/>
              </w:rPr>
            </w:pPr>
            <w:r w:rsidRPr="00DE108C">
              <w:rPr>
                <w:szCs w:val="16"/>
              </w:rPr>
              <w:t xml:space="preserve"> 1.8 </w:t>
            </w:r>
          </w:p>
        </w:tc>
        <w:tc>
          <w:tcPr>
            <w:tcW w:w="598" w:type="pct"/>
            <w:vAlign w:val="center"/>
          </w:tcPr>
          <w:p w14:paraId="4545040F" w14:textId="77777777" w:rsidR="00046BD5" w:rsidRPr="00DE108C" w:rsidRDefault="00046BD5" w:rsidP="00ED094E">
            <w:pPr>
              <w:pStyle w:val="TableText"/>
              <w:rPr>
                <w:szCs w:val="16"/>
              </w:rPr>
            </w:pPr>
            <w:r w:rsidRPr="00DE108C">
              <w:rPr>
                <w:szCs w:val="16"/>
              </w:rPr>
              <w:t xml:space="preserve"> 1.9 </w:t>
            </w:r>
          </w:p>
        </w:tc>
        <w:tc>
          <w:tcPr>
            <w:tcW w:w="598" w:type="pct"/>
            <w:vAlign w:val="center"/>
          </w:tcPr>
          <w:p w14:paraId="03B99589" w14:textId="77777777" w:rsidR="00046BD5" w:rsidRPr="00DE108C" w:rsidRDefault="00046BD5" w:rsidP="00ED094E">
            <w:pPr>
              <w:pStyle w:val="TableText"/>
              <w:rPr>
                <w:szCs w:val="16"/>
              </w:rPr>
            </w:pPr>
            <w:r w:rsidRPr="00DE108C">
              <w:rPr>
                <w:szCs w:val="16"/>
              </w:rPr>
              <w:t xml:space="preserve"> 1.9 </w:t>
            </w:r>
          </w:p>
        </w:tc>
        <w:tc>
          <w:tcPr>
            <w:tcW w:w="598" w:type="pct"/>
            <w:vAlign w:val="center"/>
          </w:tcPr>
          <w:p w14:paraId="01AA5355" w14:textId="77777777" w:rsidR="00046BD5" w:rsidRPr="00DE108C" w:rsidRDefault="00046BD5" w:rsidP="00ED094E">
            <w:pPr>
              <w:pStyle w:val="TableText"/>
              <w:rPr>
                <w:szCs w:val="16"/>
              </w:rPr>
            </w:pPr>
            <w:r w:rsidRPr="00DE108C">
              <w:rPr>
                <w:szCs w:val="16"/>
              </w:rPr>
              <w:t xml:space="preserve"> 2.0 </w:t>
            </w:r>
          </w:p>
        </w:tc>
        <w:tc>
          <w:tcPr>
            <w:tcW w:w="598" w:type="pct"/>
            <w:vAlign w:val="center"/>
          </w:tcPr>
          <w:p w14:paraId="7E4B9DF2" w14:textId="77777777" w:rsidR="00046BD5" w:rsidRPr="00DE108C" w:rsidRDefault="00046BD5" w:rsidP="00ED094E">
            <w:pPr>
              <w:pStyle w:val="TableText"/>
              <w:rPr>
                <w:szCs w:val="16"/>
              </w:rPr>
            </w:pPr>
            <w:r w:rsidRPr="00DE108C">
              <w:rPr>
                <w:szCs w:val="16"/>
              </w:rPr>
              <w:t xml:space="preserve"> 2.1 </w:t>
            </w:r>
          </w:p>
        </w:tc>
        <w:tc>
          <w:tcPr>
            <w:tcW w:w="598" w:type="pct"/>
            <w:vAlign w:val="center"/>
          </w:tcPr>
          <w:p w14:paraId="35F7445A" w14:textId="77777777" w:rsidR="00046BD5" w:rsidRPr="00DE108C" w:rsidRDefault="00046BD5" w:rsidP="00ED094E">
            <w:pPr>
              <w:pStyle w:val="TableText"/>
              <w:rPr>
                <w:b/>
                <w:bCs/>
                <w:szCs w:val="16"/>
              </w:rPr>
            </w:pPr>
            <w:r w:rsidRPr="00DE108C">
              <w:rPr>
                <w:b/>
                <w:bCs/>
                <w:szCs w:val="16"/>
              </w:rPr>
              <w:t xml:space="preserve"> 9.7 </w:t>
            </w:r>
          </w:p>
        </w:tc>
      </w:tr>
      <w:tr w:rsidR="00046BD5" w:rsidRPr="00DE108C" w14:paraId="76E09590" w14:textId="77777777" w:rsidTr="00ED094E">
        <w:trPr>
          <w:cantSplit/>
        </w:trPr>
        <w:tc>
          <w:tcPr>
            <w:tcW w:w="1412" w:type="pct"/>
          </w:tcPr>
          <w:p w14:paraId="03DD864F" w14:textId="77777777" w:rsidR="00046BD5" w:rsidRPr="00DE108C" w:rsidRDefault="00046BD5" w:rsidP="00ED094E">
            <w:pPr>
              <w:pStyle w:val="TableText"/>
              <w:rPr>
                <w:szCs w:val="16"/>
              </w:rPr>
            </w:pPr>
            <w:r w:rsidRPr="00DE108C">
              <w:rPr>
                <w:szCs w:val="16"/>
              </w:rPr>
              <w:t>Tarago recreational access</w:t>
            </w:r>
          </w:p>
        </w:tc>
        <w:tc>
          <w:tcPr>
            <w:tcW w:w="598" w:type="pct"/>
          </w:tcPr>
          <w:p w14:paraId="6476389F" w14:textId="77777777" w:rsidR="00046BD5" w:rsidRPr="00DE108C" w:rsidRDefault="00046BD5" w:rsidP="00ED094E">
            <w:pPr>
              <w:pStyle w:val="TableText"/>
              <w:rPr>
                <w:szCs w:val="16"/>
              </w:rPr>
            </w:pPr>
            <w:r w:rsidRPr="00DE108C">
              <w:rPr>
                <w:szCs w:val="16"/>
              </w:rPr>
              <w:t xml:space="preserve"> 1.0 </w:t>
            </w:r>
          </w:p>
        </w:tc>
        <w:tc>
          <w:tcPr>
            <w:tcW w:w="598" w:type="pct"/>
          </w:tcPr>
          <w:p w14:paraId="2667273F" w14:textId="77777777" w:rsidR="00046BD5" w:rsidRPr="00DE108C" w:rsidRDefault="00046BD5" w:rsidP="00ED094E">
            <w:pPr>
              <w:pStyle w:val="TableText"/>
              <w:rPr>
                <w:szCs w:val="16"/>
              </w:rPr>
            </w:pPr>
            <w:r w:rsidRPr="00DE108C">
              <w:rPr>
                <w:szCs w:val="16"/>
              </w:rPr>
              <w:t xml:space="preserve"> 0.9 </w:t>
            </w:r>
          </w:p>
        </w:tc>
        <w:tc>
          <w:tcPr>
            <w:tcW w:w="598" w:type="pct"/>
          </w:tcPr>
          <w:p w14:paraId="5E595C8C" w14:textId="77777777" w:rsidR="00046BD5" w:rsidRPr="00DE108C" w:rsidRDefault="00046BD5" w:rsidP="00ED094E">
            <w:pPr>
              <w:pStyle w:val="TableText"/>
              <w:rPr>
                <w:szCs w:val="16"/>
              </w:rPr>
            </w:pPr>
            <w:r w:rsidRPr="00DE108C">
              <w:rPr>
                <w:szCs w:val="16"/>
              </w:rPr>
              <w:t xml:space="preserve"> 0.9 </w:t>
            </w:r>
          </w:p>
        </w:tc>
        <w:tc>
          <w:tcPr>
            <w:tcW w:w="598" w:type="pct"/>
          </w:tcPr>
          <w:p w14:paraId="25405DB3" w14:textId="77777777" w:rsidR="00046BD5" w:rsidRPr="00DE108C" w:rsidRDefault="00046BD5" w:rsidP="00ED094E">
            <w:pPr>
              <w:pStyle w:val="TableText"/>
              <w:rPr>
                <w:szCs w:val="16"/>
              </w:rPr>
            </w:pPr>
            <w:r w:rsidRPr="00DE108C">
              <w:rPr>
                <w:szCs w:val="16"/>
              </w:rPr>
              <w:t xml:space="preserve"> 1.0 </w:t>
            </w:r>
          </w:p>
        </w:tc>
        <w:tc>
          <w:tcPr>
            <w:tcW w:w="598" w:type="pct"/>
          </w:tcPr>
          <w:p w14:paraId="315752A7" w14:textId="77777777" w:rsidR="00046BD5" w:rsidRPr="00DE108C" w:rsidRDefault="00046BD5" w:rsidP="00ED094E">
            <w:pPr>
              <w:pStyle w:val="TableText"/>
              <w:rPr>
                <w:szCs w:val="16"/>
              </w:rPr>
            </w:pPr>
            <w:r w:rsidRPr="00DE108C">
              <w:rPr>
                <w:szCs w:val="16"/>
              </w:rPr>
              <w:t xml:space="preserve"> 1.0 </w:t>
            </w:r>
          </w:p>
        </w:tc>
        <w:tc>
          <w:tcPr>
            <w:tcW w:w="598" w:type="pct"/>
          </w:tcPr>
          <w:p w14:paraId="7E0A941A" w14:textId="77777777" w:rsidR="00046BD5" w:rsidRPr="00DE108C" w:rsidRDefault="00046BD5" w:rsidP="00ED094E">
            <w:pPr>
              <w:pStyle w:val="TableText"/>
              <w:rPr>
                <w:b/>
                <w:bCs/>
                <w:szCs w:val="16"/>
              </w:rPr>
            </w:pPr>
            <w:r w:rsidRPr="00DE108C">
              <w:rPr>
                <w:b/>
                <w:bCs/>
                <w:szCs w:val="16"/>
              </w:rPr>
              <w:t xml:space="preserve"> 4.8 </w:t>
            </w:r>
          </w:p>
        </w:tc>
      </w:tr>
      <w:tr w:rsidR="00A043F7" w:rsidRPr="00DE108C" w14:paraId="1A136116" w14:textId="77777777">
        <w:trPr>
          <w:cnfStyle w:val="000000010000" w:firstRow="0" w:lastRow="0" w:firstColumn="0" w:lastColumn="0" w:oddVBand="0" w:evenVBand="0" w:oddHBand="0" w:evenHBand="1" w:firstRowFirstColumn="0" w:firstRowLastColumn="0" w:lastRowFirstColumn="0" w:lastRowLastColumn="0"/>
          <w:cantSplit/>
        </w:trPr>
        <w:tc>
          <w:tcPr>
            <w:tcW w:w="1412" w:type="pct"/>
          </w:tcPr>
          <w:p w14:paraId="20D6B9B7" w14:textId="77777777" w:rsidR="00046BD5" w:rsidRPr="00DE108C" w:rsidRDefault="00046BD5" w:rsidP="00ED094E">
            <w:pPr>
              <w:pStyle w:val="TableText"/>
              <w:rPr>
                <w:szCs w:val="16"/>
              </w:rPr>
            </w:pPr>
            <w:r w:rsidRPr="00DE108C">
              <w:rPr>
                <w:szCs w:val="16"/>
              </w:rPr>
              <w:t>Shared corporate cost allocation</w:t>
            </w:r>
          </w:p>
        </w:tc>
        <w:tc>
          <w:tcPr>
            <w:tcW w:w="598" w:type="pct"/>
            <w:vAlign w:val="center"/>
          </w:tcPr>
          <w:p w14:paraId="689F5375" w14:textId="77777777" w:rsidR="00046BD5" w:rsidRPr="00DE108C" w:rsidRDefault="00046BD5" w:rsidP="00ED094E">
            <w:pPr>
              <w:pStyle w:val="TableText"/>
              <w:rPr>
                <w:szCs w:val="16"/>
              </w:rPr>
            </w:pPr>
            <w:r w:rsidRPr="00DE108C">
              <w:rPr>
                <w:szCs w:val="16"/>
              </w:rPr>
              <w:t xml:space="preserve"> 3.7 </w:t>
            </w:r>
          </w:p>
        </w:tc>
        <w:tc>
          <w:tcPr>
            <w:tcW w:w="598" w:type="pct"/>
            <w:vAlign w:val="center"/>
          </w:tcPr>
          <w:p w14:paraId="43518F43" w14:textId="77777777" w:rsidR="00046BD5" w:rsidRPr="00DE108C" w:rsidRDefault="00046BD5" w:rsidP="00ED094E">
            <w:pPr>
              <w:pStyle w:val="TableText"/>
              <w:rPr>
                <w:szCs w:val="16"/>
              </w:rPr>
            </w:pPr>
            <w:r w:rsidRPr="00DE108C">
              <w:rPr>
                <w:szCs w:val="16"/>
              </w:rPr>
              <w:t xml:space="preserve"> 5.0 </w:t>
            </w:r>
          </w:p>
        </w:tc>
        <w:tc>
          <w:tcPr>
            <w:tcW w:w="598" w:type="pct"/>
            <w:vAlign w:val="center"/>
          </w:tcPr>
          <w:p w14:paraId="2AF1DC6D" w14:textId="77777777" w:rsidR="00046BD5" w:rsidRPr="00DE108C" w:rsidRDefault="00046BD5" w:rsidP="00ED094E">
            <w:pPr>
              <w:pStyle w:val="TableText"/>
              <w:rPr>
                <w:szCs w:val="16"/>
              </w:rPr>
            </w:pPr>
            <w:r w:rsidRPr="00DE108C">
              <w:rPr>
                <w:szCs w:val="16"/>
              </w:rPr>
              <w:t xml:space="preserve"> 5.3 </w:t>
            </w:r>
          </w:p>
        </w:tc>
        <w:tc>
          <w:tcPr>
            <w:tcW w:w="598" w:type="pct"/>
            <w:vAlign w:val="center"/>
          </w:tcPr>
          <w:p w14:paraId="1BA20855" w14:textId="77777777" w:rsidR="00046BD5" w:rsidRPr="00DE108C" w:rsidRDefault="00046BD5" w:rsidP="00ED094E">
            <w:pPr>
              <w:pStyle w:val="TableText"/>
              <w:rPr>
                <w:szCs w:val="16"/>
              </w:rPr>
            </w:pPr>
            <w:r w:rsidRPr="00DE108C">
              <w:rPr>
                <w:szCs w:val="16"/>
              </w:rPr>
              <w:t xml:space="preserve"> 4.1 </w:t>
            </w:r>
          </w:p>
        </w:tc>
        <w:tc>
          <w:tcPr>
            <w:tcW w:w="598" w:type="pct"/>
            <w:vAlign w:val="center"/>
          </w:tcPr>
          <w:p w14:paraId="32266A57" w14:textId="77777777" w:rsidR="00046BD5" w:rsidRPr="00DE108C" w:rsidRDefault="00046BD5" w:rsidP="00ED094E">
            <w:pPr>
              <w:pStyle w:val="TableText"/>
              <w:rPr>
                <w:szCs w:val="16"/>
              </w:rPr>
            </w:pPr>
            <w:r w:rsidRPr="00DE108C">
              <w:rPr>
                <w:szCs w:val="16"/>
              </w:rPr>
              <w:t xml:space="preserve"> 3.5 </w:t>
            </w:r>
          </w:p>
        </w:tc>
        <w:tc>
          <w:tcPr>
            <w:tcW w:w="598" w:type="pct"/>
            <w:vAlign w:val="center"/>
          </w:tcPr>
          <w:p w14:paraId="06CA4DB2" w14:textId="77777777" w:rsidR="00046BD5" w:rsidRPr="00DE108C" w:rsidRDefault="00046BD5" w:rsidP="00ED094E">
            <w:pPr>
              <w:pStyle w:val="TableText"/>
              <w:rPr>
                <w:b/>
                <w:bCs/>
                <w:szCs w:val="16"/>
              </w:rPr>
            </w:pPr>
            <w:r w:rsidRPr="00DE108C">
              <w:rPr>
                <w:b/>
                <w:bCs/>
                <w:szCs w:val="16"/>
              </w:rPr>
              <w:t xml:space="preserve"> 21.6 </w:t>
            </w:r>
          </w:p>
        </w:tc>
      </w:tr>
      <w:tr w:rsidR="00046BD5" w:rsidRPr="00DE108C" w14:paraId="69BAC51C" w14:textId="77777777" w:rsidTr="00ED094E">
        <w:trPr>
          <w:cantSplit/>
        </w:trPr>
        <w:tc>
          <w:tcPr>
            <w:tcW w:w="1412" w:type="pct"/>
          </w:tcPr>
          <w:p w14:paraId="74803E0A" w14:textId="77777777" w:rsidR="00046BD5" w:rsidRPr="00DE108C" w:rsidRDefault="00046BD5" w:rsidP="00ED094E">
            <w:pPr>
              <w:pStyle w:val="TableText"/>
              <w:rPr>
                <w:b/>
                <w:bCs/>
                <w:szCs w:val="16"/>
              </w:rPr>
            </w:pPr>
            <w:r w:rsidRPr="00DE108C">
              <w:rPr>
                <w:b/>
                <w:bCs/>
                <w:szCs w:val="16"/>
              </w:rPr>
              <w:t>Total</w:t>
            </w:r>
          </w:p>
        </w:tc>
        <w:tc>
          <w:tcPr>
            <w:tcW w:w="598" w:type="pct"/>
          </w:tcPr>
          <w:p w14:paraId="76D8F68C" w14:textId="77777777" w:rsidR="00046BD5" w:rsidRPr="00DE108C" w:rsidRDefault="00046BD5" w:rsidP="00ED094E">
            <w:pPr>
              <w:pStyle w:val="TableText"/>
              <w:rPr>
                <w:b/>
                <w:bCs/>
                <w:szCs w:val="16"/>
              </w:rPr>
            </w:pPr>
            <w:r w:rsidRPr="00DE108C">
              <w:rPr>
                <w:b/>
                <w:bCs/>
                <w:szCs w:val="16"/>
              </w:rPr>
              <w:t xml:space="preserve"> 7.1 </w:t>
            </w:r>
          </w:p>
        </w:tc>
        <w:tc>
          <w:tcPr>
            <w:tcW w:w="598" w:type="pct"/>
          </w:tcPr>
          <w:p w14:paraId="7C774EDE" w14:textId="77777777" w:rsidR="00046BD5" w:rsidRPr="00DE108C" w:rsidRDefault="00046BD5" w:rsidP="00ED094E">
            <w:pPr>
              <w:pStyle w:val="TableText"/>
              <w:rPr>
                <w:b/>
                <w:bCs/>
                <w:szCs w:val="16"/>
              </w:rPr>
            </w:pPr>
            <w:r w:rsidRPr="00DE108C">
              <w:rPr>
                <w:b/>
                <w:bCs/>
                <w:szCs w:val="16"/>
              </w:rPr>
              <w:t xml:space="preserve"> 8.7 </w:t>
            </w:r>
          </w:p>
        </w:tc>
        <w:tc>
          <w:tcPr>
            <w:tcW w:w="598" w:type="pct"/>
          </w:tcPr>
          <w:p w14:paraId="08199E27" w14:textId="77777777" w:rsidR="00046BD5" w:rsidRPr="00DE108C" w:rsidRDefault="00046BD5" w:rsidP="00ED094E">
            <w:pPr>
              <w:pStyle w:val="TableText"/>
              <w:rPr>
                <w:b/>
                <w:bCs/>
                <w:szCs w:val="16"/>
              </w:rPr>
            </w:pPr>
            <w:r w:rsidRPr="00DE108C">
              <w:rPr>
                <w:b/>
                <w:bCs/>
                <w:szCs w:val="16"/>
              </w:rPr>
              <w:t xml:space="preserve"> 10.5 </w:t>
            </w:r>
          </w:p>
        </w:tc>
        <w:tc>
          <w:tcPr>
            <w:tcW w:w="598" w:type="pct"/>
          </w:tcPr>
          <w:p w14:paraId="59D4E940" w14:textId="77777777" w:rsidR="00046BD5" w:rsidRPr="00DE108C" w:rsidRDefault="00046BD5" w:rsidP="00ED094E">
            <w:pPr>
              <w:pStyle w:val="TableText"/>
              <w:rPr>
                <w:b/>
                <w:bCs/>
                <w:szCs w:val="16"/>
              </w:rPr>
            </w:pPr>
            <w:r w:rsidRPr="00DE108C">
              <w:rPr>
                <w:b/>
                <w:bCs/>
                <w:szCs w:val="16"/>
              </w:rPr>
              <w:t xml:space="preserve"> 9.9 </w:t>
            </w:r>
          </w:p>
        </w:tc>
        <w:tc>
          <w:tcPr>
            <w:tcW w:w="598" w:type="pct"/>
          </w:tcPr>
          <w:p w14:paraId="58052719" w14:textId="77777777" w:rsidR="00046BD5" w:rsidRPr="00DE108C" w:rsidRDefault="00046BD5" w:rsidP="00ED094E">
            <w:pPr>
              <w:pStyle w:val="TableText"/>
              <w:rPr>
                <w:b/>
                <w:bCs/>
                <w:szCs w:val="16"/>
              </w:rPr>
            </w:pPr>
            <w:r w:rsidRPr="00DE108C">
              <w:rPr>
                <w:b/>
                <w:bCs/>
                <w:szCs w:val="16"/>
              </w:rPr>
              <w:t xml:space="preserve"> 9.8 </w:t>
            </w:r>
          </w:p>
        </w:tc>
        <w:tc>
          <w:tcPr>
            <w:tcW w:w="598" w:type="pct"/>
          </w:tcPr>
          <w:p w14:paraId="58B9C4AB" w14:textId="77777777" w:rsidR="00046BD5" w:rsidRPr="00DE108C" w:rsidRDefault="00046BD5" w:rsidP="00ED094E">
            <w:pPr>
              <w:pStyle w:val="TableText"/>
              <w:rPr>
                <w:b/>
                <w:bCs/>
                <w:szCs w:val="16"/>
              </w:rPr>
            </w:pPr>
            <w:r w:rsidRPr="00DE108C">
              <w:rPr>
                <w:b/>
                <w:bCs/>
                <w:szCs w:val="16"/>
              </w:rPr>
              <w:t xml:space="preserve"> 46.0 </w:t>
            </w:r>
          </w:p>
        </w:tc>
      </w:tr>
    </w:tbl>
    <w:p w14:paraId="3D28C014" w14:textId="77777777" w:rsidR="00046BD5" w:rsidRPr="00DE108C" w:rsidRDefault="00046BD5" w:rsidP="00ED094E"/>
    <w:p w14:paraId="5F5D913C" w14:textId="518489D2" w:rsidR="00046BD5" w:rsidRPr="00DE108C" w:rsidRDefault="00046BD5" w:rsidP="005C0FA9">
      <w:pPr>
        <w:pStyle w:val="Heading4"/>
      </w:pPr>
      <w:bookmarkStart w:id="699" w:name="_Toc196745256"/>
      <w:r w:rsidRPr="00DE108C">
        <w:t>7.3.</w:t>
      </w:r>
      <w:r w:rsidR="005C0FA9" w:rsidRPr="00DE108C">
        <w:t>2.2</w:t>
      </w:r>
      <w:r w:rsidRPr="00DE108C">
        <w:t xml:space="preserve"> Additional operating expenditure for Outcome 2: Environmentally sustainable </w:t>
      </w:r>
      <w:r w:rsidR="00E6108F">
        <w:t xml:space="preserve">and reliable </w:t>
      </w:r>
      <w:r w:rsidRPr="00DE108C">
        <w:t>bulk sewerage services</w:t>
      </w:r>
      <w:bookmarkEnd w:id="699"/>
    </w:p>
    <w:p w14:paraId="2399A010" w14:textId="5059BA47" w:rsidR="00046BD5" w:rsidRPr="00DE108C" w:rsidRDefault="00046BD5">
      <w:pPr>
        <w:pStyle w:val="BodyText"/>
      </w:pPr>
      <w:r w:rsidRPr="00DE108C">
        <w:t xml:space="preserve">We are proposing an additional $95.8 million over the regulatory period to sustainably transfer and treat sewage to meet our licence conditions (summarised annually in </w:t>
      </w:r>
      <w:r w:rsidR="002259B0" w:rsidRPr="00DE108C">
        <w:t xml:space="preserve">Table </w:t>
      </w:r>
      <w:r w:rsidRPr="00DE108C">
        <w:t>7.7). This is comprised of:</w:t>
      </w:r>
    </w:p>
    <w:p w14:paraId="579E438D" w14:textId="73D0DB4B" w:rsidR="00046BD5" w:rsidRPr="00DE108C" w:rsidRDefault="00046BD5" w:rsidP="00727F8E">
      <w:pPr>
        <w:pStyle w:val="ListBullet"/>
      </w:pPr>
      <w:r w:rsidRPr="00DE108C">
        <w:t xml:space="preserve">Significant investment over the next regulatory period at the Eastern Treatment Plant </w:t>
      </w:r>
      <w:r w:rsidR="53572918">
        <w:t>(ETP)</w:t>
      </w:r>
      <w:r>
        <w:t xml:space="preserve"> </w:t>
      </w:r>
      <w:r w:rsidRPr="00DE108C">
        <w:t>and Western Treatment Plant</w:t>
      </w:r>
      <w:r w:rsidR="497B0BBA">
        <w:t xml:space="preserve"> (WTP)</w:t>
      </w:r>
      <w:r>
        <w:t>,</w:t>
      </w:r>
      <w:r w:rsidRPr="00DE108C">
        <w:t xml:space="preserve"> which will result in additional </w:t>
      </w:r>
      <w:r w:rsidR="6581780B">
        <w:t>opex</w:t>
      </w:r>
      <w:r w:rsidRPr="00DE108C">
        <w:t xml:space="preserve"> of $29.0 million – approximately half is associated with the Top 5 sewerage projects. This additional opex reflects higher costs for maintenance, labour, materials and energy (diesel), as well as a small proportion of the additional expenditure for project managers to deliver the new capex. This investment reflects water corporation expectations for </w:t>
      </w:r>
      <w:r w:rsidR="58945FE1">
        <w:t>WTP</w:t>
      </w:r>
      <w:r w:rsidRPr="00DE108C">
        <w:t xml:space="preserve"> and </w:t>
      </w:r>
      <w:r w:rsidR="653D4C2C">
        <w:t>ETP</w:t>
      </w:r>
      <w:r w:rsidRPr="00DE108C">
        <w:t xml:space="preserve">. </w:t>
      </w:r>
    </w:p>
    <w:p w14:paraId="6D926BD6" w14:textId="2E79B4C6" w:rsidR="00046BD5" w:rsidRPr="00DE108C" w:rsidRDefault="00046BD5" w:rsidP="00727F8E">
      <w:pPr>
        <w:pStyle w:val="ListBullet"/>
      </w:pPr>
      <w:bookmarkStart w:id="700" w:name="_Toc196745257"/>
      <w:r w:rsidRPr="00DE108C">
        <w:t xml:space="preserve">Additional corporate shared costs of $66.8 million. The allocation to Outcome 2 is comprised of $15.0 million in IT, $6.8 million in operational technology, $34.1 million in electricity (compared to 2024-25 benchmark) and $13.2 million in carbon offsets. These are partially offset by forecast saving of $2.2 million in insurance costs. These are explained further in </w:t>
      </w:r>
      <w:r w:rsidR="27B82B6D" w:rsidRPr="00DE108C">
        <w:t>S</w:t>
      </w:r>
      <w:r w:rsidRPr="00DE108C">
        <w:t>ection 7.</w:t>
      </w:r>
      <w:r w:rsidR="001D64E8" w:rsidRPr="00DE108C">
        <w:t>3.3</w:t>
      </w:r>
      <w:r w:rsidR="0BD0FE92">
        <w:t xml:space="preserve"> (Additions to baseline controllable opex – specific cost items)</w:t>
      </w:r>
      <w:r>
        <w:t>.</w:t>
      </w:r>
    </w:p>
    <w:p w14:paraId="4D447F93" w14:textId="62FDCB0D" w:rsidR="4265616D" w:rsidRDefault="4265616D" w:rsidP="00606443"/>
    <w:p w14:paraId="253FD500" w14:textId="77777777" w:rsidR="00046BD5" w:rsidRPr="00DE108C" w:rsidRDefault="00046BD5" w:rsidP="00ED094E">
      <w:pPr>
        <w:pStyle w:val="Caption"/>
      </w:pPr>
      <w:bookmarkStart w:id="701" w:name="_Ref206425279"/>
      <w:bookmarkStart w:id="702" w:name="_Toc207893057"/>
      <w:bookmarkStart w:id="703" w:name="_Toc208490581"/>
      <w:bookmarkStart w:id="704" w:name="_Toc208490919"/>
      <w:bookmarkStart w:id="705" w:name="_Toc208911077"/>
      <w:bookmarkStart w:id="706" w:name="_Toc210051383"/>
      <w:r w:rsidRPr="00DE108C">
        <w:lastRenderedPageBreak/>
        <w:t xml:space="preserve">Table </w:t>
      </w:r>
      <w:bookmarkEnd w:id="701"/>
      <w:r w:rsidRPr="00DE108C">
        <w:t>7.7: Outcome 2 additional expenditure ($millions, real 2025-26)</w:t>
      </w:r>
      <w:bookmarkEnd w:id="702"/>
      <w:bookmarkEnd w:id="703"/>
      <w:bookmarkEnd w:id="704"/>
      <w:bookmarkEnd w:id="705"/>
      <w:bookmarkEnd w:id="706"/>
    </w:p>
    <w:tbl>
      <w:tblPr>
        <w:tblStyle w:val="MWTableGrid"/>
        <w:tblW w:w="5000" w:type="pct"/>
        <w:tblLook w:val="0420" w:firstRow="1" w:lastRow="0" w:firstColumn="0" w:lastColumn="0" w:noHBand="0" w:noVBand="1"/>
      </w:tblPr>
      <w:tblGrid>
        <w:gridCol w:w="3393"/>
        <w:gridCol w:w="1046"/>
        <w:gridCol w:w="1046"/>
        <w:gridCol w:w="1046"/>
        <w:gridCol w:w="1046"/>
        <w:gridCol w:w="1046"/>
        <w:gridCol w:w="1005"/>
      </w:tblGrid>
      <w:tr w:rsidR="00556A0D" w:rsidRPr="00DE108C" w14:paraId="35E5004F" w14:textId="77777777">
        <w:trPr>
          <w:cnfStyle w:val="100000000000" w:firstRow="1" w:lastRow="0" w:firstColumn="0" w:lastColumn="0" w:oddVBand="0" w:evenVBand="0" w:oddHBand="0" w:evenHBand="0" w:firstRowFirstColumn="0" w:firstRowLastColumn="0" w:lastRowFirstColumn="0" w:lastRowLastColumn="0"/>
          <w:cantSplit/>
        </w:trPr>
        <w:tc>
          <w:tcPr>
            <w:tcW w:w="1762" w:type="pct"/>
          </w:tcPr>
          <w:p w14:paraId="1CDB15FA" w14:textId="77777777" w:rsidR="00046BD5" w:rsidRPr="00DE108C" w:rsidRDefault="00046BD5">
            <w:pPr>
              <w:pStyle w:val="TableHeading"/>
              <w:rPr>
                <w:szCs w:val="16"/>
              </w:rPr>
            </w:pPr>
            <w:r w:rsidRPr="00DE108C">
              <w:rPr>
                <w:szCs w:val="16"/>
              </w:rPr>
              <w:t>Additional expenditure item</w:t>
            </w:r>
          </w:p>
        </w:tc>
        <w:tc>
          <w:tcPr>
            <w:tcW w:w="543" w:type="pct"/>
          </w:tcPr>
          <w:p w14:paraId="1BE6DB68" w14:textId="77777777" w:rsidR="00046BD5" w:rsidRPr="00DE108C" w:rsidRDefault="00046BD5">
            <w:pPr>
              <w:pStyle w:val="TableHeading"/>
              <w:rPr>
                <w:szCs w:val="16"/>
              </w:rPr>
            </w:pPr>
            <w:r w:rsidRPr="00DE108C">
              <w:rPr>
                <w:szCs w:val="16"/>
              </w:rPr>
              <w:t>2026-27</w:t>
            </w:r>
          </w:p>
        </w:tc>
        <w:tc>
          <w:tcPr>
            <w:tcW w:w="543" w:type="pct"/>
          </w:tcPr>
          <w:p w14:paraId="027BF87B" w14:textId="77777777" w:rsidR="00046BD5" w:rsidRPr="00DE108C" w:rsidRDefault="00046BD5">
            <w:pPr>
              <w:pStyle w:val="TableHeading"/>
              <w:rPr>
                <w:szCs w:val="16"/>
              </w:rPr>
            </w:pPr>
            <w:r w:rsidRPr="00DE108C">
              <w:rPr>
                <w:szCs w:val="16"/>
              </w:rPr>
              <w:t>2027-28</w:t>
            </w:r>
          </w:p>
        </w:tc>
        <w:tc>
          <w:tcPr>
            <w:tcW w:w="543" w:type="pct"/>
          </w:tcPr>
          <w:p w14:paraId="68F83609" w14:textId="77777777" w:rsidR="00046BD5" w:rsidRPr="00DE108C" w:rsidRDefault="00046BD5">
            <w:pPr>
              <w:pStyle w:val="TableHeading"/>
              <w:rPr>
                <w:szCs w:val="16"/>
              </w:rPr>
            </w:pPr>
            <w:r w:rsidRPr="00DE108C">
              <w:rPr>
                <w:szCs w:val="16"/>
              </w:rPr>
              <w:t>2028-29</w:t>
            </w:r>
          </w:p>
        </w:tc>
        <w:tc>
          <w:tcPr>
            <w:tcW w:w="543" w:type="pct"/>
          </w:tcPr>
          <w:p w14:paraId="153DEFAF" w14:textId="77777777" w:rsidR="00046BD5" w:rsidRPr="00DE108C" w:rsidRDefault="00046BD5">
            <w:pPr>
              <w:pStyle w:val="TableHeading"/>
              <w:rPr>
                <w:szCs w:val="16"/>
              </w:rPr>
            </w:pPr>
            <w:r w:rsidRPr="00DE108C">
              <w:rPr>
                <w:szCs w:val="16"/>
              </w:rPr>
              <w:t>2029-30</w:t>
            </w:r>
          </w:p>
        </w:tc>
        <w:tc>
          <w:tcPr>
            <w:tcW w:w="543" w:type="pct"/>
          </w:tcPr>
          <w:p w14:paraId="0420D316" w14:textId="77777777" w:rsidR="00046BD5" w:rsidRPr="00DE108C" w:rsidRDefault="00046BD5">
            <w:pPr>
              <w:pStyle w:val="TableHeading"/>
              <w:rPr>
                <w:szCs w:val="16"/>
              </w:rPr>
            </w:pPr>
            <w:r w:rsidRPr="00DE108C">
              <w:rPr>
                <w:szCs w:val="16"/>
              </w:rPr>
              <w:t>2030-31</w:t>
            </w:r>
          </w:p>
        </w:tc>
        <w:tc>
          <w:tcPr>
            <w:tcW w:w="522" w:type="pct"/>
          </w:tcPr>
          <w:p w14:paraId="7A4EA38B" w14:textId="77777777" w:rsidR="00046BD5" w:rsidRPr="00DE108C" w:rsidRDefault="00046BD5">
            <w:pPr>
              <w:pStyle w:val="TableHeading"/>
              <w:rPr>
                <w:szCs w:val="16"/>
              </w:rPr>
            </w:pPr>
            <w:r w:rsidRPr="00DE108C">
              <w:rPr>
                <w:szCs w:val="16"/>
              </w:rPr>
              <w:t>Total</w:t>
            </w:r>
          </w:p>
        </w:tc>
      </w:tr>
      <w:tr w:rsidR="00046BD5" w:rsidRPr="00DE108C" w14:paraId="6D9FD271" w14:textId="77777777" w:rsidTr="00ED094E">
        <w:trPr>
          <w:cantSplit/>
        </w:trPr>
        <w:tc>
          <w:tcPr>
            <w:tcW w:w="1762" w:type="pct"/>
          </w:tcPr>
          <w:p w14:paraId="2D49B76F" w14:textId="0E18D265" w:rsidR="00046BD5" w:rsidRPr="00DE108C" w:rsidRDefault="44A2C2EA" w:rsidP="00ED094E">
            <w:pPr>
              <w:pStyle w:val="TableText"/>
            </w:pPr>
            <w:r>
              <w:t>Opex</w:t>
            </w:r>
            <w:r w:rsidR="00046BD5">
              <w:t xml:space="preserve"> from capital program</w:t>
            </w:r>
          </w:p>
        </w:tc>
        <w:tc>
          <w:tcPr>
            <w:tcW w:w="543" w:type="pct"/>
          </w:tcPr>
          <w:p w14:paraId="000EE3E9" w14:textId="77777777" w:rsidR="00046BD5" w:rsidRPr="00DE108C" w:rsidRDefault="00046BD5" w:rsidP="00ED094E">
            <w:pPr>
              <w:pStyle w:val="TableText"/>
              <w:rPr>
                <w:szCs w:val="16"/>
              </w:rPr>
            </w:pPr>
            <w:r w:rsidRPr="00DE108C">
              <w:rPr>
                <w:szCs w:val="16"/>
              </w:rPr>
              <w:t xml:space="preserve"> 1.2 </w:t>
            </w:r>
          </w:p>
        </w:tc>
        <w:tc>
          <w:tcPr>
            <w:tcW w:w="543" w:type="pct"/>
          </w:tcPr>
          <w:p w14:paraId="564A192A" w14:textId="77777777" w:rsidR="00046BD5" w:rsidRPr="00DE108C" w:rsidRDefault="00046BD5" w:rsidP="00ED094E">
            <w:pPr>
              <w:pStyle w:val="TableText"/>
              <w:rPr>
                <w:szCs w:val="16"/>
              </w:rPr>
            </w:pPr>
            <w:r w:rsidRPr="00DE108C">
              <w:rPr>
                <w:szCs w:val="16"/>
              </w:rPr>
              <w:t xml:space="preserve"> 1.9 </w:t>
            </w:r>
          </w:p>
        </w:tc>
        <w:tc>
          <w:tcPr>
            <w:tcW w:w="543" w:type="pct"/>
          </w:tcPr>
          <w:p w14:paraId="73B450F3" w14:textId="77777777" w:rsidR="00046BD5" w:rsidRPr="00DE108C" w:rsidRDefault="00046BD5" w:rsidP="00ED094E">
            <w:pPr>
              <w:pStyle w:val="TableText"/>
              <w:rPr>
                <w:szCs w:val="16"/>
              </w:rPr>
            </w:pPr>
            <w:r w:rsidRPr="00DE108C">
              <w:rPr>
                <w:szCs w:val="16"/>
              </w:rPr>
              <w:t xml:space="preserve"> 9.4 </w:t>
            </w:r>
          </w:p>
        </w:tc>
        <w:tc>
          <w:tcPr>
            <w:tcW w:w="543" w:type="pct"/>
          </w:tcPr>
          <w:p w14:paraId="679268F2" w14:textId="77777777" w:rsidR="00046BD5" w:rsidRPr="00DE108C" w:rsidRDefault="00046BD5" w:rsidP="00ED094E">
            <w:pPr>
              <w:pStyle w:val="TableText"/>
              <w:rPr>
                <w:szCs w:val="16"/>
              </w:rPr>
            </w:pPr>
            <w:r w:rsidRPr="00DE108C">
              <w:rPr>
                <w:szCs w:val="16"/>
              </w:rPr>
              <w:t xml:space="preserve"> 6.8 </w:t>
            </w:r>
          </w:p>
        </w:tc>
        <w:tc>
          <w:tcPr>
            <w:tcW w:w="543" w:type="pct"/>
          </w:tcPr>
          <w:p w14:paraId="76D0F0B1" w14:textId="77777777" w:rsidR="00046BD5" w:rsidRPr="00DE108C" w:rsidRDefault="00046BD5" w:rsidP="00ED094E">
            <w:pPr>
              <w:pStyle w:val="TableText"/>
              <w:rPr>
                <w:szCs w:val="16"/>
              </w:rPr>
            </w:pPr>
            <w:r w:rsidRPr="00DE108C">
              <w:rPr>
                <w:szCs w:val="16"/>
              </w:rPr>
              <w:t xml:space="preserve"> 9.6 </w:t>
            </w:r>
          </w:p>
        </w:tc>
        <w:tc>
          <w:tcPr>
            <w:tcW w:w="522" w:type="pct"/>
          </w:tcPr>
          <w:p w14:paraId="48AE9BE7" w14:textId="77777777" w:rsidR="00046BD5" w:rsidRPr="00DE108C" w:rsidRDefault="00046BD5" w:rsidP="00ED094E">
            <w:pPr>
              <w:pStyle w:val="TableText"/>
              <w:rPr>
                <w:b/>
                <w:bCs/>
                <w:szCs w:val="16"/>
              </w:rPr>
            </w:pPr>
            <w:r w:rsidRPr="00DE108C">
              <w:rPr>
                <w:b/>
                <w:bCs/>
                <w:szCs w:val="16"/>
              </w:rPr>
              <w:t xml:space="preserve"> 29.0 </w:t>
            </w:r>
          </w:p>
        </w:tc>
      </w:tr>
      <w:tr w:rsidR="00A043F7" w:rsidRPr="00DE108C" w14:paraId="1571FD35" w14:textId="77777777">
        <w:trPr>
          <w:cnfStyle w:val="000000010000" w:firstRow="0" w:lastRow="0" w:firstColumn="0" w:lastColumn="0" w:oddVBand="0" w:evenVBand="0" w:oddHBand="0" w:evenHBand="1" w:firstRowFirstColumn="0" w:firstRowLastColumn="0" w:lastRowFirstColumn="0" w:lastRowLastColumn="0"/>
          <w:cantSplit/>
        </w:trPr>
        <w:tc>
          <w:tcPr>
            <w:tcW w:w="1762" w:type="pct"/>
          </w:tcPr>
          <w:p w14:paraId="27593DFA" w14:textId="77777777" w:rsidR="00046BD5" w:rsidRPr="00DE108C" w:rsidRDefault="00046BD5" w:rsidP="00ED094E">
            <w:pPr>
              <w:pStyle w:val="TableText"/>
              <w:rPr>
                <w:szCs w:val="16"/>
              </w:rPr>
            </w:pPr>
            <w:r w:rsidRPr="00DE108C">
              <w:rPr>
                <w:szCs w:val="16"/>
              </w:rPr>
              <w:t>Shared cost allocation</w:t>
            </w:r>
          </w:p>
        </w:tc>
        <w:tc>
          <w:tcPr>
            <w:tcW w:w="543" w:type="pct"/>
            <w:vAlign w:val="center"/>
          </w:tcPr>
          <w:p w14:paraId="25AB5C4A" w14:textId="77777777" w:rsidR="00046BD5" w:rsidRPr="00DE108C" w:rsidRDefault="00046BD5" w:rsidP="00ED094E">
            <w:pPr>
              <w:pStyle w:val="TableText"/>
              <w:rPr>
                <w:szCs w:val="16"/>
              </w:rPr>
            </w:pPr>
            <w:r w:rsidRPr="00DE108C">
              <w:rPr>
                <w:szCs w:val="16"/>
              </w:rPr>
              <w:t xml:space="preserve"> 10.8 </w:t>
            </w:r>
          </w:p>
        </w:tc>
        <w:tc>
          <w:tcPr>
            <w:tcW w:w="543" w:type="pct"/>
            <w:vAlign w:val="center"/>
          </w:tcPr>
          <w:p w14:paraId="3A004CC3" w14:textId="77777777" w:rsidR="00046BD5" w:rsidRPr="00DE108C" w:rsidRDefault="00046BD5" w:rsidP="00ED094E">
            <w:pPr>
              <w:pStyle w:val="TableText"/>
              <w:rPr>
                <w:szCs w:val="16"/>
              </w:rPr>
            </w:pPr>
            <w:r w:rsidRPr="00DE108C">
              <w:rPr>
                <w:szCs w:val="16"/>
              </w:rPr>
              <w:t xml:space="preserve"> 11.2 </w:t>
            </w:r>
          </w:p>
        </w:tc>
        <w:tc>
          <w:tcPr>
            <w:tcW w:w="543" w:type="pct"/>
            <w:vAlign w:val="center"/>
          </w:tcPr>
          <w:p w14:paraId="388DB26D" w14:textId="77777777" w:rsidR="00046BD5" w:rsidRPr="00DE108C" w:rsidRDefault="00046BD5" w:rsidP="00ED094E">
            <w:pPr>
              <w:pStyle w:val="TableText"/>
              <w:rPr>
                <w:szCs w:val="16"/>
              </w:rPr>
            </w:pPr>
            <w:r w:rsidRPr="00DE108C">
              <w:rPr>
                <w:szCs w:val="16"/>
              </w:rPr>
              <w:t xml:space="preserve"> 10.9 </w:t>
            </w:r>
          </w:p>
        </w:tc>
        <w:tc>
          <w:tcPr>
            <w:tcW w:w="543" w:type="pct"/>
            <w:vAlign w:val="center"/>
          </w:tcPr>
          <w:p w14:paraId="2F02D46B" w14:textId="77777777" w:rsidR="00046BD5" w:rsidRPr="00DE108C" w:rsidRDefault="00046BD5" w:rsidP="00ED094E">
            <w:pPr>
              <w:pStyle w:val="TableText"/>
              <w:rPr>
                <w:szCs w:val="16"/>
              </w:rPr>
            </w:pPr>
            <w:r w:rsidRPr="00DE108C">
              <w:rPr>
                <w:szCs w:val="16"/>
              </w:rPr>
              <w:t xml:space="preserve"> 17.8 </w:t>
            </w:r>
          </w:p>
        </w:tc>
        <w:tc>
          <w:tcPr>
            <w:tcW w:w="543" w:type="pct"/>
            <w:vAlign w:val="center"/>
          </w:tcPr>
          <w:p w14:paraId="1A9BD807" w14:textId="77777777" w:rsidR="00046BD5" w:rsidRPr="00DE108C" w:rsidRDefault="00046BD5" w:rsidP="00ED094E">
            <w:pPr>
              <w:pStyle w:val="TableText"/>
              <w:rPr>
                <w:szCs w:val="16"/>
              </w:rPr>
            </w:pPr>
            <w:r w:rsidRPr="00DE108C">
              <w:rPr>
                <w:szCs w:val="16"/>
              </w:rPr>
              <w:t xml:space="preserve"> 16.2 </w:t>
            </w:r>
          </w:p>
        </w:tc>
        <w:tc>
          <w:tcPr>
            <w:tcW w:w="522" w:type="pct"/>
            <w:vAlign w:val="center"/>
          </w:tcPr>
          <w:p w14:paraId="67BB3F23" w14:textId="77777777" w:rsidR="00046BD5" w:rsidRPr="00DE108C" w:rsidRDefault="00046BD5" w:rsidP="00ED094E">
            <w:pPr>
              <w:pStyle w:val="TableText"/>
              <w:rPr>
                <w:b/>
                <w:bCs/>
                <w:szCs w:val="16"/>
              </w:rPr>
            </w:pPr>
            <w:r w:rsidRPr="00DE108C">
              <w:rPr>
                <w:b/>
                <w:bCs/>
                <w:szCs w:val="16"/>
              </w:rPr>
              <w:t xml:space="preserve"> 66.8 </w:t>
            </w:r>
          </w:p>
        </w:tc>
      </w:tr>
      <w:tr w:rsidR="00046BD5" w:rsidRPr="00DE108C" w14:paraId="55538848" w14:textId="77777777" w:rsidTr="00ED094E">
        <w:trPr>
          <w:cantSplit/>
        </w:trPr>
        <w:tc>
          <w:tcPr>
            <w:tcW w:w="1762" w:type="pct"/>
          </w:tcPr>
          <w:p w14:paraId="510B8569" w14:textId="77777777" w:rsidR="00046BD5" w:rsidRPr="00DE108C" w:rsidRDefault="00046BD5" w:rsidP="00ED094E">
            <w:pPr>
              <w:pStyle w:val="TableText"/>
              <w:rPr>
                <w:b/>
                <w:bCs/>
                <w:szCs w:val="16"/>
              </w:rPr>
            </w:pPr>
            <w:r w:rsidRPr="00DE108C">
              <w:rPr>
                <w:b/>
                <w:bCs/>
                <w:szCs w:val="16"/>
              </w:rPr>
              <w:t>Total</w:t>
            </w:r>
          </w:p>
        </w:tc>
        <w:tc>
          <w:tcPr>
            <w:tcW w:w="543" w:type="pct"/>
          </w:tcPr>
          <w:p w14:paraId="4209FEF6" w14:textId="77777777" w:rsidR="00046BD5" w:rsidRPr="00DE108C" w:rsidRDefault="00046BD5" w:rsidP="00ED094E">
            <w:pPr>
              <w:pStyle w:val="TableText"/>
              <w:rPr>
                <w:b/>
                <w:bCs/>
                <w:szCs w:val="16"/>
              </w:rPr>
            </w:pPr>
            <w:r w:rsidRPr="00DE108C">
              <w:rPr>
                <w:b/>
                <w:bCs/>
                <w:szCs w:val="16"/>
              </w:rPr>
              <w:t xml:space="preserve"> 12.0 </w:t>
            </w:r>
          </w:p>
        </w:tc>
        <w:tc>
          <w:tcPr>
            <w:tcW w:w="543" w:type="pct"/>
          </w:tcPr>
          <w:p w14:paraId="1486F9D6" w14:textId="77777777" w:rsidR="00046BD5" w:rsidRPr="00DE108C" w:rsidRDefault="00046BD5" w:rsidP="00ED094E">
            <w:pPr>
              <w:pStyle w:val="TableText"/>
              <w:rPr>
                <w:b/>
                <w:bCs/>
                <w:szCs w:val="16"/>
              </w:rPr>
            </w:pPr>
            <w:r w:rsidRPr="00DE108C">
              <w:rPr>
                <w:b/>
                <w:bCs/>
                <w:szCs w:val="16"/>
              </w:rPr>
              <w:t xml:space="preserve"> 13.1 </w:t>
            </w:r>
          </w:p>
        </w:tc>
        <w:tc>
          <w:tcPr>
            <w:tcW w:w="543" w:type="pct"/>
          </w:tcPr>
          <w:p w14:paraId="192B51C0" w14:textId="77777777" w:rsidR="00046BD5" w:rsidRPr="00DE108C" w:rsidRDefault="00046BD5" w:rsidP="00ED094E">
            <w:pPr>
              <w:pStyle w:val="TableText"/>
              <w:rPr>
                <w:b/>
                <w:bCs/>
                <w:szCs w:val="16"/>
              </w:rPr>
            </w:pPr>
            <w:r w:rsidRPr="00DE108C">
              <w:rPr>
                <w:b/>
                <w:bCs/>
                <w:szCs w:val="16"/>
              </w:rPr>
              <w:t xml:space="preserve"> 20.3 </w:t>
            </w:r>
          </w:p>
        </w:tc>
        <w:tc>
          <w:tcPr>
            <w:tcW w:w="543" w:type="pct"/>
          </w:tcPr>
          <w:p w14:paraId="2DEBDF69" w14:textId="77777777" w:rsidR="00046BD5" w:rsidRPr="00DE108C" w:rsidRDefault="00046BD5" w:rsidP="00ED094E">
            <w:pPr>
              <w:pStyle w:val="TableText"/>
              <w:rPr>
                <w:b/>
                <w:bCs/>
                <w:szCs w:val="16"/>
              </w:rPr>
            </w:pPr>
            <w:r w:rsidRPr="00DE108C">
              <w:rPr>
                <w:b/>
                <w:bCs/>
                <w:szCs w:val="16"/>
              </w:rPr>
              <w:t xml:space="preserve"> 24.7 </w:t>
            </w:r>
          </w:p>
        </w:tc>
        <w:tc>
          <w:tcPr>
            <w:tcW w:w="543" w:type="pct"/>
          </w:tcPr>
          <w:p w14:paraId="4CE67C83" w14:textId="77777777" w:rsidR="00046BD5" w:rsidRPr="00DE108C" w:rsidRDefault="00046BD5" w:rsidP="00ED094E">
            <w:pPr>
              <w:pStyle w:val="TableText"/>
              <w:rPr>
                <w:b/>
                <w:bCs/>
                <w:szCs w:val="16"/>
              </w:rPr>
            </w:pPr>
            <w:r w:rsidRPr="00DE108C">
              <w:rPr>
                <w:b/>
                <w:bCs/>
                <w:szCs w:val="16"/>
              </w:rPr>
              <w:t xml:space="preserve"> 25.8 </w:t>
            </w:r>
          </w:p>
        </w:tc>
        <w:tc>
          <w:tcPr>
            <w:tcW w:w="522" w:type="pct"/>
          </w:tcPr>
          <w:p w14:paraId="41437E5D" w14:textId="77777777" w:rsidR="00046BD5" w:rsidRPr="00DE108C" w:rsidRDefault="00046BD5" w:rsidP="00ED094E">
            <w:pPr>
              <w:pStyle w:val="TableText"/>
              <w:rPr>
                <w:b/>
                <w:bCs/>
                <w:szCs w:val="16"/>
              </w:rPr>
            </w:pPr>
            <w:r w:rsidRPr="00DE108C">
              <w:rPr>
                <w:b/>
                <w:bCs/>
                <w:szCs w:val="16"/>
              </w:rPr>
              <w:t xml:space="preserve"> 95.8 </w:t>
            </w:r>
          </w:p>
        </w:tc>
      </w:tr>
    </w:tbl>
    <w:p w14:paraId="00A00B7A" w14:textId="77777777" w:rsidR="00046BD5" w:rsidRPr="00DE108C" w:rsidRDefault="00046BD5" w:rsidP="00ED094E"/>
    <w:p w14:paraId="16E4E837" w14:textId="6B633D6E" w:rsidR="00046BD5" w:rsidRPr="00DE108C" w:rsidRDefault="00046BD5" w:rsidP="005C0FA9">
      <w:pPr>
        <w:pStyle w:val="Heading4"/>
      </w:pPr>
      <w:r w:rsidRPr="00DE108C">
        <w:t>7.3.</w:t>
      </w:r>
      <w:r w:rsidR="005C0FA9" w:rsidRPr="00DE108C">
        <w:t>2.3</w:t>
      </w:r>
      <w:r w:rsidRPr="00DE108C">
        <w:t xml:space="preserve"> Additional operating expenditure for Outcome 3: Healthy, resilient waterways </w:t>
      </w:r>
      <w:bookmarkEnd w:id="700"/>
    </w:p>
    <w:p w14:paraId="66AD55DA" w14:textId="09FB2881" w:rsidR="00046BD5" w:rsidRPr="00DE108C" w:rsidRDefault="00046BD5">
      <w:pPr>
        <w:pStyle w:val="BodyText"/>
      </w:pPr>
      <w:r w:rsidRPr="00DE108C">
        <w:t xml:space="preserve">We are proposing an additional $30.1 million over the regulatory period to ensure that our waterways remain resilient, healthy and a great place for our community to visit (summarised annually in </w:t>
      </w:r>
      <w:r w:rsidR="002259B0" w:rsidRPr="00DE108C">
        <w:t>Table 7.8</w:t>
      </w:r>
      <w:r w:rsidRPr="00DE108C">
        <w:t>). This is comprised of:</w:t>
      </w:r>
    </w:p>
    <w:p w14:paraId="22C389AA" w14:textId="77777777" w:rsidR="00046BD5" w:rsidRPr="00DE108C" w:rsidRDefault="00046BD5" w:rsidP="00727F8E">
      <w:pPr>
        <w:pStyle w:val="ListBullet"/>
      </w:pPr>
      <w:r w:rsidRPr="00DE108C">
        <w:t>An increase in opex associated with new capital works for waterways and drainage assets of $2.0 million. This includes a small proportion of the additional expenditure for project managers to deliver the new capex ($0.2 million) and to operate the new Reimagining Your Creek projects.</w:t>
      </w:r>
    </w:p>
    <w:p w14:paraId="42850B7C" w14:textId="5E582B8F" w:rsidR="00046BD5" w:rsidRPr="00DE108C" w:rsidRDefault="00046BD5" w:rsidP="00727F8E">
      <w:pPr>
        <w:pStyle w:val="ListBullet"/>
      </w:pPr>
      <w:r w:rsidRPr="00DE108C">
        <w:t xml:space="preserve">The maintenance of developer constructed assets required to meet waterway management obligations under the </w:t>
      </w:r>
      <w:r w:rsidRPr="00727F8E">
        <w:t>Water Act 1989</w:t>
      </w:r>
      <w:r w:rsidR="46E7D011" w:rsidRPr="00727F8E">
        <w:t xml:space="preserve"> (Vic)</w:t>
      </w:r>
      <w:r>
        <w:t>,</w:t>
      </w:r>
      <w:r w:rsidRPr="00DE108C">
        <w:t xml:space="preserve"> including retarding basins, constructed wetlands systems (sediment ponds and wetland cells), constructed waterways and drainage pipes and culverts. Maintenance of these new assets handed over by developers to Melbourne Water is essential to ensure we meet our obligations under the </w:t>
      </w:r>
      <w:r w:rsidRPr="00727F8E">
        <w:t>Water Act 1989</w:t>
      </w:r>
      <w:r w:rsidRPr="00DE108C">
        <w:t xml:space="preserve"> </w:t>
      </w:r>
      <w:r w:rsidR="3EA65525" w:rsidRPr="00727F8E">
        <w:t>(Vic)</w:t>
      </w:r>
      <w:r w:rsidR="3EA65525">
        <w:t xml:space="preserve"> </w:t>
      </w:r>
      <w:r w:rsidRPr="00DE108C">
        <w:t xml:space="preserve">and </w:t>
      </w:r>
      <w:r w:rsidRPr="00727F8E">
        <w:t>Environmental Protection Act</w:t>
      </w:r>
      <w:r w:rsidRPr="00DE108C">
        <w:t>. These include:</w:t>
      </w:r>
    </w:p>
    <w:p w14:paraId="05166DE4" w14:textId="77777777" w:rsidR="00046BD5" w:rsidRPr="00DE108C" w:rsidRDefault="00046BD5" w:rsidP="00727F8E">
      <w:pPr>
        <w:pStyle w:val="ListBullet2"/>
      </w:pPr>
      <w:r w:rsidRPr="00DE108C">
        <w:t>Additional operating expenditure of $7.5 million accounts for the cyclical nature of asset maintenance for waterways assets (assets that are commencing the maintenance cycle after being handed over in the last two years). This includes stormwater quality treatment system maintenance, vegetation and weed control and litter management.</w:t>
      </w:r>
    </w:p>
    <w:p w14:paraId="48826F23" w14:textId="77777777" w:rsidR="00046BD5" w:rsidRPr="00DE108C" w:rsidRDefault="00046BD5" w:rsidP="00727F8E">
      <w:pPr>
        <w:pStyle w:val="ListBullet2"/>
      </w:pPr>
      <w:r w:rsidRPr="00DE108C">
        <w:t>Melbourne Water is increasing its desilting program by $5.3 million to ensure that desilting assets remain functioning. It includes the costs associated with the new obligation to test all silt from wetlands and sediment basins for per- and poly- fluoroalkyl substances.</w:t>
      </w:r>
    </w:p>
    <w:p w14:paraId="4EEE6B1B" w14:textId="3BAF3CE8" w:rsidR="00046BD5" w:rsidRPr="00DE108C" w:rsidRDefault="00046BD5" w:rsidP="00727F8E">
      <w:pPr>
        <w:pStyle w:val="ListBullet"/>
        <w:rPr>
          <w:color w:val="auto"/>
        </w:rPr>
      </w:pPr>
      <w:r w:rsidRPr="00DE108C">
        <w:t xml:space="preserve">The need to undertake additional activities to ensure Melbourne Water meets its waterway manager obligations. Additional opex is required to </w:t>
      </w:r>
      <w:r w:rsidRPr="00DE108C">
        <w:rPr>
          <w:color w:val="auto"/>
        </w:rPr>
        <w:t>maintain critical habitats and connectivity for waterways including rivers, creeks</w:t>
      </w:r>
      <w:r w:rsidR="003A4533">
        <w:rPr>
          <w:color w:val="auto"/>
        </w:rPr>
        <w:t>,</w:t>
      </w:r>
      <w:r w:rsidRPr="00DE108C">
        <w:rPr>
          <w:color w:val="auto"/>
        </w:rPr>
        <w:t xml:space="preserve"> </w:t>
      </w:r>
      <w:r w:rsidR="003A4533">
        <w:rPr>
          <w:color w:val="auto"/>
        </w:rPr>
        <w:t xml:space="preserve">wetlands </w:t>
      </w:r>
      <w:r w:rsidRPr="00DE108C">
        <w:rPr>
          <w:color w:val="auto"/>
        </w:rPr>
        <w:t>and estuaries,</w:t>
      </w:r>
      <w:r w:rsidRPr="00DE108C">
        <w:t xml:space="preserve"> slowing the decline of our waterways</w:t>
      </w:r>
      <w:r w:rsidRPr="00DE108C">
        <w:rPr>
          <w:color w:val="auto"/>
        </w:rPr>
        <w:t xml:space="preserve"> and responding to the increasing threats from climate change and urbanisation. This includes:</w:t>
      </w:r>
    </w:p>
    <w:p w14:paraId="2B8FB909" w14:textId="7EAFCEA4" w:rsidR="00046BD5" w:rsidRPr="00DE108C" w:rsidRDefault="00046BD5" w:rsidP="00727F8E">
      <w:pPr>
        <w:pStyle w:val="ListBullet2"/>
      </w:pPr>
      <w:r w:rsidRPr="00DE108C">
        <w:t>An increase in investment to manage wetland and estuary systems to improve waterway health of $1.1 million, reflecting customer expectations and priorities. These will be provided as grants to community groups to deliver valuable programs across the Port Phillip and Western</w:t>
      </w:r>
      <w:r w:rsidR="00114D61">
        <w:t xml:space="preserve"> P</w:t>
      </w:r>
      <w:r w:rsidRPr="00DE108C">
        <w:t xml:space="preserve">ort region. </w:t>
      </w:r>
    </w:p>
    <w:p w14:paraId="43BA5A06" w14:textId="6198E173" w:rsidR="00046BD5" w:rsidRPr="00DE108C" w:rsidRDefault="00046BD5" w:rsidP="00727F8E">
      <w:pPr>
        <w:pStyle w:val="ListBullet2"/>
      </w:pPr>
      <w:r w:rsidRPr="00DE108C">
        <w:t xml:space="preserve">An increase in vegetation </w:t>
      </w:r>
      <w:r w:rsidR="480A6A7C">
        <w:t>opex</w:t>
      </w:r>
      <w:r w:rsidRPr="00DE108C">
        <w:t xml:space="preserve"> of $6.2 million to provide grants and support to community groups to increase vegetation along waterways, which was supported by customers and community environmental groups</w:t>
      </w:r>
      <w:r w:rsidR="24C10D96">
        <w:t xml:space="preserve"> and </w:t>
      </w:r>
      <w:r w:rsidRPr="00DE108C">
        <w:t>is a more efficient delivery mechanism than an equivalent capital allocation. This includes internal labour costs to manage the increase in the program.</w:t>
      </w:r>
    </w:p>
    <w:p w14:paraId="5F1C6428" w14:textId="2187AE75" w:rsidR="00046BD5" w:rsidRPr="00DE108C" w:rsidRDefault="00046BD5" w:rsidP="10B13D05">
      <w:pPr>
        <w:pStyle w:val="ListBullet"/>
        <w:spacing w:after="100" w:afterAutospacing="1" w:line="320" w:lineRule="atLeast"/>
      </w:pPr>
      <w:r w:rsidRPr="00DE108C">
        <w:lastRenderedPageBreak/>
        <w:t>Melbourne Water has a new obligation to fund work required as the wetland coordinator for Western</w:t>
      </w:r>
      <w:r w:rsidR="00114D61">
        <w:t xml:space="preserve"> P</w:t>
      </w:r>
      <w:r w:rsidRPr="00DE108C">
        <w:t>ort Ramsar site. Ramsar wetlands are protected under a framework of international, national, and state-level statutory obligations. Melbourne Water currently carries out works</w:t>
      </w:r>
      <w:r w:rsidR="73DB0AAD">
        <w:t>,</w:t>
      </w:r>
      <w:r w:rsidRPr="00DE108C">
        <w:t xml:space="preserve"> including vegetation management and pest and weed control. This is a new funding obligation for Melbourne Water following the discontinuation in 2028-29 of funding via an Environmental Contribution Levy (ECL) grant. The proposed operating expenditure step is $1.8 million and reflects the current ECL grant that we receive from </w:t>
      </w:r>
      <w:r w:rsidR="2C9CB6E8">
        <w:t>the Department of Environment, Energy and Climate Action (</w:t>
      </w:r>
      <w:r>
        <w:t>DEECA</w:t>
      </w:r>
      <w:r w:rsidR="7C2BA526">
        <w:t>)</w:t>
      </w:r>
      <w:r>
        <w:t xml:space="preserve"> to undertake the work.</w:t>
      </w:r>
    </w:p>
    <w:p w14:paraId="5F3B3369" w14:textId="77777777" w:rsidR="00046BD5" w:rsidRPr="00DE108C" w:rsidRDefault="00046BD5" w:rsidP="10B13D05">
      <w:pPr>
        <w:pStyle w:val="ListBullet"/>
        <w:spacing w:after="100" w:afterAutospacing="1" w:line="320" w:lineRule="atLeast"/>
      </w:pPr>
      <w:r w:rsidRPr="00DE108C">
        <w:t xml:space="preserve">An increase in opex of $0.3 million for Quiet Lakes – Bore Flushing as customers supported increasing the number of lakes subject to bore flushing from two to three. </w:t>
      </w:r>
    </w:p>
    <w:p w14:paraId="7D303E06" w14:textId="77777777" w:rsidR="00046BD5" w:rsidRPr="00DE108C" w:rsidRDefault="00046BD5" w:rsidP="10B13D05">
      <w:pPr>
        <w:pStyle w:val="ListBullet"/>
        <w:spacing w:after="100" w:afterAutospacing="1" w:line="320" w:lineRule="atLeast"/>
      </w:pPr>
      <w:r w:rsidRPr="00DE108C">
        <w:t xml:space="preserve">An increase in opex of $0.3 million for Diversions Customers as a result of increased maintenance to maintain the system. </w:t>
      </w:r>
    </w:p>
    <w:p w14:paraId="3EC86830" w14:textId="77777777" w:rsidR="00046BD5" w:rsidRPr="00DE108C" w:rsidRDefault="00046BD5" w:rsidP="10B13D05">
      <w:pPr>
        <w:pStyle w:val="ListBullet"/>
        <w:spacing w:after="100" w:afterAutospacing="1" w:line="320" w:lineRule="atLeast"/>
      </w:pPr>
      <w:r w:rsidRPr="00DE108C">
        <w:t xml:space="preserve">A small decrease in Patterson Lakes – Jetties maintenance cost compared to the base year as a result of evaluation of the maintenance program with the jetty renewals commencing in the regulatory period (-$0.1 million). </w:t>
      </w:r>
    </w:p>
    <w:p w14:paraId="2951C498" w14:textId="18E92CE7" w:rsidR="00046BD5" w:rsidRPr="00DE108C" w:rsidRDefault="00046BD5" w:rsidP="10B13D05">
      <w:pPr>
        <w:pStyle w:val="ListBullet"/>
        <w:spacing w:after="100" w:afterAutospacing="1" w:line="320" w:lineRule="atLeast"/>
      </w:pPr>
      <w:r w:rsidRPr="00DE108C">
        <w:t xml:space="preserve">Additional corporate shared costs of $5.8 million. The allocation to Outcome 3 is comprised of $4.4 million in IT, $2.0 million in operational technology, $0.1 million in electricity and $0.1 million in carbon offsets. These are partially offset by forecast saving of $0.6 million in insurance costs. These are explained further below in </w:t>
      </w:r>
      <w:r w:rsidR="53DCBE4D" w:rsidRPr="00DE108C">
        <w:t>S</w:t>
      </w:r>
      <w:r w:rsidRPr="00DE108C">
        <w:t>ection 7.</w:t>
      </w:r>
      <w:r w:rsidR="001D64E8" w:rsidRPr="00DE108C">
        <w:t>3.3</w:t>
      </w:r>
      <w:r w:rsidR="1895402F">
        <w:t xml:space="preserve"> (Additions to baseline controllable opex – specific cost items</w:t>
      </w:r>
      <w:r w:rsidR="78143C20">
        <w:t>)</w:t>
      </w:r>
      <w:r>
        <w:t>.</w:t>
      </w:r>
    </w:p>
    <w:p w14:paraId="3938630F" w14:textId="0A66540B" w:rsidR="62716F78" w:rsidRDefault="62716F78" w:rsidP="009F409A">
      <w:pPr>
        <w:pStyle w:val="BodyText12ptAbove"/>
      </w:pPr>
    </w:p>
    <w:p w14:paraId="40EFB5D0" w14:textId="77777777" w:rsidR="00046BD5" w:rsidRPr="00DE108C" w:rsidRDefault="00046BD5" w:rsidP="00ED094E">
      <w:pPr>
        <w:pStyle w:val="Caption"/>
      </w:pPr>
      <w:bookmarkStart w:id="707" w:name="_Ref206425295"/>
      <w:bookmarkStart w:id="708" w:name="_Toc207893058"/>
      <w:bookmarkStart w:id="709" w:name="_Toc208490582"/>
      <w:bookmarkStart w:id="710" w:name="_Toc208490920"/>
      <w:bookmarkStart w:id="711" w:name="_Toc208911078"/>
      <w:bookmarkStart w:id="712" w:name="_Toc210051384"/>
      <w:r w:rsidRPr="00DE108C">
        <w:t>Table 7.8</w:t>
      </w:r>
      <w:bookmarkEnd w:id="707"/>
      <w:r w:rsidRPr="00DE108C">
        <w:t>: Outcome 3 additional expenditure ($millions, real 2025-26)</w:t>
      </w:r>
      <w:bookmarkEnd w:id="708"/>
      <w:bookmarkEnd w:id="709"/>
      <w:bookmarkEnd w:id="710"/>
      <w:bookmarkEnd w:id="711"/>
      <w:bookmarkEnd w:id="712"/>
    </w:p>
    <w:tbl>
      <w:tblPr>
        <w:tblStyle w:val="MWTableGrid"/>
        <w:tblW w:w="5000" w:type="pct"/>
        <w:tblLook w:val="0420" w:firstRow="1" w:lastRow="0" w:firstColumn="0" w:lastColumn="0" w:noHBand="0" w:noVBand="1"/>
      </w:tblPr>
      <w:tblGrid>
        <w:gridCol w:w="2718"/>
        <w:gridCol w:w="1151"/>
        <w:gridCol w:w="1151"/>
        <w:gridCol w:w="1152"/>
        <w:gridCol w:w="1152"/>
        <w:gridCol w:w="1152"/>
        <w:gridCol w:w="1152"/>
      </w:tblGrid>
      <w:tr w:rsidR="00556A0D" w:rsidRPr="00DE108C" w14:paraId="490D476A" w14:textId="77777777">
        <w:trPr>
          <w:cnfStyle w:val="100000000000" w:firstRow="1" w:lastRow="0" w:firstColumn="0" w:lastColumn="0" w:oddVBand="0" w:evenVBand="0" w:oddHBand="0" w:evenHBand="0" w:firstRowFirstColumn="0" w:firstRowLastColumn="0" w:lastRowFirstColumn="0" w:lastRowLastColumn="0"/>
          <w:cantSplit/>
        </w:trPr>
        <w:tc>
          <w:tcPr>
            <w:tcW w:w="1412" w:type="pct"/>
          </w:tcPr>
          <w:p w14:paraId="471EC80D" w14:textId="77777777" w:rsidR="00046BD5" w:rsidRPr="00DE108C" w:rsidRDefault="00046BD5">
            <w:pPr>
              <w:pStyle w:val="TableHeading"/>
              <w:rPr>
                <w:szCs w:val="18"/>
              </w:rPr>
            </w:pPr>
            <w:r w:rsidRPr="00DE108C">
              <w:rPr>
                <w:szCs w:val="18"/>
              </w:rPr>
              <w:t>Additional expenditure item</w:t>
            </w:r>
          </w:p>
        </w:tc>
        <w:tc>
          <w:tcPr>
            <w:tcW w:w="598" w:type="pct"/>
          </w:tcPr>
          <w:p w14:paraId="02ED6C40" w14:textId="77777777" w:rsidR="00046BD5" w:rsidRPr="00DE108C" w:rsidRDefault="00046BD5">
            <w:pPr>
              <w:pStyle w:val="TableHeading"/>
              <w:rPr>
                <w:szCs w:val="18"/>
              </w:rPr>
            </w:pPr>
            <w:r w:rsidRPr="00DE108C">
              <w:rPr>
                <w:szCs w:val="18"/>
              </w:rPr>
              <w:t>2026-27</w:t>
            </w:r>
          </w:p>
        </w:tc>
        <w:tc>
          <w:tcPr>
            <w:tcW w:w="598" w:type="pct"/>
          </w:tcPr>
          <w:p w14:paraId="695E7856" w14:textId="77777777" w:rsidR="00046BD5" w:rsidRPr="00DE108C" w:rsidRDefault="00046BD5">
            <w:pPr>
              <w:pStyle w:val="TableHeading"/>
              <w:rPr>
                <w:szCs w:val="18"/>
              </w:rPr>
            </w:pPr>
            <w:r w:rsidRPr="00DE108C">
              <w:rPr>
                <w:szCs w:val="18"/>
              </w:rPr>
              <w:t>2027-28</w:t>
            </w:r>
          </w:p>
        </w:tc>
        <w:tc>
          <w:tcPr>
            <w:tcW w:w="598" w:type="pct"/>
          </w:tcPr>
          <w:p w14:paraId="683B7813" w14:textId="77777777" w:rsidR="00046BD5" w:rsidRPr="00DE108C" w:rsidRDefault="00046BD5">
            <w:pPr>
              <w:pStyle w:val="TableHeading"/>
              <w:rPr>
                <w:szCs w:val="18"/>
              </w:rPr>
            </w:pPr>
            <w:r w:rsidRPr="00DE108C">
              <w:rPr>
                <w:szCs w:val="18"/>
              </w:rPr>
              <w:t>2028-29</w:t>
            </w:r>
          </w:p>
        </w:tc>
        <w:tc>
          <w:tcPr>
            <w:tcW w:w="598" w:type="pct"/>
          </w:tcPr>
          <w:p w14:paraId="4C7A52E8" w14:textId="77777777" w:rsidR="00046BD5" w:rsidRPr="00DE108C" w:rsidRDefault="00046BD5">
            <w:pPr>
              <w:pStyle w:val="TableHeading"/>
              <w:rPr>
                <w:szCs w:val="18"/>
              </w:rPr>
            </w:pPr>
            <w:r w:rsidRPr="00DE108C">
              <w:rPr>
                <w:szCs w:val="18"/>
              </w:rPr>
              <w:t>2029-30</w:t>
            </w:r>
          </w:p>
        </w:tc>
        <w:tc>
          <w:tcPr>
            <w:tcW w:w="598" w:type="pct"/>
          </w:tcPr>
          <w:p w14:paraId="0BCB7E9A" w14:textId="77777777" w:rsidR="00046BD5" w:rsidRPr="00DE108C" w:rsidRDefault="00046BD5">
            <w:pPr>
              <w:pStyle w:val="TableHeading"/>
              <w:rPr>
                <w:szCs w:val="18"/>
              </w:rPr>
            </w:pPr>
            <w:r w:rsidRPr="00DE108C">
              <w:rPr>
                <w:szCs w:val="18"/>
              </w:rPr>
              <w:t>2030-31</w:t>
            </w:r>
          </w:p>
        </w:tc>
        <w:tc>
          <w:tcPr>
            <w:tcW w:w="598" w:type="pct"/>
          </w:tcPr>
          <w:p w14:paraId="18C49823" w14:textId="77777777" w:rsidR="00046BD5" w:rsidRPr="00DE108C" w:rsidRDefault="00046BD5">
            <w:pPr>
              <w:pStyle w:val="TableHeading"/>
              <w:rPr>
                <w:szCs w:val="18"/>
              </w:rPr>
            </w:pPr>
            <w:r w:rsidRPr="00DE108C">
              <w:rPr>
                <w:szCs w:val="18"/>
              </w:rPr>
              <w:t>Total</w:t>
            </w:r>
          </w:p>
        </w:tc>
      </w:tr>
      <w:tr w:rsidR="00046BD5" w:rsidRPr="00DE108C" w14:paraId="327ABA8B" w14:textId="77777777" w:rsidTr="00ED094E">
        <w:trPr>
          <w:cantSplit/>
        </w:trPr>
        <w:tc>
          <w:tcPr>
            <w:tcW w:w="1412" w:type="pct"/>
          </w:tcPr>
          <w:p w14:paraId="1D79790A" w14:textId="0617D0C4" w:rsidR="00046BD5" w:rsidRPr="00DE108C" w:rsidRDefault="74D7C1DC" w:rsidP="00A85DE9">
            <w:pPr>
              <w:pStyle w:val="TableText"/>
              <w:rPr>
                <w:sz w:val="18"/>
                <w:szCs w:val="18"/>
              </w:rPr>
            </w:pPr>
            <w:r w:rsidRPr="205046D8">
              <w:rPr>
                <w:sz w:val="18"/>
                <w:szCs w:val="18"/>
              </w:rPr>
              <w:t>Opex</w:t>
            </w:r>
            <w:r w:rsidR="00046BD5" w:rsidRPr="00DE108C">
              <w:rPr>
                <w:sz w:val="18"/>
                <w:szCs w:val="18"/>
              </w:rPr>
              <w:t xml:space="preserve"> from capital program</w:t>
            </w:r>
          </w:p>
        </w:tc>
        <w:tc>
          <w:tcPr>
            <w:tcW w:w="598" w:type="pct"/>
          </w:tcPr>
          <w:p w14:paraId="58252BB4" w14:textId="77777777" w:rsidR="00046BD5" w:rsidRPr="00DE108C" w:rsidRDefault="00046BD5" w:rsidP="00A85DE9">
            <w:pPr>
              <w:pStyle w:val="TableText"/>
              <w:rPr>
                <w:sz w:val="18"/>
                <w:szCs w:val="18"/>
              </w:rPr>
            </w:pPr>
            <w:r w:rsidRPr="00DE108C">
              <w:rPr>
                <w:sz w:val="18"/>
                <w:szCs w:val="18"/>
              </w:rPr>
              <w:t xml:space="preserve"> 0.3 </w:t>
            </w:r>
          </w:p>
        </w:tc>
        <w:tc>
          <w:tcPr>
            <w:tcW w:w="598" w:type="pct"/>
          </w:tcPr>
          <w:p w14:paraId="250A85A3" w14:textId="77777777" w:rsidR="00046BD5" w:rsidRPr="00DE108C" w:rsidRDefault="00046BD5" w:rsidP="00A85DE9">
            <w:pPr>
              <w:pStyle w:val="TableText"/>
              <w:rPr>
                <w:sz w:val="18"/>
                <w:szCs w:val="18"/>
              </w:rPr>
            </w:pPr>
            <w:r w:rsidRPr="00DE108C">
              <w:rPr>
                <w:sz w:val="18"/>
                <w:szCs w:val="18"/>
              </w:rPr>
              <w:t xml:space="preserve"> 0.4 </w:t>
            </w:r>
          </w:p>
        </w:tc>
        <w:tc>
          <w:tcPr>
            <w:tcW w:w="598" w:type="pct"/>
          </w:tcPr>
          <w:p w14:paraId="1FB5919D" w14:textId="77777777" w:rsidR="00046BD5" w:rsidRPr="00DE108C" w:rsidRDefault="00046BD5" w:rsidP="00A85DE9">
            <w:pPr>
              <w:pStyle w:val="TableText"/>
              <w:rPr>
                <w:sz w:val="18"/>
                <w:szCs w:val="18"/>
              </w:rPr>
            </w:pPr>
            <w:r w:rsidRPr="00DE108C">
              <w:rPr>
                <w:sz w:val="18"/>
                <w:szCs w:val="18"/>
              </w:rPr>
              <w:t xml:space="preserve"> 0.4 </w:t>
            </w:r>
          </w:p>
        </w:tc>
        <w:tc>
          <w:tcPr>
            <w:tcW w:w="598" w:type="pct"/>
          </w:tcPr>
          <w:p w14:paraId="139FEDE2" w14:textId="77777777" w:rsidR="00046BD5" w:rsidRPr="00DE108C" w:rsidRDefault="00046BD5" w:rsidP="00A85DE9">
            <w:pPr>
              <w:pStyle w:val="TableText"/>
              <w:rPr>
                <w:sz w:val="18"/>
                <w:szCs w:val="18"/>
              </w:rPr>
            </w:pPr>
            <w:r w:rsidRPr="00DE108C">
              <w:rPr>
                <w:sz w:val="18"/>
                <w:szCs w:val="18"/>
              </w:rPr>
              <w:t xml:space="preserve"> 0.4 </w:t>
            </w:r>
          </w:p>
        </w:tc>
        <w:tc>
          <w:tcPr>
            <w:tcW w:w="598" w:type="pct"/>
          </w:tcPr>
          <w:p w14:paraId="7975B344" w14:textId="77777777" w:rsidR="00046BD5" w:rsidRPr="00DE108C" w:rsidRDefault="00046BD5" w:rsidP="00A85DE9">
            <w:pPr>
              <w:pStyle w:val="TableText"/>
              <w:rPr>
                <w:sz w:val="18"/>
                <w:szCs w:val="18"/>
              </w:rPr>
            </w:pPr>
            <w:r w:rsidRPr="00DE108C">
              <w:rPr>
                <w:sz w:val="18"/>
                <w:szCs w:val="18"/>
              </w:rPr>
              <w:t xml:space="preserve"> 0.5 </w:t>
            </w:r>
          </w:p>
        </w:tc>
        <w:tc>
          <w:tcPr>
            <w:tcW w:w="598" w:type="pct"/>
          </w:tcPr>
          <w:p w14:paraId="336B3270" w14:textId="77777777" w:rsidR="00046BD5" w:rsidRPr="00DE108C" w:rsidRDefault="00046BD5" w:rsidP="00A85DE9">
            <w:pPr>
              <w:pStyle w:val="TableText"/>
              <w:rPr>
                <w:b/>
                <w:bCs/>
                <w:sz w:val="18"/>
                <w:szCs w:val="18"/>
              </w:rPr>
            </w:pPr>
            <w:r w:rsidRPr="00DE108C">
              <w:rPr>
                <w:b/>
                <w:bCs/>
                <w:sz w:val="18"/>
                <w:szCs w:val="18"/>
              </w:rPr>
              <w:t xml:space="preserve"> 2.0 </w:t>
            </w:r>
          </w:p>
        </w:tc>
      </w:tr>
      <w:tr w:rsidR="00A043F7" w:rsidRPr="00DE108C" w14:paraId="66AEDDD9" w14:textId="77777777">
        <w:trPr>
          <w:cnfStyle w:val="000000010000" w:firstRow="0" w:lastRow="0" w:firstColumn="0" w:lastColumn="0" w:oddVBand="0" w:evenVBand="0" w:oddHBand="0" w:evenHBand="1" w:firstRowFirstColumn="0" w:firstRowLastColumn="0" w:lastRowFirstColumn="0" w:lastRowLastColumn="0"/>
          <w:cantSplit/>
        </w:trPr>
        <w:tc>
          <w:tcPr>
            <w:tcW w:w="1412" w:type="pct"/>
          </w:tcPr>
          <w:p w14:paraId="295347C1" w14:textId="77777777" w:rsidR="00046BD5" w:rsidRPr="00DE108C" w:rsidRDefault="00046BD5" w:rsidP="00A85DE9">
            <w:pPr>
              <w:pStyle w:val="TableText"/>
              <w:rPr>
                <w:sz w:val="18"/>
                <w:szCs w:val="18"/>
              </w:rPr>
            </w:pPr>
            <w:r w:rsidRPr="00DE108C">
              <w:rPr>
                <w:sz w:val="18"/>
                <w:szCs w:val="18"/>
              </w:rPr>
              <w:t>Responsibilities to maintain developer assets</w:t>
            </w:r>
          </w:p>
        </w:tc>
        <w:tc>
          <w:tcPr>
            <w:tcW w:w="598" w:type="pct"/>
            <w:vAlign w:val="center"/>
          </w:tcPr>
          <w:p w14:paraId="7AF4881C" w14:textId="77777777" w:rsidR="00046BD5" w:rsidRPr="00DE108C" w:rsidRDefault="00046BD5" w:rsidP="00A85DE9">
            <w:pPr>
              <w:pStyle w:val="TableText"/>
              <w:rPr>
                <w:sz w:val="18"/>
                <w:szCs w:val="18"/>
              </w:rPr>
            </w:pPr>
            <w:r w:rsidRPr="00DE108C">
              <w:rPr>
                <w:sz w:val="18"/>
                <w:szCs w:val="18"/>
              </w:rPr>
              <w:t xml:space="preserve"> 2.1 </w:t>
            </w:r>
          </w:p>
        </w:tc>
        <w:tc>
          <w:tcPr>
            <w:tcW w:w="598" w:type="pct"/>
            <w:vAlign w:val="center"/>
          </w:tcPr>
          <w:p w14:paraId="12168193" w14:textId="77777777" w:rsidR="00046BD5" w:rsidRPr="00DE108C" w:rsidRDefault="00046BD5" w:rsidP="00A85DE9">
            <w:pPr>
              <w:pStyle w:val="TableText"/>
              <w:rPr>
                <w:sz w:val="18"/>
                <w:szCs w:val="18"/>
              </w:rPr>
            </w:pPr>
            <w:r w:rsidRPr="00DE108C">
              <w:rPr>
                <w:sz w:val="18"/>
                <w:szCs w:val="18"/>
              </w:rPr>
              <w:t xml:space="preserve"> 2.6 </w:t>
            </w:r>
          </w:p>
        </w:tc>
        <w:tc>
          <w:tcPr>
            <w:tcW w:w="598" w:type="pct"/>
            <w:vAlign w:val="center"/>
          </w:tcPr>
          <w:p w14:paraId="0475B15C" w14:textId="77777777" w:rsidR="00046BD5" w:rsidRPr="00DE108C" w:rsidRDefault="00046BD5" w:rsidP="00A85DE9">
            <w:pPr>
              <w:pStyle w:val="TableText"/>
              <w:rPr>
                <w:sz w:val="18"/>
                <w:szCs w:val="18"/>
              </w:rPr>
            </w:pPr>
            <w:r w:rsidRPr="00DE108C">
              <w:rPr>
                <w:sz w:val="18"/>
                <w:szCs w:val="18"/>
              </w:rPr>
              <w:t xml:space="preserve"> 2.7 </w:t>
            </w:r>
          </w:p>
        </w:tc>
        <w:tc>
          <w:tcPr>
            <w:tcW w:w="598" w:type="pct"/>
            <w:vAlign w:val="center"/>
          </w:tcPr>
          <w:p w14:paraId="3221B871" w14:textId="77777777" w:rsidR="00046BD5" w:rsidRPr="00DE108C" w:rsidRDefault="00046BD5" w:rsidP="00A85DE9">
            <w:pPr>
              <w:pStyle w:val="TableText"/>
              <w:rPr>
                <w:sz w:val="18"/>
                <w:szCs w:val="18"/>
              </w:rPr>
            </w:pPr>
            <w:r w:rsidRPr="00DE108C">
              <w:rPr>
                <w:sz w:val="18"/>
                <w:szCs w:val="18"/>
              </w:rPr>
              <w:t xml:space="preserve"> 2.7 </w:t>
            </w:r>
          </w:p>
        </w:tc>
        <w:tc>
          <w:tcPr>
            <w:tcW w:w="598" w:type="pct"/>
            <w:vAlign w:val="center"/>
          </w:tcPr>
          <w:p w14:paraId="52AD8C5C" w14:textId="77777777" w:rsidR="00046BD5" w:rsidRPr="00DE108C" w:rsidRDefault="00046BD5" w:rsidP="00A85DE9">
            <w:pPr>
              <w:pStyle w:val="TableText"/>
              <w:rPr>
                <w:sz w:val="18"/>
                <w:szCs w:val="18"/>
              </w:rPr>
            </w:pPr>
            <w:r w:rsidRPr="00DE108C">
              <w:rPr>
                <w:sz w:val="18"/>
                <w:szCs w:val="18"/>
              </w:rPr>
              <w:t xml:space="preserve"> 2.7 </w:t>
            </w:r>
          </w:p>
        </w:tc>
        <w:tc>
          <w:tcPr>
            <w:tcW w:w="598" w:type="pct"/>
            <w:vAlign w:val="center"/>
          </w:tcPr>
          <w:p w14:paraId="66EE7FEF" w14:textId="77777777" w:rsidR="00046BD5" w:rsidRPr="00DE108C" w:rsidRDefault="00046BD5" w:rsidP="00A85DE9">
            <w:pPr>
              <w:pStyle w:val="TableText"/>
              <w:rPr>
                <w:b/>
                <w:bCs/>
                <w:sz w:val="18"/>
                <w:szCs w:val="18"/>
              </w:rPr>
            </w:pPr>
            <w:r w:rsidRPr="00DE108C">
              <w:rPr>
                <w:b/>
                <w:bCs/>
                <w:sz w:val="18"/>
                <w:szCs w:val="18"/>
              </w:rPr>
              <w:t xml:space="preserve"> 12.8 </w:t>
            </w:r>
          </w:p>
        </w:tc>
      </w:tr>
      <w:tr w:rsidR="00046BD5" w:rsidRPr="00DE108C" w14:paraId="23FD70AC" w14:textId="77777777" w:rsidTr="00ED094E">
        <w:trPr>
          <w:cantSplit/>
        </w:trPr>
        <w:tc>
          <w:tcPr>
            <w:tcW w:w="1412" w:type="pct"/>
          </w:tcPr>
          <w:p w14:paraId="5D81A87E" w14:textId="77777777" w:rsidR="00046BD5" w:rsidRPr="00DE108C" w:rsidRDefault="00046BD5" w:rsidP="00A85DE9">
            <w:pPr>
              <w:pStyle w:val="TableText"/>
              <w:rPr>
                <w:sz w:val="18"/>
                <w:szCs w:val="18"/>
              </w:rPr>
            </w:pPr>
            <w:r w:rsidRPr="00DE108C">
              <w:rPr>
                <w:sz w:val="18"/>
                <w:szCs w:val="18"/>
              </w:rPr>
              <w:t>Waterway manager responsibilities</w:t>
            </w:r>
          </w:p>
        </w:tc>
        <w:tc>
          <w:tcPr>
            <w:tcW w:w="598" w:type="pct"/>
          </w:tcPr>
          <w:p w14:paraId="5229E1BC" w14:textId="77777777" w:rsidR="00046BD5" w:rsidRPr="00DE108C" w:rsidRDefault="00046BD5" w:rsidP="00A85DE9">
            <w:pPr>
              <w:pStyle w:val="TableText"/>
              <w:rPr>
                <w:sz w:val="18"/>
                <w:szCs w:val="18"/>
              </w:rPr>
            </w:pPr>
            <w:r w:rsidRPr="00DE108C">
              <w:rPr>
                <w:sz w:val="18"/>
                <w:szCs w:val="18"/>
              </w:rPr>
              <w:t xml:space="preserve"> 1.4 </w:t>
            </w:r>
          </w:p>
        </w:tc>
        <w:tc>
          <w:tcPr>
            <w:tcW w:w="598" w:type="pct"/>
          </w:tcPr>
          <w:p w14:paraId="2BC5BBB8" w14:textId="77777777" w:rsidR="00046BD5" w:rsidRPr="00DE108C" w:rsidRDefault="00046BD5" w:rsidP="00A85DE9">
            <w:pPr>
              <w:pStyle w:val="TableText"/>
              <w:rPr>
                <w:sz w:val="18"/>
                <w:szCs w:val="18"/>
              </w:rPr>
            </w:pPr>
            <w:r w:rsidRPr="00DE108C">
              <w:rPr>
                <w:sz w:val="18"/>
                <w:szCs w:val="18"/>
              </w:rPr>
              <w:t xml:space="preserve"> 1.4 </w:t>
            </w:r>
          </w:p>
        </w:tc>
        <w:tc>
          <w:tcPr>
            <w:tcW w:w="598" w:type="pct"/>
          </w:tcPr>
          <w:p w14:paraId="5BBF5430" w14:textId="77777777" w:rsidR="00046BD5" w:rsidRPr="00DE108C" w:rsidRDefault="00046BD5" w:rsidP="00A85DE9">
            <w:pPr>
              <w:pStyle w:val="TableText"/>
              <w:rPr>
                <w:sz w:val="18"/>
                <w:szCs w:val="18"/>
              </w:rPr>
            </w:pPr>
            <w:r w:rsidRPr="00DE108C">
              <w:rPr>
                <w:sz w:val="18"/>
                <w:szCs w:val="18"/>
              </w:rPr>
              <w:t xml:space="preserve"> 1.4 </w:t>
            </w:r>
          </w:p>
        </w:tc>
        <w:tc>
          <w:tcPr>
            <w:tcW w:w="598" w:type="pct"/>
          </w:tcPr>
          <w:p w14:paraId="560DA72D" w14:textId="77777777" w:rsidR="00046BD5" w:rsidRPr="00DE108C" w:rsidRDefault="00046BD5" w:rsidP="00A85DE9">
            <w:pPr>
              <w:pStyle w:val="TableText"/>
              <w:rPr>
                <w:sz w:val="18"/>
                <w:szCs w:val="18"/>
              </w:rPr>
            </w:pPr>
            <w:r w:rsidRPr="00DE108C">
              <w:rPr>
                <w:sz w:val="18"/>
                <w:szCs w:val="18"/>
              </w:rPr>
              <w:t xml:space="preserve"> 1.5 </w:t>
            </w:r>
          </w:p>
        </w:tc>
        <w:tc>
          <w:tcPr>
            <w:tcW w:w="598" w:type="pct"/>
          </w:tcPr>
          <w:p w14:paraId="64D35F35" w14:textId="77777777" w:rsidR="00046BD5" w:rsidRPr="00DE108C" w:rsidRDefault="00046BD5" w:rsidP="00A85DE9">
            <w:pPr>
              <w:pStyle w:val="TableText"/>
              <w:rPr>
                <w:sz w:val="18"/>
                <w:szCs w:val="18"/>
              </w:rPr>
            </w:pPr>
            <w:r w:rsidRPr="00DE108C">
              <w:rPr>
                <w:sz w:val="18"/>
                <w:szCs w:val="18"/>
              </w:rPr>
              <w:t xml:space="preserve"> 1.5 </w:t>
            </w:r>
          </w:p>
        </w:tc>
        <w:tc>
          <w:tcPr>
            <w:tcW w:w="598" w:type="pct"/>
          </w:tcPr>
          <w:p w14:paraId="1BF869BE" w14:textId="77777777" w:rsidR="00046BD5" w:rsidRPr="00DE108C" w:rsidRDefault="00046BD5" w:rsidP="00A85DE9">
            <w:pPr>
              <w:pStyle w:val="TableText"/>
              <w:rPr>
                <w:b/>
                <w:bCs/>
                <w:sz w:val="18"/>
                <w:szCs w:val="18"/>
              </w:rPr>
            </w:pPr>
            <w:r w:rsidRPr="00DE108C">
              <w:rPr>
                <w:b/>
                <w:bCs/>
                <w:sz w:val="18"/>
                <w:szCs w:val="18"/>
              </w:rPr>
              <w:t xml:space="preserve"> 7.3 </w:t>
            </w:r>
          </w:p>
        </w:tc>
      </w:tr>
      <w:tr w:rsidR="00A043F7" w:rsidRPr="00DE108C" w14:paraId="3CE0C206" w14:textId="77777777">
        <w:trPr>
          <w:cnfStyle w:val="000000010000" w:firstRow="0" w:lastRow="0" w:firstColumn="0" w:lastColumn="0" w:oddVBand="0" w:evenVBand="0" w:oddHBand="0" w:evenHBand="1" w:firstRowFirstColumn="0" w:firstRowLastColumn="0" w:lastRowFirstColumn="0" w:lastRowLastColumn="0"/>
          <w:cantSplit/>
        </w:trPr>
        <w:tc>
          <w:tcPr>
            <w:tcW w:w="1412" w:type="pct"/>
          </w:tcPr>
          <w:p w14:paraId="4CD8375F" w14:textId="77777777" w:rsidR="00046BD5" w:rsidRPr="00DE108C" w:rsidRDefault="00046BD5" w:rsidP="00A85DE9">
            <w:pPr>
              <w:pStyle w:val="TableText"/>
              <w:rPr>
                <w:sz w:val="18"/>
                <w:szCs w:val="18"/>
              </w:rPr>
            </w:pPr>
            <w:r w:rsidRPr="00DE108C">
              <w:rPr>
                <w:sz w:val="18"/>
                <w:szCs w:val="18"/>
              </w:rPr>
              <w:t>Ramsar wetland coordinator</w:t>
            </w:r>
          </w:p>
        </w:tc>
        <w:tc>
          <w:tcPr>
            <w:tcW w:w="598" w:type="pct"/>
            <w:vAlign w:val="center"/>
          </w:tcPr>
          <w:p w14:paraId="1DD11CE4" w14:textId="77777777" w:rsidR="00046BD5" w:rsidRPr="00DE108C" w:rsidRDefault="00046BD5" w:rsidP="00A85DE9">
            <w:pPr>
              <w:pStyle w:val="TableText"/>
              <w:rPr>
                <w:sz w:val="18"/>
                <w:szCs w:val="18"/>
              </w:rPr>
            </w:pPr>
            <w:r w:rsidRPr="00DE108C">
              <w:rPr>
                <w:sz w:val="18"/>
                <w:szCs w:val="18"/>
              </w:rPr>
              <w:t xml:space="preserve"> - </w:t>
            </w:r>
          </w:p>
        </w:tc>
        <w:tc>
          <w:tcPr>
            <w:tcW w:w="598" w:type="pct"/>
            <w:vAlign w:val="center"/>
          </w:tcPr>
          <w:p w14:paraId="7A4E2773" w14:textId="77777777" w:rsidR="00046BD5" w:rsidRPr="00DE108C" w:rsidRDefault="00046BD5" w:rsidP="00A85DE9">
            <w:pPr>
              <w:pStyle w:val="TableText"/>
              <w:rPr>
                <w:sz w:val="18"/>
                <w:szCs w:val="18"/>
              </w:rPr>
            </w:pPr>
            <w:r w:rsidRPr="00DE108C">
              <w:rPr>
                <w:sz w:val="18"/>
                <w:szCs w:val="18"/>
              </w:rPr>
              <w:t xml:space="preserve"> - </w:t>
            </w:r>
          </w:p>
        </w:tc>
        <w:tc>
          <w:tcPr>
            <w:tcW w:w="598" w:type="pct"/>
            <w:vAlign w:val="center"/>
          </w:tcPr>
          <w:p w14:paraId="234C51B4" w14:textId="77777777" w:rsidR="00046BD5" w:rsidRPr="00DE108C" w:rsidRDefault="00046BD5" w:rsidP="00A85DE9">
            <w:pPr>
              <w:pStyle w:val="TableText"/>
              <w:rPr>
                <w:sz w:val="18"/>
                <w:szCs w:val="18"/>
              </w:rPr>
            </w:pPr>
            <w:r w:rsidRPr="00DE108C">
              <w:rPr>
                <w:sz w:val="18"/>
                <w:szCs w:val="18"/>
              </w:rPr>
              <w:t xml:space="preserve"> 0.6 </w:t>
            </w:r>
          </w:p>
        </w:tc>
        <w:tc>
          <w:tcPr>
            <w:tcW w:w="598" w:type="pct"/>
            <w:vAlign w:val="center"/>
          </w:tcPr>
          <w:p w14:paraId="41E721A9" w14:textId="77777777" w:rsidR="00046BD5" w:rsidRPr="00DE108C" w:rsidRDefault="00046BD5" w:rsidP="00A85DE9">
            <w:pPr>
              <w:pStyle w:val="TableText"/>
              <w:rPr>
                <w:sz w:val="18"/>
                <w:szCs w:val="18"/>
              </w:rPr>
            </w:pPr>
            <w:r w:rsidRPr="00DE108C">
              <w:rPr>
                <w:sz w:val="18"/>
                <w:szCs w:val="18"/>
              </w:rPr>
              <w:t xml:space="preserve"> 0.6 </w:t>
            </w:r>
          </w:p>
        </w:tc>
        <w:tc>
          <w:tcPr>
            <w:tcW w:w="598" w:type="pct"/>
            <w:vAlign w:val="center"/>
          </w:tcPr>
          <w:p w14:paraId="5B031DDE" w14:textId="77777777" w:rsidR="00046BD5" w:rsidRPr="00DE108C" w:rsidRDefault="00046BD5" w:rsidP="00A85DE9">
            <w:pPr>
              <w:pStyle w:val="TableText"/>
              <w:rPr>
                <w:sz w:val="18"/>
                <w:szCs w:val="18"/>
              </w:rPr>
            </w:pPr>
            <w:r w:rsidRPr="00DE108C">
              <w:rPr>
                <w:sz w:val="18"/>
                <w:szCs w:val="18"/>
              </w:rPr>
              <w:t xml:space="preserve"> 0.6 </w:t>
            </w:r>
          </w:p>
        </w:tc>
        <w:tc>
          <w:tcPr>
            <w:tcW w:w="598" w:type="pct"/>
            <w:vAlign w:val="center"/>
          </w:tcPr>
          <w:p w14:paraId="219DC6CF" w14:textId="77777777" w:rsidR="00046BD5" w:rsidRPr="00DE108C" w:rsidRDefault="00046BD5" w:rsidP="00A85DE9">
            <w:pPr>
              <w:pStyle w:val="TableText"/>
              <w:rPr>
                <w:b/>
                <w:bCs/>
                <w:sz w:val="18"/>
                <w:szCs w:val="18"/>
              </w:rPr>
            </w:pPr>
            <w:r w:rsidRPr="00DE108C">
              <w:rPr>
                <w:b/>
                <w:bCs/>
                <w:sz w:val="18"/>
                <w:szCs w:val="18"/>
              </w:rPr>
              <w:t xml:space="preserve"> 1.8 </w:t>
            </w:r>
          </w:p>
        </w:tc>
      </w:tr>
      <w:tr w:rsidR="00046BD5" w:rsidRPr="00DE108C" w14:paraId="6C2F0ACD" w14:textId="77777777" w:rsidTr="00ED094E">
        <w:trPr>
          <w:cantSplit/>
        </w:trPr>
        <w:tc>
          <w:tcPr>
            <w:tcW w:w="1412" w:type="pct"/>
          </w:tcPr>
          <w:p w14:paraId="15803D52" w14:textId="77777777" w:rsidR="00046BD5" w:rsidRPr="00DE108C" w:rsidRDefault="00046BD5" w:rsidP="00A85DE9">
            <w:pPr>
              <w:pStyle w:val="TableText"/>
              <w:rPr>
                <w:sz w:val="18"/>
                <w:szCs w:val="18"/>
              </w:rPr>
            </w:pPr>
            <w:r w:rsidRPr="00DE108C">
              <w:rPr>
                <w:sz w:val="18"/>
                <w:szCs w:val="18"/>
              </w:rPr>
              <w:t>Quiet Lakes pumping costs</w:t>
            </w:r>
          </w:p>
        </w:tc>
        <w:tc>
          <w:tcPr>
            <w:tcW w:w="598" w:type="pct"/>
          </w:tcPr>
          <w:p w14:paraId="73BD1DCC" w14:textId="77777777" w:rsidR="00046BD5" w:rsidRPr="00DE108C" w:rsidRDefault="00046BD5" w:rsidP="00A85DE9">
            <w:pPr>
              <w:pStyle w:val="TableText"/>
              <w:rPr>
                <w:sz w:val="18"/>
                <w:szCs w:val="18"/>
              </w:rPr>
            </w:pPr>
            <w:r w:rsidRPr="00DE108C">
              <w:rPr>
                <w:sz w:val="18"/>
                <w:szCs w:val="18"/>
              </w:rPr>
              <w:t xml:space="preserve"> 0.1 </w:t>
            </w:r>
          </w:p>
        </w:tc>
        <w:tc>
          <w:tcPr>
            <w:tcW w:w="598" w:type="pct"/>
          </w:tcPr>
          <w:p w14:paraId="392CFEFD" w14:textId="77777777" w:rsidR="00046BD5" w:rsidRPr="00DE108C" w:rsidRDefault="00046BD5" w:rsidP="00A85DE9">
            <w:pPr>
              <w:pStyle w:val="TableText"/>
              <w:rPr>
                <w:sz w:val="18"/>
                <w:szCs w:val="18"/>
              </w:rPr>
            </w:pPr>
            <w:r w:rsidRPr="00DE108C">
              <w:rPr>
                <w:sz w:val="18"/>
                <w:szCs w:val="18"/>
              </w:rPr>
              <w:t xml:space="preserve"> 0.1 </w:t>
            </w:r>
          </w:p>
        </w:tc>
        <w:tc>
          <w:tcPr>
            <w:tcW w:w="598" w:type="pct"/>
          </w:tcPr>
          <w:p w14:paraId="0E3F0EB3" w14:textId="77777777" w:rsidR="00046BD5" w:rsidRPr="00DE108C" w:rsidRDefault="00046BD5" w:rsidP="00A85DE9">
            <w:pPr>
              <w:pStyle w:val="TableText"/>
              <w:rPr>
                <w:sz w:val="18"/>
                <w:szCs w:val="18"/>
              </w:rPr>
            </w:pPr>
            <w:r w:rsidRPr="00DE108C">
              <w:rPr>
                <w:sz w:val="18"/>
                <w:szCs w:val="18"/>
              </w:rPr>
              <w:t xml:space="preserve"> 0.0 </w:t>
            </w:r>
          </w:p>
        </w:tc>
        <w:tc>
          <w:tcPr>
            <w:tcW w:w="598" w:type="pct"/>
          </w:tcPr>
          <w:p w14:paraId="242393E3" w14:textId="77777777" w:rsidR="00046BD5" w:rsidRPr="00DE108C" w:rsidRDefault="00046BD5" w:rsidP="00A85DE9">
            <w:pPr>
              <w:pStyle w:val="TableText"/>
              <w:rPr>
                <w:sz w:val="18"/>
                <w:szCs w:val="18"/>
              </w:rPr>
            </w:pPr>
            <w:r w:rsidRPr="00DE108C">
              <w:rPr>
                <w:sz w:val="18"/>
                <w:szCs w:val="18"/>
              </w:rPr>
              <w:t xml:space="preserve"> 0.1 </w:t>
            </w:r>
          </w:p>
        </w:tc>
        <w:tc>
          <w:tcPr>
            <w:tcW w:w="598" w:type="pct"/>
          </w:tcPr>
          <w:p w14:paraId="03ED4169" w14:textId="77777777" w:rsidR="00046BD5" w:rsidRPr="00DE108C" w:rsidRDefault="00046BD5" w:rsidP="00A85DE9">
            <w:pPr>
              <w:pStyle w:val="TableText"/>
              <w:rPr>
                <w:sz w:val="18"/>
                <w:szCs w:val="18"/>
              </w:rPr>
            </w:pPr>
            <w:r w:rsidRPr="00DE108C">
              <w:rPr>
                <w:sz w:val="18"/>
                <w:szCs w:val="18"/>
              </w:rPr>
              <w:t xml:space="preserve"> 0.1 </w:t>
            </w:r>
          </w:p>
        </w:tc>
        <w:tc>
          <w:tcPr>
            <w:tcW w:w="598" w:type="pct"/>
          </w:tcPr>
          <w:p w14:paraId="3FF319BC" w14:textId="77777777" w:rsidR="00046BD5" w:rsidRPr="00DE108C" w:rsidRDefault="00046BD5" w:rsidP="00A85DE9">
            <w:pPr>
              <w:pStyle w:val="TableText"/>
              <w:rPr>
                <w:b/>
                <w:bCs/>
                <w:sz w:val="18"/>
                <w:szCs w:val="18"/>
              </w:rPr>
            </w:pPr>
            <w:r w:rsidRPr="00DE108C">
              <w:rPr>
                <w:b/>
                <w:bCs/>
                <w:sz w:val="18"/>
                <w:szCs w:val="18"/>
              </w:rPr>
              <w:t xml:space="preserve"> 0.3 </w:t>
            </w:r>
          </w:p>
        </w:tc>
      </w:tr>
      <w:tr w:rsidR="00A043F7" w:rsidRPr="00DE108C" w14:paraId="1532679B" w14:textId="77777777">
        <w:trPr>
          <w:cnfStyle w:val="000000010000" w:firstRow="0" w:lastRow="0" w:firstColumn="0" w:lastColumn="0" w:oddVBand="0" w:evenVBand="0" w:oddHBand="0" w:evenHBand="1" w:firstRowFirstColumn="0" w:firstRowLastColumn="0" w:lastRowFirstColumn="0" w:lastRowLastColumn="0"/>
          <w:cantSplit/>
        </w:trPr>
        <w:tc>
          <w:tcPr>
            <w:tcW w:w="1412" w:type="pct"/>
          </w:tcPr>
          <w:p w14:paraId="63BE3B94" w14:textId="77777777" w:rsidR="00046BD5" w:rsidRPr="00DE108C" w:rsidRDefault="00046BD5" w:rsidP="00A85DE9">
            <w:pPr>
              <w:pStyle w:val="TableText"/>
              <w:rPr>
                <w:sz w:val="18"/>
                <w:szCs w:val="18"/>
              </w:rPr>
            </w:pPr>
            <w:r w:rsidRPr="00DE108C">
              <w:rPr>
                <w:sz w:val="18"/>
                <w:szCs w:val="18"/>
              </w:rPr>
              <w:t>Diversion maintenance</w:t>
            </w:r>
          </w:p>
        </w:tc>
        <w:tc>
          <w:tcPr>
            <w:tcW w:w="598" w:type="pct"/>
            <w:vAlign w:val="center"/>
          </w:tcPr>
          <w:p w14:paraId="14008631" w14:textId="77777777" w:rsidR="00046BD5" w:rsidRPr="00DE108C" w:rsidRDefault="00046BD5" w:rsidP="00A85DE9">
            <w:pPr>
              <w:pStyle w:val="TableText"/>
              <w:rPr>
                <w:sz w:val="18"/>
                <w:szCs w:val="18"/>
              </w:rPr>
            </w:pPr>
            <w:r w:rsidRPr="00DE108C">
              <w:rPr>
                <w:sz w:val="18"/>
                <w:szCs w:val="18"/>
              </w:rPr>
              <w:t xml:space="preserve"> 0.1 </w:t>
            </w:r>
          </w:p>
        </w:tc>
        <w:tc>
          <w:tcPr>
            <w:tcW w:w="598" w:type="pct"/>
            <w:vAlign w:val="center"/>
          </w:tcPr>
          <w:p w14:paraId="7328CF14" w14:textId="77777777" w:rsidR="00046BD5" w:rsidRPr="00DE108C" w:rsidRDefault="00046BD5" w:rsidP="00A85DE9">
            <w:pPr>
              <w:pStyle w:val="TableText"/>
              <w:rPr>
                <w:sz w:val="18"/>
                <w:szCs w:val="18"/>
              </w:rPr>
            </w:pPr>
            <w:r w:rsidRPr="00DE108C">
              <w:rPr>
                <w:sz w:val="18"/>
                <w:szCs w:val="18"/>
              </w:rPr>
              <w:t xml:space="preserve"> 0.1 </w:t>
            </w:r>
          </w:p>
        </w:tc>
        <w:tc>
          <w:tcPr>
            <w:tcW w:w="598" w:type="pct"/>
            <w:vAlign w:val="center"/>
          </w:tcPr>
          <w:p w14:paraId="7F9D24D4" w14:textId="77777777" w:rsidR="00046BD5" w:rsidRPr="00DE108C" w:rsidRDefault="00046BD5" w:rsidP="00A85DE9">
            <w:pPr>
              <w:pStyle w:val="TableText"/>
              <w:rPr>
                <w:sz w:val="18"/>
                <w:szCs w:val="18"/>
              </w:rPr>
            </w:pPr>
            <w:r w:rsidRPr="00DE108C">
              <w:rPr>
                <w:sz w:val="18"/>
                <w:szCs w:val="18"/>
              </w:rPr>
              <w:t xml:space="preserve"> 0.1 </w:t>
            </w:r>
          </w:p>
        </w:tc>
        <w:tc>
          <w:tcPr>
            <w:tcW w:w="598" w:type="pct"/>
            <w:vAlign w:val="center"/>
          </w:tcPr>
          <w:p w14:paraId="4A9ACEE1" w14:textId="77777777" w:rsidR="00046BD5" w:rsidRPr="00DE108C" w:rsidRDefault="00046BD5" w:rsidP="00A85DE9">
            <w:pPr>
              <w:pStyle w:val="TableText"/>
              <w:rPr>
                <w:sz w:val="18"/>
                <w:szCs w:val="18"/>
              </w:rPr>
            </w:pPr>
            <w:r w:rsidRPr="00DE108C">
              <w:rPr>
                <w:sz w:val="18"/>
                <w:szCs w:val="18"/>
              </w:rPr>
              <w:t xml:space="preserve"> 0.1 </w:t>
            </w:r>
          </w:p>
        </w:tc>
        <w:tc>
          <w:tcPr>
            <w:tcW w:w="598" w:type="pct"/>
            <w:vAlign w:val="center"/>
          </w:tcPr>
          <w:p w14:paraId="2FFF5CF0" w14:textId="77777777" w:rsidR="00046BD5" w:rsidRPr="00DE108C" w:rsidRDefault="00046BD5" w:rsidP="00A85DE9">
            <w:pPr>
              <w:pStyle w:val="TableText"/>
              <w:rPr>
                <w:sz w:val="18"/>
                <w:szCs w:val="18"/>
              </w:rPr>
            </w:pPr>
            <w:r w:rsidRPr="00DE108C">
              <w:rPr>
                <w:sz w:val="18"/>
                <w:szCs w:val="18"/>
              </w:rPr>
              <w:t xml:space="preserve"> 0.1 </w:t>
            </w:r>
          </w:p>
        </w:tc>
        <w:tc>
          <w:tcPr>
            <w:tcW w:w="598" w:type="pct"/>
            <w:vAlign w:val="center"/>
          </w:tcPr>
          <w:p w14:paraId="729D3CCD" w14:textId="77777777" w:rsidR="00046BD5" w:rsidRPr="00DE108C" w:rsidRDefault="00046BD5" w:rsidP="00A85DE9">
            <w:pPr>
              <w:pStyle w:val="TableText"/>
              <w:rPr>
                <w:b/>
                <w:bCs/>
                <w:sz w:val="18"/>
                <w:szCs w:val="18"/>
              </w:rPr>
            </w:pPr>
            <w:r w:rsidRPr="00DE108C">
              <w:rPr>
                <w:b/>
                <w:bCs/>
                <w:sz w:val="18"/>
                <w:szCs w:val="18"/>
              </w:rPr>
              <w:t xml:space="preserve"> 0.3 </w:t>
            </w:r>
          </w:p>
        </w:tc>
      </w:tr>
      <w:tr w:rsidR="00046BD5" w:rsidRPr="00DE108C" w14:paraId="48B19EB6" w14:textId="77777777" w:rsidTr="00ED094E">
        <w:trPr>
          <w:cantSplit/>
        </w:trPr>
        <w:tc>
          <w:tcPr>
            <w:tcW w:w="1412" w:type="pct"/>
          </w:tcPr>
          <w:p w14:paraId="49BD64C6" w14:textId="77777777" w:rsidR="00046BD5" w:rsidRPr="00DE108C" w:rsidRDefault="00046BD5" w:rsidP="00A85DE9">
            <w:pPr>
              <w:pStyle w:val="TableText"/>
              <w:rPr>
                <w:sz w:val="18"/>
                <w:szCs w:val="18"/>
              </w:rPr>
            </w:pPr>
            <w:r w:rsidRPr="00DE108C">
              <w:rPr>
                <w:sz w:val="18"/>
                <w:szCs w:val="18"/>
              </w:rPr>
              <w:t>Patterson Lakes jetties maintenance</w:t>
            </w:r>
          </w:p>
        </w:tc>
        <w:tc>
          <w:tcPr>
            <w:tcW w:w="598" w:type="pct"/>
          </w:tcPr>
          <w:p w14:paraId="01CFD401" w14:textId="77777777" w:rsidR="00046BD5" w:rsidRPr="00DE108C" w:rsidRDefault="00046BD5" w:rsidP="00A85DE9">
            <w:pPr>
              <w:pStyle w:val="TableText"/>
              <w:rPr>
                <w:sz w:val="18"/>
                <w:szCs w:val="18"/>
              </w:rPr>
            </w:pPr>
            <w:r w:rsidRPr="00DE108C">
              <w:rPr>
                <w:sz w:val="18"/>
                <w:szCs w:val="18"/>
              </w:rPr>
              <w:t xml:space="preserve"> 0.0 </w:t>
            </w:r>
          </w:p>
        </w:tc>
        <w:tc>
          <w:tcPr>
            <w:tcW w:w="598" w:type="pct"/>
          </w:tcPr>
          <w:p w14:paraId="1D04D633" w14:textId="77777777" w:rsidR="00046BD5" w:rsidRPr="00DE108C" w:rsidRDefault="00046BD5" w:rsidP="00A85DE9">
            <w:pPr>
              <w:pStyle w:val="TableText"/>
              <w:rPr>
                <w:sz w:val="18"/>
                <w:szCs w:val="18"/>
              </w:rPr>
            </w:pPr>
            <w:r w:rsidRPr="00DE108C">
              <w:rPr>
                <w:sz w:val="18"/>
                <w:szCs w:val="18"/>
              </w:rPr>
              <w:t>-0.1</w:t>
            </w:r>
          </w:p>
        </w:tc>
        <w:tc>
          <w:tcPr>
            <w:tcW w:w="598" w:type="pct"/>
          </w:tcPr>
          <w:p w14:paraId="5D9A1FF8" w14:textId="77777777" w:rsidR="00046BD5" w:rsidRPr="00DE108C" w:rsidRDefault="00046BD5" w:rsidP="00A85DE9">
            <w:pPr>
              <w:pStyle w:val="TableText"/>
              <w:rPr>
                <w:sz w:val="18"/>
                <w:szCs w:val="18"/>
              </w:rPr>
            </w:pPr>
            <w:r w:rsidRPr="00DE108C">
              <w:rPr>
                <w:sz w:val="18"/>
                <w:szCs w:val="18"/>
              </w:rPr>
              <w:t>-0.1</w:t>
            </w:r>
          </w:p>
        </w:tc>
        <w:tc>
          <w:tcPr>
            <w:tcW w:w="598" w:type="pct"/>
          </w:tcPr>
          <w:p w14:paraId="7CC95BD6" w14:textId="77777777" w:rsidR="00046BD5" w:rsidRPr="00DE108C" w:rsidRDefault="00046BD5" w:rsidP="00A85DE9">
            <w:pPr>
              <w:pStyle w:val="TableText"/>
              <w:rPr>
                <w:sz w:val="18"/>
                <w:szCs w:val="18"/>
              </w:rPr>
            </w:pPr>
            <w:r w:rsidRPr="00DE108C">
              <w:rPr>
                <w:sz w:val="18"/>
                <w:szCs w:val="18"/>
              </w:rPr>
              <w:t xml:space="preserve"> 0.0 </w:t>
            </w:r>
          </w:p>
        </w:tc>
        <w:tc>
          <w:tcPr>
            <w:tcW w:w="598" w:type="pct"/>
          </w:tcPr>
          <w:p w14:paraId="53D50C6A" w14:textId="77777777" w:rsidR="00046BD5" w:rsidRPr="00DE108C" w:rsidRDefault="00046BD5" w:rsidP="00A85DE9">
            <w:pPr>
              <w:pStyle w:val="TableText"/>
              <w:rPr>
                <w:sz w:val="18"/>
                <w:szCs w:val="18"/>
              </w:rPr>
            </w:pPr>
            <w:r w:rsidRPr="00DE108C">
              <w:rPr>
                <w:sz w:val="18"/>
                <w:szCs w:val="18"/>
              </w:rPr>
              <w:t>-0.1</w:t>
            </w:r>
          </w:p>
        </w:tc>
        <w:tc>
          <w:tcPr>
            <w:tcW w:w="598" w:type="pct"/>
          </w:tcPr>
          <w:p w14:paraId="2F4A1919" w14:textId="77777777" w:rsidR="00046BD5" w:rsidRPr="00DE108C" w:rsidRDefault="00046BD5" w:rsidP="00A85DE9">
            <w:pPr>
              <w:pStyle w:val="TableText"/>
              <w:rPr>
                <w:b/>
                <w:bCs/>
                <w:sz w:val="18"/>
                <w:szCs w:val="18"/>
              </w:rPr>
            </w:pPr>
            <w:r w:rsidRPr="00DE108C">
              <w:rPr>
                <w:b/>
                <w:bCs/>
                <w:sz w:val="18"/>
                <w:szCs w:val="18"/>
              </w:rPr>
              <w:t>-0.1</w:t>
            </w:r>
          </w:p>
        </w:tc>
      </w:tr>
      <w:tr w:rsidR="00A043F7" w:rsidRPr="00DE108C" w14:paraId="49EA0CF6" w14:textId="77777777">
        <w:trPr>
          <w:cnfStyle w:val="000000010000" w:firstRow="0" w:lastRow="0" w:firstColumn="0" w:lastColumn="0" w:oddVBand="0" w:evenVBand="0" w:oddHBand="0" w:evenHBand="1" w:firstRowFirstColumn="0" w:firstRowLastColumn="0" w:lastRowFirstColumn="0" w:lastRowLastColumn="0"/>
          <w:cantSplit/>
        </w:trPr>
        <w:tc>
          <w:tcPr>
            <w:tcW w:w="1412" w:type="pct"/>
          </w:tcPr>
          <w:p w14:paraId="612282A8" w14:textId="77777777" w:rsidR="00046BD5" w:rsidRPr="00DE108C" w:rsidRDefault="00046BD5" w:rsidP="00A85DE9">
            <w:pPr>
              <w:pStyle w:val="TableText"/>
              <w:rPr>
                <w:sz w:val="18"/>
                <w:szCs w:val="18"/>
              </w:rPr>
            </w:pPr>
            <w:r w:rsidRPr="00DE108C">
              <w:rPr>
                <w:sz w:val="18"/>
                <w:szCs w:val="18"/>
              </w:rPr>
              <w:t>Shared cost allocation</w:t>
            </w:r>
          </w:p>
        </w:tc>
        <w:tc>
          <w:tcPr>
            <w:tcW w:w="598" w:type="pct"/>
            <w:vAlign w:val="center"/>
          </w:tcPr>
          <w:p w14:paraId="03FB5F5F" w14:textId="77777777" w:rsidR="00046BD5" w:rsidRPr="00DE108C" w:rsidRDefault="00046BD5" w:rsidP="00A85DE9">
            <w:pPr>
              <w:pStyle w:val="TableText"/>
              <w:rPr>
                <w:sz w:val="18"/>
                <w:szCs w:val="18"/>
              </w:rPr>
            </w:pPr>
            <w:r w:rsidRPr="00DE108C">
              <w:rPr>
                <w:sz w:val="18"/>
                <w:szCs w:val="18"/>
              </w:rPr>
              <w:t xml:space="preserve"> 0.8 </w:t>
            </w:r>
          </w:p>
        </w:tc>
        <w:tc>
          <w:tcPr>
            <w:tcW w:w="598" w:type="pct"/>
            <w:vAlign w:val="center"/>
          </w:tcPr>
          <w:p w14:paraId="5D86680C" w14:textId="77777777" w:rsidR="00046BD5" w:rsidRPr="00DE108C" w:rsidRDefault="00046BD5" w:rsidP="00A85DE9">
            <w:pPr>
              <w:pStyle w:val="TableText"/>
              <w:rPr>
                <w:sz w:val="18"/>
                <w:szCs w:val="18"/>
              </w:rPr>
            </w:pPr>
            <w:r w:rsidRPr="00DE108C">
              <w:rPr>
                <w:sz w:val="18"/>
                <w:szCs w:val="18"/>
              </w:rPr>
              <w:t xml:space="preserve"> 1.5 </w:t>
            </w:r>
          </w:p>
        </w:tc>
        <w:tc>
          <w:tcPr>
            <w:tcW w:w="598" w:type="pct"/>
            <w:vAlign w:val="center"/>
          </w:tcPr>
          <w:p w14:paraId="08527878" w14:textId="77777777" w:rsidR="00046BD5" w:rsidRPr="00DE108C" w:rsidRDefault="00046BD5" w:rsidP="00A85DE9">
            <w:pPr>
              <w:pStyle w:val="TableText"/>
              <w:rPr>
                <w:sz w:val="18"/>
                <w:szCs w:val="18"/>
              </w:rPr>
            </w:pPr>
            <w:r w:rsidRPr="00DE108C">
              <w:rPr>
                <w:sz w:val="18"/>
                <w:szCs w:val="18"/>
              </w:rPr>
              <w:t xml:space="preserve"> 1.7 </w:t>
            </w:r>
          </w:p>
        </w:tc>
        <w:tc>
          <w:tcPr>
            <w:tcW w:w="598" w:type="pct"/>
            <w:vAlign w:val="center"/>
          </w:tcPr>
          <w:p w14:paraId="5EE43A7B" w14:textId="77777777" w:rsidR="00046BD5" w:rsidRPr="00DE108C" w:rsidRDefault="00046BD5" w:rsidP="00A85DE9">
            <w:pPr>
              <w:pStyle w:val="TableText"/>
              <w:rPr>
                <w:sz w:val="18"/>
                <w:szCs w:val="18"/>
              </w:rPr>
            </w:pPr>
            <w:r w:rsidRPr="00DE108C">
              <w:rPr>
                <w:sz w:val="18"/>
                <w:szCs w:val="18"/>
              </w:rPr>
              <w:t xml:space="preserve"> 1.0 </w:t>
            </w:r>
          </w:p>
        </w:tc>
        <w:tc>
          <w:tcPr>
            <w:tcW w:w="598" w:type="pct"/>
            <w:vAlign w:val="center"/>
          </w:tcPr>
          <w:p w14:paraId="74A464EF" w14:textId="77777777" w:rsidR="00046BD5" w:rsidRPr="00DE108C" w:rsidRDefault="00046BD5" w:rsidP="00A85DE9">
            <w:pPr>
              <w:pStyle w:val="TableText"/>
              <w:rPr>
                <w:sz w:val="18"/>
                <w:szCs w:val="18"/>
              </w:rPr>
            </w:pPr>
            <w:r w:rsidRPr="00DE108C">
              <w:rPr>
                <w:sz w:val="18"/>
                <w:szCs w:val="18"/>
              </w:rPr>
              <w:t xml:space="preserve"> 0.9 </w:t>
            </w:r>
          </w:p>
        </w:tc>
        <w:tc>
          <w:tcPr>
            <w:tcW w:w="598" w:type="pct"/>
            <w:vAlign w:val="center"/>
          </w:tcPr>
          <w:p w14:paraId="61C12660" w14:textId="77777777" w:rsidR="00046BD5" w:rsidRPr="00DE108C" w:rsidRDefault="00046BD5" w:rsidP="00A85DE9">
            <w:pPr>
              <w:pStyle w:val="TableText"/>
              <w:rPr>
                <w:b/>
                <w:bCs/>
                <w:sz w:val="18"/>
                <w:szCs w:val="18"/>
              </w:rPr>
            </w:pPr>
            <w:r w:rsidRPr="00DE108C">
              <w:rPr>
                <w:b/>
                <w:bCs/>
                <w:sz w:val="18"/>
                <w:szCs w:val="18"/>
              </w:rPr>
              <w:t xml:space="preserve"> 5.8 </w:t>
            </w:r>
          </w:p>
        </w:tc>
      </w:tr>
      <w:tr w:rsidR="00046BD5" w:rsidRPr="00DE108C" w14:paraId="241427A7" w14:textId="77777777" w:rsidTr="00ED094E">
        <w:trPr>
          <w:cantSplit/>
        </w:trPr>
        <w:tc>
          <w:tcPr>
            <w:tcW w:w="1412" w:type="pct"/>
          </w:tcPr>
          <w:p w14:paraId="33001C46" w14:textId="77777777" w:rsidR="00046BD5" w:rsidRPr="00DE108C" w:rsidRDefault="00046BD5" w:rsidP="00A85DE9">
            <w:pPr>
              <w:pStyle w:val="TableText"/>
              <w:rPr>
                <w:b/>
                <w:bCs/>
                <w:sz w:val="18"/>
                <w:szCs w:val="18"/>
              </w:rPr>
            </w:pPr>
            <w:r w:rsidRPr="00DE108C">
              <w:rPr>
                <w:b/>
                <w:bCs/>
                <w:sz w:val="18"/>
                <w:szCs w:val="18"/>
              </w:rPr>
              <w:t>Total</w:t>
            </w:r>
          </w:p>
        </w:tc>
        <w:tc>
          <w:tcPr>
            <w:tcW w:w="598" w:type="pct"/>
          </w:tcPr>
          <w:p w14:paraId="26497A47" w14:textId="77777777" w:rsidR="00046BD5" w:rsidRPr="00DE108C" w:rsidRDefault="00046BD5" w:rsidP="00A85DE9">
            <w:pPr>
              <w:pStyle w:val="TableText"/>
              <w:rPr>
                <w:b/>
                <w:bCs/>
                <w:sz w:val="18"/>
                <w:szCs w:val="18"/>
              </w:rPr>
            </w:pPr>
            <w:r w:rsidRPr="00DE108C">
              <w:rPr>
                <w:b/>
                <w:bCs/>
                <w:sz w:val="18"/>
                <w:szCs w:val="18"/>
              </w:rPr>
              <w:t xml:space="preserve"> 4.7 </w:t>
            </w:r>
          </w:p>
        </w:tc>
        <w:tc>
          <w:tcPr>
            <w:tcW w:w="598" w:type="pct"/>
          </w:tcPr>
          <w:p w14:paraId="6BE4CF41" w14:textId="77777777" w:rsidR="00046BD5" w:rsidRPr="00DE108C" w:rsidRDefault="00046BD5" w:rsidP="00A85DE9">
            <w:pPr>
              <w:pStyle w:val="TableText"/>
              <w:rPr>
                <w:b/>
                <w:bCs/>
                <w:sz w:val="18"/>
                <w:szCs w:val="18"/>
              </w:rPr>
            </w:pPr>
            <w:r w:rsidRPr="00DE108C">
              <w:rPr>
                <w:b/>
                <w:bCs/>
                <w:sz w:val="18"/>
                <w:szCs w:val="18"/>
              </w:rPr>
              <w:t xml:space="preserve"> 5.9 </w:t>
            </w:r>
          </w:p>
        </w:tc>
        <w:tc>
          <w:tcPr>
            <w:tcW w:w="598" w:type="pct"/>
          </w:tcPr>
          <w:p w14:paraId="43EFEC2C" w14:textId="77777777" w:rsidR="00046BD5" w:rsidRPr="00DE108C" w:rsidRDefault="00046BD5" w:rsidP="00A85DE9">
            <w:pPr>
              <w:pStyle w:val="TableText"/>
              <w:rPr>
                <w:b/>
                <w:bCs/>
                <w:sz w:val="18"/>
                <w:szCs w:val="18"/>
              </w:rPr>
            </w:pPr>
            <w:r w:rsidRPr="00DE108C">
              <w:rPr>
                <w:b/>
                <w:bCs/>
                <w:sz w:val="18"/>
                <w:szCs w:val="18"/>
              </w:rPr>
              <w:t xml:space="preserve"> 6.9 </w:t>
            </w:r>
          </w:p>
        </w:tc>
        <w:tc>
          <w:tcPr>
            <w:tcW w:w="598" w:type="pct"/>
          </w:tcPr>
          <w:p w14:paraId="66441BB0" w14:textId="77777777" w:rsidR="00046BD5" w:rsidRPr="00DE108C" w:rsidRDefault="00046BD5" w:rsidP="00A85DE9">
            <w:pPr>
              <w:pStyle w:val="TableText"/>
              <w:rPr>
                <w:b/>
                <w:bCs/>
                <w:sz w:val="18"/>
                <w:szCs w:val="18"/>
              </w:rPr>
            </w:pPr>
            <w:r w:rsidRPr="00DE108C">
              <w:rPr>
                <w:b/>
                <w:bCs/>
                <w:sz w:val="18"/>
                <w:szCs w:val="18"/>
              </w:rPr>
              <w:t xml:space="preserve"> 6.3 </w:t>
            </w:r>
          </w:p>
        </w:tc>
        <w:tc>
          <w:tcPr>
            <w:tcW w:w="598" w:type="pct"/>
          </w:tcPr>
          <w:p w14:paraId="5DE7289F" w14:textId="77777777" w:rsidR="00046BD5" w:rsidRPr="00DE108C" w:rsidRDefault="00046BD5" w:rsidP="00A85DE9">
            <w:pPr>
              <w:pStyle w:val="TableText"/>
              <w:rPr>
                <w:b/>
                <w:bCs/>
                <w:sz w:val="18"/>
                <w:szCs w:val="18"/>
              </w:rPr>
            </w:pPr>
            <w:r w:rsidRPr="00DE108C">
              <w:rPr>
                <w:b/>
                <w:bCs/>
                <w:sz w:val="18"/>
                <w:szCs w:val="18"/>
              </w:rPr>
              <w:t xml:space="preserve"> 6.3 </w:t>
            </w:r>
          </w:p>
        </w:tc>
        <w:tc>
          <w:tcPr>
            <w:tcW w:w="598" w:type="pct"/>
          </w:tcPr>
          <w:p w14:paraId="080E3501" w14:textId="77777777" w:rsidR="00046BD5" w:rsidRPr="00DE108C" w:rsidRDefault="00046BD5" w:rsidP="00A85DE9">
            <w:pPr>
              <w:pStyle w:val="TableText"/>
              <w:rPr>
                <w:b/>
                <w:bCs/>
                <w:sz w:val="18"/>
                <w:szCs w:val="18"/>
              </w:rPr>
            </w:pPr>
            <w:r w:rsidRPr="00DE108C">
              <w:rPr>
                <w:b/>
                <w:bCs/>
                <w:sz w:val="18"/>
                <w:szCs w:val="18"/>
              </w:rPr>
              <w:t xml:space="preserve"> 30.1 </w:t>
            </w:r>
          </w:p>
        </w:tc>
      </w:tr>
    </w:tbl>
    <w:p w14:paraId="344205AA" w14:textId="77777777" w:rsidR="00046BD5" w:rsidRPr="00DE108C" w:rsidRDefault="00046BD5" w:rsidP="00ED094E"/>
    <w:p w14:paraId="63E015FC" w14:textId="667FFF38" w:rsidR="00046BD5" w:rsidRPr="00DE108C" w:rsidRDefault="00046BD5" w:rsidP="005C0FA9">
      <w:pPr>
        <w:pStyle w:val="Heading4"/>
      </w:pPr>
      <w:bookmarkStart w:id="713" w:name="_Toc196745258"/>
      <w:r w:rsidRPr="00DE108C">
        <w:lastRenderedPageBreak/>
        <w:t>7.3.</w:t>
      </w:r>
      <w:r w:rsidR="00377F5C" w:rsidRPr="00DE108C">
        <w:t>2</w:t>
      </w:r>
      <w:r w:rsidR="005C0FA9" w:rsidRPr="00DE108C">
        <w:t>.4</w:t>
      </w:r>
      <w:r w:rsidRPr="00DE108C">
        <w:t xml:space="preserve"> Additional operating expenditure for Outcome 4: Urban drainage and flood resilience </w:t>
      </w:r>
      <w:bookmarkEnd w:id="713"/>
    </w:p>
    <w:p w14:paraId="26B84C79" w14:textId="23219BA4" w:rsidR="00046BD5" w:rsidRPr="00DE108C" w:rsidRDefault="00046BD5">
      <w:pPr>
        <w:pStyle w:val="BodyText"/>
      </w:pPr>
      <w:r w:rsidRPr="00DE108C">
        <w:t xml:space="preserve">We are proposing an additional $12.1 million over the regulatory period for flooding and urban drainage (summarised annually in </w:t>
      </w:r>
      <w:r w:rsidR="002259B0" w:rsidRPr="00DE108C">
        <w:t>Table 7.9</w:t>
      </w:r>
      <w:r w:rsidRPr="00DE108C">
        <w:t xml:space="preserve">). This is comprised of </w:t>
      </w:r>
    </w:p>
    <w:p w14:paraId="075A9554" w14:textId="77777777" w:rsidR="00046BD5" w:rsidRPr="00DE108C" w:rsidRDefault="00046BD5" w:rsidP="00727F8E">
      <w:pPr>
        <w:pStyle w:val="ListBullet"/>
      </w:pPr>
      <w:r w:rsidRPr="00DE108C">
        <w:t xml:space="preserve">A small decrease in opex associated with new capital works for waterways and drainage assets of -$0.2 million. This reflects a net decrease of a drainage pump renewal and additional costs associated with new project managers (opex portion of $0.2 million). </w:t>
      </w:r>
    </w:p>
    <w:p w14:paraId="391F630D" w14:textId="74847F8F" w:rsidR="00046BD5" w:rsidRPr="00DE108C" w:rsidRDefault="00046BD5" w:rsidP="00727F8E">
      <w:pPr>
        <w:pStyle w:val="ListBullet"/>
      </w:pPr>
      <w:r w:rsidRPr="00DE108C">
        <w:t xml:space="preserve">Melbourne Water’s floodplain manager obligations have increased following the Maribyrnong River Flood in 2022, the subsequent Pagone Independent Review and the Victorian Parliamentary Enquiry into the 2022 floods. We are now required to deliver additional activities to meet our floodplain manager obligations, including improving floodplain awareness, flood co-delivery and capacity building, and flood investigations research. The higher level of investment in flood management and awareness programs, including flood modelling, is $7.3 million. </w:t>
      </w:r>
    </w:p>
    <w:p w14:paraId="0427B1A8" w14:textId="5F84BD98" w:rsidR="00046BD5" w:rsidRPr="00DE108C" w:rsidRDefault="00046BD5" w:rsidP="00727F8E">
      <w:pPr>
        <w:pStyle w:val="ListBullet"/>
      </w:pPr>
      <w:r w:rsidRPr="00DE108C">
        <w:t xml:space="preserve">Similar to Outcome 3, the maintenance of developer constructed assets required to meet regional drainage and floodplain management obligations under the </w:t>
      </w:r>
      <w:r w:rsidRPr="00DE108C">
        <w:rPr>
          <w:i/>
          <w:iCs/>
        </w:rPr>
        <w:t>Water Act</w:t>
      </w:r>
      <w:r w:rsidRPr="00727F8E">
        <w:t xml:space="preserve"> 1989</w:t>
      </w:r>
      <w:r w:rsidR="078D2B8A" w:rsidRPr="00727F8E">
        <w:t xml:space="preserve"> (Vic)</w:t>
      </w:r>
      <w:r>
        <w:t>,</w:t>
      </w:r>
      <w:r w:rsidRPr="00DE108C">
        <w:t xml:space="preserve"> including retarding basins, constructed </w:t>
      </w:r>
      <w:r w:rsidR="00CD40A9" w:rsidRPr="00CD40A9">
        <w:t xml:space="preserve">wetlands systems (sediment ponds and wetland cells), constructed </w:t>
      </w:r>
      <w:r w:rsidRPr="00DE108C">
        <w:t>waterways and drainage pipes and culverts. An additional $0.7 million over the regulatory period to account for the cyclical nature of asset maintenance for</w:t>
      </w:r>
      <w:r w:rsidR="005819EF">
        <w:t xml:space="preserve"> </w:t>
      </w:r>
      <w:r w:rsidRPr="00DE108C">
        <w:t xml:space="preserve">assets (assets that are commencing the maintenance cycle after being handed over in the last couple of years). This will be used for litter and debris removal in new drainage pits and inspection of new dam walls and retarding basins. </w:t>
      </w:r>
    </w:p>
    <w:p w14:paraId="01D73BE6" w14:textId="77777777" w:rsidR="00046BD5" w:rsidRPr="00DE108C" w:rsidRDefault="00046BD5" w:rsidP="00727F8E">
      <w:pPr>
        <w:pStyle w:val="ListBullet"/>
      </w:pPr>
      <w:r w:rsidRPr="00DE108C">
        <w:t xml:space="preserve">An additional $0.6 million for Koo Wee Rup customers to deliver a higher level of service, as identified and supported by customers. </w:t>
      </w:r>
    </w:p>
    <w:p w14:paraId="39218D12" w14:textId="73EA4361" w:rsidR="00046BD5" w:rsidRPr="00DE108C" w:rsidRDefault="00046BD5" w:rsidP="00727F8E">
      <w:pPr>
        <w:pStyle w:val="ListBullet"/>
      </w:pPr>
      <w:r w:rsidRPr="00DE108C">
        <w:t xml:space="preserve">Additional corporate shared costs of $3.8 million. The allocation to Outcome 4 is comprised of $2.6 million in IT, $1.2 million in operational technology, $0.3 million in electricity and $0.1million in carbon offsets. These are partially offset by forecast saving of $0.4 million in insurance costs. These are explained further below in </w:t>
      </w:r>
      <w:r w:rsidR="5775B30F" w:rsidRPr="00DE108C">
        <w:t>S</w:t>
      </w:r>
      <w:r w:rsidRPr="00DE108C">
        <w:t>ection 7.</w:t>
      </w:r>
      <w:r w:rsidR="001D64E8" w:rsidRPr="00DE108C">
        <w:t>3.3</w:t>
      </w:r>
      <w:r w:rsidR="19736373">
        <w:t xml:space="preserve"> (Additions to baseline controllable opex – specific cost items)</w:t>
      </w:r>
      <w:r>
        <w:t>.</w:t>
      </w:r>
    </w:p>
    <w:p w14:paraId="33A9DF28" w14:textId="19242F76" w:rsidR="011EEE58" w:rsidRPr="00356F29" w:rsidRDefault="011EEE58" w:rsidP="00356F29"/>
    <w:p w14:paraId="572DACF4" w14:textId="77777777" w:rsidR="00046BD5" w:rsidRPr="00DE108C" w:rsidRDefault="00046BD5" w:rsidP="00ED094E">
      <w:pPr>
        <w:pStyle w:val="Caption"/>
      </w:pPr>
      <w:bookmarkStart w:id="714" w:name="_Ref206425311"/>
      <w:bookmarkStart w:id="715" w:name="_Toc207893059"/>
      <w:bookmarkStart w:id="716" w:name="_Toc208490583"/>
      <w:bookmarkStart w:id="717" w:name="_Toc208490921"/>
      <w:bookmarkStart w:id="718" w:name="_Toc208911079"/>
      <w:bookmarkStart w:id="719" w:name="_Toc210051385"/>
      <w:r w:rsidRPr="00DE108C">
        <w:t>Table 7.9</w:t>
      </w:r>
      <w:bookmarkEnd w:id="714"/>
      <w:r w:rsidRPr="00DE108C">
        <w:t>: Outcome 4 additional expenditure ($millions, real 2025-26)</w:t>
      </w:r>
      <w:bookmarkEnd w:id="715"/>
      <w:bookmarkEnd w:id="716"/>
      <w:bookmarkEnd w:id="717"/>
      <w:bookmarkEnd w:id="718"/>
      <w:bookmarkEnd w:id="719"/>
    </w:p>
    <w:tbl>
      <w:tblPr>
        <w:tblStyle w:val="MWTableGrid"/>
        <w:tblW w:w="5000" w:type="pct"/>
        <w:tblLook w:val="0420" w:firstRow="1" w:lastRow="0" w:firstColumn="0" w:lastColumn="0" w:noHBand="0" w:noVBand="1"/>
      </w:tblPr>
      <w:tblGrid>
        <w:gridCol w:w="2718"/>
        <w:gridCol w:w="1151"/>
        <w:gridCol w:w="1151"/>
        <w:gridCol w:w="1152"/>
        <w:gridCol w:w="1152"/>
        <w:gridCol w:w="1152"/>
        <w:gridCol w:w="1152"/>
      </w:tblGrid>
      <w:tr w:rsidR="00556A0D" w:rsidRPr="00DE108C" w14:paraId="3B967BBB" w14:textId="77777777">
        <w:trPr>
          <w:cnfStyle w:val="100000000000" w:firstRow="1" w:lastRow="0" w:firstColumn="0" w:lastColumn="0" w:oddVBand="0" w:evenVBand="0" w:oddHBand="0" w:evenHBand="0" w:firstRowFirstColumn="0" w:firstRowLastColumn="0" w:lastRowFirstColumn="0" w:lastRowLastColumn="0"/>
          <w:cantSplit/>
        </w:trPr>
        <w:tc>
          <w:tcPr>
            <w:tcW w:w="1412" w:type="pct"/>
          </w:tcPr>
          <w:p w14:paraId="0E50ED14" w14:textId="77777777" w:rsidR="00046BD5" w:rsidRPr="00DE108C" w:rsidRDefault="00046BD5">
            <w:pPr>
              <w:pStyle w:val="TableHeading"/>
              <w:rPr>
                <w:szCs w:val="16"/>
              </w:rPr>
            </w:pPr>
            <w:r w:rsidRPr="00DE108C">
              <w:rPr>
                <w:szCs w:val="16"/>
              </w:rPr>
              <w:t>Additional expenditure item</w:t>
            </w:r>
          </w:p>
        </w:tc>
        <w:tc>
          <w:tcPr>
            <w:tcW w:w="598" w:type="pct"/>
          </w:tcPr>
          <w:p w14:paraId="51A3C2F9" w14:textId="77777777" w:rsidR="00046BD5" w:rsidRPr="00DE108C" w:rsidRDefault="00046BD5">
            <w:pPr>
              <w:pStyle w:val="TableHeading"/>
              <w:rPr>
                <w:szCs w:val="16"/>
              </w:rPr>
            </w:pPr>
            <w:r w:rsidRPr="00DE108C">
              <w:rPr>
                <w:szCs w:val="16"/>
              </w:rPr>
              <w:t>2026-27</w:t>
            </w:r>
          </w:p>
        </w:tc>
        <w:tc>
          <w:tcPr>
            <w:tcW w:w="598" w:type="pct"/>
          </w:tcPr>
          <w:p w14:paraId="127BB8D4" w14:textId="77777777" w:rsidR="00046BD5" w:rsidRPr="00DE108C" w:rsidRDefault="00046BD5">
            <w:pPr>
              <w:pStyle w:val="TableHeading"/>
              <w:rPr>
                <w:szCs w:val="16"/>
              </w:rPr>
            </w:pPr>
            <w:r w:rsidRPr="00DE108C">
              <w:rPr>
                <w:szCs w:val="16"/>
              </w:rPr>
              <w:t>2027-28</w:t>
            </w:r>
          </w:p>
        </w:tc>
        <w:tc>
          <w:tcPr>
            <w:tcW w:w="598" w:type="pct"/>
          </w:tcPr>
          <w:p w14:paraId="2F6E65D9" w14:textId="77777777" w:rsidR="00046BD5" w:rsidRPr="00DE108C" w:rsidRDefault="00046BD5">
            <w:pPr>
              <w:pStyle w:val="TableHeading"/>
              <w:rPr>
                <w:szCs w:val="16"/>
              </w:rPr>
            </w:pPr>
            <w:r w:rsidRPr="00DE108C">
              <w:rPr>
                <w:szCs w:val="16"/>
              </w:rPr>
              <w:t>2028-29</w:t>
            </w:r>
          </w:p>
        </w:tc>
        <w:tc>
          <w:tcPr>
            <w:tcW w:w="598" w:type="pct"/>
          </w:tcPr>
          <w:p w14:paraId="3945FE97" w14:textId="77777777" w:rsidR="00046BD5" w:rsidRPr="00DE108C" w:rsidRDefault="00046BD5">
            <w:pPr>
              <w:pStyle w:val="TableHeading"/>
              <w:rPr>
                <w:szCs w:val="16"/>
              </w:rPr>
            </w:pPr>
            <w:r w:rsidRPr="00DE108C">
              <w:rPr>
                <w:szCs w:val="16"/>
              </w:rPr>
              <w:t>2029-30</w:t>
            </w:r>
          </w:p>
        </w:tc>
        <w:tc>
          <w:tcPr>
            <w:tcW w:w="598" w:type="pct"/>
          </w:tcPr>
          <w:p w14:paraId="4D44A8A4" w14:textId="77777777" w:rsidR="00046BD5" w:rsidRPr="00DE108C" w:rsidRDefault="00046BD5">
            <w:pPr>
              <w:pStyle w:val="TableHeading"/>
              <w:rPr>
                <w:szCs w:val="16"/>
              </w:rPr>
            </w:pPr>
            <w:r w:rsidRPr="00DE108C">
              <w:rPr>
                <w:szCs w:val="16"/>
              </w:rPr>
              <w:t>2030-31</w:t>
            </w:r>
          </w:p>
        </w:tc>
        <w:tc>
          <w:tcPr>
            <w:tcW w:w="598" w:type="pct"/>
          </w:tcPr>
          <w:p w14:paraId="5E0687D9" w14:textId="77777777" w:rsidR="00046BD5" w:rsidRPr="00DE108C" w:rsidRDefault="00046BD5">
            <w:pPr>
              <w:pStyle w:val="TableHeading"/>
              <w:rPr>
                <w:szCs w:val="16"/>
              </w:rPr>
            </w:pPr>
            <w:r w:rsidRPr="00DE108C">
              <w:rPr>
                <w:szCs w:val="16"/>
              </w:rPr>
              <w:t>Total</w:t>
            </w:r>
          </w:p>
        </w:tc>
      </w:tr>
      <w:tr w:rsidR="00046BD5" w:rsidRPr="00DE108C" w14:paraId="510CAEDF" w14:textId="77777777">
        <w:trPr>
          <w:cantSplit/>
        </w:trPr>
        <w:tc>
          <w:tcPr>
            <w:tcW w:w="1412" w:type="pct"/>
          </w:tcPr>
          <w:p w14:paraId="17157DFE" w14:textId="2614C2BF" w:rsidR="00046BD5" w:rsidRPr="00DE108C" w:rsidRDefault="2DAF3CE7" w:rsidP="00ED094E">
            <w:pPr>
              <w:pStyle w:val="TableText"/>
            </w:pPr>
            <w:r>
              <w:t>Opex</w:t>
            </w:r>
            <w:r w:rsidR="00046BD5">
              <w:t xml:space="preserve"> from capital program</w:t>
            </w:r>
          </w:p>
        </w:tc>
        <w:tc>
          <w:tcPr>
            <w:tcW w:w="598" w:type="pct"/>
            <w:vAlign w:val="center"/>
          </w:tcPr>
          <w:p w14:paraId="2E8F3092" w14:textId="77777777" w:rsidR="00046BD5" w:rsidRPr="00DE108C" w:rsidRDefault="00046BD5" w:rsidP="00ED094E">
            <w:pPr>
              <w:pStyle w:val="TableText"/>
              <w:rPr>
                <w:szCs w:val="16"/>
              </w:rPr>
            </w:pPr>
            <w:r w:rsidRPr="00DE108C">
              <w:rPr>
                <w:rFonts w:cs="Arial"/>
                <w:color w:val="231F20"/>
                <w:szCs w:val="16"/>
              </w:rPr>
              <w:t>-0.1</w:t>
            </w:r>
          </w:p>
        </w:tc>
        <w:tc>
          <w:tcPr>
            <w:tcW w:w="598" w:type="pct"/>
            <w:vAlign w:val="center"/>
          </w:tcPr>
          <w:p w14:paraId="46472CD3" w14:textId="77777777" w:rsidR="00046BD5" w:rsidRPr="00DE108C" w:rsidRDefault="00046BD5" w:rsidP="00ED094E">
            <w:pPr>
              <w:pStyle w:val="TableText"/>
              <w:rPr>
                <w:szCs w:val="16"/>
              </w:rPr>
            </w:pPr>
            <w:r w:rsidRPr="00DE108C">
              <w:rPr>
                <w:rFonts w:cs="Arial"/>
                <w:color w:val="231F20"/>
                <w:szCs w:val="16"/>
              </w:rPr>
              <w:t>-0.0</w:t>
            </w:r>
          </w:p>
        </w:tc>
        <w:tc>
          <w:tcPr>
            <w:tcW w:w="598" w:type="pct"/>
            <w:vAlign w:val="center"/>
          </w:tcPr>
          <w:p w14:paraId="338F880C" w14:textId="77777777" w:rsidR="00046BD5" w:rsidRPr="00DE108C" w:rsidRDefault="00046BD5" w:rsidP="00ED094E">
            <w:pPr>
              <w:pStyle w:val="TableText"/>
              <w:rPr>
                <w:szCs w:val="16"/>
              </w:rPr>
            </w:pPr>
            <w:r w:rsidRPr="00DE108C">
              <w:rPr>
                <w:rFonts w:cs="Arial"/>
                <w:color w:val="231F20"/>
                <w:szCs w:val="16"/>
              </w:rPr>
              <w:t>-0.1</w:t>
            </w:r>
          </w:p>
        </w:tc>
        <w:tc>
          <w:tcPr>
            <w:tcW w:w="598" w:type="pct"/>
            <w:vAlign w:val="center"/>
          </w:tcPr>
          <w:p w14:paraId="246315B1" w14:textId="77777777" w:rsidR="00046BD5" w:rsidRPr="00DE108C" w:rsidRDefault="00046BD5" w:rsidP="00ED094E">
            <w:pPr>
              <w:pStyle w:val="TableText"/>
              <w:rPr>
                <w:szCs w:val="16"/>
              </w:rPr>
            </w:pPr>
            <w:r w:rsidRPr="00DE108C">
              <w:rPr>
                <w:rFonts w:cs="Arial"/>
                <w:color w:val="231F20"/>
                <w:szCs w:val="16"/>
              </w:rPr>
              <w:t>-0.0</w:t>
            </w:r>
          </w:p>
        </w:tc>
        <w:tc>
          <w:tcPr>
            <w:tcW w:w="598" w:type="pct"/>
            <w:vAlign w:val="center"/>
          </w:tcPr>
          <w:p w14:paraId="0843FF45" w14:textId="77777777" w:rsidR="00046BD5" w:rsidRPr="00DE108C" w:rsidRDefault="00046BD5" w:rsidP="00ED094E">
            <w:pPr>
              <w:pStyle w:val="TableText"/>
              <w:rPr>
                <w:szCs w:val="16"/>
              </w:rPr>
            </w:pPr>
            <w:r w:rsidRPr="00DE108C">
              <w:rPr>
                <w:rFonts w:cs="Arial"/>
                <w:color w:val="231F20"/>
                <w:szCs w:val="16"/>
              </w:rPr>
              <w:t>-0.0</w:t>
            </w:r>
          </w:p>
        </w:tc>
        <w:tc>
          <w:tcPr>
            <w:tcW w:w="598" w:type="pct"/>
            <w:vAlign w:val="center"/>
          </w:tcPr>
          <w:p w14:paraId="33A4B6FC" w14:textId="77777777" w:rsidR="00046BD5" w:rsidRPr="00DE108C" w:rsidRDefault="00046BD5" w:rsidP="00ED094E">
            <w:pPr>
              <w:pStyle w:val="TableText"/>
              <w:rPr>
                <w:b/>
                <w:bCs/>
                <w:szCs w:val="16"/>
              </w:rPr>
            </w:pPr>
            <w:r w:rsidRPr="00DE108C">
              <w:rPr>
                <w:rFonts w:cs="Arial"/>
                <w:b/>
                <w:bCs/>
                <w:color w:val="231F20"/>
                <w:szCs w:val="16"/>
              </w:rPr>
              <w:t>-0.2</w:t>
            </w:r>
          </w:p>
        </w:tc>
      </w:tr>
      <w:tr w:rsidR="00A043F7" w:rsidRPr="00DE108C" w14:paraId="620C2D27" w14:textId="77777777">
        <w:trPr>
          <w:cnfStyle w:val="000000010000" w:firstRow="0" w:lastRow="0" w:firstColumn="0" w:lastColumn="0" w:oddVBand="0" w:evenVBand="0" w:oddHBand="0" w:evenHBand="1" w:firstRowFirstColumn="0" w:firstRowLastColumn="0" w:lastRowFirstColumn="0" w:lastRowLastColumn="0"/>
          <w:cantSplit/>
        </w:trPr>
        <w:tc>
          <w:tcPr>
            <w:tcW w:w="1412" w:type="pct"/>
          </w:tcPr>
          <w:p w14:paraId="6E9D8C3B" w14:textId="77777777" w:rsidR="00046BD5" w:rsidRPr="00DE108C" w:rsidRDefault="00046BD5" w:rsidP="00ED094E">
            <w:pPr>
              <w:pStyle w:val="TableText"/>
              <w:rPr>
                <w:szCs w:val="16"/>
              </w:rPr>
            </w:pPr>
            <w:r w:rsidRPr="00DE108C">
              <w:rPr>
                <w:szCs w:val="16"/>
              </w:rPr>
              <w:t>Responsibilities to maintain developer assets</w:t>
            </w:r>
          </w:p>
        </w:tc>
        <w:tc>
          <w:tcPr>
            <w:tcW w:w="598" w:type="pct"/>
            <w:vAlign w:val="center"/>
          </w:tcPr>
          <w:p w14:paraId="2D19B0DD" w14:textId="77777777" w:rsidR="00046BD5" w:rsidRPr="00DE108C" w:rsidRDefault="00046BD5" w:rsidP="00ED094E">
            <w:pPr>
              <w:pStyle w:val="TableText"/>
              <w:rPr>
                <w:szCs w:val="16"/>
              </w:rPr>
            </w:pPr>
            <w:r w:rsidRPr="00DE108C">
              <w:rPr>
                <w:rFonts w:cs="Arial"/>
                <w:color w:val="231F20"/>
                <w:szCs w:val="16"/>
              </w:rPr>
              <w:t xml:space="preserve"> 0.1 </w:t>
            </w:r>
          </w:p>
        </w:tc>
        <w:tc>
          <w:tcPr>
            <w:tcW w:w="598" w:type="pct"/>
            <w:vAlign w:val="center"/>
          </w:tcPr>
          <w:p w14:paraId="4DA2EAD2" w14:textId="77777777" w:rsidR="00046BD5" w:rsidRPr="00DE108C" w:rsidRDefault="00046BD5" w:rsidP="00ED094E">
            <w:pPr>
              <w:pStyle w:val="TableText"/>
              <w:rPr>
                <w:szCs w:val="16"/>
              </w:rPr>
            </w:pPr>
            <w:r w:rsidRPr="00DE108C">
              <w:rPr>
                <w:rFonts w:cs="Arial"/>
                <w:color w:val="231F20"/>
                <w:szCs w:val="16"/>
              </w:rPr>
              <w:t xml:space="preserve"> 0.2 </w:t>
            </w:r>
          </w:p>
        </w:tc>
        <w:tc>
          <w:tcPr>
            <w:tcW w:w="598" w:type="pct"/>
            <w:vAlign w:val="center"/>
          </w:tcPr>
          <w:p w14:paraId="7E1760A3" w14:textId="77777777" w:rsidR="00046BD5" w:rsidRPr="00DE108C" w:rsidRDefault="00046BD5" w:rsidP="00ED094E">
            <w:pPr>
              <w:pStyle w:val="TableText"/>
              <w:rPr>
                <w:szCs w:val="16"/>
              </w:rPr>
            </w:pPr>
            <w:r w:rsidRPr="00DE108C">
              <w:rPr>
                <w:rFonts w:cs="Arial"/>
                <w:color w:val="231F20"/>
                <w:szCs w:val="16"/>
              </w:rPr>
              <w:t xml:space="preserve"> 0.2 </w:t>
            </w:r>
          </w:p>
        </w:tc>
        <w:tc>
          <w:tcPr>
            <w:tcW w:w="598" w:type="pct"/>
            <w:vAlign w:val="center"/>
          </w:tcPr>
          <w:p w14:paraId="61E35210" w14:textId="77777777" w:rsidR="00046BD5" w:rsidRPr="00DE108C" w:rsidRDefault="00046BD5" w:rsidP="00ED094E">
            <w:pPr>
              <w:pStyle w:val="TableText"/>
              <w:rPr>
                <w:szCs w:val="16"/>
              </w:rPr>
            </w:pPr>
            <w:r w:rsidRPr="00DE108C">
              <w:rPr>
                <w:rFonts w:cs="Arial"/>
                <w:color w:val="231F20"/>
                <w:szCs w:val="16"/>
              </w:rPr>
              <w:t xml:space="preserve"> 0.2 </w:t>
            </w:r>
          </w:p>
        </w:tc>
        <w:tc>
          <w:tcPr>
            <w:tcW w:w="598" w:type="pct"/>
            <w:vAlign w:val="center"/>
          </w:tcPr>
          <w:p w14:paraId="68D00B99" w14:textId="77777777" w:rsidR="00046BD5" w:rsidRPr="00DE108C" w:rsidRDefault="00046BD5" w:rsidP="00ED094E">
            <w:pPr>
              <w:pStyle w:val="TableText"/>
              <w:rPr>
                <w:szCs w:val="16"/>
              </w:rPr>
            </w:pPr>
            <w:r w:rsidRPr="00DE108C">
              <w:rPr>
                <w:rFonts w:cs="Arial"/>
                <w:color w:val="231F20"/>
                <w:szCs w:val="16"/>
              </w:rPr>
              <w:t xml:space="preserve"> 0.2 </w:t>
            </w:r>
          </w:p>
        </w:tc>
        <w:tc>
          <w:tcPr>
            <w:tcW w:w="598" w:type="pct"/>
            <w:vAlign w:val="center"/>
          </w:tcPr>
          <w:p w14:paraId="1059D9FB" w14:textId="77777777" w:rsidR="00046BD5" w:rsidRPr="00DE108C" w:rsidRDefault="00046BD5" w:rsidP="00ED094E">
            <w:pPr>
              <w:pStyle w:val="TableText"/>
              <w:rPr>
                <w:b/>
                <w:bCs/>
                <w:szCs w:val="16"/>
              </w:rPr>
            </w:pPr>
            <w:r w:rsidRPr="00DE108C">
              <w:rPr>
                <w:rFonts w:cs="Arial"/>
                <w:b/>
                <w:bCs/>
                <w:color w:val="231F20"/>
                <w:szCs w:val="16"/>
              </w:rPr>
              <w:t xml:space="preserve"> 0.7 </w:t>
            </w:r>
          </w:p>
        </w:tc>
      </w:tr>
      <w:tr w:rsidR="00046BD5" w:rsidRPr="00DE108C" w14:paraId="6DCC1FC4" w14:textId="77777777">
        <w:trPr>
          <w:cantSplit/>
        </w:trPr>
        <w:tc>
          <w:tcPr>
            <w:tcW w:w="1412" w:type="pct"/>
          </w:tcPr>
          <w:p w14:paraId="082D0923" w14:textId="77777777" w:rsidR="00046BD5" w:rsidRPr="00DE108C" w:rsidRDefault="00046BD5" w:rsidP="00ED094E">
            <w:pPr>
              <w:pStyle w:val="TableText"/>
              <w:rPr>
                <w:szCs w:val="16"/>
              </w:rPr>
            </w:pPr>
            <w:r w:rsidRPr="00DE108C">
              <w:rPr>
                <w:szCs w:val="16"/>
              </w:rPr>
              <w:t>Floodplain manager</w:t>
            </w:r>
          </w:p>
        </w:tc>
        <w:tc>
          <w:tcPr>
            <w:tcW w:w="598" w:type="pct"/>
            <w:vAlign w:val="center"/>
          </w:tcPr>
          <w:p w14:paraId="42C440A2" w14:textId="77777777" w:rsidR="00046BD5" w:rsidRPr="00DE108C" w:rsidRDefault="00046BD5" w:rsidP="00ED094E">
            <w:pPr>
              <w:pStyle w:val="TableText"/>
              <w:rPr>
                <w:szCs w:val="16"/>
              </w:rPr>
            </w:pPr>
            <w:r w:rsidRPr="00DE108C">
              <w:rPr>
                <w:rFonts w:cs="Arial"/>
                <w:color w:val="231F20"/>
                <w:szCs w:val="16"/>
              </w:rPr>
              <w:t xml:space="preserve"> 1.5 </w:t>
            </w:r>
          </w:p>
        </w:tc>
        <w:tc>
          <w:tcPr>
            <w:tcW w:w="598" w:type="pct"/>
            <w:vAlign w:val="center"/>
          </w:tcPr>
          <w:p w14:paraId="7DF0542D" w14:textId="77777777" w:rsidR="00046BD5" w:rsidRPr="00DE108C" w:rsidRDefault="00046BD5" w:rsidP="00ED094E">
            <w:pPr>
              <w:pStyle w:val="TableText"/>
              <w:rPr>
                <w:szCs w:val="16"/>
              </w:rPr>
            </w:pPr>
            <w:r w:rsidRPr="00DE108C">
              <w:rPr>
                <w:rFonts w:cs="Arial"/>
                <w:color w:val="231F20"/>
                <w:szCs w:val="16"/>
              </w:rPr>
              <w:t xml:space="preserve"> 1.5 </w:t>
            </w:r>
          </w:p>
        </w:tc>
        <w:tc>
          <w:tcPr>
            <w:tcW w:w="598" w:type="pct"/>
            <w:vAlign w:val="center"/>
          </w:tcPr>
          <w:p w14:paraId="07DA2D93" w14:textId="77777777" w:rsidR="00046BD5" w:rsidRPr="00DE108C" w:rsidRDefault="00046BD5" w:rsidP="00ED094E">
            <w:pPr>
              <w:pStyle w:val="TableText"/>
              <w:rPr>
                <w:szCs w:val="16"/>
              </w:rPr>
            </w:pPr>
            <w:r w:rsidRPr="00DE108C">
              <w:rPr>
                <w:rFonts w:cs="Arial"/>
                <w:color w:val="231F20"/>
                <w:szCs w:val="16"/>
              </w:rPr>
              <w:t xml:space="preserve"> 1.5 </w:t>
            </w:r>
          </w:p>
        </w:tc>
        <w:tc>
          <w:tcPr>
            <w:tcW w:w="598" w:type="pct"/>
            <w:vAlign w:val="center"/>
          </w:tcPr>
          <w:p w14:paraId="5813112E" w14:textId="77777777" w:rsidR="00046BD5" w:rsidRPr="00DE108C" w:rsidRDefault="00046BD5" w:rsidP="00ED094E">
            <w:pPr>
              <w:pStyle w:val="TableText"/>
              <w:rPr>
                <w:szCs w:val="16"/>
              </w:rPr>
            </w:pPr>
            <w:r w:rsidRPr="00DE108C">
              <w:rPr>
                <w:rFonts w:cs="Arial"/>
                <w:color w:val="231F20"/>
                <w:szCs w:val="16"/>
              </w:rPr>
              <w:t xml:space="preserve"> 1.5 </w:t>
            </w:r>
          </w:p>
        </w:tc>
        <w:tc>
          <w:tcPr>
            <w:tcW w:w="598" w:type="pct"/>
            <w:vAlign w:val="center"/>
          </w:tcPr>
          <w:p w14:paraId="6E86F510" w14:textId="77777777" w:rsidR="00046BD5" w:rsidRPr="00DE108C" w:rsidRDefault="00046BD5" w:rsidP="00ED094E">
            <w:pPr>
              <w:pStyle w:val="TableText"/>
              <w:rPr>
                <w:szCs w:val="16"/>
              </w:rPr>
            </w:pPr>
            <w:r w:rsidRPr="00DE108C">
              <w:rPr>
                <w:rFonts w:cs="Arial"/>
                <w:color w:val="231F20"/>
                <w:szCs w:val="16"/>
              </w:rPr>
              <w:t xml:space="preserve"> 1.5 </w:t>
            </w:r>
          </w:p>
        </w:tc>
        <w:tc>
          <w:tcPr>
            <w:tcW w:w="598" w:type="pct"/>
            <w:vAlign w:val="center"/>
          </w:tcPr>
          <w:p w14:paraId="4A746178" w14:textId="77777777" w:rsidR="00046BD5" w:rsidRPr="00DE108C" w:rsidRDefault="00046BD5" w:rsidP="00ED094E">
            <w:pPr>
              <w:pStyle w:val="TableText"/>
              <w:rPr>
                <w:b/>
                <w:bCs/>
                <w:szCs w:val="16"/>
              </w:rPr>
            </w:pPr>
            <w:r w:rsidRPr="00DE108C">
              <w:rPr>
                <w:rFonts w:cs="Arial"/>
                <w:b/>
                <w:bCs/>
                <w:color w:val="231F20"/>
                <w:szCs w:val="16"/>
              </w:rPr>
              <w:t xml:space="preserve"> 7.3 </w:t>
            </w:r>
          </w:p>
        </w:tc>
      </w:tr>
      <w:tr w:rsidR="00A043F7" w:rsidRPr="00DE108C" w14:paraId="7521AC1D" w14:textId="77777777">
        <w:trPr>
          <w:cnfStyle w:val="000000010000" w:firstRow="0" w:lastRow="0" w:firstColumn="0" w:lastColumn="0" w:oddVBand="0" w:evenVBand="0" w:oddHBand="0" w:evenHBand="1" w:firstRowFirstColumn="0" w:firstRowLastColumn="0" w:lastRowFirstColumn="0" w:lastRowLastColumn="0"/>
          <w:cantSplit/>
        </w:trPr>
        <w:tc>
          <w:tcPr>
            <w:tcW w:w="1412" w:type="pct"/>
          </w:tcPr>
          <w:p w14:paraId="4AEBA6FA" w14:textId="77777777" w:rsidR="00046BD5" w:rsidRPr="00DE108C" w:rsidRDefault="00046BD5" w:rsidP="00ED094E">
            <w:pPr>
              <w:pStyle w:val="TableText"/>
              <w:rPr>
                <w:szCs w:val="16"/>
              </w:rPr>
            </w:pPr>
            <w:r w:rsidRPr="00DE108C">
              <w:rPr>
                <w:szCs w:val="16"/>
              </w:rPr>
              <w:t>Koo Wee Rup floodplain manager costs</w:t>
            </w:r>
          </w:p>
        </w:tc>
        <w:tc>
          <w:tcPr>
            <w:tcW w:w="598" w:type="pct"/>
            <w:vAlign w:val="center"/>
          </w:tcPr>
          <w:p w14:paraId="4D719990" w14:textId="77777777" w:rsidR="00046BD5" w:rsidRPr="00DE108C" w:rsidRDefault="00046BD5" w:rsidP="00ED094E">
            <w:pPr>
              <w:pStyle w:val="TableText"/>
              <w:rPr>
                <w:szCs w:val="16"/>
              </w:rPr>
            </w:pPr>
            <w:r w:rsidRPr="00DE108C">
              <w:rPr>
                <w:rFonts w:cs="Arial"/>
                <w:color w:val="231F20"/>
                <w:szCs w:val="16"/>
              </w:rPr>
              <w:t xml:space="preserve"> 0.1 </w:t>
            </w:r>
          </w:p>
        </w:tc>
        <w:tc>
          <w:tcPr>
            <w:tcW w:w="598" w:type="pct"/>
            <w:vAlign w:val="center"/>
          </w:tcPr>
          <w:p w14:paraId="1A1D13DD" w14:textId="77777777" w:rsidR="00046BD5" w:rsidRPr="00DE108C" w:rsidRDefault="00046BD5" w:rsidP="00ED094E">
            <w:pPr>
              <w:pStyle w:val="TableText"/>
              <w:rPr>
                <w:szCs w:val="16"/>
              </w:rPr>
            </w:pPr>
            <w:r w:rsidRPr="00DE108C">
              <w:rPr>
                <w:rFonts w:cs="Arial"/>
                <w:color w:val="231F20"/>
                <w:szCs w:val="16"/>
              </w:rPr>
              <w:t xml:space="preserve"> 0.1 </w:t>
            </w:r>
          </w:p>
        </w:tc>
        <w:tc>
          <w:tcPr>
            <w:tcW w:w="598" w:type="pct"/>
            <w:vAlign w:val="center"/>
          </w:tcPr>
          <w:p w14:paraId="688FC3FF" w14:textId="77777777" w:rsidR="00046BD5" w:rsidRPr="00DE108C" w:rsidRDefault="00046BD5" w:rsidP="00ED094E">
            <w:pPr>
              <w:pStyle w:val="TableText"/>
              <w:rPr>
                <w:szCs w:val="16"/>
              </w:rPr>
            </w:pPr>
            <w:r w:rsidRPr="00DE108C">
              <w:rPr>
                <w:rFonts w:cs="Arial"/>
                <w:color w:val="231F20"/>
                <w:szCs w:val="16"/>
              </w:rPr>
              <w:t xml:space="preserve"> 0.1 </w:t>
            </w:r>
          </w:p>
        </w:tc>
        <w:tc>
          <w:tcPr>
            <w:tcW w:w="598" w:type="pct"/>
            <w:vAlign w:val="center"/>
          </w:tcPr>
          <w:p w14:paraId="6E5F0F1C" w14:textId="77777777" w:rsidR="00046BD5" w:rsidRPr="00DE108C" w:rsidRDefault="00046BD5" w:rsidP="00ED094E">
            <w:pPr>
              <w:pStyle w:val="TableText"/>
              <w:rPr>
                <w:szCs w:val="16"/>
              </w:rPr>
            </w:pPr>
            <w:r w:rsidRPr="00DE108C">
              <w:rPr>
                <w:rFonts w:cs="Arial"/>
                <w:color w:val="231F20"/>
                <w:szCs w:val="16"/>
              </w:rPr>
              <w:t xml:space="preserve"> 0.1 </w:t>
            </w:r>
          </w:p>
        </w:tc>
        <w:tc>
          <w:tcPr>
            <w:tcW w:w="598" w:type="pct"/>
            <w:vAlign w:val="center"/>
          </w:tcPr>
          <w:p w14:paraId="4FD3A094" w14:textId="77777777" w:rsidR="00046BD5" w:rsidRPr="00DE108C" w:rsidRDefault="00046BD5" w:rsidP="00ED094E">
            <w:pPr>
              <w:pStyle w:val="TableText"/>
              <w:rPr>
                <w:szCs w:val="16"/>
              </w:rPr>
            </w:pPr>
            <w:r w:rsidRPr="00DE108C">
              <w:rPr>
                <w:rFonts w:cs="Arial"/>
                <w:color w:val="231F20"/>
                <w:szCs w:val="16"/>
              </w:rPr>
              <w:t xml:space="preserve"> 0.1 </w:t>
            </w:r>
          </w:p>
        </w:tc>
        <w:tc>
          <w:tcPr>
            <w:tcW w:w="598" w:type="pct"/>
            <w:vAlign w:val="center"/>
          </w:tcPr>
          <w:p w14:paraId="04C42DE7" w14:textId="77777777" w:rsidR="00046BD5" w:rsidRPr="00DE108C" w:rsidRDefault="00046BD5" w:rsidP="00ED094E">
            <w:pPr>
              <w:pStyle w:val="TableText"/>
              <w:rPr>
                <w:b/>
                <w:bCs/>
                <w:szCs w:val="16"/>
              </w:rPr>
            </w:pPr>
            <w:r w:rsidRPr="00DE108C">
              <w:rPr>
                <w:rFonts w:cs="Arial"/>
                <w:b/>
                <w:bCs/>
                <w:color w:val="231F20"/>
                <w:szCs w:val="16"/>
              </w:rPr>
              <w:t xml:space="preserve"> 0.6 </w:t>
            </w:r>
          </w:p>
        </w:tc>
      </w:tr>
      <w:tr w:rsidR="00046BD5" w:rsidRPr="00DE108C" w14:paraId="238696F4" w14:textId="77777777">
        <w:trPr>
          <w:cantSplit/>
        </w:trPr>
        <w:tc>
          <w:tcPr>
            <w:tcW w:w="1412" w:type="pct"/>
          </w:tcPr>
          <w:p w14:paraId="27D4D364" w14:textId="77777777" w:rsidR="00046BD5" w:rsidRPr="00DE108C" w:rsidRDefault="00046BD5" w:rsidP="00ED094E">
            <w:pPr>
              <w:pStyle w:val="TableText"/>
              <w:rPr>
                <w:szCs w:val="16"/>
              </w:rPr>
            </w:pPr>
            <w:r w:rsidRPr="00DE108C">
              <w:rPr>
                <w:szCs w:val="16"/>
              </w:rPr>
              <w:t>Shared cost allocation</w:t>
            </w:r>
          </w:p>
        </w:tc>
        <w:tc>
          <w:tcPr>
            <w:tcW w:w="598" w:type="pct"/>
            <w:vAlign w:val="center"/>
          </w:tcPr>
          <w:p w14:paraId="2ABE6ABD" w14:textId="77777777" w:rsidR="00046BD5" w:rsidRPr="00DE108C" w:rsidRDefault="00046BD5" w:rsidP="00ED094E">
            <w:pPr>
              <w:pStyle w:val="TableText"/>
              <w:rPr>
                <w:szCs w:val="16"/>
              </w:rPr>
            </w:pPr>
            <w:r w:rsidRPr="00DE108C">
              <w:rPr>
                <w:rFonts w:cs="Arial"/>
                <w:color w:val="231F20"/>
                <w:szCs w:val="16"/>
              </w:rPr>
              <w:t xml:space="preserve"> 0.6 </w:t>
            </w:r>
          </w:p>
        </w:tc>
        <w:tc>
          <w:tcPr>
            <w:tcW w:w="598" w:type="pct"/>
            <w:vAlign w:val="center"/>
          </w:tcPr>
          <w:p w14:paraId="66118C1B" w14:textId="77777777" w:rsidR="00046BD5" w:rsidRPr="00DE108C" w:rsidRDefault="00046BD5" w:rsidP="00ED094E">
            <w:pPr>
              <w:pStyle w:val="TableText"/>
              <w:rPr>
                <w:szCs w:val="16"/>
              </w:rPr>
            </w:pPr>
            <w:r w:rsidRPr="00DE108C">
              <w:rPr>
                <w:rFonts w:cs="Arial"/>
                <w:color w:val="231F20"/>
                <w:szCs w:val="16"/>
              </w:rPr>
              <w:t xml:space="preserve"> 0.9 </w:t>
            </w:r>
          </w:p>
        </w:tc>
        <w:tc>
          <w:tcPr>
            <w:tcW w:w="598" w:type="pct"/>
            <w:vAlign w:val="center"/>
          </w:tcPr>
          <w:p w14:paraId="4A38D188" w14:textId="77777777" w:rsidR="00046BD5" w:rsidRPr="00DE108C" w:rsidRDefault="00046BD5" w:rsidP="00ED094E">
            <w:pPr>
              <w:pStyle w:val="TableText"/>
              <w:rPr>
                <w:szCs w:val="16"/>
              </w:rPr>
            </w:pPr>
            <w:r w:rsidRPr="00DE108C">
              <w:rPr>
                <w:rFonts w:cs="Arial"/>
                <w:color w:val="231F20"/>
                <w:szCs w:val="16"/>
              </w:rPr>
              <w:t xml:space="preserve"> 1.0 </w:t>
            </w:r>
          </w:p>
        </w:tc>
        <w:tc>
          <w:tcPr>
            <w:tcW w:w="598" w:type="pct"/>
            <w:vAlign w:val="center"/>
          </w:tcPr>
          <w:p w14:paraId="00CB3390" w14:textId="77777777" w:rsidR="00046BD5" w:rsidRPr="00DE108C" w:rsidRDefault="00046BD5" w:rsidP="00ED094E">
            <w:pPr>
              <w:pStyle w:val="TableText"/>
              <w:rPr>
                <w:szCs w:val="16"/>
              </w:rPr>
            </w:pPr>
            <w:r w:rsidRPr="00DE108C">
              <w:rPr>
                <w:rFonts w:cs="Arial"/>
                <w:color w:val="231F20"/>
                <w:szCs w:val="16"/>
              </w:rPr>
              <w:t xml:space="preserve"> 0.6 </w:t>
            </w:r>
          </w:p>
        </w:tc>
        <w:tc>
          <w:tcPr>
            <w:tcW w:w="598" w:type="pct"/>
            <w:vAlign w:val="center"/>
          </w:tcPr>
          <w:p w14:paraId="0E85D709" w14:textId="77777777" w:rsidR="00046BD5" w:rsidRPr="00DE108C" w:rsidRDefault="00046BD5" w:rsidP="00ED094E">
            <w:pPr>
              <w:pStyle w:val="TableText"/>
              <w:rPr>
                <w:szCs w:val="16"/>
              </w:rPr>
            </w:pPr>
            <w:r w:rsidRPr="00DE108C">
              <w:rPr>
                <w:rFonts w:cs="Arial"/>
                <w:color w:val="231F20"/>
                <w:szCs w:val="16"/>
              </w:rPr>
              <w:t xml:space="preserve"> 0.6 </w:t>
            </w:r>
          </w:p>
        </w:tc>
        <w:tc>
          <w:tcPr>
            <w:tcW w:w="598" w:type="pct"/>
            <w:vAlign w:val="center"/>
          </w:tcPr>
          <w:p w14:paraId="3F971ED5" w14:textId="77777777" w:rsidR="00046BD5" w:rsidRPr="00DE108C" w:rsidRDefault="00046BD5" w:rsidP="00ED094E">
            <w:pPr>
              <w:pStyle w:val="TableText"/>
              <w:rPr>
                <w:b/>
                <w:bCs/>
                <w:szCs w:val="16"/>
              </w:rPr>
            </w:pPr>
            <w:r w:rsidRPr="00DE108C">
              <w:rPr>
                <w:rFonts w:cs="Arial"/>
                <w:b/>
                <w:bCs/>
                <w:color w:val="231F20"/>
                <w:szCs w:val="16"/>
              </w:rPr>
              <w:t xml:space="preserve"> 3.8 </w:t>
            </w:r>
          </w:p>
        </w:tc>
      </w:tr>
      <w:tr w:rsidR="00A043F7" w:rsidRPr="00DE108C" w14:paraId="2E5E2346" w14:textId="77777777">
        <w:trPr>
          <w:cnfStyle w:val="000000010000" w:firstRow="0" w:lastRow="0" w:firstColumn="0" w:lastColumn="0" w:oddVBand="0" w:evenVBand="0" w:oddHBand="0" w:evenHBand="1" w:firstRowFirstColumn="0" w:firstRowLastColumn="0" w:lastRowFirstColumn="0" w:lastRowLastColumn="0"/>
          <w:cantSplit/>
        </w:trPr>
        <w:tc>
          <w:tcPr>
            <w:tcW w:w="1412" w:type="pct"/>
          </w:tcPr>
          <w:p w14:paraId="7D59C808" w14:textId="77777777" w:rsidR="00046BD5" w:rsidRPr="00DE108C" w:rsidRDefault="00046BD5" w:rsidP="00ED094E">
            <w:pPr>
              <w:pStyle w:val="TableText"/>
              <w:rPr>
                <w:b/>
                <w:bCs/>
                <w:szCs w:val="16"/>
              </w:rPr>
            </w:pPr>
            <w:r w:rsidRPr="00DE108C">
              <w:rPr>
                <w:b/>
                <w:bCs/>
                <w:szCs w:val="16"/>
              </w:rPr>
              <w:t>Total</w:t>
            </w:r>
          </w:p>
        </w:tc>
        <w:tc>
          <w:tcPr>
            <w:tcW w:w="598" w:type="pct"/>
            <w:vAlign w:val="center"/>
          </w:tcPr>
          <w:p w14:paraId="785BE05A" w14:textId="77777777" w:rsidR="00046BD5" w:rsidRPr="00DE108C" w:rsidRDefault="00046BD5" w:rsidP="00ED094E">
            <w:pPr>
              <w:pStyle w:val="TableText"/>
              <w:rPr>
                <w:b/>
                <w:bCs/>
                <w:szCs w:val="16"/>
              </w:rPr>
            </w:pPr>
            <w:r w:rsidRPr="00DE108C">
              <w:rPr>
                <w:rFonts w:cs="Arial"/>
                <w:b/>
                <w:bCs/>
                <w:color w:val="231F20"/>
                <w:szCs w:val="16"/>
              </w:rPr>
              <w:t xml:space="preserve"> 2.2 </w:t>
            </w:r>
          </w:p>
        </w:tc>
        <w:tc>
          <w:tcPr>
            <w:tcW w:w="598" w:type="pct"/>
            <w:vAlign w:val="center"/>
          </w:tcPr>
          <w:p w14:paraId="77BAC9DD" w14:textId="77777777" w:rsidR="00046BD5" w:rsidRPr="00DE108C" w:rsidRDefault="00046BD5" w:rsidP="00ED094E">
            <w:pPr>
              <w:pStyle w:val="TableText"/>
              <w:rPr>
                <w:b/>
                <w:bCs/>
                <w:szCs w:val="16"/>
              </w:rPr>
            </w:pPr>
            <w:r w:rsidRPr="00DE108C">
              <w:rPr>
                <w:rFonts w:cs="Arial"/>
                <w:b/>
                <w:bCs/>
                <w:color w:val="231F20"/>
                <w:szCs w:val="16"/>
              </w:rPr>
              <w:t xml:space="preserve"> 2.6 </w:t>
            </w:r>
          </w:p>
        </w:tc>
        <w:tc>
          <w:tcPr>
            <w:tcW w:w="598" w:type="pct"/>
            <w:vAlign w:val="center"/>
          </w:tcPr>
          <w:p w14:paraId="53DF1626" w14:textId="77777777" w:rsidR="00046BD5" w:rsidRPr="00DE108C" w:rsidRDefault="00046BD5" w:rsidP="00ED094E">
            <w:pPr>
              <w:pStyle w:val="TableText"/>
              <w:rPr>
                <w:b/>
                <w:bCs/>
                <w:szCs w:val="16"/>
              </w:rPr>
            </w:pPr>
            <w:r w:rsidRPr="00DE108C">
              <w:rPr>
                <w:rFonts w:cs="Arial"/>
                <w:b/>
                <w:bCs/>
                <w:color w:val="231F20"/>
                <w:szCs w:val="16"/>
              </w:rPr>
              <w:t xml:space="preserve"> 2.7 </w:t>
            </w:r>
          </w:p>
        </w:tc>
        <w:tc>
          <w:tcPr>
            <w:tcW w:w="598" w:type="pct"/>
            <w:vAlign w:val="center"/>
          </w:tcPr>
          <w:p w14:paraId="30619B2E" w14:textId="77777777" w:rsidR="00046BD5" w:rsidRPr="00DE108C" w:rsidRDefault="00046BD5" w:rsidP="00ED094E">
            <w:pPr>
              <w:pStyle w:val="TableText"/>
              <w:rPr>
                <w:b/>
                <w:bCs/>
                <w:szCs w:val="16"/>
              </w:rPr>
            </w:pPr>
            <w:r w:rsidRPr="00DE108C">
              <w:rPr>
                <w:rFonts w:cs="Arial"/>
                <w:b/>
                <w:bCs/>
                <w:color w:val="231F20"/>
                <w:szCs w:val="16"/>
              </w:rPr>
              <w:t xml:space="preserve"> 2.3 </w:t>
            </w:r>
          </w:p>
        </w:tc>
        <w:tc>
          <w:tcPr>
            <w:tcW w:w="598" w:type="pct"/>
            <w:vAlign w:val="center"/>
          </w:tcPr>
          <w:p w14:paraId="2B8AF25A" w14:textId="77777777" w:rsidR="00046BD5" w:rsidRPr="00DE108C" w:rsidRDefault="00046BD5" w:rsidP="00ED094E">
            <w:pPr>
              <w:pStyle w:val="TableText"/>
              <w:rPr>
                <w:b/>
                <w:bCs/>
                <w:szCs w:val="16"/>
              </w:rPr>
            </w:pPr>
            <w:r w:rsidRPr="00DE108C">
              <w:rPr>
                <w:rFonts w:cs="Arial"/>
                <w:b/>
                <w:bCs/>
                <w:color w:val="231F20"/>
                <w:szCs w:val="16"/>
              </w:rPr>
              <w:t xml:space="preserve"> 2.3 </w:t>
            </w:r>
          </w:p>
        </w:tc>
        <w:tc>
          <w:tcPr>
            <w:tcW w:w="598" w:type="pct"/>
            <w:vAlign w:val="center"/>
          </w:tcPr>
          <w:p w14:paraId="0C803AD8" w14:textId="77777777" w:rsidR="00046BD5" w:rsidRPr="00DE108C" w:rsidRDefault="00046BD5" w:rsidP="00ED094E">
            <w:pPr>
              <w:pStyle w:val="TableText"/>
              <w:rPr>
                <w:b/>
                <w:bCs/>
                <w:szCs w:val="16"/>
              </w:rPr>
            </w:pPr>
            <w:r w:rsidRPr="00DE108C">
              <w:rPr>
                <w:rFonts w:cs="Arial"/>
                <w:b/>
                <w:bCs/>
                <w:color w:val="231F20"/>
                <w:szCs w:val="16"/>
              </w:rPr>
              <w:t xml:space="preserve"> 12.1 </w:t>
            </w:r>
          </w:p>
        </w:tc>
      </w:tr>
    </w:tbl>
    <w:p w14:paraId="6C7BEDBF" w14:textId="77777777" w:rsidR="00046BD5" w:rsidRPr="00DE108C" w:rsidRDefault="00046BD5" w:rsidP="00ED094E"/>
    <w:p w14:paraId="695CB6DD" w14:textId="576F066C" w:rsidR="00046BD5" w:rsidRPr="00DE108C" w:rsidRDefault="00046BD5" w:rsidP="005C0FA9">
      <w:pPr>
        <w:pStyle w:val="Heading4"/>
      </w:pPr>
      <w:bookmarkStart w:id="720" w:name="_Toc196745259"/>
      <w:r w:rsidRPr="00DE108C">
        <w:lastRenderedPageBreak/>
        <w:t>7.3.</w:t>
      </w:r>
      <w:r w:rsidR="00377F5C" w:rsidRPr="00DE108C">
        <w:t>2</w:t>
      </w:r>
      <w:r w:rsidR="005C0FA9" w:rsidRPr="00DE108C">
        <w:t>.5</w:t>
      </w:r>
      <w:r w:rsidRPr="00DE108C">
        <w:t xml:space="preserve"> Additional operating expenditure for Outcome 5: A valued partner in water cycle services</w:t>
      </w:r>
      <w:bookmarkEnd w:id="720"/>
      <w:r w:rsidRPr="00DE108C">
        <w:t xml:space="preserve"> </w:t>
      </w:r>
    </w:p>
    <w:p w14:paraId="24E02D81" w14:textId="1CE37FAF" w:rsidR="00046BD5" w:rsidRPr="00DE108C" w:rsidRDefault="00046BD5">
      <w:pPr>
        <w:pStyle w:val="BodyText"/>
      </w:pPr>
      <w:r w:rsidRPr="00DE108C">
        <w:t xml:space="preserve">We are proposing an additional $16.5 million over the regulatory period to support our business to become a valued partner in the integrated water cycle. Using our cost allocation methodology, this is allocated $13.0 million to water and sewerage and $3.5 million to waterways and drainage. The additional expenditure for Outcome 5 is summarised annually by program and product in </w:t>
      </w:r>
      <w:r w:rsidR="002259B0" w:rsidRPr="00DE108C">
        <w:t>Table 7.10</w:t>
      </w:r>
      <w:r w:rsidRPr="00DE108C">
        <w:t>. This additional expenditure will deliver:</w:t>
      </w:r>
    </w:p>
    <w:p w14:paraId="473E72F2" w14:textId="197B0379" w:rsidR="00046BD5" w:rsidRPr="00DE108C" w:rsidRDefault="00046BD5" w:rsidP="00727F8E">
      <w:pPr>
        <w:pStyle w:val="ListBullet"/>
      </w:pPr>
      <w:r w:rsidRPr="00DE108C">
        <w:t>A new vulnerability and hardship program with a focus on improving water efficiency in the household for water and sewer customers and supporting the sector to deliver more to support those experiencing hardship (including a contribution to the financial counsellor’s fund). This program was developed in consultation with water corporations, end</w:t>
      </w:r>
      <w:r w:rsidR="18C9A58A" w:rsidRPr="00DE108C">
        <w:t>-</w:t>
      </w:r>
      <w:r w:rsidRPr="00DE108C">
        <w:t xml:space="preserve">use customers and community sector organisations. The total opex of the program is $6.9 million. As part of the program, Melbourne Water has committed to working with </w:t>
      </w:r>
      <w:r w:rsidR="1ED68317">
        <w:t>water corporations</w:t>
      </w:r>
      <w:r w:rsidRPr="00DE108C">
        <w:t xml:space="preserve"> on how hardship grants can be provided for waterways and drainage charges and additional hardship grants for water and sewerage customers. This has not forecast into pricing any revenue not collected and will carry the risk on behalf of customers. </w:t>
      </w:r>
    </w:p>
    <w:p w14:paraId="41CC99E3" w14:textId="77777777" w:rsidR="00046BD5" w:rsidRPr="00DE108C" w:rsidRDefault="00046BD5" w:rsidP="00727F8E">
      <w:pPr>
        <w:pStyle w:val="ListBullet"/>
      </w:pPr>
      <w:r w:rsidRPr="00DE108C">
        <w:t xml:space="preserve">An increase to fund our Traditional Owner partners of $6.8 million to support self-determined outcomes across their lands and waters. </w:t>
      </w:r>
    </w:p>
    <w:p w14:paraId="6138697D" w14:textId="4A69E82A" w:rsidR="00046BD5" w:rsidRPr="00DE108C" w:rsidRDefault="00046BD5" w:rsidP="00727F8E">
      <w:pPr>
        <w:pStyle w:val="ListBullet"/>
      </w:pPr>
      <w:r w:rsidRPr="00DE108C">
        <w:t xml:space="preserve">Funding for the development of the </w:t>
      </w:r>
      <w:r w:rsidRPr="00DE108C">
        <w:rPr>
          <w:i/>
          <w:iCs/>
        </w:rPr>
        <w:t>Burndap Birrarung burndap umarkoo</w:t>
      </w:r>
      <w:r w:rsidRPr="00DE108C">
        <w:t xml:space="preserve"> (previously referred to as the Yarra Strategic Plan). We received this obligation during the 2021-26 regulatory period and is funded by DEECA until 30 June 2026. In the base year, we reversed the grant funding from DEECA, as this represents our normally recurrent expenditure. Our proposal is to include additional expenditure of $2.9 million to engage, develop and deliver a new strategic plan, therefore it is lumpy throughout the PS26 period. </w:t>
      </w:r>
    </w:p>
    <w:p w14:paraId="42937D72" w14:textId="6C4072BE" w:rsidR="0F7EF128" w:rsidRDefault="0F7EF128" w:rsidP="009F409A">
      <w:pPr>
        <w:pStyle w:val="BodyText12ptAbove"/>
      </w:pPr>
    </w:p>
    <w:p w14:paraId="4C33B9F3" w14:textId="77777777" w:rsidR="00046BD5" w:rsidRPr="00DE108C" w:rsidRDefault="00046BD5">
      <w:pPr>
        <w:pStyle w:val="Caption"/>
      </w:pPr>
      <w:bookmarkStart w:id="721" w:name="_Ref206425335"/>
      <w:bookmarkStart w:id="722" w:name="_Toc207893060"/>
      <w:bookmarkStart w:id="723" w:name="_Toc208490584"/>
      <w:bookmarkStart w:id="724" w:name="_Toc208490922"/>
      <w:bookmarkStart w:id="725" w:name="_Toc208911080"/>
      <w:bookmarkStart w:id="726" w:name="_Toc210051386"/>
      <w:r w:rsidRPr="00DE108C">
        <w:t>Table 7.10</w:t>
      </w:r>
      <w:bookmarkEnd w:id="721"/>
      <w:r w:rsidRPr="00DE108C">
        <w:t>: Outcome 5 additional expenditure ($millions, real 2025-26)</w:t>
      </w:r>
      <w:bookmarkEnd w:id="722"/>
      <w:bookmarkEnd w:id="723"/>
      <w:bookmarkEnd w:id="724"/>
      <w:bookmarkEnd w:id="725"/>
      <w:bookmarkEnd w:id="726"/>
    </w:p>
    <w:tbl>
      <w:tblPr>
        <w:tblStyle w:val="MWTableGrid"/>
        <w:tblW w:w="5000" w:type="pct"/>
        <w:tblLook w:val="0420" w:firstRow="1" w:lastRow="0" w:firstColumn="0" w:lastColumn="0" w:noHBand="0" w:noVBand="1"/>
      </w:tblPr>
      <w:tblGrid>
        <w:gridCol w:w="2718"/>
        <w:gridCol w:w="1151"/>
        <w:gridCol w:w="1151"/>
        <w:gridCol w:w="1152"/>
        <w:gridCol w:w="1152"/>
        <w:gridCol w:w="1152"/>
        <w:gridCol w:w="1152"/>
      </w:tblGrid>
      <w:tr w:rsidR="00556A0D" w:rsidRPr="00DE108C" w14:paraId="5531FC6E" w14:textId="77777777">
        <w:trPr>
          <w:cnfStyle w:val="100000000000" w:firstRow="1" w:lastRow="0" w:firstColumn="0" w:lastColumn="0" w:oddVBand="0" w:evenVBand="0" w:oddHBand="0" w:evenHBand="0" w:firstRowFirstColumn="0" w:firstRowLastColumn="0" w:lastRowFirstColumn="0" w:lastRowLastColumn="0"/>
          <w:cantSplit/>
        </w:trPr>
        <w:tc>
          <w:tcPr>
            <w:tcW w:w="1412" w:type="pct"/>
          </w:tcPr>
          <w:p w14:paraId="77717B70" w14:textId="77777777" w:rsidR="00046BD5" w:rsidRPr="00DE108C" w:rsidRDefault="00046BD5">
            <w:pPr>
              <w:pStyle w:val="TableHeading"/>
              <w:rPr>
                <w:szCs w:val="16"/>
              </w:rPr>
            </w:pPr>
            <w:r w:rsidRPr="00DE108C">
              <w:rPr>
                <w:szCs w:val="16"/>
              </w:rPr>
              <w:t>Additional expenditure item</w:t>
            </w:r>
          </w:p>
        </w:tc>
        <w:tc>
          <w:tcPr>
            <w:tcW w:w="598" w:type="pct"/>
          </w:tcPr>
          <w:p w14:paraId="5799618F" w14:textId="77777777" w:rsidR="00046BD5" w:rsidRPr="00DE108C" w:rsidRDefault="00046BD5">
            <w:pPr>
              <w:pStyle w:val="TableHeading"/>
              <w:rPr>
                <w:szCs w:val="16"/>
              </w:rPr>
            </w:pPr>
            <w:r w:rsidRPr="00DE108C">
              <w:rPr>
                <w:szCs w:val="16"/>
              </w:rPr>
              <w:t>2026-27</w:t>
            </w:r>
          </w:p>
        </w:tc>
        <w:tc>
          <w:tcPr>
            <w:tcW w:w="598" w:type="pct"/>
          </w:tcPr>
          <w:p w14:paraId="32409E1D" w14:textId="77777777" w:rsidR="00046BD5" w:rsidRPr="00DE108C" w:rsidRDefault="00046BD5">
            <w:pPr>
              <w:pStyle w:val="TableHeading"/>
              <w:rPr>
                <w:szCs w:val="16"/>
              </w:rPr>
            </w:pPr>
            <w:r w:rsidRPr="00DE108C">
              <w:rPr>
                <w:szCs w:val="16"/>
              </w:rPr>
              <w:t>2027-28</w:t>
            </w:r>
          </w:p>
        </w:tc>
        <w:tc>
          <w:tcPr>
            <w:tcW w:w="598" w:type="pct"/>
          </w:tcPr>
          <w:p w14:paraId="73FE9F57" w14:textId="77777777" w:rsidR="00046BD5" w:rsidRPr="00DE108C" w:rsidRDefault="00046BD5">
            <w:pPr>
              <w:pStyle w:val="TableHeading"/>
              <w:rPr>
                <w:szCs w:val="16"/>
              </w:rPr>
            </w:pPr>
            <w:r w:rsidRPr="00DE108C">
              <w:rPr>
                <w:szCs w:val="16"/>
              </w:rPr>
              <w:t>2028-29</w:t>
            </w:r>
          </w:p>
        </w:tc>
        <w:tc>
          <w:tcPr>
            <w:tcW w:w="598" w:type="pct"/>
          </w:tcPr>
          <w:p w14:paraId="0A33C086" w14:textId="77777777" w:rsidR="00046BD5" w:rsidRPr="00DE108C" w:rsidRDefault="00046BD5">
            <w:pPr>
              <w:pStyle w:val="TableHeading"/>
              <w:rPr>
                <w:szCs w:val="16"/>
              </w:rPr>
            </w:pPr>
            <w:r w:rsidRPr="00DE108C">
              <w:rPr>
                <w:szCs w:val="16"/>
              </w:rPr>
              <w:t>2029-30</w:t>
            </w:r>
          </w:p>
        </w:tc>
        <w:tc>
          <w:tcPr>
            <w:tcW w:w="598" w:type="pct"/>
          </w:tcPr>
          <w:p w14:paraId="7E6D8827" w14:textId="77777777" w:rsidR="00046BD5" w:rsidRPr="00DE108C" w:rsidRDefault="00046BD5">
            <w:pPr>
              <w:pStyle w:val="TableHeading"/>
              <w:rPr>
                <w:szCs w:val="16"/>
              </w:rPr>
            </w:pPr>
            <w:r w:rsidRPr="00DE108C">
              <w:rPr>
                <w:szCs w:val="16"/>
              </w:rPr>
              <w:t>2030-31</w:t>
            </w:r>
          </w:p>
        </w:tc>
        <w:tc>
          <w:tcPr>
            <w:tcW w:w="598" w:type="pct"/>
          </w:tcPr>
          <w:p w14:paraId="4B0D3834" w14:textId="77777777" w:rsidR="00046BD5" w:rsidRPr="00DE108C" w:rsidRDefault="00046BD5">
            <w:pPr>
              <w:pStyle w:val="TableHeading"/>
              <w:rPr>
                <w:szCs w:val="16"/>
              </w:rPr>
            </w:pPr>
            <w:r w:rsidRPr="00DE108C">
              <w:rPr>
                <w:szCs w:val="16"/>
              </w:rPr>
              <w:t>Total</w:t>
            </w:r>
          </w:p>
        </w:tc>
      </w:tr>
      <w:tr w:rsidR="00046BD5" w:rsidRPr="00DE108C" w14:paraId="18AE353F" w14:textId="77777777">
        <w:trPr>
          <w:cantSplit/>
          <w:trHeight w:val="287"/>
        </w:trPr>
        <w:tc>
          <w:tcPr>
            <w:tcW w:w="1412" w:type="pct"/>
          </w:tcPr>
          <w:p w14:paraId="79ADE41F" w14:textId="77777777" w:rsidR="00046BD5" w:rsidRPr="00DE108C" w:rsidRDefault="00046BD5" w:rsidP="00ED094E">
            <w:pPr>
              <w:pStyle w:val="TableText"/>
              <w:rPr>
                <w:szCs w:val="16"/>
              </w:rPr>
            </w:pPr>
            <w:r w:rsidRPr="00DE108C">
              <w:rPr>
                <w:szCs w:val="16"/>
              </w:rPr>
              <w:t>Hardship program</w:t>
            </w:r>
          </w:p>
        </w:tc>
        <w:tc>
          <w:tcPr>
            <w:tcW w:w="598" w:type="pct"/>
            <w:vAlign w:val="center"/>
          </w:tcPr>
          <w:p w14:paraId="1F156323" w14:textId="77777777" w:rsidR="00046BD5" w:rsidRPr="00DE108C" w:rsidRDefault="00046BD5" w:rsidP="00ED094E">
            <w:pPr>
              <w:pStyle w:val="TableText"/>
              <w:rPr>
                <w:szCs w:val="16"/>
              </w:rPr>
            </w:pPr>
            <w:r w:rsidRPr="00DE108C">
              <w:rPr>
                <w:rFonts w:ascii="Verdana" w:hAnsi="Verdana" w:cs="Arial"/>
                <w:color w:val="231F20"/>
                <w:szCs w:val="16"/>
              </w:rPr>
              <w:t xml:space="preserve"> 0.9 </w:t>
            </w:r>
          </w:p>
        </w:tc>
        <w:tc>
          <w:tcPr>
            <w:tcW w:w="598" w:type="pct"/>
            <w:vAlign w:val="center"/>
          </w:tcPr>
          <w:p w14:paraId="12890285" w14:textId="77777777" w:rsidR="00046BD5" w:rsidRPr="00DE108C" w:rsidRDefault="00046BD5" w:rsidP="00ED094E">
            <w:pPr>
              <w:pStyle w:val="TableText"/>
              <w:rPr>
                <w:szCs w:val="16"/>
              </w:rPr>
            </w:pPr>
            <w:r w:rsidRPr="00DE108C">
              <w:rPr>
                <w:rFonts w:ascii="Verdana" w:hAnsi="Verdana" w:cs="Arial"/>
                <w:color w:val="231F20"/>
                <w:szCs w:val="16"/>
              </w:rPr>
              <w:t xml:space="preserve"> 1.2 </w:t>
            </w:r>
          </w:p>
        </w:tc>
        <w:tc>
          <w:tcPr>
            <w:tcW w:w="598" w:type="pct"/>
            <w:vAlign w:val="center"/>
          </w:tcPr>
          <w:p w14:paraId="2D3262C3" w14:textId="77777777" w:rsidR="00046BD5" w:rsidRPr="00DE108C" w:rsidRDefault="00046BD5" w:rsidP="00ED094E">
            <w:pPr>
              <w:pStyle w:val="TableText"/>
              <w:rPr>
                <w:szCs w:val="16"/>
              </w:rPr>
            </w:pPr>
            <w:r w:rsidRPr="00DE108C">
              <w:rPr>
                <w:rFonts w:ascii="Verdana" w:hAnsi="Verdana" w:cs="Arial"/>
                <w:color w:val="231F20"/>
                <w:szCs w:val="16"/>
              </w:rPr>
              <w:t xml:space="preserve"> 1.4 </w:t>
            </w:r>
          </w:p>
        </w:tc>
        <w:tc>
          <w:tcPr>
            <w:tcW w:w="598" w:type="pct"/>
            <w:vAlign w:val="center"/>
          </w:tcPr>
          <w:p w14:paraId="0103A065" w14:textId="77777777" w:rsidR="00046BD5" w:rsidRPr="00DE108C" w:rsidRDefault="00046BD5" w:rsidP="00ED094E">
            <w:pPr>
              <w:pStyle w:val="TableText"/>
              <w:rPr>
                <w:szCs w:val="16"/>
              </w:rPr>
            </w:pPr>
            <w:r w:rsidRPr="00DE108C">
              <w:rPr>
                <w:rFonts w:ascii="Verdana" w:hAnsi="Verdana" w:cs="Arial"/>
                <w:color w:val="231F20"/>
                <w:szCs w:val="16"/>
              </w:rPr>
              <w:t xml:space="preserve"> 1.7 </w:t>
            </w:r>
          </w:p>
        </w:tc>
        <w:tc>
          <w:tcPr>
            <w:tcW w:w="598" w:type="pct"/>
            <w:vAlign w:val="center"/>
          </w:tcPr>
          <w:p w14:paraId="032CF619" w14:textId="77777777" w:rsidR="00046BD5" w:rsidRPr="00DE108C" w:rsidRDefault="00046BD5" w:rsidP="00ED094E">
            <w:pPr>
              <w:pStyle w:val="TableText"/>
              <w:rPr>
                <w:szCs w:val="16"/>
              </w:rPr>
            </w:pPr>
            <w:r w:rsidRPr="00DE108C">
              <w:rPr>
                <w:rFonts w:ascii="Verdana" w:hAnsi="Verdana" w:cs="Arial"/>
                <w:color w:val="231F20"/>
                <w:szCs w:val="16"/>
              </w:rPr>
              <w:t xml:space="preserve"> 1.7 </w:t>
            </w:r>
          </w:p>
        </w:tc>
        <w:tc>
          <w:tcPr>
            <w:tcW w:w="598" w:type="pct"/>
            <w:vAlign w:val="center"/>
          </w:tcPr>
          <w:p w14:paraId="6EE9C16C" w14:textId="77777777" w:rsidR="00046BD5" w:rsidRPr="00DE108C" w:rsidRDefault="00046BD5" w:rsidP="00ED094E">
            <w:pPr>
              <w:pStyle w:val="TableText"/>
              <w:rPr>
                <w:b/>
                <w:bCs/>
                <w:szCs w:val="16"/>
              </w:rPr>
            </w:pPr>
            <w:r w:rsidRPr="00DE108C">
              <w:rPr>
                <w:rFonts w:ascii="Verdana" w:hAnsi="Verdana" w:cs="Arial"/>
                <w:b/>
                <w:bCs/>
                <w:color w:val="231F20"/>
                <w:szCs w:val="16"/>
              </w:rPr>
              <w:t xml:space="preserve"> 6.9 </w:t>
            </w:r>
          </w:p>
        </w:tc>
      </w:tr>
      <w:tr w:rsidR="00A043F7" w:rsidRPr="00DE108C" w14:paraId="4DD91251" w14:textId="77777777">
        <w:trPr>
          <w:cnfStyle w:val="000000010000" w:firstRow="0" w:lastRow="0" w:firstColumn="0" w:lastColumn="0" w:oddVBand="0" w:evenVBand="0" w:oddHBand="0" w:evenHBand="1" w:firstRowFirstColumn="0" w:firstRowLastColumn="0" w:lastRowFirstColumn="0" w:lastRowLastColumn="0"/>
          <w:cantSplit/>
        </w:trPr>
        <w:tc>
          <w:tcPr>
            <w:tcW w:w="1412" w:type="pct"/>
          </w:tcPr>
          <w:p w14:paraId="6E3D777E" w14:textId="77777777" w:rsidR="00046BD5" w:rsidRPr="00DE108C" w:rsidRDefault="00046BD5" w:rsidP="00ED094E">
            <w:pPr>
              <w:pStyle w:val="TableText"/>
              <w:rPr>
                <w:szCs w:val="16"/>
              </w:rPr>
            </w:pPr>
            <w:r w:rsidRPr="00DE108C">
              <w:rPr>
                <w:szCs w:val="16"/>
              </w:rPr>
              <w:t>Traditional Owner partners</w:t>
            </w:r>
          </w:p>
        </w:tc>
        <w:tc>
          <w:tcPr>
            <w:tcW w:w="598" w:type="pct"/>
            <w:vAlign w:val="center"/>
          </w:tcPr>
          <w:p w14:paraId="471E1329" w14:textId="77777777" w:rsidR="00046BD5" w:rsidRPr="00DE108C" w:rsidRDefault="00046BD5" w:rsidP="00ED094E">
            <w:pPr>
              <w:pStyle w:val="TableText"/>
              <w:rPr>
                <w:szCs w:val="16"/>
              </w:rPr>
            </w:pPr>
            <w:r w:rsidRPr="00DE108C">
              <w:rPr>
                <w:rFonts w:ascii="Verdana" w:hAnsi="Verdana" w:cs="Arial"/>
                <w:color w:val="231F20"/>
                <w:szCs w:val="16"/>
              </w:rPr>
              <w:t xml:space="preserve"> 0.6 </w:t>
            </w:r>
          </w:p>
        </w:tc>
        <w:tc>
          <w:tcPr>
            <w:tcW w:w="598" w:type="pct"/>
            <w:vAlign w:val="center"/>
          </w:tcPr>
          <w:p w14:paraId="67D1E56F" w14:textId="77777777" w:rsidR="00046BD5" w:rsidRPr="00DE108C" w:rsidRDefault="00046BD5" w:rsidP="00ED094E">
            <w:pPr>
              <w:pStyle w:val="TableText"/>
              <w:rPr>
                <w:szCs w:val="16"/>
              </w:rPr>
            </w:pPr>
            <w:r w:rsidRPr="00DE108C">
              <w:rPr>
                <w:rFonts w:ascii="Verdana" w:hAnsi="Verdana" w:cs="Arial"/>
                <w:color w:val="231F20"/>
                <w:szCs w:val="16"/>
              </w:rPr>
              <w:t xml:space="preserve"> 1.0 </w:t>
            </w:r>
          </w:p>
        </w:tc>
        <w:tc>
          <w:tcPr>
            <w:tcW w:w="598" w:type="pct"/>
            <w:vAlign w:val="center"/>
          </w:tcPr>
          <w:p w14:paraId="7A5BAF7C" w14:textId="77777777" w:rsidR="00046BD5" w:rsidRPr="00DE108C" w:rsidRDefault="00046BD5" w:rsidP="00ED094E">
            <w:pPr>
              <w:pStyle w:val="TableText"/>
              <w:rPr>
                <w:szCs w:val="16"/>
              </w:rPr>
            </w:pPr>
            <w:r w:rsidRPr="00DE108C">
              <w:rPr>
                <w:rFonts w:ascii="Verdana" w:hAnsi="Verdana" w:cs="Arial"/>
                <w:color w:val="231F20"/>
                <w:szCs w:val="16"/>
              </w:rPr>
              <w:t xml:space="preserve"> 1.2 </w:t>
            </w:r>
          </w:p>
        </w:tc>
        <w:tc>
          <w:tcPr>
            <w:tcW w:w="598" w:type="pct"/>
            <w:vAlign w:val="center"/>
          </w:tcPr>
          <w:p w14:paraId="2A6811EC" w14:textId="77777777" w:rsidR="00046BD5" w:rsidRPr="00DE108C" w:rsidRDefault="00046BD5" w:rsidP="00ED094E">
            <w:pPr>
              <w:pStyle w:val="TableText"/>
              <w:rPr>
                <w:szCs w:val="16"/>
              </w:rPr>
            </w:pPr>
            <w:r w:rsidRPr="00DE108C">
              <w:rPr>
                <w:rFonts w:ascii="Verdana" w:hAnsi="Verdana" w:cs="Arial"/>
                <w:color w:val="231F20"/>
                <w:szCs w:val="16"/>
              </w:rPr>
              <w:t xml:space="preserve"> 1.8 </w:t>
            </w:r>
          </w:p>
        </w:tc>
        <w:tc>
          <w:tcPr>
            <w:tcW w:w="598" w:type="pct"/>
            <w:vAlign w:val="center"/>
          </w:tcPr>
          <w:p w14:paraId="75845788" w14:textId="77777777" w:rsidR="00046BD5" w:rsidRPr="00DE108C" w:rsidRDefault="00046BD5" w:rsidP="00ED094E">
            <w:pPr>
              <w:pStyle w:val="TableText"/>
              <w:rPr>
                <w:szCs w:val="16"/>
              </w:rPr>
            </w:pPr>
            <w:r w:rsidRPr="00DE108C">
              <w:rPr>
                <w:rFonts w:ascii="Verdana" w:hAnsi="Verdana" w:cs="Arial"/>
                <w:color w:val="231F20"/>
                <w:szCs w:val="16"/>
              </w:rPr>
              <w:t xml:space="preserve"> 2.2 </w:t>
            </w:r>
          </w:p>
        </w:tc>
        <w:tc>
          <w:tcPr>
            <w:tcW w:w="598" w:type="pct"/>
            <w:vAlign w:val="center"/>
          </w:tcPr>
          <w:p w14:paraId="711F0393" w14:textId="77777777" w:rsidR="00046BD5" w:rsidRPr="00DE108C" w:rsidRDefault="00046BD5" w:rsidP="00ED094E">
            <w:pPr>
              <w:pStyle w:val="TableText"/>
              <w:rPr>
                <w:b/>
                <w:bCs/>
                <w:szCs w:val="16"/>
              </w:rPr>
            </w:pPr>
            <w:r w:rsidRPr="00DE108C">
              <w:rPr>
                <w:rFonts w:ascii="Verdana" w:hAnsi="Verdana" w:cs="Arial"/>
                <w:b/>
                <w:bCs/>
                <w:color w:val="231F20"/>
                <w:szCs w:val="16"/>
              </w:rPr>
              <w:t xml:space="preserve"> 6.8 </w:t>
            </w:r>
          </w:p>
        </w:tc>
      </w:tr>
      <w:tr w:rsidR="00046BD5" w:rsidRPr="00DE108C" w14:paraId="347A1981" w14:textId="77777777">
        <w:trPr>
          <w:cantSplit/>
        </w:trPr>
        <w:tc>
          <w:tcPr>
            <w:tcW w:w="1412" w:type="pct"/>
          </w:tcPr>
          <w:p w14:paraId="1BA08744" w14:textId="77777777" w:rsidR="00046BD5" w:rsidRPr="00DE108C" w:rsidRDefault="00046BD5" w:rsidP="00ED094E">
            <w:pPr>
              <w:pStyle w:val="TableText"/>
              <w:rPr>
                <w:szCs w:val="16"/>
              </w:rPr>
            </w:pPr>
            <w:r w:rsidRPr="00DE108C">
              <w:rPr>
                <w:szCs w:val="16"/>
              </w:rPr>
              <w:t>Burndap Birrarung burndap umarkoo</w:t>
            </w:r>
          </w:p>
        </w:tc>
        <w:tc>
          <w:tcPr>
            <w:tcW w:w="598" w:type="pct"/>
            <w:vAlign w:val="center"/>
          </w:tcPr>
          <w:p w14:paraId="78720D5F" w14:textId="77777777" w:rsidR="00046BD5" w:rsidRPr="00DE108C" w:rsidRDefault="00046BD5" w:rsidP="00ED094E">
            <w:pPr>
              <w:pStyle w:val="TableText"/>
              <w:rPr>
                <w:szCs w:val="16"/>
              </w:rPr>
            </w:pPr>
            <w:r w:rsidRPr="00DE108C">
              <w:rPr>
                <w:rFonts w:ascii="Verdana" w:hAnsi="Verdana" w:cs="Arial"/>
                <w:color w:val="231F20"/>
                <w:szCs w:val="16"/>
              </w:rPr>
              <w:t xml:space="preserve"> 0.1 </w:t>
            </w:r>
          </w:p>
        </w:tc>
        <w:tc>
          <w:tcPr>
            <w:tcW w:w="598" w:type="pct"/>
            <w:vAlign w:val="center"/>
          </w:tcPr>
          <w:p w14:paraId="4A77F544" w14:textId="77777777" w:rsidR="00046BD5" w:rsidRPr="00DE108C" w:rsidRDefault="00046BD5" w:rsidP="00ED094E">
            <w:pPr>
              <w:pStyle w:val="TableText"/>
              <w:rPr>
                <w:szCs w:val="16"/>
              </w:rPr>
            </w:pPr>
            <w:r w:rsidRPr="00DE108C">
              <w:rPr>
                <w:rFonts w:ascii="Verdana" w:hAnsi="Verdana" w:cs="Arial"/>
                <w:color w:val="231F20"/>
                <w:szCs w:val="16"/>
              </w:rPr>
              <w:t xml:space="preserve"> 0.7 </w:t>
            </w:r>
          </w:p>
        </w:tc>
        <w:tc>
          <w:tcPr>
            <w:tcW w:w="598" w:type="pct"/>
            <w:vAlign w:val="center"/>
          </w:tcPr>
          <w:p w14:paraId="77090000" w14:textId="77777777" w:rsidR="00046BD5" w:rsidRPr="00DE108C" w:rsidRDefault="00046BD5" w:rsidP="00ED094E">
            <w:pPr>
              <w:pStyle w:val="TableText"/>
              <w:rPr>
                <w:szCs w:val="16"/>
              </w:rPr>
            </w:pPr>
            <w:r w:rsidRPr="00DE108C">
              <w:rPr>
                <w:rFonts w:ascii="Verdana" w:hAnsi="Verdana" w:cs="Arial"/>
                <w:color w:val="231F20"/>
                <w:szCs w:val="16"/>
              </w:rPr>
              <w:t xml:space="preserve"> 1.1 </w:t>
            </w:r>
          </w:p>
        </w:tc>
        <w:tc>
          <w:tcPr>
            <w:tcW w:w="598" w:type="pct"/>
            <w:vAlign w:val="center"/>
          </w:tcPr>
          <w:p w14:paraId="2F51F916" w14:textId="77777777" w:rsidR="00046BD5" w:rsidRPr="00DE108C" w:rsidRDefault="00046BD5" w:rsidP="00ED094E">
            <w:pPr>
              <w:pStyle w:val="TableText"/>
              <w:rPr>
                <w:szCs w:val="16"/>
              </w:rPr>
            </w:pPr>
            <w:r w:rsidRPr="00DE108C">
              <w:rPr>
                <w:rFonts w:ascii="Verdana" w:hAnsi="Verdana" w:cs="Arial"/>
                <w:color w:val="231F20"/>
                <w:szCs w:val="16"/>
              </w:rPr>
              <w:t xml:space="preserve"> 0.7 </w:t>
            </w:r>
          </w:p>
        </w:tc>
        <w:tc>
          <w:tcPr>
            <w:tcW w:w="598" w:type="pct"/>
            <w:vAlign w:val="center"/>
          </w:tcPr>
          <w:p w14:paraId="76CD88D8" w14:textId="77777777" w:rsidR="00046BD5" w:rsidRPr="00DE108C" w:rsidRDefault="00046BD5" w:rsidP="00ED094E">
            <w:pPr>
              <w:pStyle w:val="TableText"/>
              <w:rPr>
                <w:szCs w:val="16"/>
              </w:rPr>
            </w:pPr>
            <w:r w:rsidRPr="00DE108C">
              <w:rPr>
                <w:rFonts w:ascii="Verdana" w:hAnsi="Verdana" w:cs="Arial"/>
                <w:color w:val="231F20"/>
                <w:szCs w:val="16"/>
              </w:rPr>
              <w:t xml:space="preserve"> 0.3 </w:t>
            </w:r>
          </w:p>
        </w:tc>
        <w:tc>
          <w:tcPr>
            <w:tcW w:w="598" w:type="pct"/>
            <w:vAlign w:val="center"/>
          </w:tcPr>
          <w:p w14:paraId="4607CE17" w14:textId="77777777" w:rsidR="00046BD5" w:rsidRPr="00DE108C" w:rsidRDefault="00046BD5" w:rsidP="00ED094E">
            <w:pPr>
              <w:pStyle w:val="TableText"/>
              <w:rPr>
                <w:b/>
                <w:bCs/>
                <w:szCs w:val="16"/>
              </w:rPr>
            </w:pPr>
            <w:r w:rsidRPr="00DE108C">
              <w:rPr>
                <w:rFonts w:ascii="Verdana" w:hAnsi="Verdana" w:cs="Arial"/>
                <w:b/>
                <w:bCs/>
                <w:color w:val="231F20"/>
                <w:szCs w:val="16"/>
              </w:rPr>
              <w:t xml:space="preserve"> 2.9 </w:t>
            </w:r>
          </w:p>
        </w:tc>
      </w:tr>
      <w:tr w:rsidR="00A043F7" w:rsidRPr="00DE108C" w14:paraId="62FE5552" w14:textId="77777777">
        <w:trPr>
          <w:cnfStyle w:val="000000010000" w:firstRow="0" w:lastRow="0" w:firstColumn="0" w:lastColumn="0" w:oddVBand="0" w:evenVBand="0" w:oddHBand="0" w:evenHBand="1" w:firstRowFirstColumn="0" w:firstRowLastColumn="0" w:lastRowFirstColumn="0" w:lastRowLastColumn="0"/>
          <w:cantSplit/>
        </w:trPr>
        <w:tc>
          <w:tcPr>
            <w:tcW w:w="1412" w:type="pct"/>
          </w:tcPr>
          <w:p w14:paraId="4B3138D6" w14:textId="77777777" w:rsidR="00046BD5" w:rsidRPr="00DE108C" w:rsidRDefault="00046BD5" w:rsidP="00ED094E">
            <w:pPr>
              <w:pStyle w:val="TableText"/>
              <w:rPr>
                <w:b/>
                <w:bCs/>
                <w:szCs w:val="16"/>
              </w:rPr>
            </w:pPr>
            <w:r w:rsidRPr="00DE108C">
              <w:rPr>
                <w:b/>
                <w:bCs/>
                <w:szCs w:val="16"/>
              </w:rPr>
              <w:t>Total</w:t>
            </w:r>
          </w:p>
        </w:tc>
        <w:tc>
          <w:tcPr>
            <w:tcW w:w="598" w:type="pct"/>
            <w:vAlign w:val="center"/>
          </w:tcPr>
          <w:p w14:paraId="3A5E54D1" w14:textId="77777777" w:rsidR="00046BD5" w:rsidRPr="00DE108C" w:rsidRDefault="00046BD5" w:rsidP="00ED094E">
            <w:pPr>
              <w:pStyle w:val="TableText"/>
              <w:rPr>
                <w:b/>
                <w:bCs/>
                <w:szCs w:val="16"/>
              </w:rPr>
            </w:pPr>
            <w:r w:rsidRPr="00DE108C">
              <w:rPr>
                <w:rFonts w:ascii="Verdana" w:hAnsi="Verdana" w:cs="Arial"/>
                <w:b/>
                <w:bCs/>
                <w:color w:val="231F20"/>
                <w:szCs w:val="16"/>
              </w:rPr>
              <w:t xml:space="preserve"> 1.6 </w:t>
            </w:r>
          </w:p>
        </w:tc>
        <w:tc>
          <w:tcPr>
            <w:tcW w:w="598" w:type="pct"/>
            <w:vAlign w:val="center"/>
          </w:tcPr>
          <w:p w14:paraId="4FE89F0E" w14:textId="77777777" w:rsidR="00046BD5" w:rsidRPr="00DE108C" w:rsidRDefault="00046BD5" w:rsidP="00ED094E">
            <w:pPr>
              <w:pStyle w:val="TableText"/>
              <w:rPr>
                <w:b/>
                <w:bCs/>
                <w:szCs w:val="16"/>
              </w:rPr>
            </w:pPr>
            <w:r w:rsidRPr="00DE108C">
              <w:rPr>
                <w:rFonts w:ascii="Verdana" w:hAnsi="Verdana" w:cs="Arial"/>
                <w:b/>
                <w:bCs/>
                <w:color w:val="231F20"/>
                <w:szCs w:val="16"/>
              </w:rPr>
              <w:t xml:space="preserve"> 2.9 </w:t>
            </w:r>
          </w:p>
        </w:tc>
        <w:tc>
          <w:tcPr>
            <w:tcW w:w="598" w:type="pct"/>
            <w:vAlign w:val="center"/>
          </w:tcPr>
          <w:p w14:paraId="2A2AC0B7" w14:textId="77777777" w:rsidR="00046BD5" w:rsidRPr="00DE108C" w:rsidRDefault="00046BD5" w:rsidP="00ED094E">
            <w:pPr>
              <w:pStyle w:val="TableText"/>
              <w:rPr>
                <w:b/>
                <w:bCs/>
                <w:szCs w:val="16"/>
              </w:rPr>
            </w:pPr>
            <w:r w:rsidRPr="00DE108C">
              <w:rPr>
                <w:rFonts w:ascii="Verdana" w:hAnsi="Verdana" w:cs="Arial"/>
                <w:b/>
                <w:bCs/>
                <w:color w:val="231F20"/>
                <w:szCs w:val="16"/>
              </w:rPr>
              <w:t xml:space="preserve"> 3.7 </w:t>
            </w:r>
          </w:p>
        </w:tc>
        <w:tc>
          <w:tcPr>
            <w:tcW w:w="598" w:type="pct"/>
            <w:vAlign w:val="center"/>
          </w:tcPr>
          <w:p w14:paraId="45300426" w14:textId="77777777" w:rsidR="00046BD5" w:rsidRPr="00DE108C" w:rsidRDefault="00046BD5" w:rsidP="00ED094E">
            <w:pPr>
              <w:pStyle w:val="TableText"/>
              <w:rPr>
                <w:b/>
                <w:bCs/>
                <w:szCs w:val="16"/>
              </w:rPr>
            </w:pPr>
            <w:r w:rsidRPr="00DE108C">
              <w:rPr>
                <w:rFonts w:ascii="Verdana" w:hAnsi="Verdana" w:cs="Arial"/>
                <w:b/>
                <w:bCs/>
                <w:color w:val="231F20"/>
                <w:szCs w:val="16"/>
              </w:rPr>
              <w:t xml:space="preserve"> 4.1 </w:t>
            </w:r>
          </w:p>
        </w:tc>
        <w:tc>
          <w:tcPr>
            <w:tcW w:w="598" w:type="pct"/>
            <w:vAlign w:val="center"/>
          </w:tcPr>
          <w:p w14:paraId="5E1BED36" w14:textId="77777777" w:rsidR="00046BD5" w:rsidRPr="00DE108C" w:rsidRDefault="00046BD5" w:rsidP="00ED094E">
            <w:pPr>
              <w:pStyle w:val="TableText"/>
              <w:rPr>
                <w:b/>
                <w:bCs/>
                <w:szCs w:val="16"/>
              </w:rPr>
            </w:pPr>
            <w:r w:rsidRPr="00DE108C">
              <w:rPr>
                <w:rFonts w:ascii="Verdana" w:hAnsi="Verdana" w:cs="Arial"/>
                <w:b/>
                <w:bCs/>
                <w:color w:val="231F20"/>
                <w:szCs w:val="16"/>
              </w:rPr>
              <w:t xml:space="preserve"> 4.1 </w:t>
            </w:r>
          </w:p>
        </w:tc>
        <w:tc>
          <w:tcPr>
            <w:tcW w:w="598" w:type="pct"/>
            <w:vAlign w:val="center"/>
          </w:tcPr>
          <w:p w14:paraId="70680E6D" w14:textId="77777777" w:rsidR="00046BD5" w:rsidRPr="00DE108C" w:rsidRDefault="00046BD5" w:rsidP="00ED094E">
            <w:pPr>
              <w:pStyle w:val="TableText"/>
              <w:rPr>
                <w:b/>
                <w:bCs/>
                <w:szCs w:val="16"/>
              </w:rPr>
            </w:pPr>
            <w:r w:rsidRPr="00DE108C">
              <w:rPr>
                <w:rFonts w:ascii="Verdana" w:hAnsi="Verdana" w:cs="Arial"/>
                <w:b/>
                <w:bCs/>
                <w:color w:val="231F20"/>
                <w:szCs w:val="16"/>
              </w:rPr>
              <w:t xml:space="preserve"> 16.5 </w:t>
            </w:r>
          </w:p>
        </w:tc>
      </w:tr>
      <w:tr w:rsidR="00046BD5" w:rsidRPr="00DE108C" w14:paraId="199F5281" w14:textId="77777777" w:rsidTr="00ED094E">
        <w:trPr>
          <w:cantSplit/>
          <w:trHeight w:val="300"/>
        </w:trPr>
        <w:tc>
          <w:tcPr>
            <w:tcW w:w="9628" w:type="dxa"/>
            <w:gridSpan w:val="7"/>
          </w:tcPr>
          <w:p w14:paraId="521C1004" w14:textId="77777777" w:rsidR="00046BD5" w:rsidRPr="00DE108C" w:rsidRDefault="00046BD5" w:rsidP="00ED094E">
            <w:pPr>
              <w:pStyle w:val="TableText"/>
              <w:rPr>
                <w:b/>
                <w:bCs/>
              </w:rPr>
            </w:pPr>
            <w:r w:rsidRPr="00DE108C">
              <w:rPr>
                <w:b/>
                <w:bCs/>
              </w:rPr>
              <w:t>Allocation across services</w:t>
            </w:r>
          </w:p>
        </w:tc>
      </w:tr>
      <w:tr w:rsidR="00A043F7" w:rsidRPr="00DE108C" w14:paraId="25FF0172" w14:textId="77777777">
        <w:trPr>
          <w:cnfStyle w:val="000000010000" w:firstRow="0" w:lastRow="0" w:firstColumn="0" w:lastColumn="0" w:oddVBand="0" w:evenVBand="0" w:oddHBand="0" w:evenHBand="1" w:firstRowFirstColumn="0" w:firstRowLastColumn="0" w:lastRowFirstColumn="0" w:lastRowLastColumn="0"/>
          <w:cantSplit/>
        </w:trPr>
        <w:tc>
          <w:tcPr>
            <w:tcW w:w="1412" w:type="pct"/>
          </w:tcPr>
          <w:p w14:paraId="102CEBAB" w14:textId="77777777" w:rsidR="00046BD5" w:rsidRPr="00DE108C" w:rsidRDefault="00046BD5">
            <w:pPr>
              <w:pStyle w:val="TableText"/>
              <w:rPr>
                <w:szCs w:val="16"/>
              </w:rPr>
            </w:pPr>
            <w:r w:rsidRPr="00DE108C">
              <w:rPr>
                <w:szCs w:val="16"/>
              </w:rPr>
              <w:t>Water and sewerage</w:t>
            </w:r>
          </w:p>
        </w:tc>
        <w:tc>
          <w:tcPr>
            <w:tcW w:w="598" w:type="pct"/>
            <w:vAlign w:val="center"/>
          </w:tcPr>
          <w:p w14:paraId="2659B991" w14:textId="77777777" w:rsidR="00046BD5" w:rsidRPr="00DE108C" w:rsidRDefault="00046BD5">
            <w:pPr>
              <w:pStyle w:val="TableText"/>
              <w:rPr>
                <w:szCs w:val="16"/>
              </w:rPr>
            </w:pPr>
            <w:r w:rsidRPr="00DE108C">
              <w:rPr>
                <w:szCs w:val="16"/>
              </w:rPr>
              <w:t xml:space="preserve"> 1.3</w:t>
            </w:r>
          </w:p>
        </w:tc>
        <w:tc>
          <w:tcPr>
            <w:tcW w:w="598" w:type="pct"/>
            <w:vAlign w:val="center"/>
          </w:tcPr>
          <w:p w14:paraId="5B30BD3A" w14:textId="77777777" w:rsidR="00046BD5" w:rsidRPr="00DE108C" w:rsidRDefault="00046BD5">
            <w:pPr>
              <w:pStyle w:val="TableText"/>
              <w:rPr>
                <w:szCs w:val="16"/>
              </w:rPr>
            </w:pPr>
            <w:r w:rsidRPr="00DE108C">
              <w:rPr>
                <w:szCs w:val="16"/>
              </w:rPr>
              <w:t xml:space="preserve"> 2.3</w:t>
            </w:r>
          </w:p>
        </w:tc>
        <w:tc>
          <w:tcPr>
            <w:tcW w:w="598" w:type="pct"/>
            <w:vAlign w:val="center"/>
          </w:tcPr>
          <w:p w14:paraId="77D833D5" w14:textId="77777777" w:rsidR="00046BD5" w:rsidRPr="00DE108C" w:rsidRDefault="00046BD5">
            <w:pPr>
              <w:pStyle w:val="TableText"/>
              <w:rPr>
                <w:szCs w:val="16"/>
              </w:rPr>
            </w:pPr>
            <w:r w:rsidRPr="00DE108C">
              <w:rPr>
                <w:szCs w:val="16"/>
              </w:rPr>
              <w:t xml:space="preserve"> 2.9</w:t>
            </w:r>
          </w:p>
        </w:tc>
        <w:tc>
          <w:tcPr>
            <w:tcW w:w="598" w:type="pct"/>
            <w:vAlign w:val="center"/>
          </w:tcPr>
          <w:p w14:paraId="3C496372" w14:textId="77777777" w:rsidR="00046BD5" w:rsidRPr="00DE108C" w:rsidRDefault="00046BD5">
            <w:pPr>
              <w:pStyle w:val="TableText"/>
              <w:rPr>
                <w:szCs w:val="16"/>
              </w:rPr>
            </w:pPr>
            <w:r w:rsidRPr="00DE108C">
              <w:rPr>
                <w:szCs w:val="16"/>
              </w:rPr>
              <w:t xml:space="preserve"> 3.3</w:t>
            </w:r>
          </w:p>
        </w:tc>
        <w:tc>
          <w:tcPr>
            <w:tcW w:w="598" w:type="pct"/>
            <w:vAlign w:val="center"/>
          </w:tcPr>
          <w:p w14:paraId="6678E9FF" w14:textId="77777777" w:rsidR="00046BD5" w:rsidRPr="00DE108C" w:rsidRDefault="00046BD5">
            <w:pPr>
              <w:pStyle w:val="TableText"/>
              <w:rPr>
                <w:szCs w:val="16"/>
              </w:rPr>
            </w:pPr>
            <w:r w:rsidRPr="00DE108C">
              <w:rPr>
                <w:szCs w:val="16"/>
              </w:rPr>
              <w:t xml:space="preserve"> 3.3</w:t>
            </w:r>
          </w:p>
        </w:tc>
        <w:tc>
          <w:tcPr>
            <w:tcW w:w="598" w:type="pct"/>
            <w:vAlign w:val="center"/>
          </w:tcPr>
          <w:p w14:paraId="47B5D6D2" w14:textId="77777777" w:rsidR="00046BD5" w:rsidRPr="00DE108C" w:rsidRDefault="00046BD5">
            <w:pPr>
              <w:pStyle w:val="TableText"/>
              <w:rPr>
                <w:rFonts w:ascii="Verdana" w:hAnsi="Verdana" w:cs="Arial"/>
                <w:b/>
                <w:bCs/>
                <w:color w:val="231F20"/>
                <w:szCs w:val="16"/>
              </w:rPr>
            </w:pPr>
            <w:r w:rsidRPr="00DE108C">
              <w:rPr>
                <w:rFonts w:ascii="Verdana" w:hAnsi="Verdana" w:cs="Arial"/>
                <w:b/>
                <w:bCs/>
                <w:color w:val="231F20"/>
                <w:szCs w:val="16"/>
              </w:rPr>
              <w:t xml:space="preserve"> 13.0 </w:t>
            </w:r>
          </w:p>
        </w:tc>
      </w:tr>
      <w:tr w:rsidR="00046BD5" w:rsidRPr="00DE108C" w14:paraId="7C68D0CD" w14:textId="77777777">
        <w:trPr>
          <w:cantSplit/>
        </w:trPr>
        <w:tc>
          <w:tcPr>
            <w:tcW w:w="1412" w:type="pct"/>
          </w:tcPr>
          <w:p w14:paraId="42E72D02" w14:textId="77777777" w:rsidR="00046BD5" w:rsidRPr="00DE108C" w:rsidRDefault="00046BD5">
            <w:pPr>
              <w:pStyle w:val="TableText"/>
              <w:rPr>
                <w:szCs w:val="16"/>
              </w:rPr>
            </w:pPr>
            <w:r w:rsidRPr="00DE108C">
              <w:rPr>
                <w:szCs w:val="16"/>
              </w:rPr>
              <w:t>Waterways and drainage</w:t>
            </w:r>
          </w:p>
        </w:tc>
        <w:tc>
          <w:tcPr>
            <w:tcW w:w="598" w:type="pct"/>
            <w:vAlign w:val="center"/>
          </w:tcPr>
          <w:p w14:paraId="39B68137" w14:textId="77777777" w:rsidR="00046BD5" w:rsidRPr="00DE108C" w:rsidRDefault="00046BD5">
            <w:pPr>
              <w:pStyle w:val="TableText"/>
              <w:rPr>
                <w:szCs w:val="16"/>
              </w:rPr>
            </w:pPr>
            <w:r w:rsidRPr="00DE108C">
              <w:rPr>
                <w:szCs w:val="16"/>
              </w:rPr>
              <w:t xml:space="preserve"> 0.3</w:t>
            </w:r>
          </w:p>
        </w:tc>
        <w:tc>
          <w:tcPr>
            <w:tcW w:w="598" w:type="pct"/>
            <w:vAlign w:val="center"/>
          </w:tcPr>
          <w:p w14:paraId="2987EC81" w14:textId="77777777" w:rsidR="00046BD5" w:rsidRPr="00DE108C" w:rsidRDefault="00046BD5">
            <w:pPr>
              <w:pStyle w:val="TableText"/>
              <w:rPr>
                <w:szCs w:val="16"/>
              </w:rPr>
            </w:pPr>
            <w:r w:rsidRPr="00DE108C">
              <w:rPr>
                <w:szCs w:val="16"/>
              </w:rPr>
              <w:t xml:space="preserve"> 0.6</w:t>
            </w:r>
          </w:p>
        </w:tc>
        <w:tc>
          <w:tcPr>
            <w:tcW w:w="598" w:type="pct"/>
            <w:vAlign w:val="center"/>
          </w:tcPr>
          <w:p w14:paraId="5E88DC51" w14:textId="77777777" w:rsidR="00046BD5" w:rsidRPr="00DE108C" w:rsidRDefault="00046BD5">
            <w:pPr>
              <w:pStyle w:val="TableText"/>
              <w:rPr>
                <w:szCs w:val="16"/>
              </w:rPr>
            </w:pPr>
            <w:r w:rsidRPr="00DE108C">
              <w:rPr>
                <w:szCs w:val="16"/>
              </w:rPr>
              <w:t xml:space="preserve"> 0.8</w:t>
            </w:r>
          </w:p>
        </w:tc>
        <w:tc>
          <w:tcPr>
            <w:tcW w:w="598" w:type="pct"/>
            <w:vAlign w:val="center"/>
          </w:tcPr>
          <w:p w14:paraId="4378E5E5" w14:textId="77777777" w:rsidR="00046BD5" w:rsidRPr="00DE108C" w:rsidRDefault="00046BD5">
            <w:pPr>
              <w:pStyle w:val="TableText"/>
              <w:rPr>
                <w:szCs w:val="16"/>
              </w:rPr>
            </w:pPr>
            <w:r w:rsidRPr="00DE108C">
              <w:rPr>
                <w:szCs w:val="16"/>
              </w:rPr>
              <w:t xml:space="preserve"> 0.9</w:t>
            </w:r>
          </w:p>
        </w:tc>
        <w:tc>
          <w:tcPr>
            <w:tcW w:w="598" w:type="pct"/>
            <w:vAlign w:val="center"/>
          </w:tcPr>
          <w:p w14:paraId="10184D33" w14:textId="77777777" w:rsidR="00046BD5" w:rsidRPr="00DE108C" w:rsidRDefault="00046BD5">
            <w:pPr>
              <w:pStyle w:val="TableText"/>
              <w:rPr>
                <w:szCs w:val="16"/>
              </w:rPr>
            </w:pPr>
            <w:r w:rsidRPr="00DE108C">
              <w:rPr>
                <w:szCs w:val="16"/>
              </w:rPr>
              <w:t xml:space="preserve"> 0.9</w:t>
            </w:r>
          </w:p>
        </w:tc>
        <w:tc>
          <w:tcPr>
            <w:tcW w:w="598" w:type="pct"/>
            <w:vAlign w:val="center"/>
          </w:tcPr>
          <w:p w14:paraId="0F564A30" w14:textId="77777777" w:rsidR="00046BD5" w:rsidRPr="00DE108C" w:rsidRDefault="00046BD5">
            <w:pPr>
              <w:pStyle w:val="TableText"/>
              <w:rPr>
                <w:rFonts w:ascii="Verdana" w:hAnsi="Verdana" w:cs="Arial"/>
                <w:b/>
                <w:bCs/>
                <w:color w:val="231F20"/>
                <w:szCs w:val="16"/>
              </w:rPr>
            </w:pPr>
            <w:r w:rsidRPr="00DE108C">
              <w:rPr>
                <w:rFonts w:ascii="Verdana" w:hAnsi="Verdana" w:cs="Arial"/>
                <w:b/>
                <w:bCs/>
                <w:color w:val="231F20"/>
                <w:szCs w:val="16"/>
              </w:rPr>
              <w:t xml:space="preserve"> 3.5</w:t>
            </w:r>
          </w:p>
        </w:tc>
      </w:tr>
    </w:tbl>
    <w:p w14:paraId="5C1F3F9B" w14:textId="77777777" w:rsidR="00046BD5" w:rsidRPr="00DE108C" w:rsidRDefault="00046BD5" w:rsidP="00ED094E"/>
    <w:p w14:paraId="35D81652" w14:textId="1F40EF48" w:rsidR="00046BD5" w:rsidRPr="00DE108C" w:rsidRDefault="00046BD5" w:rsidP="004E1127">
      <w:pPr>
        <w:pStyle w:val="Heading3"/>
      </w:pPr>
      <w:bookmarkStart w:id="727" w:name="_Ref206425458"/>
      <w:bookmarkStart w:id="728" w:name="_Toc207892911"/>
      <w:bookmarkStart w:id="729" w:name="_Toc207853404"/>
      <w:r w:rsidRPr="00DE108C">
        <w:lastRenderedPageBreak/>
        <w:t>7.</w:t>
      </w:r>
      <w:r w:rsidR="005C0FA9" w:rsidRPr="00DE108C">
        <w:t>3.</w:t>
      </w:r>
      <w:r w:rsidR="00F36671" w:rsidRPr="00DE108C">
        <w:t>3</w:t>
      </w:r>
      <w:r w:rsidR="001D64E8" w:rsidRPr="00DE108C">
        <w:t xml:space="preserve"> Additions to baseline controllable operating expenditure – s</w:t>
      </w:r>
      <w:r w:rsidRPr="00DE108C">
        <w:t>pecific cost items</w:t>
      </w:r>
      <w:bookmarkEnd w:id="727"/>
      <w:bookmarkEnd w:id="728"/>
      <w:bookmarkEnd w:id="729"/>
    </w:p>
    <w:p w14:paraId="3DDD08AD" w14:textId="77777777" w:rsidR="00046BD5" w:rsidRPr="00DE108C" w:rsidRDefault="00046BD5">
      <w:pPr>
        <w:pStyle w:val="BodyText"/>
      </w:pPr>
      <w:r w:rsidRPr="00DE108C">
        <w:t>Additional costs associated with IT, operational technology, electricity, carbon offsets and insurances are explained further below.</w:t>
      </w:r>
    </w:p>
    <w:p w14:paraId="63A2BA39" w14:textId="19286B16" w:rsidR="00046BD5" w:rsidRPr="00DE108C" w:rsidRDefault="00046BD5" w:rsidP="00F36671">
      <w:pPr>
        <w:pStyle w:val="Heading4"/>
      </w:pPr>
      <w:bookmarkStart w:id="730" w:name="_Toc196745260"/>
      <w:r w:rsidRPr="00DE108C">
        <w:t>7.</w:t>
      </w:r>
      <w:r w:rsidR="00F36671" w:rsidRPr="00DE108C">
        <w:t>3</w:t>
      </w:r>
      <w:r w:rsidRPr="00DE108C">
        <w:t>.</w:t>
      </w:r>
      <w:r w:rsidR="00D0540F" w:rsidRPr="00DE108C">
        <w:t>3</w:t>
      </w:r>
      <w:r w:rsidRPr="00DE108C">
        <w:t>.1 I</w:t>
      </w:r>
      <w:r w:rsidR="3EEAA968">
        <w:t>T</w:t>
      </w:r>
      <w:r w:rsidRPr="00DE108C">
        <w:t xml:space="preserve"> expenditure</w:t>
      </w:r>
    </w:p>
    <w:p w14:paraId="74CF13B1" w14:textId="6CB5F657" w:rsidR="00046BD5" w:rsidRPr="00DE108C" w:rsidRDefault="00046BD5">
      <w:pPr>
        <w:pStyle w:val="BodyText"/>
      </w:pPr>
      <w:r w:rsidRPr="00DE108C">
        <w:t xml:space="preserve">The increased obligations to meet SOCI </w:t>
      </w:r>
      <w:r w:rsidR="5AB78035">
        <w:t xml:space="preserve">Act </w:t>
      </w:r>
      <w:r w:rsidRPr="00DE108C">
        <w:t xml:space="preserve">requirements, as well as continue our shift to </w:t>
      </w:r>
      <w:r w:rsidR="1DE54F31">
        <w:t>C</w:t>
      </w:r>
      <w:r>
        <w:t>loud</w:t>
      </w:r>
      <w:r w:rsidR="3E0AEE8D">
        <w:t>-</w:t>
      </w:r>
      <w:r w:rsidRPr="00DE108C">
        <w:t xml:space="preserve">based services, will see Melbourne Water increase its IT </w:t>
      </w:r>
      <w:r w:rsidR="015B40C8">
        <w:t>opex</w:t>
      </w:r>
      <w:r w:rsidRPr="00DE108C">
        <w:t xml:space="preserve"> over the regulatory period by $33.1 million</w:t>
      </w:r>
      <w:r w:rsidR="6F24BC03" w:rsidRPr="00DE108C">
        <w:t xml:space="preserve"> (outlined in Table 7.11)</w:t>
      </w:r>
      <w:r w:rsidRPr="00DE108C">
        <w:t>. This includes the cost of undertaking projects, managing new systems (offset by decommissioning of old ones) and contractual changes in how Melbourne Water delivers its IT services to provide long-term efficiencies.</w:t>
      </w:r>
    </w:p>
    <w:p w14:paraId="47335839" w14:textId="77777777" w:rsidR="00046BD5" w:rsidRPr="00DE108C" w:rsidRDefault="00046BD5">
      <w:pPr>
        <w:pStyle w:val="BodyText"/>
      </w:pPr>
      <w:r w:rsidRPr="00DE108C">
        <w:rPr>
          <w:lang w:val="en-US"/>
        </w:rPr>
        <w:t xml:space="preserve">Technology is a key enabler for Melbourne Water to deliver our services efficiently, securely and safely, thereby meeting our compliance obligations and the needs of our customers. </w:t>
      </w:r>
      <w:r w:rsidRPr="00DE108C">
        <w:t xml:space="preserve">Our IT expenditure in PS26 reflects the efficient costs of implementing Melbourne Water’s Technology Roadmap. </w:t>
      </w:r>
    </w:p>
    <w:p w14:paraId="17CC6457" w14:textId="77777777" w:rsidR="00046BD5" w:rsidRPr="00DE108C" w:rsidRDefault="00046BD5">
      <w:pPr>
        <w:pStyle w:val="BodyText"/>
      </w:pPr>
      <w:r w:rsidRPr="00DE108C">
        <w:t xml:space="preserve">Our technology focus for PS26 is to meet our core obligations, while continuing to modernise legacy systems and simplify our technology landscape. By modernising our IT systems and infrastructure and building upon our foundational investments in PS21, we will be better equipped to deliver efficient and effective water services, respond to emerging challenges of service delivery and meet our evolving customer needs. Investment in reducing our cybersecurity risk is necessary to ensure the reliability of critical services and to meet our obligations under the SOCI Act. Enhanced data integration and analytics capabilities will enable more informed decision-making and improve efficiency. </w:t>
      </w:r>
    </w:p>
    <w:p w14:paraId="17322B16" w14:textId="698135A8" w:rsidR="00046BD5" w:rsidRPr="00DE108C" w:rsidRDefault="00046BD5">
      <w:pPr>
        <w:pStyle w:val="BodyText"/>
      </w:pPr>
      <w:r w:rsidRPr="00DE108C">
        <w:t xml:space="preserve">Our Technology Roadmap reflects the feedback of our </w:t>
      </w:r>
      <w:r w:rsidR="2C07B1D7" w:rsidRPr="00DE108C">
        <w:t xml:space="preserve">water corporation </w:t>
      </w:r>
      <w:r w:rsidRPr="00DE108C">
        <w:t>customers and their Chief Information Officers. Our focus is on investment to maintain core services prudently and cost effectively, including:</w:t>
      </w:r>
    </w:p>
    <w:p w14:paraId="7AAB976C" w14:textId="77777777" w:rsidR="00046BD5" w:rsidRPr="00DE108C" w:rsidRDefault="00046BD5" w:rsidP="00727F8E">
      <w:pPr>
        <w:pStyle w:val="ListBullet"/>
      </w:pPr>
      <w:r w:rsidRPr="00DE108C">
        <w:t>adopting new technologies where this results in improvements in performance</w:t>
      </w:r>
    </w:p>
    <w:p w14:paraId="23DCFF6D" w14:textId="77777777" w:rsidR="00046BD5" w:rsidRPr="00DE108C" w:rsidRDefault="00046BD5" w:rsidP="00727F8E">
      <w:pPr>
        <w:pStyle w:val="ListBullet"/>
      </w:pPr>
      <w:r w:rsidRPr="00DE108C">
        <w:t>efficiency or risk management</w:t>
      </w:r>
    </w:p>
    <w:p w14:paraId="703FAF5E" w14:textId="77777777" w:rsidR="00046BD5" w:rsidRPr="00DE108C" w:rsidRDefault="00046BD5" w:rsidP="00727F8E">
      <w:pPr>
        <w:pStyle w:val="ListBullet"/>
      </w:pPr>
      <w:r w:rsidRPr="00DE108C">
        <w:t>investing in technology that improves collaboration with customers and key stakeholders</w:t>
      </w:r>
    </w:p>
    <w:p w14:paraId="5637A0E2" w14:textId="77777777" w:rsidR="00046BD5" w:rsidRPr="00DE108C" w:rsidRDefault="00046BD5" w:rsidP="00727F8E">
      <w:pPr>
        <w:pStyle w:val="ListBullet"/>
      </w:pPr>
      <w:r w:rsidRPr="00DE108C">
        <w:t xml:space="preserve">investment in systems and data to drive better management of water, sewerage and drainage systems. </w:t>
      </w:r>
    </w:p>
    <w:p w14:paraId="2F23E222" w14:textId="0A512FA7" w:rsidR="00046BD5" w:rsidRPr="00DE108C" w:rsidRDefault="00046BD5">
      <w:pPr>
        <w:pStyle w:val="BodyText"/>
      </w:pPr>
      <w:r w:rsidRPr="00DE108C">
        <w:t xml:space="preserve">Our customers’ Chief Information Officers confirmed that our expenditure focus aligns with their technology strategies, including investment </w:t>
      </w:r>
      <w:r w:rsidR="1E8AF190">
        <w:t xml:space="preserve">in </w:t>
      </w:r>
      <w:r w:rsidRPr="00DE108C">
        <w:t xml:space="preserve">cybersecurity capacity to protect our critical assets, investment in data analytics and modernisation of information exchange. </w:t>
      </w:r>
    </w:p>
    <w:p w14:paraId="0EA6F8A3" w14:textId="1BB84A37" w:rsidR="00046BD5" w:rsidRPr="00DE108C" w:rsidRDefault="00046BD5">
      <w:pPr>
        <w:pStyle w:val="BodyText"/>
      </w:pPr>
      <w:r w:rsidRPr="00DE108C">
        <w:t xml:space="preserve">Melbourne Water’s Technology Roadmap recognises the impacts of several factors that will drive increases in IT </w:t>
      </w:r>
      <w:r w:rsidR="525EF0C9">
        <w:t>opex</w:t>
      </w:r>
      <w:r w:rsidRPr="00DE108C">
        <w:t xml:space="preserve"> over PS26, including: </w:t>
      </w:r>
    </w:p>
    <w:p w14:paraId="369D473A" w14:textId="0803D4F5" w:rsidR="00046BD5" w:rsidRPr="00DE108C" w:rsidRDefault="00046BD5" w:rsidP="00727F8E">
      <w:pPr>
        <w:pStyle w:val="ListBullet"/>
        <w:rPr>
          <w:lang w:val="en-US"/>
        </w:rPr>
      </w:pPr>
      <w:r w:rsidRPr="00DE108C">
        <w:rPr>
          <w:b/>
          <w:bCs/>
          <w:lang w:val="en-US"/>
        </w:rPr>
        <w:t xml:space="preserve">Stable and secure: </w:t>
      </w:r>
      <w:r w:rsidRPr="00DE108C">
        <w:rPr>
          <w:lang w:val="en-US"/>
        </w:rPr>
        <w:t xml:space="preserve">The majority of our IT step change is due to mandatory infrastructure upgrades and the transition to </w:t>
      </w:r>
      <w:r w:rsidR="0036A59A" w:rsidRPr="6102AE0C">
        <w:rPr>
          <w:lang w:val="en-US"/>
        </w:rPr>
        <w:t>C</w:t>
      </w:r>
      <w:r w:rsidRPr="00DE108C">
        <w:rPr>
          <w:lang w:val="en-US"/>
        </w:rPr>
        <w:t>loud-based solutions and network uplifts required to maintain our cybersecurity capability.</w:t>
      </w:r>
    </w:p>
    <w:p w14:paraId="4AC256E2" w14:textId="77777777" w:rsidR="00046BD5" w:rsidRPr="00727F8E" w:rsidRDefault="00046BD5" w:rsidP="00727F8E">
      <w:pPr>
        <w:pStyle w:val="ListBullet"/>
      </w:pPr>
      <w:r w:rsidRPr="00DE108C">
        <w:rPr>
          <w:b/>
          <w:bCs/>
          <w:lang w:val="en-US"/>
        </w:rPr>
        <w:t xml:space="preserve">Digital utility: </w:t>
      </w:r>
      <w:r w:rsidRPr="00DE108C">
        <w:rPr>
          <w:lang w:val="en-US"/>
        </w:rPr>
        <w:t xml:space="preserve">Additional expenditure is required to invest in lifecycle upgrades and enhancements for our core </w:t>
      </w:r>
      <w:r w:rsidRPr="00727F8E">
        <w:t xml:space="preserve">SCADA and Asset Management solutions that manage and monitor our operational assets. </w:t>
      </w:r>
    </w:p>
    <w:p w14:paraId="1C8BFBA3" w14:textId="160D7E98" w:rsidR="00046BD5" w:rsidRPr="00727F8E" w:rsidRDefault="00046BD5" w:rsidP="00727F8E">
      <w:pPr>
        <w:pStyle w:val="ListBullet"/>
      </w:pPr>
      <w:r w:rsidRPr="00727F8E">
        <w:rPr>
          <w:b/>
        </w:rPr>
        <w:t>Digital workforce:</w:t>
      </w:r>
      <w:r w:rsidRPr="00727F8E">
        <w:t xml:space="preserve"> Additional expenditure is required to replace </w:t>
      </w:r>
      <w:r w:rsidR="0C2BCBC3" w:rsidRPr="00727F8E">
        <w:t>end-of-life</w:t>
      </w:r>
      <w:r w:rsidRPr="00727F8E">
        <w:t xml:space="preserve"> corporate systems, including finance, procurement and project management. </w:t>
      </w:r>
    </w:p>
    <w:p w14:paraId="41416665" w14:textId="77777777" w:rsidR="00046BD5" w:rsidRPr="00DE108C" w:rsidRDefault="00046BD5" w:rsidP="00727F8E">
      <w:pPr>
        <w:pStyle w:val="ListBullet"/>
      </w:pPr>
      <w:r w:rsidRPr="00727F8E">
        <w:rPr>
          <w:b/>
        </w:rPr>
        <w:lastRenderedPageBreak/>
        <w:t>Data driven:</w:t>
      </w:r>
      <w:r w:rsidRPr="00727F8E">
        <w:t xml:space="preserve"> Extending our capabilities in data management by supporting digital infrastructure and data governance. </w:t>
      </w:r>
    </w:p>
    <w:p w14:paraId="050203CA" w14:textId="77777777" w:rsidR="00046BD5" w:rsidRPr="00DE108C" w:rsidRDefault="00046BD5" w:rsidP="00727F8E">
      <w:pPr>
        <w:pStyle w:val="ListBullet"/>
      </w:pPr>
      <w:r w:rsidRPr="00727F8E">
        <w:rPr>
          <w:b/>
        </w:rPr>
        <w:t>Digital customer:</w:t>
      </w:r>
      <w:r w:rsidRPr="00727F8E">
        <w:t xml:space="preserve"> Investment </w:t>
      </w:r>
      <w:r w:rsidRPr="00DE108C">
        <w:rPr>
          <w:lang w:val="en-US"/>
        </w:rPr>
        <w:t xml:space="preserve">in a Customer Relationship Management system and customer portals. </w:t>
      </w:r>
    </w:p>
    <w:p w14:paraId="395820B8" w14:textId="02D908F2" w:rsidR="00046BD5" w:rsidRPr="00DE108C" w:rsidRDefault="00046BD5">
      <w:pPr>
        <w:pStyle w:val="BodyText"/>
      </w:pPr>
      <w:r w:rsidRPr="00DE108C">
        <w:t xml:space="preserve">As discussed in Chapter 6 </w:t>
      </w:r>
      <w:r w:rsidR="58001D1B">
        <w:t>(</w:t>
      </w:r>
      <w:r w:rsidRPr="00DE108C">
        <w:t>Capital Expenditure</w:t>
      </w:r>
      <w:r w:rsidR="07AD274A">
        <w:t>)</w:t>
      </w:r>
      <w:r>
        <w:t>,</w:t>
      </w:r>
      <w:r w:rsidRPr="00DE108C">
        <w:t xml:space="preserve"> we reviewed our proposed IT expenditure to identify projects that deliver benefits across two or more regulatory periods and therefore should be capitalised consistent with the ESC’s Guidance. Our IT step change reflects the remaining IT </w:t>
      </w:r>
      <w:r w:rsidR="00D00195">
        <w:t>opex</w:t>
      </w:r>
      <w:r w:rsidRPr="00DE108C">
        <w:t xml:space="preserve"> consistent to prudently and efficiency deliver our Technology Roadmap.</w:t>
      </w:r>
    </w:p>
    <w:p w14:paraId="04EBFF80" w14:textId="77777777" w:rsidR="00046BD5" w:rsidRPr="00DE108C" w:rsidRDefault="00046BD5">
      <w:pPr>
        <w:pStyle w:val="Caption"/>
      </w:pPr>
      <w:bookmarkStart w:id="731" w:name="_Toc207893061"/>
      <w:bookmarkStart w:id="732" w:name="_Toc208490585"/>
      <w:bookmarkStart w:id="733" w:name="_Toc208490923"/>
      <w:bookmarkStart w:id="734" w:name="_Toc208911081"/>
      <w:bookmarkStart w:id="735" w:name="_Toc210051387"/>
      <w:r w:rsidRPr="00DE108C">
        <w:t>Table 7.11: Forecast additional costs to meet obligations and new projects in operational technology ($millions, real 2025-26)</w:t>
      </w:r>
      <w:bookmarkEnd w:id="731"/>
      <w:bookmarkEnd w:id="732"/>
      <w:bookmarkEnd w:id="733"/>
      <w:bookmarkEnd w:id="734"/>
      <w:bookmarkEnd w:id="735"/>
    </w:p>
    <w:tbl>
      <w:tblPr>
        <w:tblStyle w:val="TableGrid"/>
        <w:tblW w:w="5000" w:type="pct"/>
        <w:tblLook w:val="04A0" w:firstRow="1" w:lastRow="0" w:firstColumn="1" w:lastColumn="0" w:noHBand="0" w:noVBand="1"/>
      </w:tblPr>
      <w:tblGrid>
        <w:gridCol w:w="1497"/>
        <w:gridCol w:w="1305"/>
        <w:gridCol w:w="1306"/>
        <w:gridCol w:w="1306"/>
        <w:gridCol w:w="1306"/>
        <w:gridCol w:w="1306"/>
        <w:gridCol w:w="1602"/>
      </w:tblGrid>
      <w:tr w:rsidR="00A043F7" w:rsidRPr="00DE108C" w14:paraId="53976CB6" w14:textId="77777777">
        <w:trPr>
          <w:cnfStyle w:val="100000000000" w:firstRow="1" w:lastRow="0" w:firstColumn="0" w:lastColumn="0" w:oddVBand="0" w:evenVBand="0" w:oddHBand="0" w:evenHBand="0" w:firstRowFirstColumn="0" w:firstRowLastColumn="0" w:lastRowFirstColumn="0" w:lastRowLastColumn="0"/>
          <w:tblHeader/>
        </w:trPr>
        <w:tc>
          <w:tcPr>
            <w:tcW w:w="778" w:type="pct"/>
            <w:vAlign w:val="center"/>
            <w:hideMark/>
          </w:tcPr>
          <w:p w14:paraId="6CB57E01" w14:textId="77777777" w:rsidR="00046BD5" w:rsidRPr="00DE108C" w:rsidRDefault="00046BD5">
            <w:pPr>
              <w:pStyle w:val="BodyText"/>
              <w:rPr>
                <w:b/>
                <w:color w:val="FFFFFF" w:themeColor="background1"/>
                <w:sz w:val="16"/>
                <w:szCs w:val="16"/>
              </w:rPr>
            </w:pPr>
          </w:p>
        </w:tc>
        <w:tc>
          <w:tcPr>
            <w:tcW w:w="678" w:type="pct"/>
            <w:vAlign w:val="center"/>
            <w:hideMark/>
          </w:tcPr>
          <w:p w14:paraId="09AFE886" w14:textId="77777777" w:rsidR="00046BD5" w:rsidRPr="00DE108C" w:rsidRDefault="00046BD5">
            <w:pPr>
              <w:pStyle w:val="BodyText"/>
              <w:rPr>
                <w:color w:val="FFFFFF" w:themeColor="background1"/>
                <w:sz w:val="16"/>
                <w:szCs w:val="16"/>
              </w:rPr>
            </w:pPr>
            <w:r w:rsidRPr="00DE108C">
              <w:rPr>
                <w:b/>
                <w:bCs/>
                <w:color w:val="FFFFFF" w:themeColor="background1"/>
                <w:sz w:val="16"/>
                <w:szCs w:val="16"/>
              </w:rPr>
              <w:t>2026-27</w:t>
            </w:r>
          </w:p>
        </w:tc>
        <w:tc>
          <w:tcPr>
            <w:tcW w:w="678" w:type="pct"/>
            <w:vAlign w:val="center"/>
            <w:hideMark/>
          </w:tcPr>
          <w:p w14:paraId="3C780F68" w14:textId="77777777" w:rsidR="00046BD5" w:rsidRPr="00DE108C" w:rsidRDefault="00046BD5">
            <w:pPr>
              <w:pStyle w:val="BodyText"/>
              <w:rPr>
                <w:color w:val="FFFFFF" w:themeColor="background1"/>
                <w:sz w:val="16"/>
                <w:szCs w:val="16"/>
              </w:rPr>
            </w:pPr>
            <w:r w:rsidRPr="00DE108C">
              <w:rPr>
                <w:b/>
                <w:bCs/>
                <w:color w:val="FFFFFF" w:themeColor="background1"/>
                <w:sz w:val="16"/>
                <w:szCs w:val="16"/>
              </w:rPr>
              <w:t>2027-28</w:t>
            </w:r>
          </w:p>
        </w:tc>
        <w:tc>
          <w:tcPr>
            <w:tcW w:w="678" w:type="pct"/>
            <w:vAlign w:val="center"/>
            <w:hideMark/>
          </w:tcPr>
          <w:p w14:paraId="64F3E17F" w14:textId="77777777" w:rsidR="00046BD5" w:rsidRPr="00DE108C" w:rsidRDefault="00046BD5">
            <w:pPr>
              <w:pStyle w:val="BodyText"/>
              <w:rPr>
                <w:color w:val="FFFFFF" w:themeColor="background1"/>
                <w:sz w:val="16"/>
                <w:szCs w:val="16"/>
              </w:rPr>
            </w:pPr>
            <w:r w:rsidRPr="00DE108C">
              <w:rPr>
                <w:b/>
                <w:bCs/>
                <w:color w:val="FFFFFF" w:themeColor="background1"/>
                <w:sz w:val="16"/>
                <w:szCs w:val="16"/>
              </w:rPr>
              <w:t>2028-29</w:t>
            </w:r>
          </w:p>
        </w:tc>
        <w:tc>
          <w:tcPr>
            <w:tcW w:w="678" w:type="pct"/>
            <w:vAlign w:val="center"/>
            <w:hideMark/>
          </w:tcPr>
          <w:p w14:paraId="7B1EA15F" w14:textId="77777777" w:rsidR="00046BD5" w:rsidRPr="00DE108C" w:rsidRDefault="00046BD5">
            <w:pPr>
              <w:pStyle w:val="BodyText"/>
              <w:rPr>
                <w:color w:val="FFFFFF" w:themeColor="background1"/>
                <w:sz w:val="16"/>
                <w:szCs w:val="16"/>
              </w:rPr>
            </w:pPr>
            <w:r w:rsidRPr="00DE108C">
              <w:rPr>
                <w:b/>
                <w:bCs/>
                <w:color w:val="FFFFFF" w:themeColor="background1"/>
                <w:sz w:val="16"/>
                <w:szCs w:val="16"/>
              </w:rPr>
              <w:t>2029-30</w:t>
            </w:r>
          </w:p>
        </w:tc>
        <w:tc>
          <w:tcPr>
            <w:tcW w:w="678" w:type="pct"/>
            <w:vAlign w:val="center"/>
            <w:hideMark/>
          </w:tcPr>
          <w:p w14:paraId="6121AA5A" w14:textId="77777777" w:rsidR="00046BD5" w:rsidRPr="00DE108C" w:rsidRDefault="00046BD5">
            <w:pPr>
              <w:pStyle w:val="BodyText"/>
              <w:rPr>
                <w:color w:val="FFFFFF" w:themeColor="background1"/>
                <w:sz w:val="16"/>
                <w:szCs w:val="16"/>
              </w:rPr>
            </w:pPr>
            <w:r w:rsidRPr="00DE108C">
              <w:rPr>
                <w:b/>
                <w:bCs/>
                <w:color w:val="FFFFFF" w:themeColor="background1"/>
                <w:sz w:val="16"/>
                <w:szCs w:val="16"/>
              </w:rPr>
              <w:t>2030-31</w:t>
            </w:r>
          </w:p>
        </w:tc>
        <w:tc>
          <w:tcPr>
            <w:tcW w:w="832" w:type="pct"/>
            <w:vAlign w:val="center"/>
            <w:hideMark/>
          </w:tcPr>
          <w:p w14:paraId="63912DD0" w14:textId="77777777" w:rsidR="00046BD5" w:rsidRPr="00DE108C" w:rsidRDefault="00046BD5">
            <w:pPr>
              <w:pStyle w:val="BodyText"/>
              <w:rPr>
                <w:color w:val="FFFFFF" w:themeColor="background1"/>
                <w:sz w:val="16"/>
                <w:szCs w:val="16"/>
              </w:rPr>
            </w:pPr>
            <w:r w:rsidRPr="00DE108C">
              <w:rPr>
                <w:b/>
                <w:bCs/>
                <w:color w:val="FFFFFF" w:themeColor="background1"/>
                <w:sz w:val="16"/>
                <w:szCs w:val="16"/>
              </w:rPr>
              <w:t>Total PS26</w:t>
            </w:r>
          </w:p>
        </w:tc>
      </w:tr>
      <w:tr w:rsidR="00046BD5" w:rsidRPr="00DE108C" w14:paraId="36A355F5" w14:textId="77777777">
        <w:trPr>
          <w:trHeight w:val="300"/>
        </w:trPr>
        <w:tc>
          <w:tcPr>
            <w:tcW w:w="778" w:type="pct"/>
            <w:tcBorders>
              <w:top w:val="single" w:sz="4" w:space="0" w:color="231F20" w:themeColor="text1"/>
              <w:left w:val="single" w:sz="4" w:space="0" w:color="231F20" w:themeColor="text1"/>
              <w:bottom w:val="single" w:sz="4" w:space="0" w:color="231F20" w:themeColor="text1"/>
              <w:right w:val="single" w:sz="4" w:space="0" w:color="231F20" w:themeColor="text1"/>
            </w:tcBorders>
            <w:vAlign w:val="center"/>
            <w:hideMark/>
          </w:tcPr>
          <w:p w14:paraId="73326E63" w14:textId="77777777" w:rsidR="00046BD5" w:rsidRPr="00DE108C" w:rsidRDefault="00046BD5">
            <w:pPr>
              <w:pStyle w:val="BodyText"/>
              <w:rPr>
                <w:b/>
                <w:sz w:val="16"/>
                <w:szCs w:val="16"/>
              </w:rPr>
            </w:pPr>
            <w:r w:rsidRPr="00DE108C">
              <w:rPr>
                <w:b/>
                <w:bCs/>
                <w:sz w:val="16"/>
                <w:szCs w:val="16"/>
              </w:rPr>
              <w:t>Total</w:t>
            </w:r>
          </w:p>
        </w:tc>
        <w:tc>
          <w:tcPr>
            <w:tcW w:w="678" w:type="pct"/>
            <w:tcBorders>
              <w:top w:val="single" w:sz="4" w:space="0" w:color="231F20" w:themeColor="text1"/>
              <w:left w:val="single" w:sz="4" w:space="0" w:color="231F20" w:themeColor="text1"/>
              <w:bottom w:val="single" w:sz="4" w:space="0" w:color="231F20" w:themeColor="text1"/>
              <w:right w:val="single" w:sz="4" w:space="0" w:color="231F20" w:themeColor="text1"/>
            </w:tcBorders>
            <w:vAlign w:val="center"/>
            <w:hideMark/>
          </w:tcPr>
          <w:p w14:paraId="70C1B7DC" w14:textId="77777777" w:rsidR="00046BD5" w:rsidRPr="00DE108C" w:rsidRDefault="00046BD5">
            <w:pPr>
              <w:pStyle w:val="BodyText"/>
              <w:rPr>
                <w:b/>
                <w:sz w:val="16"/>
                <w:szCs w:val="16"/>
              </w:rPr>
            </w:pPr>
            <w:r w:rsidRPr="00DE108C">
              <w:rPr>
                <w:sz w:val="16"/>
                <w:szCs w:val="16"/>
              </w:rPr>
              <w:t>4.3</w:t>
            </w:r>
          </w:p>
        </w:tc>
        <w:tc>
          <w:tcPr>
            <w:tcW w:w="678" w:type="pct"/>
            <w:tcBorders>
              <w:top w:val="single" w:sz="4" w:space="0" w:color="231F20" w:themeColor="text1"/>
              <w:left w:val="single" w:sz="4" w:space="0" w:color="231F20" w:themeColor="text1"/>
              <w:bottom w:val="single" w:sz="4" w:space="0" w:color="231F20" w:themeColor="text1"/>
              <w:right w:val="single" w:sz="4" w:space="0" w:color="231F20" w:themeColor="text1"/>
            </w:tcBorders>
            <w:vAlign w:val="center"/>
            <w:hideMark/>
          </w:tcPr>
          <w:p w14:paraId="52B76257" w14:textId="77777777" w:rsidR="00046BD5" w:rsidRPr="00DE108C" w:rsidRDefault="00046BD5">
            <w:pPr>
              <w:pStyle w:val="BodyText"/>
              <w:rPr>
                <w:b/>
                <w:sz w:val="16"/>
                <w:szCs w:val="16"/>
              </w:rPr>
            </w:pPr>
            <w:r w:rsidRPr="00DE108C">
              <w:rPr>
                <w:sz w:val="16"/>
                <w:szCs w:val="16"/>
              </w:rPr>
              <w:t>8.9</w:t>
            </w:r>
          </w:p>
        </w:tc>
        <w:tc>
          <w:tcPr>
            <w:tcW w:w="678" w:type="pct"/>
            <w:tcBorders>
              <w:top w:val="single" w:sz="4" w:space="0" w:color="231F20" w:themeColor="text1"/>
              <w:left w:val="single" w:sz="4" w:space="0" w:color="231F20" w:themeColor="text1"/>
              <w:bottom w:val="single" w:sz="4" w:space="0" w:color="231F20" w:themeColor="text1"/>
              <w:right w:val="single" w:sz="4" w:space="0" w:color="231F20" w:themeColor="text1"/>
            </w:tcBorders>
            <w:vAlign w:val="center"/>
            <w:hideMark/>
          </w:tcPr>
          <w:p w14:paraId="60448157" w14:textId="77777777" w:rsidR="00046BD5" w:rsidRPr="00DE108C" w:rsidRDefault="00046BD5">
            <w:pPr>
              <w:pStyle w:val="BodyText"/>
              <w:rPr>
                <w:b/>
                <w:sz w:val="16"/>
                <w:szCs w:val="16"/>
              </w:rPr>
            </w:pPr>
            <w:r w:rsidRPr="00DE108C">
              <w:rPr>
                <w:sz w:val="16"/>
                <w:szCs w:val="16"/>
              </w:rPr>
              <w:t>9.6</w:t>
            </w:r>
          </w:p>
        </w:tc>
        <w:tc>
          <w:tcPr>
            <w:tcW w:w="678" w:type="pct"/>
            <w:tcBorders>
              <w:top w:val="single" w:sz="4" w:space="0" w:color="231F20" w:themeColor="text1"/>
              <w:left w:val="single" w:sz="4" w:space="0" w:color="231F20" w:themeColor="text1"/>
              <w:bottom w:val="single" w:sz="4" w:space="0" w:color="231F20" w:themeColor="text1"/>
              <w:right w:val="single" w:sz="4" w:space="0" w:color="231F20" w:themeColor="text1"/>
            </w:tcBorders>
            <w:vAlign w:val="center"/>
            <w:hideMark/>
          </w:tcPr>
          <w:p w14:paraId="3F22C95D" w14:textId="77777777" w:rsidR="00046BD5" w:rsidRPr="00DE108C" w:rsidRDefault="00046BD5">
            <w:pPr>
              <w:pStyle w:val="BodyText"/>
              <w:rPr>
                <w:b/>
                <w:sz w:val="16"/>
                <w:szCs w:val="16"/>
              </w:rPr>
            </w:pPr>
            <w:r w:rsidRPr="00DE108C">
              <w:rPr>
                <w:sz w:val="16"/>
                <w:szCs w:val="16"/>
              </w:rPr>
              <w:t>5.6</w:t>
            </w:r>
          </w:p>
        </w:tc>
        <w:tc>
          <w:tcPr>
            <w:tcW w:w="678" w:type="pct"/>
            <w:tcBorders>
              <w:top w:val="single" w:sz="4" w:space="0" w:color="231F20" w:themeColor="text1"/>
              <w:left w:val="single" w:sz="4" w:space="0" w:color="231F20" w:themeColor="text1"/>
              <w:bottom w:val="single" w:sz="4" w:space="0" w:color="231F20" w:themeColor="text1"/>
              <w:right w:val="single" w:sz="4" w:space="0" w:color="231F20" w:themeColor="text1"/>
            </w:tcBorders>
            <w:vAlign w:val="center"/>
            <w:hideMark/>
          </w:tcPr>
          <w:p w14:paraId="3493B7B2" w14:textId="77777777" w:rsidR="00046BD5" w:rsidRPr="00DE108C" w:rsidRDefault="00046BD5">
            <w:pPr>
              <w:pStyle w:val="BodyText"/>
              <w:rPr>
                <w:b/>
                <w:sz w:val="16"/>
                <w:szCs w:val="16"/>
              </w:rPr>
            </w:pPr>
            <w:r w:rsidRPr="00DE108C">
              <w:rPr>
                <w:sz w:val="16"/>
                <w:szCs w:val="16"/>
              </w:rPr>
              <w:t>4.6</w:t>
            </w:r>
          </w:p>
        </w:tc>
        <w:tc>
          <w:tcPr>
            <w:tcW w:w="832" w:type="pct"/>
            <w:tcBorders>
              <w:top w:val="single" w:sz="4" w:space="0" w:color="231F20" w:themeColor="text1"/>
              <w:left w:val="single" w:sz="4" w:space="0" w:color="231F20" w:themeColor="text1"/>
              <w:bottom w:val="single" w:sz="4" w:space="0" w:color="231F20" w:themeColor="text1"/>
              <w:right w:val="single" w:sz="4" w:space="0" w:color="231F20" w:themeColor="text1"/>
            </w:tcBorders>
            <w:vAlign w:val="center"/>
            <w:hideMark/>
          </w:tcPr>
          <w:p w14:paraId="21FB095F" w14:textId="5B0E9ABA" w:rsidR="00046BD5" w:rsidRPr="00DE108C" w:rsidRDefault="00046BD5">
            <w:pPr>
              <w:pStyle w:val="BodyText"/>
              <w:rPr>
                <w:b/>
                <w:sz w:val="16"/>
                <w:szCs w:val="16"/>
              </w:rPr>
            </w:pPr>
            <w:r w:rsidRPr="00DE108C">
              <w:rPr>
                <w:b/>
                <w:bCs/>
                <w:sz w:val="16"/>
                <w:szCs w:val="16"/>
              </w:rPr>
              <w:t>3</w:t>
            </w:r>
            <w:r w:rsidR="00C12CEA" w:rsidRPr="00DE108C">
              <w:rPr>
                <w:b/>
                <w:bCs/>
                <w:sz w:val="16"/>
                <w:szCs w:val="16"/>
              </w:rPr>
              <w:t>3</w:t>
            </w:r>
            <w:r w:rsidRPr="00DE108C">
              <w:rPr>
                <w:b/>
                <w:bCs/>
                <w:sz w:val="16"/>
                <w:szCs w:val="16"/>
              </w:rPr>
              <w:t>.1</w:t>
            </w:r>
          </w:p>
        </w:tc>
      </w:tr>
    </w:tbl>
    <w:p w14:paraId="332566AE" w14:textId="77777777" w:rsidR="00046BD5" w:rsidRPr="00DE108C" w:rsidRDefault="00046BD5">
      <w:pPr>
        <w:pStyle w:val="BodyText"/>
      </w:pPr>
    </w:p>
    <w:p w14:paraId="3CE0F069" w14:textId="0CAB5E1B" w:rsidR="00046BD5" w:rsidRPr="00DE108C" w:rsidRDefault="00046BD5" w:rsidP="00D0540F">
      <w:pPr>
        <w:pStyle w:val="Heading4"/>
      </w:pPr>
      <w:r w:rsidRPr="00DE108C">
        <w:t>7.</w:t>
      </w:r>
      <w:r w:rsidR="00D0540F" w:rsidRPr="00DE108C">
        <w:t>3.3</w:t>
      </w:r>
      <w:r w:rsidRPr="00DE108C">
        <w:t>.2 Operational technology expenditure</w:t>
      </w:r>
    </w:p>
    <w:p w14:paraId="1C73C5C3" w14:textId="788337C1" w:rsidR="00046BD5" w:rsidRPr="00DE108C" w:rsidRDefault="00046BD5">
      <w:pPr>
        <w:pStyle w:val="BodyText"/>
      </w:pPr>
      <w:r w:rsidRPr="00DE108C">
        <w:t>New and changed obligations and capital works will result in additional opex of $15.0 million over the next regulatory period</w:t>
      </w:r>
      <w:r w:rsidR="00960745" w:rsidRPr="00960745">
        <w:t xml:space="preserve"> for operational technology (sometimes referred to as Asset Knowledge and Technology).</w:t>
      </w:r>
      <w:r w:rsidRPr="00DE108C">
        <w:t xml:space="preserve"> This has been built by considering:</w:t>
      </w:r>
    </w:p>
    <w:p w14:paraId="2076869C" w14:textId="4569D8C3" w:rsidR="00046BD5" w:rsidRPr="00DE108C" w:rsidRDefault="00046BD5" w:rsidP="00A10F6B">
      <w:pPr>
        <w:pStyle w:val="ListBullet"/>
      </w:pPr>
      <w:r w:rsidRPr="00DE108C">
        <w:rPr>
          <w:b/>
          <w:bCs/>
        </w:rPr>
        <w:t xml:space="preserve">Legislative requirements to meet the </w:t>
      </w:r>
      <w:r w:rsidRPr="00A10F6B">
        <w:rPr>
          <w:b/>
          <w:i/>
        </w:rPr>
        <w:t>SOCI</w:t>
      </w:r>
      <w:r w:rsidRPr="00DE108C">
        <w:rPr>
          <w:b/>
          <w:bCs/>
        </w:rPr>
        <w:t xml:space="preserve"> Act:</w:t>
      </w:r>
      <w:r w:rsidRPr="00DE108C">
        <w:t xml:space="preserve"> Significant amendments have occurred to the </w:t>
      </w:r>
      <w:r w:rsidRPr="00A10F6B">
        <w:rPr>
          <w:i/>
        </w:rPr>
        <w:t>SOCI</w:t>
      </w:r>
      <w:r w:rsidRPr="00DE108C">
        <w:t xml:space="preserve"> Act that has resulted in a change in security patching from 60 days to 30 days. With current staffing arrangements at full capacity, an increase in </w:t>
      </w:r>
      <w:r>
        <w:t>F</w:t>
      </w:r>
      <w:r w:rsidR="2D441F3A">
        <w:t>ull</w:t>
      </w:r>
      <w:r w:rsidR="35960901">
        <w:t>-</w:t>
      </w:r>
      <w:r>
        <w:t>T</w:t>
      </w:r>
      <w:r w:rsidR="6D05B724">
        <w:t xml:space="preserve">ime </w:t>
      </w:r>
      <w:r w:rsidR="35587E5E">
        <w:t xml:space="preserve">Equivalent </w:t>
      </w:r>
      <w:r w:rsidR="70F89D6E">
        <w:t>(FTE)</w:t>
      </w:r>
      <w:r w:rsidR="35587E5E">
        <w:t xml:space="preserve"> </w:t>
      </w:r>
      <w:r w:rsidRPr="00DE108C">
        <w:t xml:space="preserve">by five is required to meet our obligations in addition to an additional $0.6 million per year in vendor costs to meet patching requirements. </w:t>
      </w:r>
    </w:p>
    <w:p w14:paraId="7E16CE0F" w14:textId="77777777" w:rsidR="00046BD5" w:rsidRPr="00DE108C" w:rsidRDefault="00046BD5" w:rsidP="00A10F6B">
      <w:pPr>
        <w:pStyle w:val="ListBullet"/>
      </w:pPr>
      <w:r w:rsidRPr="00DE108C">
        <w:rPr>
          <w:b/>
          <w:bCs/>
        </w:rPr>
        <w:t>Right to Disconnect obligations:</w:t>
      </w:r>
      <w:r w:rsidRPr="00A10F6B">
        <w:rPr>
          <w:b/>
        </w:rPr>
        <w:t xml:space="preserve"> </w:t>
      </w:r>
      <w:r w:rsidRPr="00DE108C">
        <w:t xml:space="preserve">Due to obligation changes under Commonwealth labour laws, an additional three FTEs are required to ensure that we are able to comply. </w:t>
      </w:r>
    </w:p>
    <w:p w14:paraId="4BEC08EA" w14:textId="77777777" w:rsidR="00046BD5" w:rsidRPr="00DE108C" w:rsidRDefault="00046BD5" w:rsidP="00A10F6B">
      <w:pPr>
        <w:pStyle w:val="ListBullet"/>
      </w:pPr>
      <w:r w:rsidRPr="00A10F6B">
        <w:rPr>
          <w:b/>
        </w:rPr>
        <w:t>Professional Engineers Registration Act:</w:t>
      </w:r>
      <w:r w:rsidRPr="00DE108C">
        <w:t xml:space="preserve"> The Act requires unregistered engineers to be directly supervised by a registered engineer. With the current out-source model, we have engaged with our vendors and software developers to ascertain the qualifications (predominantly trade qualifications) and therefore, will require an additional two FTEs to ensure that we remain compliant with the Act. </w:t>
      </w:r>
    </w:p>
    <w:p w14:paraId="391ECF67" w14:textId="77777777" w:rsidR="00046BD5" w:rsidRPr="00DE108C" w:rsidRDefault="00046BD5" w:rsidP="00A10F6B">
      <w:pPr>
        <w:pStyle w:val="ListBullet"/>
      </w:pPr>
      <w:r w:rsidRPr="00DE108C">
        <w:rPr>
          <w:b/>
          <w:bCs/>
        </w:rPr>
        <w:t>Policy changes under the Victorian Digital Asset Policy (VDAP):</w:t>
      </w:r>
      <w:r w:rsidRPr="00DE108C">
        <w:t xml:space="preserve"> Requires an update of 240,000 engineering drawings with an additional two FTEs to complete the task and continued management of the digital drawings. </w:t>
      </w:r>
    </w:p>
    <w:p w14:paraId="6E076673" w14:textId="19B4DAB0" w:rsidR="00046BD5" w:rsidRPr="00DE108C" w:rsidRDefault="00046BD5" w:rsidP="00A10F6B">
      <w:pPr>
        <w:pStyle w:val="ListBullet"/>
      </w:pPr>
      <w:r w:rsidRPr="00DE108C">
        <w:rPr>
          <w:b/>
          <w:bCs/>
        </w:rPr>
        <w:t>Support the delivery of the new SCADA system:</w:t>
      </w:r>
      <w:r w:rsidRPr="00DE108C">
        <w:t xml:space="preserve"> Will result in a short-term uplift in expenditure and a long-term saving in SCADA licences compared to current spend. Five additional FTEs are required to deliver the SCADA work – two of which are required to be supervisory registered engineers as required under the </w:t>
      </w:r>
      <w:r w:rsidRPr="00A10F6B">
        <w:t>Professional Engineers Registration Act</w:t>
      </w:r>
      <w:r w:rsidRPr="00DE108C">
        <w:t xml:space="preserve">. To support </w:t>
      </w:r>
      <w:r>
        <w:t>deliver</w:t>
      </w:r>
      <w:r w:rsidR="204465EB">
        <w:t>y</w:t>
      </w:r>
      <w:r w:rsidRPr="00DE108C">
        <w:t xml:space="preserve"> of the capital works</w:t>
      </w:r>
      <w:r w:rsidR="1044B443">
        <w:t>,</w:t>
      </w:r>
      <w:r w:rsidRPr="00DE108C">
        <w:t xml:space="preserve"> we are forecasting additional licencing costs of $1.2 million per year from 2026-27 to 2028-29, after which we are anticipating a $0.3 million per year saving in licencing costs compared to 2024-25. </w:t>
      </w:r>
    </w:p>
    <w:p w14:paraId="2CF24749" w14:textId="77777777" w:rsidR="00046BD5" w:rsidRPr="00DE108C" w:rsidRDefault="00046BD5">
      <w:pPr>
        <w:pStyle w:val="BodyText"/>
      </w:pPr>
      <w:r w:rsidRPr="00DE108C">
        <w:t>We have forecast a 15 per cent labour efficiency on the FTE increases. This has resulted in a reduction in additional labour costs forecast into PS26. The cost changes are detailed in Table 7.12.</w:t>
      </w:r>
    </w:p>
    <w:p w14:paraId="65A57896" w14:textId="77777777" w:rsidR="00046BD5" w:rsidRPr="00DE108C" w:rsidRDefault="00046BD5">
      <w:pPr>
        <w:pStyle w:val="Caption"/>
      </w:pPr>
      <w:bookmarkStart w:id="736" w:name="_Toc207893062"/>
      <w:bookmarkStart w:id="737" w:name="_Toc208490586"/>
      <w:bookmarkStart w:id="738" w:name="_Toc208490924"/>
      <w:bookmarkStart w:id="739" w:name="_Toc208911082"/>
      <w:bookmarkStart w:id="740" w:name="_Toc210051388"/>
      <w:r w:rsidRPr="00DE108C">
        <w:lastRenderedPageBreak/>
        <w:t>Table 7.12: Forecast additional costs to meet obligations and new capital works in operational technology ($millions, real 2025-26)</w:t>
      </w:r>
      <w:bookmarkEnd w:id="736"/>
      <w:bookmarkEnd w:id="737"/>
      <w:bookmarkEnd w:id="738"/>
      <w:bookmarkEnd w:id="739"/>
      <w:bookmarkEnd w:id="740"/>
    </w:p>
    <w:tbl>
      <w:tblPr>
        <w:tblStyle w:val="MWTableGrid"/>
        <w:tblW w:w="5000" w:type="pct"/>
        <w:tblLook w:val="0420" w:firstRow="1" w:lastRow="0" w:firstColumn="0" w:lastColumn="0" w:noHBand="0" w:noVBand="1"/>
      </w:tblPr>
      <w:tblGrid>
        <w:gridCol w:w="1659"/>
        <w:gridCol w:w="1328"/>
        <w:gridCol w:w="1329"/>
        <w:gridCol w:w="1329"/>
        <w:gridCol w:w="1329"/>
        <w:gridCol w:w="1329"/>
        <w:gridCol w:w="1325"/>
      </w:tblGrid>
      <w:tr w:rsidR="00556A0D" w:rsidRPr="00BB3262" w14:paraId="1C196F7C" w14:textId="26C6CF9E" w:rsidTr="00BB3262">
        <w:trPr>
          <w:cnfStyle w:val="100000000000" w:firstRow="1" w:lastRow="0" w:firstColumn="0" w:lastColumn="0" w:oddVBand="0" w:evenVBand="0" w:oddHBand="0" w:evenHBand="0" w:firstRowFirstColumn="0" w:firstRowLastColumn="0" w:lastRowFirstColumn="0" w:lastRowLastColumn="0"/>
        </w:trPr>
        <w:tc>
          <w:tcPr>
            <w:tcW w:w="862" w:type="pct"/>
            <w:hideMark/>
          </w:tcPr>
          <w:p w14:paraId="180FEDC2" w14:textId="77777777" w:rsidR="004F0B5F" w:rsidRPr="00BB3262" w:rsidRDefault="004F0B5F">
            <w:pPr>
              <w:pStyle w:val="BodyText"/>
              <w:rPr>
                <w:b/>
                <w:color w:val="FFFFFF" w:themeColor="background1"/>
                <w:sz w:val="16"/>
                <w:szCs w:val="16"/>
              </w:rPr>
            </w:pPr>
          </w:p>
        </w:tc>
        <w:tc>
          <w:tcPr>
            <w:tcW w:w="690" w:type="pct"/>
            <w:hideMark/>
          </w:tcPr>
          <w:p w14:paraId="3620E818" w14:textId="77777777" w:rsidR="004F0B5F" w:rsidRPr="00BB3262" w:rsidRDefault="004F0B5F">
            <w:pPr>
              <w:pStyle w:val="BodyText"/>
              <w:rPr>
                <w:b/>
                <w:color w:val="FFFFFF" w:themeColor="background1"/>
                <w:sz w:val="16"/>
                <w:szCs w:val="16"/>
              </w:rPr>
            </w:pPr>
            <w:r w:rsidRPr="00BB3262">
              <w:rPr>
                <w:b/>
                <w:color w:val="FFFFFF" w:themeColor="background1"/>
                <w:sz w:val="16"/>
                <w:szCs w:val="16"/>
              </w:rPr>
              <w:t>2026-27</w:t>
            </w:r>
          </w:p>
        </w:tc>
        <w:tc>
          <w:tcPr>
            <w:tcW w:w="690" w:type="pct"/>
            <w:hideMark/>
          </w:tcPr>
          <w:p w14:paraId="2774B889" w14:textId="77777777" w:rsidR="004F0B5F" w:rsidRPr="00BB3262" w:rsidRDefault="004F0B5F">
            <w:pPr>
              <w:pStyle w:val="BodyText"/>
              <w:rPr>
                <w:b/>
                <w:color w:val="FFFFFF" w:themeColor="background1"/>
                <w:sz w:val="16"/>
                <w:szCs w:val="16"/>
              </w:rPr>
            </w:pPr>
            <w:r w:rsidRPr="00BB3262">
              <w:rPr>
                <w:b/>
                <w:color w:val="FFFFFF" w:themeColor="background1"/>
                <w:sz w:val="16"/>
                <w:szCs w:val="16"/>
              </w:rPr>
              <w:t>2027-28</w:t>
            </w:r>
          </w:p>
        </w:tc>
        <w:tc>
          <w:tcPr>
            <w:tcW w:w="690" w:type="pct"/>
            <w:hideMark/>
          </w:tcPr>
          <w:p w14:paraId="43D8351D" w14:textId="77777777" w:rsidR="004F0B5F" w:rsidRPr="00BB3262" w:rsidRDefault="004F0B5F">
            <w:pPr>
              <w:pStyle w:val="BodyText"/>
              <w:rPr>
                <w:b/>
                <w:color w:val="FFFFFF" w:themeColor="background1"/>
                <w:sz w:val="16"/>
                <w:szCs w:val="16"/>
              </w:rPr>
            </w:pPr>
            <w:r w:rsidRPr="00BB3262">
              <w:rPr>
                <w:b/>
                <w:color w:val="FFFFFF" w:themeColor="background1"/>
                <w:sz w:val="16"/>
                <w:szCs w:val="16"/>
              </w:rPr>
              <w:t>2028-29</w:t>
            </w:r>
          </w:p>
        </w:tc>
        <w:tc>
          <w:tcPr>
            <w:tcW w:w="690" w:type="pct"/>
            <w:hideMark/>
          </w:tcPr>
          <w:p w14:paraId="587A6F1A" w14:textId="77777777" w:rsidR="004F0B5F" w:rsidRPr="00BB3262" w:rsidRDefault="004F0B5F">
            <w:pPr>
              <w:pStyle w:val="BodyText"/>
              <w:rPr>
                <w:b/>
                <w:color w:val="FFFFFF" w:themeColor="background1"/>
                <w:sz w:val="16"/>
                <w:szCs w:val="16"/>
              </w:rPr>
            </w:pPr>
            <w:r w:rsidRPr="00BB3262">
              <w:rPr>
                <w:b/>
                <w:color w:val="FFFFFF" w:themeColor="background1"/>
                <w:sz w:val="16"/>
                <w:szCs w:val="16"/>
              </w:rPr>
              <w:t>2029-30</w:t>
            </w:r>
          </w:p>
        </w:tc>
        <w:tc>
          <w:tcPr>
            <w:tcW w:w="690" w:type="pct"/>
            <w:hideMark/>
          </w:tcPr>
          <w:p w14:paraId="6C0522EB" w14:textId="77777777" w:rsidR="004F0B5F" w:rsidRPr="00BB3262" w:rsidRDefault="004F0B5F">
            <w:pPr>
              <w:pStyle w:val="BodyText"/>
              <w:rPr>
                <w:b/>
                <w:color w:val="FFFFFF" w:themeColor="background1"/>
                <w:sz w:val="16"/>
                <w:szCs w:val="16"/>
              </w:rPr>
            </w:pPr>
            <w:r w:rsidRPr="00BB3262">
              <w:rPr>
                <w:b/>
                <w:color w:val="FFFFFF" w:themeColor="background1"/>
                <w:sz w:val="16"/>
                <w:szCs w:val="16"/>
              </w:rPr>
              <w:t>2030-31</w:t>
            </w:r>
          </w:p>
        </w:tc>
        <w:tc>
          <w:tcPr>
            <w:tcW w:w="688" w:type="pct"/>
          </w:tcPr>
          <w:p w14:paraId="3417A8C8" w14:textId="1FC65BF7" w:rsidR="004F0B5F" w:rsidRPr="00BB3262" w:rsidRDefault="004F0B5F">
            <w:pPr>
              <w:pStyle w:val="BodyText"/>
              <w:rPr>
                <w:b/>
                <w:color w:val="FFFFFF" w:themeColor="background1"/>
                <w:sz w:val="16"/>
                <w:szCs w:val="16"/>
              </w:rPr>
            </w:pPr>
            <w:r w:rsidRPr="00BB3262">
              <w:rPr>
                <w:b/>
                <w:color w:val="FFFFFF" w:themeColor="background1"/>
                <w:sz w:val="16"/>
                <w:szCs w:val="16"/>
              </w:rPr>
              <w:t>Total PS26</w:t>
            </w:r>
          </w:p>
        </w:tc>
      </w:tr>
      <w:tr w:rsidR="00BB3262" w:rsidRPr="00BB3262" w14:paraId="77992373" w14:textId="3FF5878C" w:rsidTr="00BB3262">
        <w:tc>
          <w:tcPr>
            <w:tcW w:w="862" w:type="pct"/>
            <w:hideMark/>
          </w:tcPr>
          <w:p w14:paraId="16D6A0EC" w14:textId="77777777" w:rsidR="00BB3262" w:rsidRPr="00BB3262" w:rsidRDefault="00BB3262" w:rsidP="00BB3262">
            <w:pPr>
              <w:pStyle w:val="BodyText"/>
              <w:rPr>
                <w:sz w:val="16"/>
                <w:szCs w:val="16"/>
              </w:rPr>
            </w:pPr>
            <w:r w:rsidRPr="00BB3262">
              <w:rPr>
                <w:sz w:val="16"/>
                <w:szCs w:val="16"/>
              </w:rPr>
              <w:t>Labour</w:t>
            </w:r>
          </w:p>
        </w:tc>
        <w:tc>
          <w:tcPr>
            <w:tcW w:w="690" w:type="pct"/>
            <w:vAlign w:val="center"/>
          </w:tcPr>
          <w:p w14:paraId="42E82C0A" w14:textId="41BDCC5E" w:rsidR="00BB3262" w:rsidRPr="00BB3262" w:rsidRDefault="00BB3262" w:rsidP="00BB3262">
            <w:pPr>
              <w:pStyle w:val="BodyText"/>
              <w:rPr>
                <w:sz w:val="16"/>
                <w:szCs w:val="16"/>
              </w:rPr>
            </w:pPr>
            <w:r w:rsidRPr="00BB3262">
              <w:rPr>
                <w:rFonts w:ascii="Verdana" w:hAnsi="Verdana" w:cs="Arial"/>
                <w:color w:val="231F20"/>
                <w:sz w:val="16"/>
                <w:szCs w:val="16"/>
              </w:rPr>
              <w:t xml:space="preserve"> 1.8 </w:t>
            </w:r>
          </w:p>
        </w:tc>
        <w:tc>
          <w:tcPr>
            <w:tcW w:w="690" w:type="pct"/>
            <w:vAlign w:val="center"/>
          </w:tcPr>
          <w:p w14:paraId="5FEE5F36" w14:textId="6347EF67" w:rsidR="00BB3262" w:rsidRPr="00BB3262" w:rsidRDefault="00BB3262" w:rsidP="00BB3262">
            <w:pPr>
              <w:pStyle w:val="BodyText"/>
              <w:rPr>
                <w:sz w:val="16"/>
                <w:szCs w:val="16"/>
              </w:rPr>
            </w:pPr>
            <w:r w:rsidRPr="00BB3262">
              <w:rPr>
                <w:rFonts w:ascii="Verdana" w:hAnsi="Verdana" w:cs="Arial"/>
                <w:color w:val="231F20"/>
                <w:sz w:val="16"/>
                <w:szCs w:val="16"/>
              </w:rPr>
              <w:t xml:space="preserve"> 1.8 </w:t>
            </w:r>
          </w:p>
        </w:tc>
        <w:tc>
          <w:tcPr>
            <w:tcW w:w="690" w:type="pct"/>
            <w:vAlign w:val="center"/>
          </w:tcPr>
          <w:p w14:paraId="56C783D1" w14:textId="08C1AEE6" w:rsidR="00BB3262" w:rsidRPr="00BB3262" w:rsidRDefault="00BB3262" w:rsidP="00BB3262">
            <w:pPr>
              <w:pStyle w:val="BodyText"/>
              <w:rPr>
                <w:sz w:val="16"/>
                <w:szCs w:val="16"/>
              </w:rPr>
            </w:pPr>
            <w:r w:rsidRPr="00BB3262">
              <w:rPr>
                <w:rFonts w:ascii="Verdana" w:hAnsi="Verdana" w:cs="Arial"/>
                <w:color w:val="231F20"/>
                <w:sz w:val="16"/>
                <w:szCs w:val="16"/>
              </w:rPr>
              <w:t xml:space="preserve"> 2.2 </w:t>
            </w:r>
          </w:p>
        </w:tc>
        <w:tc>
          <w:tcPr>
            <w:tcW w:w="690" w:type="pct"/>
            <w:vAlign w:val="center"/>
          </w:tcPr>
          <w:p w14:paraId="3F18C3AA" w14:textId="2D78C64B" w:rsidR="00BB3262" w:rsidRPr="00BB3262" w:rsidRDefault="00BB3262" w:rsidP="00BB3262">
            <w:pPr>
              <w:pStyle w:val="BodyText"/>
              <w:rPr>
                <w:sz w:val="16"/>
                <w:szCs w:val="16"/>
              </w:rPr>
            </w:pPr>
            <w:r w:rsidRPr="00BB3262">
              <w:rPr>
                <w:rFonts w:ascii="Verdana" w:hAnsi="Verdana" w:cs="Arial"/>
                <w:color w:val="231F20"/>
                <w:sz w:val="16"/>
                <w:szCs w:val="16"/>
              </w:rPr>
              <w:t xml:space="preserve"> 1.5 </w:t>
            </w:r>
          </w:p>
        </w:tc>
        <w:tc>
          <w:tcPr>
            <w:tcW w:w="690" w:type="pct"/>
            <w:vAlign w:val="center"/>
          </w:tcPr>
          <w:p w14:paraId="34172953" w14:textId="1A567B8B" w:rsidR="00BB3262" w:rsidRPr="00BB3262" w:rsidRDefault="00BB3262" w:rsidP="00BB3262">
            <w:pPr>
              <w:pStyle w:val="BodyText"/>
              <w:rPr>
                <w:sz w:val="16"/>
                <w:szCs w:val="16"/>
              </w:rPr>
            </w:pPr>
            <w:r w:rsidRPr="00BB3262">
              <w:rPr>
                <w:rFonts w:ascii="Verdana" w:hAnsi="Verdana" w:cs="Arial"/>
                <w:color w:val="231F20"/>
                <w:sz w:val="16"/>
                <w:szCs w:val="16"/>
              </w:rPr>
              <w:t xml:space="preserve"> 1.5 </w:t>
            </w:r>
          </w:p>
        </w:tc>
        <w:tc>
          <w:tcPr>
            <w:tcW w:w="688" w:type="pct"/>
            <w:vAlign w:val="center"/>
          </w:tcPr>
          <w:p w14:paraId="495DE086" w14:textId="02CE4117" w:rsidR="00BB3262" w:rsidRPr="00BB3262" w:rsidRDefault="00BB3262" w:rsidP="00BB3262">
            <w:pPr>
              <w:pStyle w:val="BodyText"/>
              <w:rPr>
                <w:rFonts w:ascii="Verdana" w:hAnsi="Verdana" w:cs="Arial"/>
                <w:b/>
                <w:color w:val="231F20"/>
                <w:sz w:val="16"/>
                <w:szCs w:val="16"/>
              </w:rPr>
            </w:pPr>
            <w:r w:rsidRPr="00BB3262">
              <w:rPr>
                <w:rFonts w:ascii="Verdana" w:hAnsi="Verdana" w:cs="Arial"/>
                <w:b/>
                <w:bCs/>
                <w:color w:val="231F20"/>
                <w:sz w:val="16"/>
                <w:szCs w:val="16"/>
              </w:rPr>
              <w:t xml:space="preserve"> 8.9 </w:t>
            </w:r>
          </w:p>
        </w:tc>
      </w:tr>
      <w:tr w:rsidR="00556A0D" w:rsidRPr="00BB3262" w14:paraId="76BA934D" w14:textId="0496E455" w:rsidTr="00BB3262">
        <w:trPr>
          <w:cnfStyle w:val="000000010000" w:firstRow="0" w:lastRow="0" w:firstColumn="0" w:lastColumn="0" w:oddVBand="0" w:evenVBand="0" w:oddHBand="0" w:evenHBand="1" w:firstRowFirstColumn="0" w:firstRowLastColumn="0" w:lastRowFirstColumn="0" w:lastRowLastColumn="0"/>
        </w:trPr>
        <w:tc>
          <w:tcPr>
            <w:tcW w:w="862" w:type="pct"/>
          </w:tcPr>
          <w:p w14:paraId="48F1EBDC" w14:textId="77777777" w:rsidR="00BB3262" w:rsidRPr="00BB3262" w:rsidRDefault="00BB3262" w:rsidP="00BB3262">
            <w:pPr>
              <w:pStyle w:val="BodyText"/>
              <w:rPr>
                <w:sz w:val="16"/>
                <w:szCs w:val="16"/>
              </w:rPr>
            </w:pPr>
            <w:r w:rsidRPr="00BB3262">
              <w:rPr>
                <w:sz w:val="16"/>
                <w:szCs w:val="16"/>
              </w:rPr>
              <w:t>Non-labour</w:t>
            </w:r>
          </w:p>
        </w:tc>
        <w:tc>
          <w:tcPr>
            <w:tcW w:w="690" w:type="pct"/>
            <w:vAlign w:val="center"/>
          </w:tcPr>
          <w:p w14:paraId="03F24525" w14:textId="503C629E" w:rsidR="00BB3262" w:rsidRPr="00BB3262" w:rsidRDefault="00BB3262" w:rsidP="00BB3262">
            <w:pPr>
              <w:pStyle w:val="BodyText"/>
              <w:rPr>
                <w:sz w:val="16"/>
                <w:szCs w:val="16"/>
              </w:rPr>
            </w:pPr>
            <w:r w:rsidRPr="00BB3262">
              <w:rPr>
                <w:rFonts w:ascii="Verdana" w:hAnsi="Verdana" w:cs="Arial"/>
                <w:color w:val="231F20"/>
                <w:sz w:val="16"/>
                <w:szCs w:val="16"/>
              </w:rPr>
              <w:t xml:space="preserve"> 1.8 </w:t>
            </w:r>
          </w:p>
        </w:tc>
        <w:tc>
          <w:tcPr>
            <w:tcW w:w="690" w:type="pct"/>
            <w:vAlign w:val="center"/>
          </w:tcPr>
          <w:p w14:paraId="00535757" w14:textId="18B16A19" w:rsidR="00BB3262" w:rsidRPr="00BB3262" w:rsidRDefault="00BB3262" w:rsidP="00BB3262">
            <w:pPr>
              <w:pStyle w:val="BodyText"/>
              <w:rPr>
                <w:sz w:val="16"/>
                <w:szCs w:val="16"/>
              </w:rPr>
            </w:pPr>
            <w:r w:rsidRPr="00BB3262">
              <w:rPr>
                <w:rFonts w:ascii="Verdana" w:hAnsi="Verdana" w:cs="Arial"/>
                <w:color w:val="231F20"/>
                <w:sz w:val="16"/>
                <w:szCs w:val="16"/>
              </w:rPr>
              <w:t xml:space="preserve"> 1.8 </w:t>
            </w:r>
          </w:p>
        </w:tc>
        <w:tc>
          <w:tcPr>
            <w:tcW w:w="690" w:type="pct"/>
            <w:vAlign w:val="center"/>
          </w:tcPr>
          <w:p w14:paraId="184A4F3E" w14:textId="567339A9" w:rsidR="00BB3262" w:rsidRPr="00BB3262" w:rsidRDefault="00BB3262" w:rsidP="00BB3262">
            <w:pPr>
              <w:pStyle w:val="BodyText"/>
              <w:rPr>
                <w:sz w:val="16"/>
                <w:szCs w:val="16"/>
              </w:rPr>
            </w:pPr>
            <w:r w:rsidRPr="00BB3262">
              <w:rPr>
                <w:rFonts w:ascii="Verdana" w:hAnsi="Verdana" w:cs="Arial"/>
                <w:color w:val="231F20"/>
                <w:sz w:val="16"/>
                <w:szCs w:val="16"/>
              </w:rPr>
              <w:t xml:space="preserve"> 1.8 </w:t>
            </w:r>
          </w:p>
        </w:tc>
        <w:tc>
          <w:tcPr>
            <w:tcW w:w="690" w:type="pct"/>
            <w:vAlign w:val="center"/>
          </w:tcPr>
          <w:p w14:paraId="75CEBE8F" w14:textId="1F4DDA02" w:rsidR="00BB3262" w:rsidRPr="00BB3262" w:rsidRDefault="00BB3262" w:rsidP="00BB3262">
            <w:pPr>
              <w:pStyle w:val="BodyText"/>
              <w:rPr>
                <w:sz w:val="16"/>
                <w:szCs w:val="16"/>
              </w:rPr>
            </w:pPr>
            <w:r w:rsidRPr="00BB3262">
              <w:rPr>
                <w:rFonts w:ascii="Verdana" w:hAnsi="Verdana" w:cs="Arial"/>
                <w:color w:val="231F20"/>
                <w:sz w:val="16"/>
                <w:szCs w:val="16"/>
              </w:rPr>
              <w:t xml:space="preserve"> 0.3 </w:t>
            </w:r>
          </w:p>
        </w:tc>
        <w:tc>
          <w:tcPr>
            <w:tcW w:w="690" w:type="pct"/>
            <w:vAlign w:val="center"/>
          </w:tcPr>
          <w:p w14:paraId="177175A2" w14:textId="141E8131" w:rsidR="00BB3262" w:rsidRPr="00BB3262" w:rsidRDefault="00BB3262" w:rsidP="00BB3262">
            <w:pPr>
              <w:pStyle w:val="BodyText"/>
              <w:rPr>
                <w:sz w:val="16"/>
                <w:szCs w:val="16"/>
              </w:rPr>
            </w:pPr>
            <w:r w:rsidRPr="00BB3262">
              <w:rPr>
                <w:rFonts w:ascii="Verdana" w:hAnsi="Verdana" w:cs="Arial"/>
                <w:color w:val="231F20"/>
                <w:sz w:val="16"/>
                <w:szCs w:val="16"/>
              </w:rPr>
              <w:t xml:space="preserve"> 0.3 </w:t>
            </w:r>
          </w:p>
        </w:tc>
        <w:tc>
          <w:tcPr>
            <w:tcW w:w="688" w:type="pct"/>
            <w:vAlign w:val="center"/>
          </w:tcPr>
          <w:p w14:paraId="2BC235E5" w14:textId="714EE61A" w:rsidR="00BB3262" w:rsidRPr="00BB3262" w:rsidRDefault="00BB3262" w:rsidP="00BB3262">
            <w:pPr>
              <w:pStyle w:val="BodyText"/>
              <w:rPr>
                <w:rFonts w:ascii="Verdana" w:hAnsi="Verdana" w:cs="Arial"/>
                <w:b/>
                <w:color w:val="231F20"/>
                <w:sz w:val="16"/>
                <w:szCs w:val="16"/>
              </w:rPr>
            </w:pPr>
            <w:r w:rsidRPr="00BB3262">
              <w:rPr>
                <w:rFonts w:ascii="Verdana" w:hAnsi="Verdana" w:cs="Arial"/>
                <w:b/>
                <w:bCs/>
                <w:color w:val="231F20"/>
                <w:sz w:val="16"/>
                <w:szCs w:val="16"/>
              </w:rPr>
              <w:t xml:space="preserve"> 5.9 </w:t>
            </w:r>
          </w:p>
        </w:tc>
      </w:tr>
      <w:tr w:rsidR="00BB3262" w:rsidRPr="00BB3262" w14:paraId="2C50BBDF" w14:textId="14D8323F" w:rsidTr="00BB3262">
        <w:tc>
          <w:tcPr>
            <w:tcW w:w="862" w:type="pct"/>
          </w:tcPr>
          <w:p w14:paraId="6EB1EDCD" w14:textId="77777777" w:rsidR="00BB3262" w:rsidRPr="00BB3262" w:rsidRDefault="00BB3262" w:rsidP="00BB3262">
            <w:pPr>
              <w:pStyle w:val="BodyText"/>
              <w:rPr>
                <w:b/>
                <w:bCs/>
                <w:sz w:val="16"/>
                <w:szCs w:val="16"/>
              </w:rPr>
            </w:pPr>
            <w:r w:rsidRPr="00BB3262">
              <w:rPr>
                <w:b/>
                <w:bCs/>
                <w:sz w:val="16"/>
                <w:szCs w:val="16"/>
              </w:rPr>
              <w:t xml:space="preserve">Total </w:t>
            </w:r>
          </w:p>
        </w:tc>
        <w:tc>
          <w:tcPr>
            <w:tcW w:w="690" w:type="pct"/>
            <w:vAlign w:val="center"/>
          </w:tcPr>
          <w:p w14:paraId="3AFCC2FD" w14:textId="404458DE" w:rsidR="00BB3262" w:rsidRPr="00BB3262" w:rsidRDefault="00BB3262" w:rsidP="00BB3262">
            <w:pPr>
              <w:pStyle w:val="BodyText"/>
              <w:rPr>
                <w:b/>
                <w:bCs/>
                <w:sz w:val="16"/>
                <w:szCs w:val="16"/>
              </w:rPr>
            </w:pPr>
            <w:r w:rsidRPr="00BB3262">
              <w:rPr>
                <w:rFonts w:ascii="Verdana" w:hAnsi="Verdana" w:cs="Arial"/>
                <w:b/>
                <w:bCs/>
                <w:color w:val="231F20"/>
                <w:sz w:val="16"/>
                <w:szCs w:val="16"/>
              </w:rPr>
              <w:t xml:space="preserve"> 3.6 </w:t>
            </w:r>
          </w:p>
        </w:tc>
        <w:tc>
          <w:tcPr>
            <w:tcW w:w="690" w:type="pct"/>
            <w:vAlign w:val="center"/>
          </w:tcPr>
          <w:p w14:paraId="0DD144F2" w14:textId="63A565B9" w:rsidR="00BB3262" w:rsidRPr="00BB3262" w:rsidRDefault="00BB3262" w:rsidP="00BB3262">
            <w:pPr>
              <w:pStyle w:val="BodyText"/>
              <w:rPr>
                <w:b/>
                <w:bCs/>
                <w:sz w:val="16"/>
                <w:szCs w:val="16"/>
              </w:rPr>
            </w:pPr>
            <w:r w:rsidRPr="00BB3262">
              <w:rPr>
                <w:rFonts w:ascii="Verdana" w:hAnsi="Verdana" w:cs="Arial"/>
                <w:b/>
                <w:bCs/>
                <w:color w:val="231F20"/>
                <w:sz w:val="16"/>
                <w:szCs w:val="16"/>
              </w:rPr>
              <w:t xml:space="preserve"> 3.6 </w:t>
            </w:r>
          </w:p>
        </w:tc>
        <w:tc>
          <w:tcPr>
            <w:tcW w:w="690" w:type="pct"/>
            <w:vAlign w:val="center"/>
          </w:tcPr>
          <w:p w14:paraId="304EB402" w14:textId="32B7CA46" w:rsidR="00BB3262" w:rsidRPr="00BB3262" w:rsidRDefault="00BB3262" w:rsidP="00BB3262">
            <w:pPr>
              <w:pStyle w:val="BodyText"/>
              <w:rPr>
                <w:b/>
                <w:bCs/>
                <w:sz w:val="16"/>
                <w:szCs w:val="16"/>
              </w:rPr>
            </w:pPr>
            <w:r w:rsidRPr="00BB3262">
              <w:rPr>
                <w:rFonts w:ascii="Verdana" w:hAnsi="Verdana" w:cs="Arial"/>
                <w:b/>
                <w:bCs/>
                <w:color w:val="231F20"/>
                <w:sz w:val="16"/>
                <w:szCs w:val="16"/>
              </w:rPr>
              <w:t xml:space="preserve"> 4.0 </w:t>
            </w:r>
          </w:p>
        </w:tc>
        <w:tc>
          <w:tcPr>
            <w:tcW w:w="690" w:type="pct"/>
            <w:vAlign w:val="center"/>
          </w:tcPr>
          <w:p w14:paraId="565C7E20" w14:textId="1F4ABC01" w:rsidR="00BB3262" w:rsidRPr="00BB3262" w:rsidRDefault="00BB3262" w:rsidP="00BB3262">
            <w:pPr>
              <w:pStyle w:val="BodyText"/>
              <w:rPr>
                <w:b/>
                <w:bCs/>
                <w:sz w:val="16"/>
                <w:szCs w:val="16"/>
              </w:rPr>
            </w:pPr>
            <w:r w:rsidRPr="00BB3262">
              <w:rPr>
                <w:rFonts w:ascii="Verdana" w:hAnsi="Verdana" w:cs="Arial"/>
                <w:b/>
                <w:bCs/>
                <w:color w:val="231F20"/>
                <w:sz w:val="16"/>
                <w:szCs w:val="16"/>
              </w:rPr>
              <w:t xml:space="preserve"> 1.8 </w:t>
            </w:r>
          </w:p>
        </w:tc>
        <w:tc>
          <w:tcPr>
            <w:tcW w:w="690" w:type="pct"/>
            <w:vAlign w:val="center"/>
          </w:tcPr>
          <w:p w14:paraId="355F83D1" w14:textId="5A3F7280" w:rsidR="00BB3262" w:rsidRPr="00BB3262" w:rsidRDefault="00BB3262" w:rsidP="00BB3262">
            <w:pPr>
              <w:pStyle w:val="BodyText"/>
              <w:rPr>
                <w:b/>
                <w:bCs/>
                <w:sz w:val="16"/>
                <w:szCs w:val="16"/>
              </w:rPr>
            </w:pPr>
            <w:r w:rsidRPr="00BB3262">
              <w:rPr>
                <w:rFonts w:ascii="Verdana" w:hAnsi="Verdana" w:cs="Arial"/>
                <w:b/>
                <w:bCs/>
                <w:color w:val="231F20"/>
                <w:sz w:val="16"/>
                <w:szCs w:val="16"/>
              </w:rPr>
              <w:t xml:space="preserve"> 1.8 </w:t>
            </w:r>
          </w:p>
        </w:tc>
        <w:tc>
          <w:tcPr>
            <w:tcW w:w="688" w:type="pct"/>
            <w:vAlign w:val="center"/>
          </w:tcPr>
          <w:p w14:paraId="450C5BC6" w14:textId="4F1876AF" w:rsidR="00BB3262" w:rsidRPr="00BB3262" w:rsidRDefault="00BB3262" w:rsidP="00BB3262">
            <w:pPr>
              <w:pStyle w:val="BodyText"/>
              <w:rPr>
                <w:rFonts w:ascii="Verdana" w:hAnsi="Verdana" w:cs="Arial"/>
                <w:b/>
                <w:color w:val="231F20"/>
                <w:sz w:val="16"/>
                <w:szCs w:val="16"/>
              </w:rPr>
            </w:pPr>
            <w:r w:rsidRPr="00BB3262">
              <w:rPr>
                <w:rFonts w:ascii="Verdana" w:hAnsi="Verdana" w:cs="Arial"/>
                <w:b/>
                <w:bCs/>
                <w:color w:val="231F20"/>
                <w:sz w:val="16"/>
                <w:szCs w:val="16"/>
              </w:rPr>
              <w:t xml:space="preserve"> 14.8 </w:t>
            </w:r>
          </w:p>
        </w:tc>
      </w:tr>
    </w:tbl>
    <w:p w14:paraId="304436C6" w14:textId="77777777" w:rsidR="00046BD5" w:rsidRPr="00DE108C" w:rsidRDefault="00046BD5">
      <w:pPr>
        <w:pStyle w:val="BodyText"/>
      </w:pPr>
    </w:p>
    <w:p w14:paraId="43F61ED3" w14:textId="364188AC" w:rsidR="00046BD5" w:rsidRPr="00DE108C" w:rsidRDefault="00046BD5" w:rsidP="001D64E8">
      <w:pPr>
        <w:pStyle w:val="Heading4"/>
      </w:pPr>
      <w:r w:rsidRPr="00DE108C">
        <w:t>7.</w:t>
      </w:r>
      <w:r w:rsidR="001D64E8" w:rsidRPr="00DE108C">
        <w:t>3</w:t>
      </w:r>
      <w:r w:rsidRPr="00DE108C">
        <w:t>.</w:t>
      </w:r>
      <w:r w:rsidR="001D64E8" w:rsidRPr="00DE108C">
        <w:t>3</w:t>
      </w:r>
      <w:r w:rsidRPr="00DE108C">
        <w:t>.3 Electricity</w:t>
      </w:r>
    </w:p>
    <w:p w14:paraId="540956C6" w14:textId="77777777" w:rsidR="00046BD5" w:rsidRPr="00DE108C" w:rsidRDefault="00046BD5">
      <w:pPr>
        <w:pStyle w:val="BodyText"/>
      </w:pPr>
      <w:r w:rsidRPr="00DE108C">
        <w:t xml:space="preserve">The electricity step change in each year is calculated as the difference between our efficient forecast electricity costs and our 2024-25 base year electricity costs of $27.5 million, consistent with the approach adopted in previous regulatory reviews. </w:t>
      </w:r>
    </w:p>
    <w:p w14:paraId="0552C6C5" w14:textId="24ACB10E" w:rsidR="00046BD5" w:rsidRPr="00DE108C" w:rsidRDefault="00046BD5">
      <w:pPr>
        <w:pStyle w:val="BodyText"/>
      </w:pPr>
      <w:r w:rsidRPr="00DE108C">
        <w:t>Our forecast electricity costs are a function of our forecast electricity demand and forecast electricity prices</w:t>
      </w:r>
      <w:r w:rsidR="7E21A4FC">
        <w:t>.</w:t>
      </w:r>
      <w:r w:rsidRPr="00DE108C">
        <w:t xml:space="preserve"> </w:t>
      </w:r>
    </w:p>
    <w:p w14:paraId="53A02910" w14:textId="77777777" w:rsidR="00046BD5" w:rsidRPr="00DE108C" w:rsidRDefault="00046BD5">
      <w:pPr>
        <w:pStyle w:val="BodyText"/>
      </w:pPr>
      <w:r w:rsidRPr="00DE108C">
        <w:t>Our forecast electricity demand reflects the ongoing operation of our portfolio of assets and changes in electricity demand associated with our investments, net of the electricity we generate from our own generation assets. Our electricity demand is expected to increase from the base year, primarily driven by an increased demand from:</w:t>
      </w:r>
    </w:p>
    <w:p w14:paraId="42543F2D" w14:textId="5A013490" w:rsidR="00046BD5" w:rsidRPr="00DE108C" w:rsidRDefault="00046BD5" w:rsidP="004E0424">
      <w:pPr>
        <w:pStyle w:val="ListBullet"/>
      </w:pPr>
      <w:r w:rsidRPr="00DE108C">
        <w:t xml:space="preserve">the </w:t>
      </w:r>
      <w:r w:rsidR="1005D195">
        <w:t>WTP</w:t>
      </w:r>
      <w:r w:rsidRPr="00DE108C">
        <w:t xml:space="preserve"> Primary Treatment Capacity Augmentation project, which will be partly offset by increased self-generation at the site</w:t>
      </w:r>
    </w:p>
    <w:p w14:paraId="35087E8F" w14:textId="7B4A4F3A" w:rsidR="00046BD5" w:rsidRPr="00DE108C" w:rsidRDefault="4286CBD1" w:rsidP="004E0424">
      <w:pPr>
        <w:pStyle w:val="ListBullet"/>
      </w:pPr>
      <w:r>
        <w:t>ETP</w:t>
      </w:r>
      <w:r w:rsidR="00046BD5" w:rsidRPr="00DE108C">
        <w:t xml:space="preserve"> as a result of increasing </w:t>
      </w:r>
      <w:r w:rsidR="007F7D19" w:rsidRPr="00DE108C">
        <w:t>sewage demands</w:t>
      </w:r>
      <w:r w:rsidR="00046BD5" w:rsidRPr="00DE108C">
        <w:t xml:space="preserve">. </w:t>
      </w:r>
    </w:p>
    <w:p w14:paraId="21EC0C4B" w14:textId="7A9154A3" w:rsidR="00046BD5" w:rsidRPr="00DE108C" w:rsidRDefault="00046BD5">
      <w:pPr>
        <w:pStyle w:val="BodyText"/>
      </w:pPr>
      <w:r w:rsidRPr="00DE108C">
        <w:t xml:space="preserve">Demand is forecast to remain relatively constant over </w:t>
      </w:r>
      <w:r w:rsidR="046B0A6E">
        <w:t xml:space="preserve">the </w:t>
      </w:r>
      <w:r w:rsidRPr="00DE108C">
        <w:t xml:space="preserve">2026 to 2031 forecast period. </w:t>
      </w:r>
    </w:p>
    <w:p w14:paraId="77A052A3" w14:textId="77777777" w:rsidR="00046BD5" w:rsidRPr="00DE108C" w:rsidRDefault="00046BD5">
      <w:pPr>
        <w:pStyle w:val="BodyText"/>
      </w:pPr>
      <w:r w:rsidRPr="00DE108C">
        <w:t xml:space="preserve">Our forecast electricity prices reflect an efficient benchmark price, consistent with the approach adopted by the ESC in PS21. From 1 July 2025 the SEC has been appointed as the provider for electricity for all Victorian Government sites, with the current contract extending to June 2028 and covering wholesale and retail costs. </w:t>
      </w:r>
    </w:p>
    <w:p w14:paraId="5C8F3CA9" w14:textId="6CCE58E2" w:rsidR="00046BD5" w:rsidRPr="00DE108C" w:rsidRDefault="00046BD5">
      <w:pPr>
        <w:pStyle w:val="BodyText"/>
        <w:rPr>
          <w:b/>
          <w:bCs/>
        </w:rPr>
      </w:pPr>
      <w:r w:rsidRPr="00DE108C">
        <w:t>We use SEC contract prices, together with the other costs that make up end</w:t>
      </w:r>
      <w:r w:rsidR="48AD3239">
        <w:t>-</w:t>
      </w:r>
      <w:r w:rsidRPr="00DE108C">
        <w:t>use electricity prices, including network, market and regulatory charges, as the benchmark electricity prices for 2026-27 and 2027-28. SEC contract prices are only available for the first two years of PS26. We retained an expert to forecast wholesale electricity prices for the remaining three years of PS26, based on Melbourne Water’s forecast electricity demand. Expert forecasts were used to estimate benchmark electricity prices by including the other costs that make up electricity prices, including network, market and regulatory charges and the retail margin. Our forecast electricity prices are expected to increase over PS26, reflecting the wholesale price forecasts prepared by our experts and increases in regulated network charges.</w:t>
      </w:r>
    </w:p>
    <w:p w14:paraId="7E170C90" w14:textId="3CFF2FDA" w:rsidR="00046BD5" w:rsidRPr="00DE108C" w:rsidRDefault="00046BD5">
      <w:pPr>
        <w:pStyle w:val="BodyText"/>
        <w:rPr>
          <w:b/>
          <w:bCs/>
        </w:rPr>
      </w:pPr>
      <w:r w:rsidRPr="00DE108C">
        <w:t xml:space="preserve">We generate renewable electricity at several of our sites, including </w:t>
      </w:r>
      <w:r w:rsidR="5A25D1CD">
        <w:t>WTP</w:t>
      </w:r>
      <w:r w:rsidRPr="00DE108C">
        <w:t xml:space="preserve"> and </w:t>
      </w:r>
      <w:r w:rsidR="2ADF4499">
        <w:t>ETP</w:t>
      </w:r>
      <w:r w:rsidRPr="00DE108C">
        <w:t xml:space="preserve">. We use some of this electricity to meet our own demand and we export some to the grid. Our generation capacity will increase over PS26 once we commission our investments in generation at </w:t>
      </w:r>
      <w:r w:rsidR="2BB0D1A6">
        <w:t>WTP</w:t>
      </w:r>
      <w:r w:rsidRPr="00DE108C">
        <w:t xml:space="preserve">. </w:t>
      </w:r>
      <w:r w:rsidRPr="00DE108C">
        <w:lastRenderedPageBreak/>
        <w:t xml:space="preserve">Our forecasts of electricity costs for PS26 estimate the revenue we generate from the sale of electricity to the grid and offset this against our electricity costs. </w:t>
      </w:r>
    </w:p>
    <w:p w14:paraId="5549E31A" w14:textId="77777777" w:rsidR="00046BD5" w:rsidRPr="00DE108C" w:rsidRDefault="00046BD5">
      <w:pPr>
        <w:pStyle w:val="BodyText"/>
      </w:pPr>
      <w:r w:rsidRPr="00DE108C">
        <w:t xml:space="preserve">Under the </w:t>
      </w:r>
      <w:r w:rsidRPr="00DE108C">
        <w:rPr>
          <w:i/>
          <w:iCs/>
        </w:rPr>
        <w:t>Statement of Obligations – Emissions Reduction</w:t>
      </w:r>
      <w:r w:rsidRPr="00DE108C">
        <w:t xml:space="preserve">, Melbourne Water is required to ensure all electricity consumed is from 100 per cent renewable sources by 2025. Although we generate some renewable energy from our own generation sources, we must buy Renewable Energy Certificates (RECs) for the remainder of our electricity demand to meet the </w:t>
      </w:r>
      <w:r w:rsidRPr="00DE108C">
        <w:rPr>
          <w:i/>
          <w:iCs/>
        </w:rPr>
        <w:t>Statement of Obligations – Emissions Reduction</w:t>
      </w:r>
      <w:r w:rsidRPr="00DE108C">
        <w:t xml:space="preserve">. Our forecasts of electricity costs for PS26 include the cost of purchasing RECs to meet our obligations under the </w:t>
      </w:r>
      <w:r w:rsidRPr="00DE108C">
        <w:rPr>
          <w:i/>
          <w:iCs/>
        </w:rPr>
        <w:t>Statement of Obligations – Emissions Reduction</w:t>
      </w:r>
      <w:r w:rsidRPr="00DE108C">
        <w:t>.</w:t>
      </w:r>
    </w:p>
    <w:p w14:paraId="0E9A40C7" w14:textId="77777777" w:rsidR="00046BD5" w:rsidRPr="00DE108C" w:rsidRDefault="00046BD5">
      <w:pPr>
        <w:pStyle w:val="BodyText"/>
      </w:pPr>
      <w:r w:rsidRPr="00DE108C">
        <w:t>Under the Victorian Energy Efficiency Target (VEET) program, we are obligated to surrender a certain number of Victorian Energy Efficiency Certificates (VEECs) each year. Our forecasts of electricity costs for PS26 include the cost of purchasing VEECs to meet our obligations under the VEET program.</w:t>
      </w:r>
    </w:p>
    <w:p w14:paraId="4EB3CE16" w14:textId="77777777" w:rsidR="00046BD5" w:rsidRPr="00DE108C" w:rsidRDefault="00046BD5">
      <w:pPr>
        <w:pStyle w:val="BodyText"/>
      </w:pPr>
      <w:r w:rsidRPr="00DE108C">
        <w:t>The total electricity step change is $41.5 million and is presented annually in the Table 7.13. The step changes vary year on year to reflect variations in our electricity demand and electricity prices.</w:t>
      </w:r>
    </w:p>
    <w:p w14:paraId="62F5F9E2" w14:textId="77777777" w:rsidR="00046BD5" w:rsidRPr="00DE108C" w:rsidRDefault="00046BD5">
      <w:pPr>
        <w:pStyle w:val="Caption"/>
      </w:pPr>
      <w:bookmarkStart w:id="741" w:name="_Toc207893063"/>
      <w:bookmarkStart w:id="742" w:name="_Toc208490587"/>
      <w:bookmarkStart w:id="743" w:name="_Toc208490925"/>
      <w:bookmarkStart w:id="744" w:name="_Toc208911083"/>
      <w:bookmarkStart w:id="745" w:name="_Toc210051389"/>
      <w:r w:rsidRPr="00DE108C">
        <w:t>Table 7.13: Electricity step change ($millions, real 2025-26)</w:t>
      </w:r>
      <w:bookmarkEnd w:id="741"/>
      <w:bookmarkEnd w:id="742"/>
      <w:bookmarkEnd w:id="743"/>
      <w:bookmarkEnd w:id="744"/>
      <w:bookmarkEnd w:id="745"/>
    </w:p>
    <w:tbl>
      <w:tblPr>
        <w:tblStyle w:val="MWTableGrid"/>
        <w:tblW w:w="5000" w:type="pct"/>
        <w:tblLook w:val="0420" w:firstRow="1" w:lastRow="0" w:firstColumn="0" w:lastColumn="0" w:noHBand="0" w:noVBand="1"/>
      </w:tblPr>
      <w:tblGrid>
        <w:gridCol w:w="1659"/>
        <w:gridCol w:w="1328"/>
        <w:gridCol w:w="1329"/>
        <w:gridCol w:w="1329"/>
        <w:gridCol w:w="1329"/>
        <w:gridCol w:w="1329"/>
        <w:gridCol w:w="1325"/>
      </w:tblGrid>
      <w:tr w:rsidR="00556A0D" w:rsidRPr="00DE108C" w14:paraId="4F55A148" w14:textId="55B9C75B" w:rsidTr="00BB3262">
        <w:trPr>
          <w:cnfStyle w:val="100000000000" w:firstRow="1" w:lastRow="0" w:firstColumn="0" w:lastColumn="0" w:oddVBand="0" w:evenVBand="0" w:oddHBand="0" w:evenHBand="0" w:firstRowFirstColumn="0" w:firstRowLastColumn="0" w:lastRowFirstColumn="0" w:lastRowLastColumn="0"/>
        </w:trPr>
        <w:tc>
          <w:tcPr>
            <w:tcW w:w="862" w:type="pct"/>
            <w:hideMark/>
          </w:tcPr>
          <w:p w14:paraId="11802F6B" w14:textId="77777777" w:rsidR="00BB3262" w:rsidRPr="00DE108C" w:rsidRDefault="00BB3262">
            <w:pPr>
              <w:pStyle w:val="BodyText"/>
              <w:rPr>
                <w:b/>
                <w:color w:val="FFFFFF" w:themeColor="background1"/>
                <w:sz w:val="16"/>
                <w:szCs w:val="16"/>
              </w:rPr>
            </w:pPr>
          </w:p>
        </w:tc>
        <w:tc>
          <w:tcPr>
            <w:tcW w:w="690" w:type="pct"/>
            <w:hideMark/>
          </w:tcPr>
          <w:p w14:paraId="7DA7C6F4" w14:textId="77777777" w:rsidR="00BB3262" w:rsidRPr="00DE108C" w:rsidRDefault="00BB3262">
            <w:pPr>
              <w:pStyle w:val="BodyText"/>
              <w:rPr>
                <w:b/>
                <w:color w:val="FFFFFF" w:themeColor="background1"/>
                <w:sz w:val="16"/>
                <w:szCs w:val="16"/>
              </w:rPr>
            </w:pPr>
            <w:r w:rsidRPr="00DE108C">
              <w:rPr>
                <w:b/>
                <w:color w:val="FFFFFF" w:themeColor="background1"/>
                <w:sz w:val="16"/>
                <w:szCs w:val="16"/>
              </w:rPr>
              <w:t>2026-27</w:t>
            </w:r>
          </w:p>
        </w:tc>
        <w:tc>
          <w:tcPr>
            <w:tcW w:w="690" w:type="pct"/>
            <w:hideMark/>
          </w:tcPr>
          <w:p w14:paraId="2888697D" w14:textId="77777777" w:rsidR="00BB3262" w:rsidRPr="00DE108C" w:rsidRDefault="00BB3262">
            <w:pPr>
              <w:pStyle w:val="BodyText"/>
              <w:rPr>
                <w:b/>
                <w:color w:val="FFFFFF" w:themeColor="background1"/>
                <w:sz w:val="16"/>
                <w:szCs w:val="16"/>
              </w:rPr>
            </w:pPr>
            <w:r w:rsidRPr="00DE108C">
              <w:rPr>
                <w:b/>
                <w:color w:val="FFFFFF" w:themeColor="background1"/>
                <w:sz w:val="16"/>
                <w:szCs w:val="16"/>
              </w:rPr>
              <w:t>2027-28</w:t>
            </w:r>
          </w:p>
        </w:tc>
        <w:tc>
          <w:tcPr>
            <w:tcW w:w="690" w:type="pct"/>
            <w:hideMark/>
          </w:tcPr>
          <w:p w14:paraId="1443BB27" w14:textId="77777777" w:rsidR="00BB3262" w:rsidRPr="00DE108C" w:rsidRDefault="00BB3262">
            <w:pPr>
              <w:pStyle w:val="BodyText"/>
              <w:rPr>
                <w:b/>
                <w:color w:val="FFFFFF" w:themeColor="background1"/>
                <w:sz w:val="16"/>
                <w:szCs w:val="16"/>
              </w:rPr>
            </w:pPr>
            <w:r w:rsidRPr="00DE108C">
              <w:rPr>
                <w:b/>
                <w:color w:val="FFFFFF" w:themeColor="background1"/>
                <w:sz w:val="16"/>
                <w:szCs w:val="16"/>
              </w:rPr>
              <w:t>2028-29</w:t>
            </w:r>
          </w:p>
        </w:tc>
        <w:tc>
          <w:tcPr>
            <w:tcW w:w="690" w:type="pct"/>
            <w:hideMark/>
          </w:tcPr>
          <w:p w14:paraId="056F7960" w14:textId="77777777" w:rsidR="00BB3262" w:rsidRPr="00DE108C" w:rsidRDefault="00BB3262">
            <w:pPr>
              <w:pStyle w:val="BodyText"/>
              <w:rPr>
                <w:b/>
                <w:color w:val="FFFFFF" w:themeColor="background1"/>
                <w:sz w:val="16"/>
                <w:szCs w:val="16"/>
              </w:rPr>
            </w:pPr>
            <w:r w:rsidRPr="00DE108C">
              <w:rPr>
                <w:b/>
                <w:color w:val="FFFFFF" w:themeColor="background1"/>
                <w:sz w:val="16"/>
                <w:szCs w:val="16"/>
              </w:rPr>
              <w:t>2029-30</w:t>
            </w:r>
          </w:p>
        </w:tc>
        <w:tc>
          <w:tcPr>
            <w:tcW w:w="690" w:type="pct"/>
            <w:hideMark/>
          </w:tcPr>
          <w:p w14:paraId="208FFFD0" w14:textId="77777777" w:rsidR="00BB3262" w:rsidRPr="00DE108C" w:rsidRDefault="00BB3262">
            <w:pPr>
              <w:pStyle w:val="BodyText"/>
              <w:rPr>
                <w:b/>
                <w:color w:val="FFFFFF" w:themeColor="background1"/>
                <w:sz w:val="16"/>
                <w:szCs w:val="16"/>
              </w:rPr>
            </w:pPr>
            <w:r w:rsidRPr="00DE108C">
              <w:rPr>
                <w:b/>
                <w:color w:val="FFFFFF" w:themeColor="background1"/>
                <w:sz w:val="16"/>
                <w:szCs w:val="16"/>
              </w:rPr>
              <w:t>2030-31</w:t>
            </w:r>
          </w:p>
        </w:tc>
        <w:tc>
          <w:tcPr>
            <w:tcW w:w="690" w:type="pct"/>
          </w:tcPr>
          <w:p w14:paraId="5321D0E3" w14:textId="1D335402" w:rsidR="00BB3262" w:rsidRPr="00DE108C" w:rsidRDefault="00BB3262">
            <w:pPr>
              <w:pStyle w:val="BodyText"/>
              <w:rPr>
                <w:b/>
                <w:color w:val="FFFFFF" w:themeColor="background1"/>
                <w:sz w:val="16"/>
                <w:szCs w:val="16"/>
              </w:rPr>
            </w:pPr>
            <w:r>
              <w:rPr>
                <w:b/>
                <w:color w:val="FFFFFF" w:themeColor="background1"/>
                <w:sz w:val="16"/>
                <w:szCs w:val="16"/>
              </w:rPr>
              <w:t>Total PS26</w:t>
            </w:r>
          </w:p>
        </w:tc>
      </w:tr>
      <w:tr w:rsidR="00BB3262" w:rsidRPr="00DE108C" w14:paraId="229D9B50" w14:textId="70596B6C" w:rsidTr="00BB3262">
        <w:tc>
          <w:tcPr>
            <w:tcW w:w="862" w:type="pct"/>
            <w:hideMark/>
          </w:tcPr>
          <w:p w14:paraId="23193561" w14:textId="77777777" w:rsidR="00BB3262" w:rsidRPr="00DE108C" w:rsidRDefault="00BB3262">
            <w:pPr>
              <w:pStyle w:val="BodyText"/>
              <w:rPr>
                <w:sz w:val="16"/>
                <w:szCs w:val="16"/>
              </w:rPr>
            </w:pPr>
            <w:r w:rsidRPr="00DE108C">
              <w:rPr>
                <w:sz w:val="16"/>
                <w:szCs w:val="16"/>
              </w:rPr>
              <w:t>Electricity</w:t>
            </w:r>
          </w:p>
        </w:tc>
        <w:tc>
          <w:tcPr>
            <w:tcW w:w="690" w:type="pct"/>
            <w:hideMark/>
          </w:tcPr>
          <w:p w14:paraId="19218522" w14:textId="77777777" w:rsidR="00BB3262" w:rsidRPr="00DE108C" w:rsidRDefault="00BB3262">
            <w:pPr>
              <w:pStyle w:val="BodyText"/>
              <w:rPr>
                <w:sz w:val="16"/>
                <w:szCs w:val="16"/>
              </w:rPr>
            </w:pPr>
            <w:r w:rsidRPr="00DE108C">
              <w:rPr>
                <w:sz w:val="16"/>
                <w:szCs w:val="16"/>
              </w:rPr>
              <w:t>9.7</w:t>
            </w:r>
          </w:p>
        </w:tc>
        <w:tc>
          <w:tcPr>
            <w:tcW w:w="690" w:type="pct"/>
            <w:hideMark/>
          </w:tcPr>
          <w:p w14:paraId="35FD3A5A" w14:textId="77777777" w:rsidR="00BB3262" w:rsidRPr="00DE108C" w:rsidRDefault="00BB3262">
            <w:pPr>
              <w:pStyle w:val="BodyText"/>
              <w:rPr>
                <w:sz w:val="16"/>
                <w:szCs w:val="16"/>
              </w:rPr>
            </w:pPr>
            <w:r w:rsidRPr="00DE108C">
              <w:rPr>
                <w:sz w:val="16"/>
                <w:szCs w:val="16"/>
              </w:rPr>
              <w:t>7.4</w:t>
            </w:r>
          </w:p>
        </w:tc>
        <w:tc>
          <w:tcPr>
            <w:tcW w:w="690" w:type="pct"/>
            <w:hideMark/>
          </w:tcPr>
          <w:p w14:paraId="4EB44FBC" w14:textId="77777777" w:rsidR="00BB3262" w:rsidRPr="00DE108C" w:rsidRDefault="00BB3262">
            <w:pPr>
              <w:pStyle w:val="BodyText"/>
              <w:rPr>
                <w:sz w:val="16"/>
                <w:szCs w:val="16"/>
              </w:rPr>
            </w:pPr>
            <w:r w:rsidRPr="00DE108C">
              <w:rPr>
                <w:sz w:val="16"/>
                <w:szCs w:val="16"/>
              </w:rPr>
              <w:t>6.3</w:t>
            </w:r>
          </w:p>
        </w:tc>
        <w:tc>
          <w:tcPr>
            <w:tcW w:w="690" w:type="pct"/>
            <w:hideMark/>
          </w:tcPr>
          <w:p w14:paraId="7663AC3F" w14:textId="77777777" w:rsidR="00BB3262" w:rsidRPr="00DE108C" w:rsidRDefault="00BB3262">
            <w:pPr>
              <w:pStyle w:val="BodyText"/>
              <w:rPr>
                <w:sz w:val="16"/>
                <w:szCs w:val="16"/>
              </w:rPr>
            </w:pPr>
            <w:r w:rsidRPr="00DE108C">
              <w:rPr>
                <w:sz w:val="16"/>
                <w:szCs w:val="16"/>
              </w:rPr>
              <w:t>10.2</w:t>
            </w:r>
          </w:p>
        </w:tc>
        <w:tc>
          <w:tcPr>
            <w:tcW w:w="690" w:type="pct"/>
            <w:hideMark/>
          </w:tcPr>
          <w:p w14:paraId="68D3DBA1" w14:textId="77777777" w:rsidR="00BB3262" w:rsidRPr="00DE108C" w:rsidRDefault="00BB3262">
            <w:pPr>
              <w:pStyle w:val="BodyText"/>
              <w:rPr>
                <w:sz w:val="16"/>
                <w:szCs w:val="16"/>
              </w:rPr>
            </w:pPr>
            <w:r w:rsidRPr="00DE108C">
              <w:rPr>
                <w:sz w:val="16"/>
                <w:szCs w:val="16"/>
              </w:rPr>
              <w:t>7.9</w:t>
            </w:r>
          </w:p>
        </w:tc>
        <w:tc>
          <w:tcPr>
            <w:tcW w:w="690" w:type="pct"/>
          </w:tcPr>
          <w:p w14:paraId="317AFFC1" w14:textId="7244172A" w:rsidR="00BB3262" w:rsidRPr="00BB3262" w:rsidRDefault="00BB3262">
            <w:pPr>
              <w:pStyle w:val="BodyText"/>
              <w:rPr>
                <w:b/>
                <w:bCs/>
                <w:sz w:val="16"/>
                <w:szCs w:val="16"/>
              </w:rPr>
            </w:pPr>
            <w:r w:rsidRPr="00BB3262">
              <w:rPr>
                <w:b/>
                <w:bCs/>
                <w:sz w:val="16"/>
                <w:szCs w:val="16"/>
              </w:rPr>
              <w:t>41.5</w:t>
            </w:r>
          </w:p>
        </w:tc>
      </w:tr>
    </w:tbl>
    <w:p w14:paraId="135C0E27" w14:textId="77777777" w:rsidR="00046BD5" w:rsidRPr="00DE108C" w:rsidRDefault="00046BD5" w:rsidP="00ED094E"/>
    <w:p w14:paraId="4D97A996" w14:textId="7ECB2088" w:rsidR="00046BD5" w:rsidRPr="00DE108C" w:rsidRDefault="00046BD5" w:rsidP="001D64E8">
      <w:pPr>
        <w:pStyle w:val="Heading4"/>
      </w:pPr>
      <w:r w:rsidRPr="00DE108C">
        <w:t>7.</w:t>
      </w:r>
      <w:r w:rsidR="001D64E8" w:rsidRPr="00DE108C">
        <w:t>3.3</w:t>
      </w:r>
      <w:r w:rsidRPr="00DE108C">
        <w:t>.4 Carbon offsets</w:t>
      </w:r>
    </w:p>
    <w:p w14:paraId="4E51BAE7" w14:textId="77777777" w:rsidR="00046BD5" w:rsidRPr="00DE108C" w:rsidRDefault="00046BD5">
      <w:pPr>
        <w:pStyle w:val="BodyText"/>
      </w:pPr>
      <w:r w:rsidRPr="00DE108C">
        <w:t xml:space="preserve">We have forecast the step change required throughout PS26 to meet our scope 1 emission reduction obligations under the </w:t>
      </w:r>
      <w:r w:rsidRPr="00DE108C">
        <w:rPr>
          <w:i/>
          <w:iCs/>
        </w:rPr>
        <w:t>Statement of Obligations – Emissions Reduction</w:t>
      </w:r>
      <w:r w:rsidRPr="00DE108C">
        <w:t xml:space="preserve"> and National Greenhouse and Energy Reporting Scheme. </w:t>
      </w:r>
    </w:p>
    <w:p w14:paraId="307C20D6" w14:textId="77777777" w:rsidR="00046BD5" w:rsidRPr="00DE108C" w:rsidRDefault="00046BD5">
      <w:pPr>
        <w:pStyle w:val="BodyText"/>
      </w:pPr>
      <w:r w:rsidRPr="00DE108C">
        <w:t xml:space="preserve">We are investigating the scope to cost-effectively invest in low emission infrastructure at our treatment plants to manage our scope 1 emissions. Our </w:t>
      </w:r>
      <w:r w:rsidRPr="00DE108C">
        <w:rPr>
          <w:i/>
          <w:iCs/>
        </w:rPr>
        <w:t>Path to Net Zero</w:t>
      </w:r>
      <w:r w:rsidRPr="00DE108C">
        <w:t xml:space="preserve"> planning has found that further direct abatement of scope 1 emissions will require large scale capital works at treatment plants, with significant engineering, regulatory and planning lead times, that will take several price periods to achieve. Therefore, we will need to purchase carbon offsets to help meet our targets.</w:t>
      </w:r>
    </w:p>
    <w:p w14:paraId="25048151" w14:textId="77777777" w:rsidR="00046BD5" w:rsidRPr="00DE108C" w:rsidRDefault="00046BD5">
      <w:pPr>
        <w:pStyle w:val="BodyText"/>
      </w:pPr>
      <w:r w:rsidRPr="00DE108C">
        <w:t xml:space="preserve">We have forecast the step change required throughout PS26 to meet our scope 1 emissions reduction obligations by purchasing carbon offsets. There is a significant increase in our carbon offset costs over PS26 associated with the requirement under the </w:t>
      </w:r>
      <w:r w:rsidRPr="00DE108C">
        <w:rPr>
          <w:i/>
          <w:iCs/>
        </w:rPr>
        <w:t>Statement of Obligations – Emissions Reduction</w:t>
      </w:r>
      <w:r w:rsidRPr="00DE108C">
        <w:t xml:space="preserve"> to reach ‘net zero’ for scope 1 emissions by 2029-30.</w:t>
      </w:r>
    </w:p>
    <w:p w14:paraId="38E1D685" w14:textId="77777777" w:rsidR="00046BD5" w:rsidRPr="00DE108C" w:rsidRDefault="00046BD5">
      <w:pPr>
        <w:pStyle w:val="BodyText"/>
      </w:pPr>
      <w:r w:rsidRPr="00DE108C">
        <w:t>We forecast our scope 1 emissions as a function of growth in wastewater load and compared this to our targets to estimate our requirement to purchase offsets in each year. Our forecasts of offset prices are based on forecasts of international offset prices and Australian Carbon Credit Unit prices prepared by industry experts.</w:t>
      </w:r>
    </w:p>
    <w:p w14:paraId="4AEF7AD7" w14:textId="4FC92C78" w:rsidR="00046BD5" w:rsidRPr="00DE108C" w:rsidRDefault="00046BD5">
      <w:pPr>
        <w:pStyle w:val="BodyText"/>
      </w:pPr>
      <w:r w:rsidRPr="00DE108C">
        <w:t>To meet this, an additional $13.3 million of opex is required across the final two years of the regulatory period</w:t>
      </w:r>
      <w:r w:rsidR="0CBC1A70" w:rsidRPr="00DE108C">
        <w:t xml:space="preserve"> (shown annually in Table 7.14)</w:t>
      </w:r>
      <w:r w:rsidRPr="00DE108C">
        <w:t xml:space="preserve">. </w:t>
      </w:r>
    </w:p>
    <w:p w14:paraId="604871BB" w14:textId="77777777" w:rsidR="00046BD5" w:rsidRPr="00DE108C" w:rsidRDefault="00046BD5">
      <w:pPr>
        <w:pStyle w:val="Caption"/>
      </w:pPr>
      <w:bookmarkStart w:id="746" w:name="_Toc207893064"/>
      <w:bookmarkStart w:id="747" w:name="_Toc208490588"/>
      <w:bookmarkStart w:id="748" w:name="_Toc208490926"/>
      <w:bookmarkStart w:id="749" w:name="_Toc208911084"/>
      <w:bookmarkStart w:id="750" w:name="_Toc210051390"/>
      <w:r w:rsidRPr="00DE108C">
        <w:lastRenderedPageBreak/>
        <w:t>Table 7.14: Carbon offset forecast ($millions, real 2025-26)</w:t>
      </w:r>
      <w:bookmarkEnd w:id="746"/>
      <w:bookmarkEnd w:id="747"/>
      <w:bookmarkEnd w:id="748"/>
      <w:bookmarkEnd w:id="749"/>
      <w:bookmarkEnd w:id="750"/>
    </w:p>
    <w:tbl>
      <w:tblPr>
        <w:tblStyle w:val="MWTableGrid"/>
        <w:tblW w:w="5000" w:type="pct"/>
        <w:tblLook w:val="0420" w:firstRow="1" w:lastRow="0" w:firstColumn="0" w:lastColumn="0" w:noHBand="0" w:noVBand="1"/>
      </w:tblPr>
      <w:tblGrid>
        <w:gridCol w:w="1588"/>
        <w:gridCol w:w="1340"/>
        <w:gridCol w:w="1340"/>
        <w:gridCol w:w="1340"/>
        <w:gridCol w:w="1340"/>
        <w:gridCol w:w="1340"/>
        <w:gridCol w:w="1340"/>
      </w:tblGrid>
      <w:tr w:rsidR="00556A0D" w:rsidRPr="00DE108C" w14:paraId="44FC581C" w14:textId="463E9A9D" w:rsidTr="00A36E4C">
        <w:trPr>
          <w:cnfStyle w:val="100000000000" w:firstRow="1" w:lastRow="0" w:firstColumn="0" w:lastColumn="0" w:oddVBand="0" w:evenVBand="0" w:oddHBand="0" w:evenHBand="0" w:firstRowFirstColumn="0" w:firstRowLastColumn="0" w:lastRowFirstColumn="0" w:lastRowLastColumn="0"/>
        </w:trPr>
        <w:tc>
          <w:tcPr>
            <w:tcW w:w="824" w:type="pct"/>
            <w:hideMark/>
          </w:tcPr>
          <w:p w14:paraId="563FF4CA" w14:textId="77777777" w:rsidR="00BB3262" w:rsidRPr="00DE108C" w:rsidRDefault="00BB3262">
            <w:pPr>
              <w:pStyle w:val="BodyText"/>
              <w:rPr>
                <w:b/>
                <w:color w:val="FFFFFF" w:themeColor="background1"/>
                <w:sz w:val="16"/>
                <w:szCs w:val="16"/>
              </w:rPr>
            </w:pPr>
          </w:p>
        </w:tc>
        <w:tc>
          <w:tcPr>
            <w:tcW w:w="696" w:type="pct"/>
            <w:hideMark/>
          </w:tcPr>
          <w:p w14:paraId="6E9ECBC3" w14:textId="77777777" w:rsidR="00BB3262" w:rsidRPr="00DE108C" w:rsidRDefault="00BB3262">
            <w:pPr>
              <w:pStyle w:val="BodyText"/>
              <w:rPr>
                <w:b/>
                <w:color w:val="FFFFFF" w:themeColor="background1"/>
                <w:sz w:val="16"/>
                <w:szCs w:val="16"/>
              </w:rPr>
            </w:pPr>
            <w:r w:rsidRPr="00DE108C">
              <w:rPr>
                <w:b/>
                <w:color w:val="FFFFFF" w:themeColor="background1"/>
                <w:sz w:val="16"/>
                <w:szCs w:val="16"/>
              </w:rPr>
              <w:t>2026-27</w:t>
            </w:r>
          </w:p>
        </w:tc>
        <w:tc>
          <w:tcPr>
            <w:tcW w:w="696" w:type="pct"/>
            <w:hideMark/>
          </w:tcPr>
          <w:p w14:paraId="5CFBE4A2" w14:textId="77777777" w:rsidR="00BB3262" w:rsidRPr="00DE108C" w:rsidRDefault="00BB3262">
            <w:pPr>
              <w:pStyle w:val="BodyText"/>
              <w:rPr>
                <w:b/>
                <w:color w:val="FFFFFF" w:themeColor="background1"/>
                <w:sz w:val="16"/>
                <w:szCs w:val="16"/>
              </w:rPr>
            </w:pPr>
            <w:r w:rsidRPr="00DE108C">
              <w:rPr>
                <w:b/>
                <w:color w:val="FFFFFF" w:themeColor="background1"/>
                <w:sz w:val="16"/>
                <w:szCs w:val="16"/>
              </w:rPr>
              <w:t>2027-28</w:t>
            </w:r>
          </w:p>
        </w:tc>
        <w:tc>
          <w:tcPr>
            <w:tcW w:w="696" w:type="pct"/>
            <w:hideMark/>
          </w:tcPr>
          <w:p w14:paraId="467F112A" w14:textId="77777777" w:rsidR="00BB3262" w:rsidRPr="00DE108C" w:rsidRDefault="00BB3262">
            <w:pPr>
              <w:pStyle w:val="BodyText"/>
              <w:rPr>
                <w:b/>
                <w:color w:val="FFFFFF" w:themeColor="background1"/>
                <w:sz w:val="16"/>
                <w:szCs w:val="16"/>
              </w:rPr>
            </w:pPr>
            <w:r w:rsidRPr="00DE108C">
              <w:rPr>
                <w:b/>
                <w:color w:val="FFFFFF" w:themeColor="background1"/>
                <w:sz w:val="16"/>
                <w:szCs w:val="16"/>
              </w:rPr>
              <w:t>2028-29</w:t>
            </w:r>
          </w:p>
        </w:tc>
        <w:tc>
          <w:tcPr>
            <w:tcW w:w="696" w:type="pct"/>
            <w:hideMark/>
          </w:tcPr>
          <w:p w14:paraId="13C24AD5" w14:textId="77777777" w:rsidR="00BB3262" w:rsidRPr="00DE108C" w:rsidRDefault="00BB3262">
            <w:pPr>
              <w:pStyle w:val="BodyText"/>
              <w:rPr>
                <w:b/>
                <w:color w:val="FFFFFF" w:themeColor="background1"/>
                <w:sz w:val="16"/>
                <w:szCs w:val="16"/>
              </w:rPr>
            </w:pPr>
            <w:r w:rsidRPr="00DE108C">
              <w:rPr>
                <w:b/>
                <w:color w:val="FFFFFF" w:themeColor="background1"/>
                <w:sz w:val="16"/>
                <w:szCs w:val="16"/>
              </w:rPr>
              <w:t>2029-30</w:t>
            </w:r>
          </w:p>
        </w:tc>
        <w:tc>
          <w:tcPr>
            <w:tcW w:w="696" w:type="pct"/>
            <w:hideMark/>
          </w:tcPr>
          <w:p w14:paraId="1FBD874D" w14:textId="77777777" w:rsidR="00BB3262" w:rsidRPr="00DE108C" w:rsidRDefault="00BB3262">
            <w:pPr>
              <w:pStyle w:val="BodyText"/>
              <w:rPr>
                <w:b/>
                <w:color w:val="FFFFFF" w:themeColor="background1"/>
                <w:sz w:val="16"/>
                <w:szCs w:val="16"/>
              </w:rPr>
            </w:pPr>
            <w:r w:rsidRPr="00DE108C">
              <w:rPr>
                <w:b/>
                <w:color w:val="FFFFFF" w:themeColor="background1"/>
                <w:sz w:val="16"/>
                <w:szCs w:val="16"/>
              </w:rPr>
              <w:t>2030-31</w:t>
            </w:r>
          </w:p>
        </w:tc>
        <w:tc>
          <w:tcPr>
            <w:tcW w:w="696" w:type="pct"/>
          </w:tcPr>
          <w:p w14:paraId="6ABE5A84" w14:textId="0B7C0A0E" w:rsidR="00BB3262" w:rsidRPr="00BB3262" w:rsidRDefault="00BB3262">
            <w:pPr>
              <w:pStyle w:val="BodyText"/>
              <w:rPr>
                <w:b/>
                <w:color w:val="FFFFFF" w:themeColor="background1"/>
                <w:sz w:val="16"/>
                <w:szCs w:val="16"/>
              </w:rPr>
            </w:pPr>
            <w:r w:rsidRPr="00BB3262">
              <w:rPr>
                <w:b/>
                <w:color w:val="FFFFFF" w:themeColor="background1"/>
                <w:sz w:val="16"/>
                <w:szCs w:val="16"/>
              </w:rPr>
              <w:t>Total PS26</w:t>
            </w:r>
          </w:p>
        </w:tc>
      </w:tr>
      <w:tr w:rsidR="00A36E4C" w:rsidRPr="00DE108C" w14:paraId="494CA8A3" w14:textId="3BABCEA8" w:rsidTr="00A36E4C">
        <w:trPr>
          <w:trHeight w:val="840"/>
        </w:trPr>
        <w:tc>
          <w:tcPr>
            <w:tcW w:w="824" w:type="pct"/>
            <w:hideMark/>
          </w:tcPr>
          <w:p w14:paraId="1FCCFA6C" w14:textId="77777777" w:rsidR="00A36E4C" w:rsidRPr="00DE108C" w:rsidRDefault="00A36E4C" w:rsidP="00A36E4C">
            <w:pPr>
              <w:pStyle w:val="BodyText"/>
              <w:rPr>
                <w:b/>
                <w:bCs/>
                <w:sz w:val="16"/>
                <w:szCs w:val="16"/>
              </w:rPr>
            </w:pPr>
            <w:r w:rsidRPr="00DE108C">
              <w:rPr>
                <w:b/>
                <w:bCs/>
                <w:sz w:val="16"/>
                <w:szCs w:val="16"/>
              </w:rPr>
              <w:t>Total carbon credits cost</w:t>
            </w:r>
          </w:p>
        </w:tc>
        <w:tc>
          <w:tcPr>
            <w:tcW w:w="696" w:type="pct"/>
            <w:hideMark/>
          </w:tcPr>
          <w:p w14:paraId="15AFC951" w14:textId="77777777" w:rsidR="00A36E4C" w:rsidRPr="00DE108C" w:rsidRDefault="00A36E4C" w:rsidP="00A36E4C">
            <w:pPr>
              <w:pStyle w:val="BodyText"/>
              <w:rPr>
                <w:b/>
                <w:bCs/>
                <w:sz w:val="16"/>
                <w:szCs w:val="16"/>
              </w:rPr>
            </w:pPr>
            <w:r w:rsidRPr="00DE108C">
              <w:rPr>
                <w:b/>
                <w:bCs/>
                <w:sz w:val="16"/>
                <w:szCs w:val="16"/>
              </w:rPr>
              <w:t>2.4</w:t>
            </w:r>
          </w:p>
        </w:tc>
        <w:tc>
          <w:tcPr>
            <w:tcW w:w="696" w:type="pct"/>
            <w:hideMark/>
          </w:tcPr>
          <w:p w14:paraId="13CAF83A" w14:textId="77777777" w:rsidR="00A36E4C" w:rsidRPr="00DE108C" w:rsidRDefault="00A36E4C" w:rsidP="00A36E4C">
            <w:pPr>
              <w:pStyle w:val="BodyText"/>
              <w:rPr>
                <w:b/>
                <w:bCs/>
                <w:sz w:val="16"/>
                <w:szCs w:val="16"/>
              </w:rPr>
            </w:pPr>
            <w:r w:rsidRPr="00DE108C">
              <w:rPr>
                <w:b/>
                <w:bCs/>
                <w:sz w:val="16"/>
                <w:szCs w:val="16"/>
              </w:rPr>
              <w:t>2.4</w:t>
            </w:r>
          </w:p>
        </w:tc>
        <w:tc>
          <w:tcPr>
            <w:tcW w:w="696" w:type="pct"/>
            <w:hideMark/>
          </w:tcPr>
          <w:p w14:paraId="6CA18DB4" w14:textId="77777777" w:rsidR="00A36E4C" w:rsidRPr="00DE108C" w:rsidRDefault="00A36E4C" w:rsidP="00A36E4C">
            <w:pPr>
              <w:pStyle w:val="BodyText"/>
              <w:rPr>
                <w:b/>
                <w:bCs/>
                <w:sz w:val="16"/>
                <w:szCs w:val="16"/>
              </w:rPr>
            </w:pPr>
            <w:r w:rsidRPr="00DE108C">
              <w:rPr>
                <w:b/>
                <w:bCs/>
                <w:sz w:val="16"/>
                <w:szCs w:val="16"/>
              </w:rPr>
              <w:t>2.5</w:t>
            </w:r>
          </w:p>
        </w:tc>
        <w:tc>
          <w:tcPr>
            <w:tcW w:w="696" w:type="pct"/>
            <w:hideMark/>
          </w:tcPr>
          <w:p w14:paraId="0CC61AEB" w14:textId="77777777" w:rsidR="00A36E4C" w:rsidRPr="00DE108C" w:rsidRDefault="00A36E4C" w:rsidP="00A36E4C">
            <w:pPr>
              <w:pStyle w:val="BodyText"/>
              <w:rPr>
                <w:b/>
                <w:bCs/>
                <w:sz w:val="16"/>
                <w:szCs w:val="16"/>
              </w:rPr>
            </w:pPr>
            <w:r w:rsidRPr="00DE108C">
              <w:rPr>
                <w:b/>
                <w:bCs/>
                <w:sz w:val="16"/>
                <w:szCs w:val="16"/>
              </w:rPr>
              <w:t>8.8</w:t>
            </w:r>
          </w:p>
        </w:tc>
        <w:tc>
          <w:tcPr>
            <w:tcW w:w="696" w:type="pct"/>
            <w:hideMark/>
          </w:tcPr>
          <w:p w14:paraId="27036BD6" w14:textId="77777777" w:rsidR="00A36E4C" w:rsidRPr="00DE108C" w:rsidRDefault="00A36E4C" w:rsidP="00A36E4C">
            <w:pPr>
              <w:pStyle w:val="BodyText"/>
              <w:rPr>
                <w:b/>
                <w:bCs/>
                <w:sz w:val="16"/>
                <w:szCs w:val="16"/>
              </w:rPr>
            </w:pPr>
            <w:r w:rsidRPr="00DE108C">
              <w:rPr>
                <w:b/>
                <w:bCs/>
                <w:sz w:val="16"/>
                <w:szCs w:val="16"/>
              </w:rPr>
              <w:t>9.3</w:t>
            </w:r>
          </w:p>
        </w:tc>
        <w:tc>
          <w:tcPr>
            <w:tcW w:w="696" w:type="pct"/>
          </w:tcPr>
          <w:p w14:paraId="4923E736" w14:textId="2F8C63F9" w:rsidR="00A36E4C" w:rsidRPr="00DE108C" w:rsidRDefault="00A36E4C" w:rsidP="00A36E4C">
            <w:pPr>
              <w:pStyle w:val="BodyText"/>
              <w:rPr>
                <w:b/>
                <w:bCs/>
                <w:sz w:val="16"/>
                <w:szCs w:val="16"/>
              </w:rPr>
            </w:pPr>
            <w:r w:rsidRPr="00A36E4C">
              <w:rPr>
                <w:b/>
                <w:bCs/>
                <w:sz w:val="16"/>
                <w:szCs w:val="16"/>
              </w:rPr>
              <w:t xml:space="preserve"> 25.</w:t>
            </w:r>
            <w:r w:rsidR="00A64D2C">
              <w:rPr>
                <w:b/>
                <w:bCs/>
                <w:sz w:val="16"/>
                <w:szCs w:val="16"/>
              </w:rPr>
              <w:t>5</w:t>
            </w:r>
          </w:p>
        </w:tc>
      </w:tr>
      <w:tr w:rsidR="00556A0D" w:rsidRPr="00DE108C" w14:paraId="19533379" w14:textId="0F5EFFF1" w:rsidTr="00A36E4C">
        <w:trPr>
          <w:cnfStyle w:val="000000010000" w:firstRow="0" w:lastRow="0" w:firstColumn="0" w:lastColumn="0" w:oddVBand="0" w:evenVBand="0" w:oddHBand="0" w:evenHBand="1" w:firstRowFirstColumn="0" w:firstRowLastColumn="0" w:lastRowFirstColumn="0" w:lastRowLastColumn="0"/>
        </w:trPr>
        <w:tc>
          <w:tcPr>
            <w:tcW w:w="824" w:type="pct"/>
          </w:tcPr>
          <w:p w14:paraId="1CEE6263" w14:textId="77777777" w:rsidR="00A36E4C" w:rsidRPr="00DE108C" w:rsidRDefault="00A36E4C" w:rsidP="00A36E4C">
            <w:pPr>
              <w:pStyle w:val="BodyText"/>
              <w:rPr>
                <w:sz w:val="16"/>
                <w:szCs w:val="16"/>
              </w:rPr>
            </w:pPr>
            <w:r w:rsidRPr="00DE108C">
              <w:rPr>
                <w:sz w:val="16"/>
                <w:szCs w:val="16"/>
              </w:rPr>
              <w:t xml:space="preserve">Step change for PS26 </w:t>
            </w:r>
          </w:p>
        </w:tc>
        <w:tc>
          <w:tcPr>
            <w:tcW w:w="696" w:type="pct"/>
          </w:tcPr>
          <w:p w14:paraId="00413C65" w14:textId="77777777" w:rsidR="00A36E4C" w:rsidRPr="00DE108C" w:rsidRDefault="00A36E4C" w:rsidP="00A36E4C">
            <w:pPr>
              <w:pStyle w:val="BodyText"/>
              <w:rPr>
                <w:sz w:val="16"/>
                <w:szCs w:val="16"/>
              </w:rPr>
            </w:pPr>
            <w:r w:rsidRPr="00DE108C">
              <w:rPr>
                <w:sz w:val="16"/>
                <w:szCs w:val="16"/>
              </w:rPr>
              <w:t>-</w:t>
            </w:r>
          </w:p>
        </w:tc>
        <w:tc>
          <w:tcPr>
            <w:tcW w:w="696" w:type="pct"/>
          </w:tcPr>
          <w:p w14:paraId="61B6ACA8" w14:textId="77777777" w:rsidR="00A36E4C" w:rsidRPr="00DE108C" w:rsidRDefault="00A36E4C" w:rsidP="00A36E4C">
            <w:pPr>
              <w:pStyle w:val="BodyText"/>
              <w:rPr>
                <w:sz w:val="16"/>
                <w:szCs w:val="16"/>
              </w:rPr>
            </w:pPr>
            <w:r w:rsidRPr="00DE108C">
              <w:rPr>
                <w:sz w:val="16"/>
                <w:szCs w:val="16"/>
              </w:rPr>
              <w:t>-</w:t>
            </w:r>
          </w:p>
        </w:tc>
        <w:tc>
          <w:tcPr>
            <w:tcW w:w="696" w:type="pct"/>
          </w:tcPr>
          <w:p w14:paraId="380A8B31" w14:textId="77777777" w:rsidR="00A36E4C" w:rsidRPr="00DE108C" w:rsidRDefault="00A36E4C" w:rsidP="00A36E4C">
            <w:pPr>
              <w:pStyle w:val="BodyText"/>
              <w:rPr>
                <w:sz w:val="16"/>
                <w:szCs w:val="16"/>
              </w:rPr>
            </w:pPr>
            <w:r w:rsidRPr="00DE108C">
              <w:rPr>
                <w:sz w:val="16"/>
                <w:szCs w:val="16"/>
              </w:rPr>
              <w:t>-</w:t>
            </w:r>
          </w:p>
        </w:tc>
        <w:tc>
          <w:tcPr>
            <w:tcW w:w="696" w:type="pct"/>
          </w:tcPr>
          <w:p w14:paraId="078A96B8" w14:textId="77777777" w:rsidR="00A36E4C" w:rsidRPr="00DE108C" w:rsidRDefault="00A36E4C" w:rsidP="00A36E4C">
            <w:pPr>
              <w:pStyle w:val="BodyText"/>
              <w:rPr>
                <w:sz w:val="16"/>
                <w:szCs w:val="16"/>
              </w:rPr>
            </w:pPr>
            <w:r w:rsidRPr="00DE108C">
              <w:rPr>
                <w:sz w:val="16"/>
                <w:szCs w:val="16"/>
              </w:rPr>
              <w:t>6.4</w:t>
            </w:r>
          </w:p>
        </w:tc>
        <w:tc>
          <w:tcPr>
            <w:tcW w:w="696" w:type="pct"/>
          </w:tcPr>
          <w:p w14:paraId="6AC4C1FF" w14:textId="77777777" w:rsidR="00A36E4C" w:rsidRPr="00DE108C" w:rsidRDefault="00A36E4C" w:rsidP="00A36E4C">
            <w:pPr>
              <w:pStyle w:val="BodyText"/>
              <w:rPr>
                <w:sz w:val="16"/>
                <w:szCs w:val="16"/>
              </w:rPr>
            </w:pPr>
            <w:r w:rsidRPr="00DE108C">
              <w:rPr>
                <w:sz w:val="16"/>
                <w:szCs w:val="16"/>
              </w:rPr>
              <w:t>6.9</w:t>
            </w:r>
          </w:p>
        </w:tc>
        <w:tc>
          <w:tcPr>
            <w:tcW w:w="696" w:type="pct"/>
          </w:tcPr>
          <w:p w14:paraId="4A8D7E24" w14:textId="26EE6553" w:rsidR="00A36E4C" w:rsidRPr="00A36E4C" w:rsidRDefault="00A36E4C" w:rsidP="00A36E4C">
            <w:pPr>
              <w:pStyle w:val="BodyText"/>
              <w:rPr>
                <w:b/>
                <w:bCs/>
                <w:sz w:val="16"/>
                <w:szCs w:val="16"/>
              </w:rPr>
            </w:pPr>
            <w:r w:rsidRPr="00A36E4C">
              <w:rPr>
                <w:b/>
                <w:bCs/>
                <w:sz w:val="16"/>
                <w:szCs w:val="16"/>
              </w:rPr>
              <w:t xml:space="preserve"> 13.3 </w:t>
            </w:r>
          </w:p>
        </w:tc>
      </w:tr>
    </w:tbl>
    <w:p w14:paraId="66C04AC9" w14:textId="323FDED1" w:rsidR="00046BD5" w:rsidRPr="00DE108C" w:rsidRDefault="00046BD5" w:rsidP="001D64E8">
      <w:pPr>
        <w:pStyle w:val="Heading4"/>
      </w:pPr>
      <w:bookmarkStart w:id="751" w:name="_Ref206425597"/>
      <w:r w:rsidRPr="00DE108C">
        <w:t>7.</w:t>
      </w:r>
      <w:r w:rsidR="001D64E8" w:rsidRPr="00DE108C">
        <w:t>3.3</w:t>
      </w:r>
      <w:r w:rsidRPr="00DE108C">
        <w:t>.5 Insurance</w:t>
      </w:r>
      <w:bookmarkEnd w:id="751"/>
      <w:r w:rsidRPr="00DE108C">
        <w:t xml:space="preserve"> </w:t>
      </w:r>
    </w:p>
    <w:p w14:paraId="460F5918" w14:textId="77777777" w:rsidR="00E91259" w:rsidRPr="00DE108C" w:rsidRDefault="00046BD5">
      <w:pPr>
        <w:pStyle w:val="BodyText"/>
      </w:pPr>
      <w:r w:rsidRPr="00DE108C">
        <w:t>Melbourne Water received advice from its insurance brokers that despite a large increase in insurance costs in recent years, it is now expected to receive real decreases in insurance premiums. We have forecast throughout the PS26 regulatory period to account for these real decreases from the 2024-25 actual expenditure. Therefore, we have incorporated a decrease in insurance premium of $4.8 million in our opex forecast (shown annually in the Table 7.15).</w:t>
      </w:r>
    </w:p>
    <w:p w14:paraId="36582306" w14:textId="77777777" w:rsidR="00046BD5" w:rsidRPr="00DE108C" w:rsidRDefault="00046BD5">
      <w:pPr>
        <w:pStyle w:val="Caption"/>
      </w:pPr>
      <w:bookmarkStart w:id="752" w:name="_Toc207893065"/>
      <w:bookmarkStart w:id="753" w:name="_Toc208490589"/>
      <w:bookmarkStart w:id="754" w:name="_Toc208490927"/>
      <w:bookmarkStart w:id="755" w:name="_Toc208911085"/>
      <w:bookmarkStart w:id="756" w:name="_Toc210051391"/>
      <w:r w:rsidRPr="00DE108C">
        <w:t>Table 7.15: Forecast insurance opex forecast ($millions, real 2025-26)</w:t>
      </w:r>
      <w:bookmarkEnd w:id="752"/>
      <w:bookmarkEnd w:id="753"/>
      <w:bookmarkEnd w:id="754"/>
      <w:bookmarkEnd w:id="755"/>
      <w:bookmarkEnd w:id="756"/>
    </w:p>
    <w:tbl>
      <w:tblPr>
        <w:tblStyle w:val="TableGrid"/>
        <w:tblW w:w="5000" w:type="pct"/>
        <w:tblLook w:val="04A0" w:firstRow="1" w:lastRow="0" w:firstColumn="1" w:lastColumn="0" w:noHBand="0" w:noVBand="1"/>
      </w:tblPr>
      <w:tblGrid>
        <w:gridCol w:w="1710"/>
        <w:gridCol w:w="1323"/>
        <w:gridCol w:w="1321"/>
        <w:gridCol w:w="1321"/>
        <w:gridCol w:w="1321"/>
        <w:gridCol w:w="1317"/>
        <w:gridCol w:w="1315"/>
      </w:tblGrid>
      <w:tr w:rsidR="00556A0D" w:rsidRPr="00DE108C" w14:paraId="168F451D" w14:textId="3A50D900" w:rsidTr="00BA209E">
        <w:trPr>
          <w:cnfStyle w:val="100000000000" w:firstRow="1" w:lastRow="0" w:firstColumn="0" w:lastColumn="0" w:oddVBand="0" w:evenVBand="0" w:oddHBand="0" w:evenHBand="0" w:firstRowFirstColumn="0" w:firstRowLastColumn="0" w:lastRowFirstColumn="0" w:lastRowLastColumn="0"/>
        </w:trPr>
        <w:tc>
          <w:tcPr>
            <w:tcW w:w="888" w:type="pct"/>
          </w:tcPr>
          <w:p w14:paraId="6E4466D5" w14:textId="77777777" w:rsidR="00AD06CD" w:rsidRPr="00DE108C" w:rsidRDefault="00AD06CD">
            <w:pPr>
              <w:pStyle w:val="BodyText"/>
              <w:rPr>
                <w:rFonts w:asciiTheme="majorHAnsi" w:hAnsiTheme="majorHAnsi"/>
                <w:sz w:val="16"/>
                <w:szCs w:val="16"/>
              </w:rPr>
            </w:pPr>
          </w:p>
        </w:tc>
        <w:tc>
          <w:tcPr>
            <w:tcW w:w="687" w:type="pct"/>
          </w:tcPr>
          <w:p w14:paraId="5129E86C" w14:textId="77777777" w:rsidR="00AD06CD" w:rsidRPr="00DE108C" w:rsidRDefault="00AD06CD">
            <w:pPr>
              <w:pStyle w:val="BodyText"/>
              <w:rPr>
                <w:rFonts w:asciiTheme="majorHAnsi" w:hAnsiTheme="majorHAnsi"/>
                <w:b/>
                <w:bCs/>
                <w:color w:val="FFFFFF" w:themeColor="background1"/>
                <w:sz w:val="16"/>
                <w:szCs w:val="16"/>
              </w:rPr>
            </w:pPr>
            <w:r w:rsidRPr="00DE108C">
              <w:rPr>
                <w:rFonts w:asciiTheme="majorHAnsi" w:hAnsiTheme="majorHAnsi"/>
                <w:b/>
                <w:bCs/>
                <w:color w:val="FFFFFF" w:themeColor="background1"/>
                <w:sz w:val="16"/>
                <w:szCs w:val="16"/>
              </w:rPr>
              <w:t>2026-27</w:t>
            </w:r>
          </w:p>
        </w:tc>
        <w:tc>
          <w:tcPr>
            <w:tcW w:w="686" w:type="pct"/>
          </w:tcPr>
          <w:p w14:paraId="4FC65891" w14:textId="77777777" w:rsidR="00AD06CD" w:rsidRPr="00DE108C" w:rsidRDefault="00AD06CD">
            <w:pPr>
              <w:pStyle w:val="BodyText"/>
              <w:rPr>
                <w:rFonts w:asciiTheme="majorHAnsi" w:hAnsiTheme="majorHAnsi"/>
                <w:b/>
                <w:bCs/>
                <w:color w:val="FFFFFF" w:themeColor="background1"/>
                <w:sz w:val="16"/>
                <w:szCs w:val="16"/>
              </w:rPr>
            </w:pPr>
            <w:r w:rsidRPr="00DE108C">
              <w:rPr>
                <w:rFonts w:asciiTheme="majorHAnsi" w:hAnsiTheme="majorHAnsi"/>
                <w:b/>
                <w:bCs/>
                <w:color w:val="FFFFFF" w:themeColor="background1"/>
                <w:sz w:val="16"/>
                <w:szCs w:val="16"/>
              </w:rPr>
              <w:t>2027-28</w:t>
            </w:r>
          </w:p>
        </w:tc>
        <w:tc>
          <w:tcPr>
            <w:tcW w:w="686" w:type="pct"/>
          </w:tcPr>
          <w:p w14:paraId="07408AA5" w14:textId="77777777" w:rsidR="00AD06CD" w:rsidRPr="00DE108C" w:rsidRDefault="00AD06CD">
            <w:pPr>
              <w:pStyle w:val="BodyText"/>
              <w:rPr>
                <w:rFonts w:asciiTheme="majorHAnsi" w:hAnsiTheme="majorHAnsi"/>
                <w:b/>
                <w:bCs/>
                <w:color w:val="FFFFFF" w:themeColor="background1"/>
                <w:sz w:val="16"/>
                <w:szCs w:val="16"/>
              </w:rPr>
            </w:pPr>
            <w:r w:rsidRPr="00DE108C">
              <w:rPr>
                <w:rFonts w:asciiTheme="majorHAnsi" w:hAnsiTheme="majorHAnsi"/>
                <w:b/>
                <w:bCs/>
                <w:color w:val="FFFFFF" w:themeColor="background1"/>
                <w:sz w:val="16"/>
                <w:szCs w:val="16"/>
              </w:rPr>
              <w:t>2028-29</w:t>
            </w:r>
          </w:p>
        </w:tc>
        <w:tc>
          <w:tcPr>
            <w:tcW w:w="686" w:type="pct"/>
          </w:tcPr>
          <w:p w14:paraId="521398DB" w14:textId="77777777" w:rsidR="00AD06CD" w:rsidRPr="00DE108C" w:rsidRDefault="00AD06CD">
            <w:pPr>
              <w:pStyle w:val="BodyText"/>
              <w:rPr>
                <w:rFonts w:asciiTheme="majorHAnsi" w:hAnsiTheme="majorHAnsi"/>
                <w:b/>
                <w:bCs/>
                <w:color w:val="FFFFFF" w:themeColor="background1"/>
                <w:sz w:val="16"/>
                <w:szCs w:val="16"/>
              </w:rPr>
            </w:pPr>
            <w:r w:rsidRPr="00DE108C">
              <w:rPr>
                <w:rFonts w:asciiTheme="majorHAnsi" w:hAnsiTheme="majorHAnsi"/>
                <w:b/>
                <w:bCs/>
                <w:color w:val="FFFFFF" w:themeColor="background1"/>
                <w:sz w:val="16"/>
                <w:szCs w:val="16"/>
              </w:rPr>
              <w:t>2029-30</w:t>
            </w:r>
          </w:p>
        </w:tc>
        <w:tc>
          <w:tcPr>
            <w:tcW w:w="684" w:type="pct"/>
          </w:tcPr>
          <w:p w14:paraId="54DBFD3F" w14:textId="77777777" w:rsidR="00AD06CD" w:rsidRPr="00DE108C" w:rsidRDefault="00AD06CD">
            <w:pPr>
              <w:pStyle w:val="BodyText"/>
              <w:rPr>
                <w:rFonts w:asciiTheme="majorHAnsi" w:hAnsiTheme="majorHAnsi"/>
                <w:b/>
                <w:bCs/>
                <w:color w:val="FFFFFF" w:themeColor="background1"/>
                <w:sz w:val="16"/>
                <w:szCs w:val="16"/>
              </w:rPr>
            </w:pPr>
            <w:r w:rsidRPr="00DE108C">
              <w:rPr>
                <w:rFonts w:asciiTheme="majorHAnsi" w:hAnsiTheme="majorHAnsi"/>
                <w:b/>
                <w:bCs/>
                <w:color w:val="FFFFFF" w:themeColor="background1"/>
                <w:sz w:val="16"/>
                <w:szCs w:val="16"/>
              </w:rPr>
              <w:t>2030-31</w:t>
            </w:r>
          </w:p>
        </w:tc>
        <w:tc>
          <w:tcPr>
            <w:tcW w:w="683" w:type="pct"/>
          </w:tcPr>
          <w:p w14:paraId="4AA19883" w14:textId="2EB24324" w:rsidR="00AD06CD" w:rsidRPr="00DE108C" w:rsidRDefault="00AD06CD">
            <w:pPr>
              <w:pStyle w:val="BodyText"/>
              <w:rPr>
                <w:rFonts w:asciiTheme="majorHAnsi" w:hAnsiTheme="majorHAnsi"/>
                <w:b/>
                <w:bCs/>
                <w:color w:val="FFFFFF" w:themeColor="background1"/>
                <w:sz w:val="16"/>
                <w:szCs w:val="16"/>
              </w:rPr>
            </w:pPr>
            <w:r>
              <w:rPr>
                <w:rFonts w:asciiTheme="majorHAnsi" w:hAnsiTheme="majorHAnsi"/>
                <w:b/>
                <w:bCs/>
                <w:color w:val="FFFFFF" w:themeColor="background1"/>
                <w:sz w:val="16"/>
                <w:szCs w:val="16"/>
              </w:rPr>
              <w:t>Total PS26</w:t>
            </w:r>
          </w:p>
        </w:tc>
      </w:tr>
      <w:tr w:rsidR="00BA209E" w:rsidRPr="00DE108C" w14:paraId="0023D197" w14:textId="744D415F" w:rsidTr="00BA209E">
        <w:tc>
          <w:tcPr>
            <w:tcW w:w="888" w:type="pct"/>
            <w:vAlign w:val="center"/>
          </w:tcPr>
          <w:p w14:paraId="115B1A3E" w14:textId="77777777" w:rsidR="00BA209E" w:rsidRPr="00DE108C" w:rsidRDefault="00BA209E" w:rsidP="00BA209E">
            <w:pPr>
              <w:pStyle w:val="BodyText"/>
              <w:rPr>
                <w:rFonts w:asciiTheme="majorHAnsi" w:hAnsiTheme="majorHAnsi"/>
                <w:sz w:val="16"/>
                <w:szCs w:val="16"/>
              </w:rPr>
            </w:pPr>
            <w:r w:rsidRPr="00DE108C">
              <w:rPr>
                <w:rFonts w:asciiTheme="majorHAnsi" w:hAnsiTheme="majorHAnsi" w:cs="Arial"/>
                <w:color w:val="000000"/>
                <w:sz w:val="16"/>
                <w:szCs w:val="16"/>
              </w:rPr>
              <w:t>Forecast insurance costs</w:t>
            </w:r>
          </w:p>
        </w:tc>
        <w:tc>
          <w:tcPr>
            <w:tcW w:w="687" w:type="pct"/>
            <w:vAlign w:val="center"/>
          </w:tcPr>
          <w:p w14:paraId="6F0A728B" w14:textId="5B286E5A" w:rsidR="00BA209E" w:rsidRPr="00BA209E" w:rsidRDefault="00BA209E" w:rsidP="00BA209E">
            <w:pPr>
              <w:pStyle w:val="BodyText"/>
              <w:rPr>
                <w:rFonts w:asciiTheme="majorHAnsi" w:hAnsiTheme="majorHAnsi"/>
                <w:sz w:val="16"/>
                <w:szCs w:val="16"/>
              </w:rPr>
            </w:pPr>
            <w:r w:rsidRPr="00BA209E">
              <w:rPr>
                <w:rFonts w:ascii="Verdana" w:hAnsi="Verdana" w:cs="Arial"/>
                <w:color w:val="231F20"/>
                <w:sz w:val="16"/>
                <w:szCs w:val="16"/>
              </w:rPr>
              <w:t xml:space="preserve"> 7.1 </w:t>
            </w:r>
          </w:p>
        </w:tc>
        <w:tc>
          <w:tcPr>
            <w:tcW w:w="686" w:type="pct"/>
            <w:vAlign w:val="center"/>
          </w:tcPr>
          <w:p w14:paraId="7ED93D45" w14:textId="5D36B53D" w:rsidR="00BA209E" w:rsidRPr="00BA209E" w:rsidRDefault="00BA209E" w:rsidP="00BA209E">
            <w:pPr>
              <w:pStyle w:val="BodyText"/>
              <w:rPr>
                <w:rFonts w:asciiTheme="majorHAnsi" w:hAnsiTheme="majorHAnsi"/>
                <w:sz w:val="16"/>
                <w:szCs w:val="16"/>
              </w:rPr>
            </w:pPr>
            <w:r w:rsidRPr="00BA209E">
              <w:rPr>
                <w:rFonts w:ascii="Verdana" w:hAnsi="Verdana" w:cs="Arial"/>
                <w:color w:val="231F20"/>
                <w:sz w:val="16"/>
                <w:szCs w:val="16"/>
              </w:rPr>
              <w:t xml:space="preserve"> 7.5 </w:t>
            </w:r>
          </w:p>
        </w:tc>
        <w:tc>
          <w:tcPr>
            <w:tcW w:w="686" w:type="pct"/>
            <w:vAlign w:val="center"/>
          </w:tcPr>
          <w:p w14:paraId="6F108D27" w14:textId="55B4C4C4" w:rsidR="00BA209E" w:rsidRPr="00BA209E" w:rsidRDefault="00BA209E" w:rsidP="00BA209E">
            <w:pPr>
              <w:pStyle w:val="BodyText"/>
              <w:rPr>
                <w:rFonts w:asciiTheme="majorHAnsi" w:hAnsiTheme="majorHAnsi"/>
                <w:sz w:val="16"/>
                <w:szCs w:val="16"/>
              </w:rPr>
            </w:pPr>
            <w:r w:rsidRPr="00BA209E">
              <w:rPr>
                <w:rFonts w:ascii="Verdana" w:hAnsi="Verdana" w:cs="Arial"/>
                <w:color w:val="231F20"/>
                <w:sz w:val="16"/>
                <w:szCs w:val="16"/>
              </w:rPr>
              <w:t xml:space="preserve"> 7.8 </w:t>
            </w:r>
          </w:p>
        </w:tc>
        <w:tc>
          <w:tcPr>
            <w:tcW w:w="686" w:type="pct"/>
            <w:vAlign w:val="center"/>
          </w:tcPr>
          <w:p w14:paraId="69041291" w14:textId="38327F8B" w:rsidR="00BA209E" w:rsidRPr="00BA209E" w:rsidRDefault="00BA209E" w:rsidP="00BA209E">
            <w:pPr>
              <w:pStyle w:val="BodyText"/>
              <w:rPr>
                <w:rFonts w:asciiTheme="majorHAnsi" w:hAnsiTheme="majorHAnsi"/>
                <w:sz w:val="16"/>
                <w:szCs w:val="16"/>
              </w:rPr>
            </w:pPr>
            <w:r w:rsidRPr="00BA209E">
              <w:rPr>
                <w:rFonts w:ascii="Verdana" w:hAnsi="Verdana" w:cs="Arial"/>
                <w:color w:val="231F20"/>
                <w:sz w:val="16"/>
                <w:szCs w:val="16"/>
              </w:rPr>
              <w:t xml:space="preserve"> 8.2 </w:t>
            </w:r>
          </w:p>
        </w:tc>
        <w:tc>
          <w:tcPr>
            <w:tcW w:w="684" w:type="pct"/>
            <w:vAlign w:val="center"/>
          </w:tcPr>
          <w:p w14:paraId="5C493930" w14:textId="1AC9ED80" w:rsidR="00BA209E" w:rsidRPr="00BA209E" w:rsidRDefault="00BA209E" w:rsidP="00BA209E">
            <w:pPr>
              <w:pStyle w:val="BodyText"/>
              <w:rPr>
                <w:rFonts w:asciiTheme="majorHAnsi" w:hAnsiTheme="majorHAnsi"/>
                <w:sz w:val="16"/>
                <w:szCs w:val="16"/>
              </w:rPr>
            </w:pPr>
            <w:r w:rsidRPr="00BA209E">
              <w:rPr>
                <w:rFonts w:ascii="Verdana" w:hAnsi="Verdana" w:cs="Arial"/>
                <w:color w:val="231F20"/>
                <w:sz w:val="16"/>
                <w:szCs w:val="16"/>
              </w:rPr>
              <w:t xml:space="preserve"> 8.7 </w:t>
            </w:r>
          </w:p>
        </w:tc>
        <w:tc>
          <w:tcPr>
            <w:tcW w:w="683" w:type="pct"/>
            <w:vAlign w:val="center"/>
          </w:tcPr>
          <w:p w14:paraId="52D1D943" w14:textId="4FA9023E" w:rsidR="00BA209E" w:rsidRPr="00BA209E" w:rsidRDefault="00BA209E" w:rsidP="00BA209E">
            <w:pPr>
              <w:pStyle w:val="BodyText"/>
              <w:rPr>
                <w:rFonts w:ascii="Verdana" w:hAnsi="Verdana" w:cs="Arial"/>
                <w:b/>
                <w:color w:val="231F20"/>
                <w:sz w:val="16"/>
                <w:szCs w:val="16"/>
              </w:rPr>
            </w:pPr>
            <w:r w:rsidRPr="00BA209E">
              <w:rPr>
                <w:rFonts w:ascii="Verdana" w:hAnsi="Verdana" w:cs="Arial"/>
                <w:b/>
                <w:bCs/>
                <w:color w:val="231F20"/>
                <w:sz w:val="16"/>
                <w:szCs w:val="16"/>
              </w:rPr>
              <w:t xml:space="preserve"> 39.3 </w:t>
            </w:r>
          </w:p>
        </w:tc>
      </w:tr>
      <w:tr w:rsidR="00556A0D" w:rsidRPr="00DE108C" w14:paraId="1B7E4C30" w14:textId="46AEFCD9" w:rsidTr="00BA209E">
        <w:trPr>
          <w:cnfStyle w:val="000000010000" w:firstRow="0" w:lastRow="0" w:firstColumn="0" w:lastColumn="0" w:oddVBand="0" w:evenVBand="0" w:oddHBand="0" w:evenHBand="1" w:firstRowFirstColumn="0" w:firstRowLastColumn="0" w:lastRowFirstColumn="0" w:lastRowLastColumn="0"/>
        </w:trPr>
        <w:tc>
          <w:tcPr>
            <w:tcW w:w="888" w:type="pct"/>
            <w:vAlign w:val="center"/>
          </w:tcPr>
          <w:p w14:paraId="792C3796" w14:textId="77777777" w:rsidR="00BA209E" w:rsidRPr="00DE108C" w:rsidRDefault="00BA209E" w:rsidP="00BA209E">
            <w:pPr>
              <w:pStyle w:val="BodyText"/>
              <w:rPr>
                <w:rFonts w:asciiTheme="majorHAnsi" w:hAnsiTheme="majorHAnsi" w:cs="Arial"/>
                <w:color w:val="000000"/>
                <w:sz w:val="16"/>
                <w:szCs w:val="16"/>
              </w:rPr>
            </w:pPr>
            <w:r w:rsidRPr="00DE108C">
              <w:rPr>
                <w:rFonts w:asciiTheme="majorHAnsi" w:hAnsiTheme="majorHAnsi" w:cs="Arial"/>
                <w:color w:val="000000"/>
                <w:sz w:val="16"/>
                <w:szCs w:val="16"/>
              </w:rPr>
              <w:t>Step change for PS26</w:t>
            </w:r>
          </w:p>
        </w:tc>
        <w:tc>
          <w:tcPr>
            <w:tcW w:w="687" w:type="pct"/>
            <w:vAlign w:val="center"/>
          </w:tcPr>
          <w:p w14:paraId="305D7C5E" w14:textId="0E004C90" w:rsidR="00BA209E" w:rsidRPr="00BA209E" w:rsidRDefault="00BA209E" w:rsidP="00BA209E">
            <w:pPr>
              <w:pStyle w:val="BodyText"/>
              <w:rPr>
                <w:rFonts w:asciiTheme="majorHAnsi" w:hAnsiTheme="majorHAnsi" w:cs="Arial"/>
                <w:color w:val="000000"/>
                <w:sz w:val="16"/>
                <w:szCs w:val="16"/>
              </w:rPr>
            </w:pPr>
            <w:r w:rsidRPr="00BA209E">
              <w:rPr>
                <w:rFonts w:ascii="Verdana" w:hAnsi="Verdana" w:cs="Arial"/>
                <w:color w:val="231F20"/>
                <w:sz w:val="16"/>
                <w:szCs w:val="16"/>
              </w:rPr>
              <w:t>-1.7</w:t>
            </w:r>
          </w:p>
        </w:tc>
        <w:tc>
          <w:tcPr>
            <w:tcW w:w="686" w:type="pct"/>
            <w:vAlign w:val="center"/>
          </w:tcPr>
          <w:p w14:paraId="0D78E237" w14:textId="75756597" w:rsidR="00BA209E" w:rsidRPr="00BA209E" w:rsidRDefault="00BA209E" w:rsidP="00BA209E">
            <w:pPr>
              <w:pStyle w:val="BodyText"/>
              <w:rPr>
                <w:rFonts w:asciiTheme="majorHAnsi" w:hAnsiTheme="majorHAnsi" w:cs="Arial"/>
                <w:color w:val="000000"/>
                <w:sz w:val="16"/>
                <w:szCs w:val="16"/>
              </w:rPr>
            </w:pPr>
            <w:r w:rsidRPr="00BA209E">
              <w:rPr>
                <w:rFonts w:ascii="Verdana" w:hAnsi="Verdana" w:cs="Arial"/>
                <w:color w:val="231F20"/>
                <w:sz w:val="16"/>
                <w:szCs w:val="16"/>
              </w:rPr>
              <w:t>-1.3</w:t>
            </w:r>
          </w:p>
        </w:tc>
        <w:tc>
          <w:tcPr>
            <w:tcW w:w="686" w:type="pct"/>
            <w:vAlign w:val="center"/>
          </w:tcPr>
          <w:p w14:paraId="718B1711" w14:textId="7DFD79B7" w:rsidR="00BA209E" w:rsidRPr="00BA209E" w:rsidRDefault="00BA209E" w:rsidP="00BA209E">
            <w:pPr>
              <w:pStyle w:val="BodyText"/>
              <w:rPr>
                <w:rFonts w:asciiTheme="majorHAnsi" w:hAnsiTheme="majorHAnsi" w:cs="Arial"/>
                <w:color w:val="000000"/>
                <w:sz w:val="16"/>
                <w:szCs w:val="16"/>
              </w:rPr>
            </w:pPr>
            <w:r w:rsidRPr="00BA209E">
              <w:rPr>
                <w:rFonts w:ascii="Verdana" w:hAnsi="Verdana" w:cs="Arial"/>
                <w:color w:val="231F20"/>
                <w:sz w:val="16"/>
                <w:szCs w:val="16"/>
              </w:rPr>
              <w:t>-1.0</w:t>
            </w:r>
          </w:p>
        </w:tc>
        <w:tc>
          <w:tcPr>
            <w:tcW w:w="686" w:type="pct"/>
            <w:vAlign w:val="center"/>
          </w:tcPr>
          <w:p w14:paraId="0000E522" w14:textId="4B770815" w:rsidR="00BA209E" w:rsidRPr="00BA209E" w:rsidRDefault="00BA209E" w:rsidP="00BA209E">
            <w:pPr>
              <w:pStyle w:val="BodyText"/>
              <w:rPr>
                <w:rFonts w:asciiTheme="majorHAnsi" w:hAnsiTheme="majorHAnsi" w:cs="Arial"/>
                <w:color w:val="000000"/>
                <w:sz w:val="16"/>
                <w:szCs w:val="16"/>
              </w:rPr>
            </w:pPr>
            <w:r w:rsidRPr="00BA209E">
              <w:rPr>
                <w:rFonts w:ascii="Verdana" w:hAnsi="Verdana" w:cs="Arial"/>
                <w:color w:val="231F20"/>
                <w:sz w:val="16"/>
                <w:szCs w:val="16"/>
              </w:rPr>
              <w:t>-0.6</w:t>
            </w:r>
          </w:p>
        </w:tc>
        <w:tc>
          <w:tcPr>
            <w:tcW w:w="684" w:type="pct"/>
            <w:vAlign w:val="center"/>
          </w:tcPr>
          <w:p w14:paraId="3D6309DE" w14:textId="673FFC81" w:rsidR="00BA209E" w:rsidRPr="00BA209E" w:rsidRDefault="00BA209E" w:rsidP="00BA209E">
            <w:pPr>
              <w:pStyle w:val="BodyText"/>
              <w:rPr>
                <w:rFonts w:asciiTheme="majorHAnsi" w:hAnsiTheme="majorHAnsi" w:cs="Arial"/>
                <w:color w:val="000000"/>
                <w:sz w:val="16"/>
                <w:szCs w:val="16"/>
              </w:rPr>
            </w:pPr>
            <w:r w:rsidRPr="00BA209E">
              <w:rPr>
                <w:rFonts w:ascii="Verdana" w:hAnsi="Verdana" w:cs="Arial"/>
                <w:color w:val="231F20"/>
                <w:sz w:val="16"/>
                <w:szCs w:val="16"/>
              </w:rPr>
              <w:t>-0.2</w:t>
            </w:r>
          </w:p>
        </w:tc>
        <w:tc>
          <w:tcPr>
            <w:tcW w:w="683" w:type="pct"/>
            <w:vAlign w:val="center"/>
          </w:tcPr>
          <w:p w14:paraId="4226F217" w14:textId="1CC6E1BE" w:rsidR="00BA209E" w:rsidRPr="00BA209E" w:rsidRDefault="00BA209E" w:rsidP="00BA209E">
            <w:pPr>
              <w:pStyle w:val="BodyText"/>
              <w:rPr>
                <w:rFonts w:ascii="Verdana" w:hAnsi="Verdana" w:cs="Arial"/>
                <w:b/>
                <w:color w:val="231F20"/>
                <w:sz w:val="16"/>
                <w:szCs w:val="16"/>
              </w:rPr>
            </w:pPr>
            <w:r w:rsidRPr="00BA209E">
              <w:rPr>
                <w:rFonts w:ascii="Verdana" w:hAnsi="Verdana" w:cs="Arial"/>
                <w:b/>
                <w:bCs/>
                <w:color w:val="231F20"/>
                <w:sz w:val="16"/>
                <w:szCs w:val="16"/>
              </w:rPr>
              <w:t>-4.8</w:t>
            </w:r>
          </w:p>
        </w:tc>
      </w:tr>
    </w:tbl>
    <w:p w14:paraId="573D9A17" w14:textId="77777777" w:rsidR="00046BD5" w:rsidRPr="00DE108C" w:rsidRDefault="00046BD5">
      <w:pPr>
        <w:pStyle w:val="BodyText"/>
      </w:pPr>
    </w:p>
    <w:p w14:paraId="714D3739" w14:textId="438C75EE" w:rsidR="00046BD5" w:rsidRPr="00DE108C" w:rsidRDefault="00046BD5">
      <w:pPr>
        <w:pStyle w:val="Heading2"/>
      </w:pPr>
      <w:bookmarkStart w:id="757" w:name="_Toc207892912"/>
      <w:bookmarkStart w:id="758" w:name="_Toc207853405"/>
      <w:r w:rsidRPr="00DE108C">
        <w:t>7.</w:t>
      </w:r>
      <w:r w:rsidR="001D64E8" w:rsidRPr="00DE108C">
        <w:t>4</w:t>
      </w:r>
      <w:r w:rsidRPr="00DE108C">
        <w:t xml:space="preserve"> Forecast controllable opex</w:t>
      </w:r>
      <w:bookmarkEnd w:id="730"/>
      <w:bookmarkEnd w:id="757"/>
      <w:bookmarkEnd w:id="758"/>
    </w:p>
    <w:p w14:paraId="3A4C81DD" w14:textId="5BA76E1C" w:rsidR="00046BD5" w:rsidRPr="00DE108C" w:rsidRDefault="00046BD5">
      <w:pPr>
        <w:pStyle w:val="BodyText"/>
      </w:pPr>
      <w:r w:rsidRPr="00DE108C">
        <w:t xml:space="preserve">The total forecast controllable opex </w:t>
      </w:r>
      <w:r w:rsidRPr="001164EE">
        <w:t>is $2,79</w:t>
      </w:r>
      <w:r w:rsidR="004B2AD7" w:rsidRPr="001164EE">
        <w:t>0</w:t>
      </w:r>
      <w:r w:rsidRPr="001164EE">
        <w:t> million</w:t>
      </w:r>
      <w:r w:rsidRPr="00DE108C">
        <w:t xml:space="preserve"> over five years and is summarised in Table 7.16 by our three main products. This incorporated a small reduction in base year opex in 2025-26 as per the commitments in PS21. </w:t>
      </w:r>
    </w:p>
    <w:p w14:paraId="241ED460" w14:textId="77777777" w:rsidR="00046BD5" w:rsidRPr="00DE108C" w:rsidRDefault="00046BD5" w:rsidP="00ED094E">
      <w:pPr>
        <w:pStyle w:val="Caption"/>
      </w:pPr>
      <w:bookmarkStart w:id="759" w:name="_Toc190878407"/>
      <w:bookmarkStart w:id="760" w:name="_Toc207893066"/>
      <w:bookmarkStart w:id="761" w:name="_Toc208490590"/>
      <w:bookmarkStart w:id="762" w:name="_Toc208490928"/>
      <w:bookmarkStart w:id="763" w:name="_Toc208911086"/>
      <w:bookmarkStart w:id="764" w:name="_Toc210051392"/>
      <w:r w:rsidRPr="001164EE">
        <w:t>Table 7.16: Forecast controllable opex forecast</w:t>
      </w:r>
      <w:bookmarkEnd w:id="759"/>
      <w:r w:rsidRPr="001164EE">
        <w:t xml:space="preserve"> ($millions, real 2025-26)</w:t>
      </w:r>
      <w:bookmarkEnd w:id="760"/>
      <w:bookmarkEnd w:id="761"/>
      <w:bookmarkEnd w:id="762"/>
      <w:bookmarkEnd w:id="763"/>
      <w:bookmarkEnd w:id="764"/>
    </w:p>
    <w:tbl>
      <w:tblPr>
        <w:tblStyle w:val="TableGrid"/>
        <w:tblW w:w="5018" w:type="pct"/>
        <w:tblLook w:val="04A0" w:firstRow="1" w:lastRow="0" w:firstColumn="1" w:lastColumn="0" w:noHBand="0" w:noVBand="1"/>
      </w:tblPr>
      <w:tblGrid>
        <w:gridCol w:w="1508"/>
        <w:gridCol w:w="1166"/>
        <w:gridCol w:w="1166"/>
        <w:gridCol w:w="1165"/>
        <w:gridCol w:w="1165"/>
        <w:gridCol w:w="1165"/>
        <w:gridCol w:w="1165"/>
        <w:gridCol w:w="1163"/>
      </w:tblGrid>
      <w:tr w:rsidR="00556A0D" w:rsidRPr="00DE108C" w14:paraId="5981688C" w14:textId="77777777">
        <w:trPr>
          <w:cnfStyle w:val="100000000000" w:firstRow="1" w:lastRow="0" w:firstColumn="0" w:lastColumn="0" w:oddVBand="0" w:evenVBand="0" w:oddHBand="0" w:evenHBand="0" w:firstRowFirstColumn="0" w:firstRowLastColumn="0" w:lastRowFirstColumn="0" w:lastRowLastColumn="0"/>
        </w:trPr>
        <w:tc>
          <w:tcPr>
            <w:tcW w:w="780" w:type="pct"/>
          </w:tcPr>
          <w:p w14:paraId="4DC63F97" w14:textId="77777777" w:rsidR="00046BD5" w:rsidRPr="00DE108C" w:rsidRDefault="00046BD5">
            <w:pPr>
              <w:pStyle w:val="BodyText"/>
              <w:rPr>
                <w:sz w:val="16"/>
                <w:szCs w:val="16"/>
              </w:rPr>
            </w:pPr>
          </w:p>
        </w:tc>
        <w:tc>
          <w:tcPr>
            <w:tcW w:w="603" w:type="pct"/>
          </w:tcPr>
          <w:p w14:paraId="49826018" w14:textId="77777777" w:rsidR="00046BD5" w:rsidRPr="00DE108C" w:rsidRDefault="00046BD5">
            <w:pPr>
              <w:pStyle w:val="BodyText"/>
              <w:rPr>
                <w:b/>
                <w:bCs/>
                <w:color w:val="FFFFFF" w:themeColor="background1"/>
                <w:sz w:val="16"/>
                <w:szCs w:val="16"/>
              </w:rPr>
            </w:pPr>
            <w:r w:rsidRPr="00DE108C">
              <w:rPr>
                <w:b/>
                <w:bCs/>
                <w:color w:val="FFFFFF" w:themeColor="background1"/>
                <w:sz w:val="16"/>
                <w:szCs w:val="16"/>
              </w:rPr>
              <w:t>2024-25</w:t>
            </w:r>
          </w:p>
        </w:tc>
        <w:tc>
          <w:tcPr>
            <w:tcW w:w="603" w:type="pct"/>
          </w:tcPr>
          <w:p w14:paraId="29AD4333" w14:textId="77777777" w:rsidR="00046BD5" w:rsidRPr="00DE108C" w:rsidRDefault="00046BD5">
            <w:pPr>
              <w:pStyle w:val="BodyText"/>
              <w:rPr>
                <w:b/>
                <w:bCs/>
                <w:color w:val="FFFFFF" w:themeColor="background1"/>
                <w:sz w:val="16"/>
                <w:szCs w:val="16"/>
              </w:rPr>
            </w:pPr>
            <w:r w:rsidRPr="00DE108C">
              <w:rPr>
                <w:b/>
                <w:bCs/>
                <w:color w:val="FFFFFF" w:themeColor="background1"/>
                <w:sz w:val="16"/>
                <w:szCs w:val="16"/>
              </w:rPr>
              <w:t>2025-26</w:t>
            </w:r>
          </w:p>
        </w:tc>
        <w:tc>
          <w:tcPr>
            <w:tcW w:w="603" w:type="pct"/>
          </w:tcPr>
          <w:p w14:paraId="76F7C421" w14:textId="77777777" w:rsidR="00046BD5" w:rsidRPr="00DE108C" w:rsidRDefault="00046BD5">
            <w:pPr>
              <w:pStyle w:val="BodyText"/>
              <w:rPr>
                <w:b/>
                <w:bCs/>
                <w:color w:val="FFFFFF" w:themeColor="background1"/>
                <w:sz w:val="16"/>
                <w:szCs w:val="16"/>
              </w:rPr>
            </w:pPr>
            <w:r w:rsidRPr="00DE108C">
              <w:rPr>
                <w:b/>
                <w:bCs/>
                <w:color w:val="FFFFFF" w:themeColor="background1"/>
                <w:sz w:val="16"/>
                <w:szCs w:val="16"/>
              </w:rPr>
              <w:t>2026-27</w:t>
            </w:r>
          </w:p>
        </w:tc>
        <w:tc>
          <w:tcPr>
            <w:tcW w:w="603" w:type="pct"/>
          </w:tcPr>
          <w:p w14:paraId="1A2C2691" w14:textId="77777777" w:rsidR="00046BD5" w:rsidRPr="00DE108C" w:rsidRDefault="00046BD5">
            <w:pPr>
              <w:pStyle w:val="BodyText"/>
              <w:rPr>
                <w:b/>
                <w:bCs/>
                <w:color w:val="FFFFFF" w:themeColor="background1"/>
                <w:sz w:val="16"/>
                <w:szCs w:val="16"/>
              </w:rPr>
            </w:pPr>
            <w:r w:rsidRPr="00DE108C">
              <w:rPr>
                <w:b/>
                <w:bCs/>
                <w:color w:val="FFFFFF" w:themeColor="background1"/>
                <w:sz w:val="16"/>
                <w:szCs w:val="16"/>
              </w:rPr>
              <w:t>2027-28</w:t>
            </w:r>
          </w:p>
        </w:tc>
        <w:tc>
          <w:tcPr>
            <w:tcW w:w="603" w:type="pct"/>
          </w:tcPr>
          <w:p w14:paraId="2AD056D4" w14:textId="77777777" w:rsidR="00046BD5" w:rsidRPr="00DE108C" w:rsidRDefault="00046BD5">
            <w:pPr>
              <w:pStyle w:val="BodyText"/>
              <w:rPr>
                <w:b/>
                <w:bCs/>
                <w:color w:val="FFFFFF" w:themeColor="background1"/>
                <w:sz w:val="16"/>
                <w:szCs w:val="16"/>
              </w:rPr>
            </w:pPr>
            <w:r w:rsidRPr="00DE108C">
              <w:rPr>
                <w:b/>
                <w:bCs/>
                <w:color w:val="FFFFFF" w:themeColor="background1"/>
                <w:sz w:val="16"/>
                <w:szCs w:val="16"/>
              </w:rPr>
              <w:t>2028-29</w:t>
            </w:r>
          </w:p>
        </w:tc>
        <w:tc>
          <w:tcPr>
            <w:tcW w:w="603" w:type="pct"/>
          </w:tcPr>
          <w:p w14:paraId="159FC7CD" w14:textId="77777777" w:rsidR="00046BD5" w:rsidRPr="00DE108C" w:rsidRDefault="00046BD5">
            <w:pPr>
              <w:pStyle w:val="BodyText"/>
              <w:rPr>
                <w:b/>
                <w:bCs/>
                <w:color w:val="FFFFFF" w:themeColor="background1"/>
                <w:sz w:val="16"/>
                <w:szCs w:val="16"/>
              </w:rPr>
            </w:pPr>
            <w:r w:rsidRPr="00DE108C">
              <w:rPr>
                <w:b/>
                <w:bCs/>
                <w:color w:val="FFFFFF" w:themeColor="background1"/>
                <w:sz w:val="16"/>
                <w:szCs w:val="16"/>
              </w:rPr>
              <w:t>2029-30</w:t>
            </w:r>
          </w:p>
        </w:tc>
        <w:tc>
          <w:tcPr>
            <w:tcW w:w="602" w:type="pct"/>
          </w:tcPr>
          <w:p w14:paraId="2DC0D393" w14:textId="77777777" w:rsidR="00046BD5" w:rsidRPr="00DE108C" w:rsidRDefault="00046BD5">
            <w:pPr>
              <w:pStyle w:val="BodyText"/>
              <w:rPr>
                <w:b/>
                <w:bCs/>
                <w:color w:val="FFFFFF" w:themeColor="background1"/>
                <w:sz w:val="16"/>
                <w:szCs w:val="16"/>
              </w:rPr>
            </w:pPr>
            <w:r w:rsidRPr="00DE108C">
              <w:rPr>
                <w:b/>
                <w:bCs/>
                <w:color w:val="FFFFFF" w:themeColor="background1"/>
                <w:sz w:val="16"/>
                <w:szCs w:val="16"/>
              </w:rPr>
              <w:t>2030-31</w:t>
            </w:r>
          </w:p>
        </w:tc>
      </w:tr>
      <w:tr w:rsidR="00A728B4" w:rsidRPr="00DE108C" w14:paraId="6240ADB8" w14:textId="77777777">
        <w:tc>
          <w:tcPr>
            <w:tcW w:w="780" w:type="pct"/>
            <w:vAlign w:val="center"/>
          </w:tcPr>
          <w:p w14:paraId="54949AE6" w14:textId="77777777" w:rsidR="00A728B4" w:rsidRPr="00DE108C" w:rsidRDefault="00A728B4" w:rsidP="00A728B4">
            <w:pPr>
              <w:pStyle w:val="BodyText"/>
              <w:rPr>
                <w:sz w:val="16"/>
                <w:szCs w:val="16"/>
              </w:rPr>
            </w:pPr>
            <w:r w:rsidRPr="00DE108C">
              <w:rPr>
                <w:rFonts w:cs="Arial"/>
                <w:color w:val="000000"/>
                <w:sz w:val="16"/>
                <w:szCs w:val="16"/>
              </w:rPr>
              <w:t>Base</w:t>
            </w:r>
          </w:p>
        </w:tc>
        <w:tc>
          <w:tcPr>
            <w:tcW w:w="603" w:type="pct"/>
            <w:vAlign w:val="center"/>
          </w:tcPr>
          <w:p w14:paraId="640753CD" w14:textId="033DFC1E"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xml:space="preserve"> 518.9 </w:t>
            </w:r>
          </w:p>
        </w:tc>
        <w:tc>
          <w:tcPr>
            <w:tcW w:w="603" w:type="pct"/>
            <w:vAlign w:val="center"/>
          </w:tcPr>
          <w:p w14:paraId="0826CF0B"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w:t>
            </w:r>
          </w:p>
        </w:tc>
        <w:tc>
          <w:tcPr>
            <w:tcW w:w="603" w:type="pct"/>
            <w:vAlign w:val="center"/>
          </w:tcPr>
          <w:p w14:paraId="53E19E3B"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w:t>
            </w:r>
          </w:p>
        </w:tc>
        <w:tc>
          <w:tcPr>
            <w:tcW w:w="603" w:type="pct"/>
            <w:vAlign w:val="center"/>
          </w:tcPr>
          <w:p w14:paraId="118010FB"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w:t>
            </w:r>
          </w:p>
        </w:tc>
        <w:tc>
          <w:tcPr>
            <w:tcW w:w="603" w:type="pct"/>
            <w:vAlign w:val="center"/>
          </w:tcPr>
          <w:p w14:paraId="791834F6"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w:t>
            </w:r>
          </w:p>
        </w:tc>
        <w:tc>
          <w:tcPr>
            <w:tcW w:w="603" w:type="pct"/>
            <w:vAlign w:val="center"/>
          </w:tcPr>
          <w:p w14:paraId="30B4C205"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w:t>
            </w:r>
          </w:p>
        </w:tc>
        <w:tc>
          <w:tcPr>
            <w:tcW w:w="602" w:type="pct"/>
            <w:vAlign w:val="center"/>
          </w:tcPr>
          <w:p w14:paraId="21840F03"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w:t>
            </w:r>
          </w:p>
        </w:tc>
      </w:tr>
      <w:tr w:rsidR="00055179" w:rsidRPr="00DE108C" w14:paraId="082E8746" w14:textId="77777777">
        <w:trPr>
          <w:cnfStyle w:val="000000010000" w:firstRow="0" w:lastRow="0" w:firstColumn="0" w:lastColumn="0" w:oddVBand="0" w:evenVBand="0" w:oddHBand="0" w:evenHBand="1" w:firstRowFirstColumn="0" w:firstRowLastColumn="0" w:lastRowFirstColumn="0" w:lastRowLastColumn="0"/>
        </w:trPr>
        <w:tc>
          <w:tcPr>
            <w:tcW w:w="780" w:type="pct"/>
            <w:vAlign w:val="center"/>
          </w:tcPr>
          <w:p w14:paraId="66555E8F" w14:textId="77777777" w:rsidR="00A728B4" w:rsidRPr="00DE108C" w:rsidRDefault="00A728B4" w:rsidP="00A728B4">
            <w:pPr>
              <w:pStyle w:val="BodyText"/>
              <w:rPr>
                <w:sz w:val="16"/>
                <w:szCs w:val="16"/>
              </w:rPr>
            </w:pPr>
            <w:r w:rsidRPr="00DE108C">
              <w:rPr>
                <w:rFonts w:cs="Arial"/>
                <w:color w:val="000000"/>
                <w:sz w:val="16"/>
                <w:szCs w:val="16"/>
              </w:rPr>
              <w:t>Trend</w:t>
            </w:r>
          </w:p>
        </w:tc>
        <w:tc>
          <w:tcPr>
            <w:tcW w:w="603" w:type="pct"/>
            <w:vAlign w:val="center"/>
          </w:tcPr>
          <w:p w14:paraId="7419714F"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w:t>
            </w:r>
          </w:p>
        </w:tc>
        <w:tc>
          <w:tcPr>
            <w:tcW w:w="603" w:type="pct"/>
            <w:vAlign w:val="center"/>
          </w:tcPr>
          <w:p w14:paraId="0F1CC9FB"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-1.0</w:t>
            </w:r>
          </w:p>
        </w:tc>
        <w:tc>
          <w:tcPr>
            <w:tcW w:w="603" w:type="pct"/>
            <w:vAlign w:val="center"/>
          </w:tcPr>
          <w:p w14:paraId="5E7D5369"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xml:space="preserve"> - </w:t>
            </w:r>
          </w:p>
        </w:tc>
        <w:tc>
          <w:tcPr>
            <w:tcW w:w="603" w:type="pct"/>
            <w:vAlign w:val="center"/>
          </w:tcPr>
          <w:p w14:paraId="08F5C9F3"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xml:space="preserve"> - </w:t>
            </w:r>
          </w:p>
        </w:tc>
        <w:tc>
          <w:tcPr>
            <w:tcW w:w="603" w:type="pct"/>
            <w:vAlign w:val="center"/>
          </w:tcPr>
          <w:p w14:paraId="58512AD8"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xml:space="preserve"> - </w:t>
            </w:r>
          </w:p>
        </w:tc>
        <w:tc>
          <w:tcPr>
            <w:tcW w:w="603" w:type="pct"/>
            <w:vAlign w:val="center"/>
          </w:tcPr>
          <w:p w14:paraId="3CE589D2"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xml:space="preserve"> - </w:t>
            </w:r>
          </w:p>
        </w:tc>
        <w:tc>
          <w:tcPr>
            <w:tcW w:w="602" w:type="pct"/>
            <w:vAlign w:val="center"/>
          </w:tcPr>
          <w:p w14:paraId="4CE4FF9A"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xml:space="preserve"> - </w:t>
            </w:r>
          </w:p>
        </w:tc>
      </w:tr>
      <w:tr w:rsidR="00A728B4" w:rsidRPr="00DE108C" w14:paraId="1C961D7E" w14:textId="77777777">
        <w:tc>
          <w:tcPr>
            <w:tcW w:w="780" w:type="pct"/>
            <w:vAlign w:val="center"/>
          </w:tcPr>
          <w:p w14:paraId="7C08311D" w14:textId="77777777" w:rsidR="00A728B4" w:rsidRPr="00DE108C" w:rsidRDefault="00A728B4" w:rsidP="00A728B4">
            <w:pPr>
              <w:pStyle w:val="BodyText"/>
              <w:rPr>
                <w:sz w:val="16"/>
                <w:szCs w:val="16"/>
              </w:rPr>
            </w:pPr>
            <w:r w:rsidRPr="00DE108C">
              <w:rPr>
                <w:rFonts w:cs="Arial"/>
                <w:color w:val="000000"/>
                <w:sz w:val="16"/>
                <w:szCs w:val="16"/>
              </w:rPr>
              <w:t>Step</w:t>
            </w:r>
          </w:p>
        </w:tc>
        <w:tc>
          <w:tcPr>
            <w:tcW w:w="603" w:type="pct"/>
            <w:vAlign w:val="center"/>
          </w:tcPr>
          <w:p w14:paraId="61511793"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w:t>
            </w:r>
          </w:p>
        </w:tc>
        <w:tc>
          <w:tcPr>
            <w:tcW w:w="603" w:type="pct"/>
            <w:vAlign w:val="center"/>
          </w:tcPr>
          <w:p w14:paraId="7F024DEC"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w:t>
            </w:r>
          </w:p>
        </w:tc>
        <w:tc>
          <w:tcPr>
            <w:tcW w:w="603" w:type="pct"/>
            <w:vAlign w:val="center"/>
          </w:tcPr>
          <w:p w14:paraId="167449AD"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xml:space="preserve"> 27.6 </w:t>
            </w:r>
          </w:p>
        </w:tc>
        <w:tc>
          <w:tcPr>
            <w:tcW w:w="603" w:type="pct"/>
            <w:vAlign w:val="center"/>
          </w:tcPr>
          <w:p w14:paraId="063B3DE7"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xml:space="preserve"> 33.3 </w:t>
            </w:r>
          </w:p>
        </w:tc>
        <w:tc>
          <w:tcPr>
            <w:tcW w:w="603" w:type="pct"/>
            <w:vAlign w:val="center"/>
          </w:tcPr>
          <w:p w14:paraId="29C28868"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xml:space="preserve"> 44.1 </w:t>
            </w:r>
          </w:p>
        </w:tc>
        <w:tc>
          <w:tcPr>
            <w:tcW w:w="603" w:type="pct"/>
            <w:vAlign w:val="center"/>
          </w:tcPr>
          <w:p w14:paraId="26F7CE2E"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xml:space="preserve"> 47.4 </w:t>
            </w:r>
          </w:p>
        </w:tc>
        <w:tc>
          <w:tcPr>
            <w:tcW w:w="602" w:type="pct"/>
            <w:vAlign w:val="center"/>
          </w:tcPr>
          <w:p w14:paraId="0BAD90BB" w14:textId="77777777" w:rsidR="00A728B4" w:rsidRPr="00A728B4" w:rsidRDefault="00A728B4" w:rsidP="00A728B4">
            <w:pPr>
              <w:pStyle w:val="BodyText"/>
              <w:rPr>
                <w:rFonts w:asciiTheme="majorHAnsi" w:hAnsiTheme="majorHAnsi"/>
                <w:sz w:val="16"/>
                <w:szCs w:val="16"/>
              </w:rPr>
            </w:pPr>
            <w:r w:rsidRPr="00A728B4">
              <w:rPr>
                <w:rFonts w:ascii="Verdana" w:hAnsi="Verdana" w:cs="Arial"/>
                <w:color w:val="231F20"/>
                <w:sz w:val="16"/>
                <w:szCs w:val="16"/>
              </w:rPr>
              <w:t xml:space="preserve"> 48.3 </w:t>
            </w:r>
          </w:p>
        </w:tc>
      </w:tr>
      <w:tr w:rsidR="00055179" w:rsidRPr="00DE108C" w14:paraId="20ECF4C3" w14:textId="77777777">
        <w:trPr>
          <w:cnfStyle w:val="000000010000" w:firstRow="0" w:lastRow="0" w:firstColumn="0" w:lastColumn="0" w:oddVBand="0" w:evenVBand="0" w:oddHBand="0" w:evenHBand="1" w:firstRowFirstColumn="0" w:firstRowLastColumn="0" w:lastRowFirstColumn="0" w:lastRowLastColumn="0"/>
        </w:trPr>
        <w:tc>
          <w:tcPr>
            <w:tcW w:w="780" w:type="pct"/>
            <w:vAlign w:val="center"/>
          </w:tcPr>
          <w:p w14:paraId="45F63028" w14:textId="77777777" w:rsidR="00A728B4" w:rsidRPr="00DE108C" w:rsidRDefault="00A728B4" w:rsidP="00A728B4">
            <w:pPr>
              <w:pStyle w:val="BodyText"/>
              <w:rPr>
                <w:b/>
                <w:sz w:val="16"/>
                <w:szCs w:val="16"/>
              </w:rPr>
            </w:pPr>
            <w:r w:rsidRPr="00DE108C">
              <w:rPr>
                <w:rFonts w:cs="Arial"/>
                <w:b/>
                <w:bCs/>
                <w:color w:val="000000"/>
                <w:sz w:val="16"/>
                <w:szCs w:val="16"/>
              </w:rPr>
              <w:t>Total controllable</w:t>
            </w:r>
          </w:p>
        </w:tc>
        <w:tc>
          <w:tcPr>
            <w:tcW w:w="603" w:type="pct"/>
            <w:vAlign w:val="center"/>
          </w:tcPr>
          <w:p w14:paraId="10A25004" w14:textId="1B3B966A" w:rsidR="00A728B4" w:rsidRPr="00A728B4" w:rsidRDefault="00A728B4" w:rsidP="00A728B4">
            <w:pPr>
              <w:pStyle w:val="BodyText"/>
              <w:rPr>
                <w:rFonts w:asciiTheme="majorHAnsi" w:hAnsiTheme="majorHAnsi"/>
                <w:b/>
                <w:bCs/>
                <w:sz w:val="16"/>
                <w:szCs w:val="16"/>
              </w:rPr>
            </w:pPr>
            <w:r w:rsidRPr="00A728B4">
              <w:rPr>
                <w:rFonts w:ascii="Verdana" w:hAnsi="Verdana" w:cs="Arial"/>
                <w:color w:val="231F20"/>
                <w:sz w:val="16"/>
                <w:szCs w:val="16"/>
              </w:rPr>
              <w:t xml:space="preserve"> 518.9 </w:t>
            </w:r>
          </w:p>
        </w:tc>
        <w:tc>
          <w:tcPr>
            <w:tcW w:w="603" w:type="pct"/>
            <w:vAlign w:val="center"/>
          </w:tcPr>
          <w:p w14:paraId="3DE468FE" w14:textId="77777777" w:rsidR="00A728B4" w:rsidRPr="00A728B4" w:rsidRDefault="00A728B4" w:rsidP="00A728B4">
            <w:pPr>
              <w:pStyle w:val="BodyText"/>
              <w:rPr>
                <w:rFonts w:asciiTheme="majorHAnsi" w:hAnsiTheme="majorHAnsi"/>
                <w:b/>
                <w:bCs/>
                <w:sz w:val="16"/>
                <w:szCs w:val="16"/>
              </w:rPr>
            </w:pPr>
            <w:r w:rsidRPr="00A728B4">
              <w:rPr>
                <w:rFonts w:ascii="Verdana" w:hAnsi="Verdana" w:cs="Arial"/>
                <w:color w:val="231F20"/>
                <w:sz w:val="16"/>
                <w:szCs w:val="16"/>
              </w:rPr>
              <w:t> </w:t>
            </w:r>
          </w:p>
        </w:tc>
        <w:tc>
          <w:tcPr>
            <w:tcW w:w="603" w:type="pct"/>
            <w:vAlign w:val="center"/>
          </w:tcPr>
          <w:p w14:paraId="7E9CB34F" w14:textId="4E829A4E" w:rsidR="00A728B4" w:rsidRPr="00A728B4" w:rsidRDefault="00A728B4" w:rsidP="00A728B4">
            <w:pPr>
              <w:pStyle w:val="BodyText"/>
              <w:rPr>
                <w:rFonts w:asciiTheme="majorHAnsi" w:hAnsiTheme="majorHAnsi"/>
                <w:b/>
                <w:bCs/>
                <w:sz w:val="16"/>
                <w:szCs w:val="16"/>
              </w:rPr>
            </w:pPr>
            <w:r w:rsidRPr="00A728B4">
              <w:rPr>
                <w:rFonts w:ascii="Verdana" w:hAnsi="Verdana" w:cs="Arial"/>
                <w:color w:val="231F20"/>
                <w:sz w:val="16"/>
                <w:szCs w:val="16"/>
              </w:rPr>
              <w:t xml:space="preserve"> 545.5 </w:t>
            </w:r>
          </w:p>
        </w:tc>
        <w:tc>
          <w:tcPr>
            <w:tcW w:w="603" w:type="pct"/>
            <w:vAlign w:val="center"/>
          </w:tcPr>
          <w:p w14:paraId="5C97D223" w14:textId="0F3AAA90" w:rsidR="00A728B4" w:rsidRPr="00A728B4" w:rsidRDefault="00A728B4" w:rsidP="00A728B4">
            <w:pPr>
              <w:pStyle w:val="BodyText"/>
              <w:rPr>
                <w:rFonts w:asciiTheme="majorHAnsi" w:hAnsiTheme="majorHAnsi"/>
                <w:b/>
                <w:bCs/>
                <w:sz w:val="16"/>
                <w:szCs w:val="16"/>
              </w:rPr>
            </w:pPr>
            <w:r w:rsidRPr="00A728B4">
              <w:rPr>
                <w:rFonts w:ascii="Verdana" w:hAnsi="Verdana" w:cs="Arial"/>
                <w:color w:val="231F20"/>
                <w:sz w:val="16"/>
                <w:szCs w:val="16"/>
              </w:rPr>
              <w:t xml:space="preserve"> 551.1 </w:t>
            </w:r>
          </w:p>
        </w:tc>
        <w:tc>
          <w:tcPr>
            <w:tcW w:w="603" w:type="pct"/>
            <w:vAlign w:val="center"/>
          </w:tcPr>
          <w:p w14:paraId="47656D0B" w14:textId="2A861BDB" w:rsidR="00A728B4" w:rsidRPr="00A728B4" w:rsidRDefault="00A728B4" w:rsidP="00A728B4">
            <w:pPr>
              <w:pStyle w:val="BodyText"/>
              <w:rPr>
                <w:rFonts w:asciiTheme="majorHAnsi" w:hAnsiTheme="majorHAnsi"/>
                <w:b/>
                <w:bCs/>
                <w:sz w:val="16"/>
                <w:szCs w:val="16"/>
              </w:rPr>
            </w:pPr>
            <w:r w:rsidRPr="00A728B4">
              <w:rPr>
                <w:rFonts w:ascii="Verdana" w:hAnsi="Verdana" w:cs="Arial"/>
                <w:color w:val="231F20"/>
                <w:sz w:val="16"/>
                <w:szCs w:val="16"/>
              </w:rPr>
              <w:t xml:space="preserve"> 562.0 </w:t>
            </w:r>
          </w:p>
        </w:tc>
        <w:tc>
          <w:tcPr>
            <w:tcW w:w="603" w:type="pct"/>
            <w:vAlign w:val="center"/>
          </w:tcPr>
          <w:p w14:paraId="19152128" w14:textId="47F13F09" w:rsidR="00A728B4" w:rsidRPr="00A728B4" w:rsidRDefault="00A728B4" w:rsidP="00A728B4">
            <w:pPr>
              <w:pStyle w:val="BodyText"/>
              <w:rPr>
                <w:rFonts w:asciiTheme="majorHAnsi" w:hAnsiTheme="majorHAnsi"/>
                <w:b/>
                <w:bCs/>
                <w:sz w:val="16"/>
                <w:szCs w:val="16"/>
              </w:rPr>
            </w:pPr>
            <w:r w:rsidRPr="00A728B4">
              <w:rPr>
                <w:rFonts w:ascii="Verdana" w:hAnsi="Verdana" w:cs="Arial"/>
                <w:color w:val="231F20"/>
                <w:sz w:val="16"/>
                <w:szCs w:val="16"/>
              </w:rPr>
              <w:t xml:space="preserve"> 565.3 </w:t>
            </w:r>
          </w:p>
        </w:tc>
        <w:tc>
          <w:tcPr>
            <w:tcW w:w="602" w:type="pct"/>
            <w:vAlign w:val="center"/>
          </w:tcPr>
          <w:p w14:paraId="5AA5AD0F" w14:textId="22715097" w:rsidR="00A728B4" w:rsidRPr="00A728B4" w:rsidRDefault="00A728B4" w:rsidP="00A728B4">
            <w:pPr>
              <w:pStyle w:val="BodyText"/>
              <w:rPr>
                <w:rFonts w:asciiTheme="majorHAnsi" w:hAnsiTheme="majorHAnsi"/>
                <w:b/>
                <w:bCs/>
                <w:sz w:val="16"/>
                <w:szCs w:val="16"/>
              </w:rPr>
            </w:pPr>
            <w:r w:rsidRPr="00A728B4">
              <w:rPr>
                <w:rFonts w:ascii="Verdana" w:hAnsi="Verdana" w:cs="Arial"/>
                <w:color w:val="231F20"/>
                <w:sz w:val="16"/>
                <w:szCs w:val="16"/>
              </w:rPr>
              <w:t xml:space="preserve"> 566.1 </w:t>
            </w:r>
          </w:p>
        </w:tc>
      </w:tr>
    </w:tbl>
    <w:p w14:paraId="3D76AE4A" w14:textId="35CB2EB7" w:rsidR="00046BD5" w:rsidRPr="00DE108C" w:rsidRDefault="00046BD5">
      <w:pPr>
        <w:pStyle w:val="Heading2"/>
      </w:pPr>
      <w:bookmarkStart w:id="765" w:name="_Toc190876164"/>
      <w:bookmarkStart w:id="766" w:name="_Toc196745261"/>
      <w:bookmarkStart w:id="767" w:name="_Toc207892913"/>
      <w:bookmarkStart w:id="768" w:name="_Toc207853406"/>
      <w:r w:rsidRPr="00DE108C">
        <w:lastRenderedPageBreak/>
        <w:t>7.</w:t>
      </w:r>
      <w:r w:rsidR="001D64E8" w:rsidRPr="00DE108C">
        <w:t>5</w:t>
      </w:r>
      <w:r w:rsidRPr="00DE108C">
        <w:t xml:space="preserve"> Non-controllable forecasts</w:t>
      </w:r>
      <w:bookmarkEnd w:id="765"/>
      <w:bookmarkEnd w:id="766"/>
      <w:bookmarkEnd w:id="767"/>
      <w:bookmarkEnd w:id="768"/>
    </w:p>
    <w:p w14:paraId="0D09115F" w14:textId="77777777" w:rsidR="00046BD5" w:rsidRPr="00DE108C" w:rsidRDefault="00046BD5">
      <w:pPr>
        <w:pStyle w:val="BodyText"/>
      </w:pPr>
      <w:r w:rsidRPr="00DE108C">
        <w:t>This section steps through the non-controllable opex forecast. It also notes the allocation to products.</w:t>
      </w:r>
    </w:p>
    <w:p w14:paraId="2FEC1DBD" w14:textId="00F23A9B" w:rsidR="00046BD5" w:rsidRPr="00DE108C" w:rsidRDefault="00046BD5">
      <w:pPr>
        <w:pStyle w:val="Heading4"/>
      </w:pPr>
      <w:bookmarkStart w:id="769" w:name="_Ref192500667"/>
      <w:bookmarkStart w:id="770" w:name="_Toc196745262"/>
      <w:r w:rsidRPr="00DE108C">
        <w:t>7.</w:t>
      </w:r>
      <w:r w:rsidR="001D64E8" w:rsidRPr="00DE108C">
        <w:t>5</w:t>
      </w:r>
      <w:r w:rsidRPr="00DE108C">
        <w:t>.1 Victorian Desalination Project</w:t>
      </w:r>
      <w:bookmarkEnd w:id="769"/>
      <w:bookmarkEnd w:id="770"/>
    </w:p>
    <w:p w14:paraId="103DA64B" w14:textId="24DB9F9B" w:rsidR="00046BD5" w:rsidRPr="00DE108C" w:rsidRDefault="00046BD5">
      <w:pPr>
        <w:pStyle w:val="BodyText"/>
      </w:pPr>
      <w:r w:rsidRPr="00DE108C">
        <w:t xml:space="preserve">As outlined in Chapter </w:t>
      </w:r>
      <w:r w:rsidR="0B2825D4" w:rsidRPr="00DE108C">
        <w:t>6</w:t>
      </w:r>
      <w:r w:rsidRPr="00DE108C">
        <w:t xml:space="preserve"> </w:t>
      </w:r>
      <w:r w:rsidR="70752213">
        <w:t>(</w:t>
      </w:r>
      <w:r w:rsidRPr="00DE108C">
        <w:t>Capital expenditure</w:t>
      </w:r>
      <w:r w:rsidR="66DAA2CC">
        <w:t>)</w:t>
      </w:r>
      <w:r>
        <w:t>,</w:t>
      </w:r>
      <w:r w:rsidRPr="00DE108C">
        <w:t xml:space="preserve"> the VDP total contract costs over the 2026 regulatory period is $3,091 million. Melbourne Water has forecast the total capitalised amount of the contract costs using the principal repayment as per the repayment schedule of $621 million and recovered through a return on </w:t>
      </w:r>
      <w:r w:rsidR="00D07E35" w:rsidRPr="00DE108C">
        <w:t>assets</w:t>
      </w:r>
      <w:r w:rsidRPr="00DE108C">
        <w:t xml:space="preserve"> during the regulatory period. The remaining $2,470 million will be recovered during the next five-year regulatory period. Consistent with PS21 and ESC </w:t>
      </w:r>
      <w:r w:rsidR="4A87697F" w:rsidRPr="00DE108C">
        <w:t>G</w:t>
      </w:r>
      <w:r w:rsidRPr="00DE108C">
        <w:t xml:space="preserve">uidance, we are proposing to capitalise the principal repayment portion of the contract costs. These figures are shown annually in Table 7.17. All desalination costs are allocated to the water product and the tariff water headworks. </w:t>
      </w:r>
    </w:p>
    <w:p w14:paraId="28213B6D" w14:textId="77777777" w:rsidR="00046BD5" w:rsidRPr="00DE108C" w:rsidRDefault="00046BD5" w:rsidP="00ED094E">
      <w:pPr>
        <w:pStyle w:val="Caption"/>
      </w:pPr>
      <w:bookmarkStart w:id="771" w:name="_Toc207893067"/>
      <w:bookmarkStart w:id="772" w:name="_Toc208490591"/>
      <w:bookmarkStart w:id="773" w:name="_Toc208490929"/>
      <w:bookmarkStart w:id="774" w:name="_Toc208911087"/>
      <w:bookmarkStart w:id="775" w:name="_Toc210051393"/>
      <w:r w:rsidRPr="00DE108C">
        <w:t>Table 7.17: VDP costs, excluding any water order ($millions, real 2025-26)</w:t>
      </w:r>
      <w:bookmarkEnd w:id="771"/>
      <w:bookmarkEnd w:id="772"/>
      <w:bookmarkEnd w:id="773"/>
      <w:bookmarkEnd w:id="774"/>
      <w:bookmarkEnd w:id="775"/>
    </w:p>
    <w:tbl>
      <w:tblPr>
        <w:tblStyle w:val="MWTableGrid"/>
        <w:tblW w:w="5000" w:type="pct"/>
        <w:tblLayout w:type="fixed"/>
        <w:tblLook w:val="0420" w:firstRow="1" w:lastRow="0" w:firstColumn="0" w:lastColumn="0" w:noHBand="0" w:noVBand="1"/>
      </w:tblPr>
      <w:tblGrid>
        <w:gridCol w:w="1604"/>
        <w:gridCol w:w="1604"/>
        <w:gridCol w:w="1606"/>
        <w:gridCol w:w="1606"/>
        <w:gridCol w:w="1606"/>
        <w:gridCol w:w="1602"/>
      </w:tblGrid>
      <w:tr w:rsidR="00556A0D" w:rsidRPr="00DE108C" w14:paraId="7DD3B0F6" w14:textId="77777777">
        <w:trPr>
          <w:cnfStyle w:val="100000000000" w:firstRow="1" w:lastRow="0" w:firstColumn="0" w:lastColumn="0" w:oddVBand="0" w:evenVBand="0" w:oddHBand="0" w:evenHBand="0" w:firstRowFirstColumn="0" w:firstRowLastColumn="0" w:lastRowFirstColumn="0" w:lastRowLastColumn="0"/>
          <w:cantSplit/>
        </w:trPr>
        <w:tc>
          <w:tcPr>
            <w:tcW w:w="833" w:type="pct"/>
          </w:tcPr>
          <w:p w14:paraId="1DF19692" w14:textId="77777777" w:rsidR="00046BD5" w:rsidRPr="00DE108C" w:rsidRDefault="00046BD5">
            <w:pPr>
              <w:pStyle w:val="TableHeading"/>
              <w:rPr>
                <w:szCs w:val="16"/>
              </w:rPr>
            </w:pPr>
          </w:p>
        </w:tc>
        <w:tc>
          <w:tcPr>
            <w:tcW w:w="833" w:type="pct"/>
          </w:tcPr>
          <w:p w14:paraId="582A2DF0" w14:textId="77777777" w:rsidR="00046BD5" w:rsidRPr="00DE108C" w:rsidRDefault="00046BD5">
            <w:pPr>
              <w:pStyle w:val="TableHeading"/>
              <w:rPr>
                <w:szCs w:val="16"/>
              </w:rPr>
            </w:pPr>
            <w:r w:rsidRPr="00DE108C">
              <w:rPr>
                <w:szCs w:val="16"/>
              </w:rPr>
              <w:t>2026-27</w:t>
            </w:r>
          </w:p>
        </w:tc>
        <w:tc>
          <w:tcPr>
            <w:tcW w:w="834" w:type="pct"/>
          </w:tcPr>
          <w:p w14:paraId="6531344A" w14:textId="77777777" w:rsidR="00046BD5" w:rsidRPr="00DE108C" w:rsidRDefault="00046BD5">
            <w:pPr>
              <w:pStyle w:val="TableHeading"/>
              <w:rPr>
                <w:szCs w:val="16"/>
              </w:rPr>
            </w:pPr>
            <w:r w:rsidRPr="00DE108C">
              <w:rPr>
                <w:szCs w:val="16"/>
              </w:rPr>
              <w:t>2027-28</w:t>
            </w:r>
          </w:p>
        </w:tc>
        <w:tc>
          <w:tcPr>
            <w:tcW w:w="834" w:type="pct"/>
          </w:tcPr>
          <w:p w14:paraId="2BAFEE80" w14:textId="77777777" w:rsidR="00046BD5" w:rsidRPr="00DE108C" w:rsidRDefault="00046BD5">
            <w:pPr>
              <w:pStyle w:val="TableHeading"/>
              <w:rPr>
                <w:szCs w:val="16"/>
              </w:rPr>
            </w:pPr>
            <w:r w:rsidRPr="00DE108C">
              <w:rPr>
                <w:szCs w:val="16"/>
              </w:rPr>
              <w:t>2028-29</w:t>
            </w:r>
          </w:p>
        </w:tc>
        <w:tc>
          <w:tcPr>
            <w:tcW w:w="834" w:type="pct"/>
          </w:tcPr>
          <w:p w14:paraId="175D6265" w14:textId="77777777" w:rsidR="00046BD5" w:rsidRPr="00DE108C" w:rsidRDefault="00046BD5">
            <w:pPr>
              <w:pStyle w:val="TableHeading"/>
              <w:rPr>
                <w:szCs w:val="16"/>
              </w:rPr>
            </w:pPr>
            <w:r w:rsidRPr="00DE108C">
              <w:rPr>
                <w:szCs w:val="16"/>
              </w:rPr>
              <w:t>2029-30</w:t>
            </w:r>
          </w:p>
        </w:tc>
        <w:tc>
          <w:tcPr>
            <w:tcW w:w="832" w:type="pct"/>
          </w:tcPr>
          <w:p w14:paraId="74947183" w14:textId="77777777" w:rsidR="00046BD5" w:rsidRPr="00DE108C" w:rsidRDefault="00046BD5">
            <w:pPr>
              <w:pStyle w:val="TableHeading"/>
              <w:rPr>
                <w:szCs w:val="16"/>
              </w:rPr>
            </w:pPr>
            <w:r w:rsidRPr="00DE108C">
              <w:rPr>
                <w:szCs w:val="16"/>
              </w:rPr>
              <w:t>2030-31</w:t>
            </w:r>
          </w:p>
        </w:tc>
      </w:tr>
      <w:tr w:rsidR="00046BD5" w:rsidRPr="00DE108C" w14:paraId="30EB02BC" w14:textId="77777777">
        <w:trPr>
          <w:cantSplit/>
        </w:trPr>
        <w:tc>
          <w:tcPr>
            <w:tcW w:w="833" w:type="pct"/>
          </w:tcPr>
          <w:p w14:paraId="3D38CFAB" w14:textId="77777777" w:rsidR="00046BD5" w:rsidRPr="00DE108C" w:rsidRDefault="00046BD5" w:rsidP="00ED094E">
            <w:pPr>
              <w:pStyle w:val="TableText"/>
              <w:rPr>
                <w:szCs w:val="16"/>
              </w:rPr>
            </w:pPr>
            <w:r w:rsidRPr="00DE108C">
              <w:rPr>
                <w:szCs w:val="16"/>
              </w:rPr>
              <w:t>Opex</w:t>
            </w:r>
          </w:p>
        </w:tc>
        <w:tc>
          <w:tcPr>
            <w:tcW w:w="833" w:type="pct"/>
            <w:vAlign w:val="center"/>
          </w:tcPr>
          <w:p w14:paraId="4783A82A" w14:textId="77777777" w:rsidR="00046BD5" w:rsidRPr="00DE108C" w:rsidRDefault="00046BD5" w:rsidP="00ED094E">
            <w:pPr>
              <w:pStyle w:val="TableText"/>
              <w:rPr>
                <w:szCs w:val="16"/>
              </w:rPr>
            </w:pPr>
            <w:r w:rsidRPr="00DE108C">
              <w:rPr>
                <w:szCs w:val="16"/>
              </w:rPr>
              <w:t xml:space="preserve"> 519.7 </w:t>
            </w:r>
          </w:p>
        </w:tc>
        <w:tc>
          <w:tcPr>
            <w:tcW w:w="834" w:type="pct"/>
            <w:vAlign w:val="center"/>
          </w:tcPr>
          <w:p w14:paraId="20D73351" w14:textId="77777777" w:rsidR="00046BD5" w:rsidRPr="00DE108C" w:rsidRDefault="00046BD5" w:rsidP="00ED094E">
            <w:pPr>
              <w:pStyle w:val="TableText"/>
              <w:rPr>
                <w:szCs w:val="16"/>
              </w:rPr>
            </w:pPr>
            <w:r w:rsidRPr="00DE108C">
              <w:rPr>
                <w:szCs w:val="16"/>
              </w:rPr>
              <w:t xml:space="preserve"> 507.2 </w:t>
            </w:r>
          </w:p>
        </w:tc>
        <w:tc>
          <w:tcPr>
            <w:tcW w:w="834" w:type="pct"/>
            <w:vAlign w:val="center"/>
          </w:tcPr>
          <w:p w14:paraId="7AD87F04" w14:textId="77777777" w:rsidR="00046BD5" w:rsidRPr="00DE108C" w:rsidRDefault="00046BD5" w:rsidP="00ED094E">
            <w:pPr>
              <w:pStyle w:val="TableText"/>
              <w:rPr>
                <w:szCs w:val="16"/>
              </w:rPr>
            </w:pPr>
            <w:r w:rsidRPr="00DE108C">
              <w:rPr>
                <w:szCs w:val="16"/>
              </w:rPr>
              <w:t xml:space="preserve"> 502.1 </w:t>
            </w:r>
          </w:p>
        </w:tc>
        <w:tc>
          <w:tcPr>
            <w:tcW w:w="834" w:type="pct"/>
            <w:vAlign w:val="center"/>
          </w:tcPr>
          <w:p w14:paraId="5E8DBF6D" w14:textId="77777777" w:rsidR="00046BD5" w:rsidRPr="00DE108C" w:rsidRDefault="00046BD5" w:rsidP="00ED094E">
            <w:pPr>
              <w:pStyle w:val="TableText"/>
              <w:rPr>
                <w:szCs w:val="16"/>
              </w:rPr>
            </w:pPr>
            <w:r w:rsidRPr="00DE108C">
              <w:rPr>
                <w:szCs w:val="16"/>
              </w:rPr>
              <w:t xml:space="preserve"> 481.0 </w:t>
            </w:r>
          </w:p>
        </w:tc>
        <w:tc>
          <w:tcPr>
            <w:tcW w:w="832" w:type="pct"/>
            <w:vAlign w:val="center"/>
          </w:tcPr>
          <w:p w14:paraId="7EF5A5EA" w14:textId="77777777" w:rsidR="00046BD5" w:rsidRPr="00DE108C" w:rsidRDefault="00046BD5" w:rsidP="00ED094E">
            <w:pPr>
              <w:pStyle w:val="TableText"/>
              <w:rPr>
                <w:szCs w:val="16"/>
              </w:rPr>
            </w:pPr>
            <w:r w:rsidRPr="00DE108C">
              <w:rPr>
                <w:szCs w:val="16"/>
              </w:rPr>
              <w:t xml:space="preserve"> 460.3 </w:t>
            </w:r>
          </w:p>
        </w:tc>
      </w:tr>
      <w:tr w:rsidR="00556A0D" w:rsidRPr="00DE108C" w14:paraId="2AC990E3" w14:textId="77777777">
        <w:trPr>
          <w:cnfStyle w:val="000000010000" w:firstRow="0" w:lastRow="0" w:firstColumn="0" w:lastColumn="0" w:oddVBand="0" w:evenVBand="0" w:oddHBand="0" w:evenHBand="1" w:firstRowFirstColumn="0" w:firstRowLastColumn="0" w:lastRowFirstColumn="0" w:lastRowLastColumn="0"/>
          <w:cantSplit/>
        </w:trPr>
        <w:tc>
          <w:tcPr>
            <w:tcW w:w="833" w:type="pct"/>
          </w:tcPr>
          <w:p w14:paraId="42D4C289" w14:textId="77777777" w:rsidR="00046BD5" w:rsidRPr="00DE108C" w:rsidRDefault="00046BD5" w:rsidP="00ED094E">
            <w:pPr>
              <w:pStyle w:val="TableText"/>
              <w:rPr>
                <w:szCs w:val="16"/>
              </w:rPr>
            </w:pPr>
            <w:r w:rsidRPr="00DE108C">
              <w:rPr>
                <w:szCs w:val="16"/>
              </w:rPr>
              <w:t>Capitalisation (Principal paid down)</w:t>
            </w:r>
          </w:p>
        </w:tc>
        <w:tc>
          <w:tcPr>
            <w:tcW w:w="833" w:type="pct"/>
            <w:vAlign w:val="center"/>
          </w:tcPr>
          <w:p w14:paraId="7737CC3F" w14:textId="77777777" w:rsidR="00046BD5" w:rsidRPr="00DE108C" w:rsidRDefault="00046BD5" w:rsidP="00ED094E">
            <w:pPr>
              <w:pStyle w:val="TableText"/>
              <w:rPr>
                <w:szCs w:val="16"/>
              </w:rPr>
            </w:pPr>
            <w:r w:rsidRPr="00DE108C">
              <w:rPr>
                <w:szCs w:val="16"/>
              </w:rPr>
              <w:t xml:space="preserve"> 80.6 </w:t>
            </w:r>
          </w:p>
        </w:tc>
        <w:tc>
          <w:tcPr>
            <w:tcW w:w="834" w:type="pct"/>
            <w:vAlign w:val="center"/>
          </w:tcPr>
          <w:p w14:paraId="32A37BDB" w14:textId="77777777" w:rsidR="00046BD5" w:rsidRPr="00DE108C" w:rsidRDefault="00046BD5" w:rsidP="00ED094E">
            <w:pPr>
              <w:pStyle w:val="TableText"/>
              <w:rPr>
                <w:szCs w:val="16"/>
              </w:rPr>
            </w:pPr>
            <w:r w:rsidRPr="00DE108C">
              <w:rPr>
                <w:szCs w:val="16"/>
              </w:rPr>
              <w:t xml:space="preserve"> 112.3 </w:t>
            </w:r>
          </w:p>
        </w:tc>
        <w:tc>
          <w:tcPr>
            <w:tcW w:w="834" w:type="pct"/>
            <w:vAlign w:val="center"/>
          </w:tcPr>
          <w:p w14:paraId="44D35AD9" w14:textId="77777777" w:rsidR="00046BD5" w:rsidRPr="00DE108C" w:rsidRDefault="00046BD5" w:rsidP="00ED094E">
            <w:pPr>
              <w:pStyle w:val="TableText"/>
              <w:rPr>
                <w:szCs w:val="16"/>
              </w:rPr>
            </w:pPr>
            <w:r w:rsidRPr="00DE108C">
              <w:rPr>
                <w:szCs w:val="16"/>
              </w:rPr>
              <w:t xml:space="preserve"> 130.0 </w:t>
            </w:r>
          </w:p>
        </w:tc>
        <w:tc>
          <w:tcPr>
            <w:tcW w:w="834" w:type="pct"/>
            <w:vAlign w:val="center"/>
          </w:tcPr>
          <w:p w14:paraId="7B510BF3" w14:textId="77777777" w:rsidR="00046BD5" w:rsidRPr="00DE108C" w:rsidRDefault="00046BD5" w:rsidP="00ED094E">
            <w:pPr>
              <w:pStyle w:val="TableText"/>
              <w:rPr>
                <w:szCs w:val="16"/>
              </w:rPr>
            </w:pPr>
            <w:r w:rsidRPr="00DE108C">
              <w:rPr>
                <w:szCs w:val="16"/>
              </w:rPr>
              <w:t xml:space="preserve"> 140.3 </w:t>
            </w:r>
          </w:p>
        </w:tc>
        <w:tc>
          <w:tcPr>
            <w:tcW w:w="832" w:type="pct"/>
            <w:vAlign w:val="center"/>
          </w:tcPr>
          <w:p w14:paraId="6F44504D" w14:textId="77777777" w:rsidR="00046BD5" w:rsidRPr="00DE108C" w:rsidRDefault="00046BD5" w:rsidP="00ED094E">
            <w:pPr>
              <w:pStyle w:val="TableText"/>
              <w:rPr>
                <w:szCs w:val="16"/>
              </w:rPr>
            </w:pPr>
            <w:r w:rsidRPr="00DE108C">
              <w:rPr>
                <w:szCs w:val="16"/>
              </w:rPr>
              <w:t xml:space="preserve"> 157.9 </w:t>
            </w:r>
          </w:p>
        </w:tc>
      </w:tr>
      <w:tr w:rsidR="00046BD5" w:rsidRPr="00DE108C" w14:paraId="7E0AB3C9" w14:textId="77777777">
        <w:trPr>
          <w:cantSplit/>
        </w:trPr>
        <w:tc>
          <w:tcPr>
            <w:tcW w:w="833" w:type="pct"/>
          </w:tcPr>
          <w:p w14:paraId="11C81222" w14:textId="77777777" w:rsidR="00046BD5" w:rsidRPr="00DE108C" w:rsidRDefault="00046BD5" w:rsidP="00ED094E">
            <w:pPr>
              <w:pStyle w:val="TableText"/>
              <w:rPr>
                <w:b/>
                <w:szCs w:val="16"/>
              </w:rPr>
            </w:pPr>
            <w:r w:rsidRPr="00DE108C">
              <w:rPr>
                <w:b/>
                <w:szCs w:val="16"/>
              </w:rPr>
              <w:t>Total contract costs</w:t>
            </w:r>
          </w:p>
        </w:tc>
        <w:tc>
          <w:tcPr>
            <w:tcW w:w="833" w:type="pct"/>
            <w:vAlign w:val="center"/>
          </w:tcPr>
          <w:p w14:paraId="436C68A2" w14:textId="77777777" w:rsidR="00046BD5" w:rsidRPr="00DE108C" w:rsidRDefault="00046BD5" w:rsidP="00ED094E">
            <w:pPr>
              <w:pStyle w:val="TableText"/>
              <w:rPr>
                <w:szCs w:val="16"/>
              </w:rPr>
            </w:pPr>
            <w:r w:rsidRPr="00DE108C">
              <w:rPr>
                <w:szCs w:val="16"/>
              </w:rPr>
              <w:t xml:space="preserve"> 600.3 </w:t>
            </w:r>
          </w:p>
        </w:tc>
        <w:tc>
          <w:tcPr>
            <w:tcW w:w="834" w:type="pct"/>
            <w:vAlign w:val="center"/>
          </w:tcPr>
          <w:p w14:paraId="30F6F73A" w14:textId="77777777" w:rsidR="00046BD5" w:rsidRPr="00DE108C" w:rsidRDefault="00046BD5" w:rsidP="00ED094E">
            <w:pPr>
              <w:pStyle w:val="TableText"/>
              <w:rPr>
                <w:szCs w:val="16"/>
              </w:rPr>
            </w:pPr>
            <w:r w:rsidRPr="00DE108C">
              <w:rPr>
                <w:szCs w:val="16"/>
              </w:rPr>
              <w:t xml:space="preserve"> 619.6 </w:t>
            </w:r>
          </w:p>
        </w:tc>
        <w:tc>
          <w:tcPr>
            <w:tcW w:w="834" w:type="pct"/>
            <w:vAlign w:val="center"/>
          </w:tcPr>
          <w:p w14:paraId="0D7746E3" w14:textId="77777777" w:rsidR="00046BD5" w:rsidRPr="00DE108C" w:rsidRDefault="00046BD5" w:rsidP="00ED094E">
            <w:pPr>
              <w:pStyle w:val="TableText"/>
              <w:rPr>
                <w:szCs w:val="16"/>
              </w:rPr>
            </w:pPr>
            <w:r w:rsidRPr="00DE108C">
              <w:rPr>
                <w:szCs w:val="16"/>
              </w:rPr>
              <w:t xml:space="preserve"> 632.1 </w:t>
            </w:r>
          </w:p>
        </w:tc>
        <w:tc>
          <w:tcPr>
            <w:tcW w:w="834" w:type="pct"/>
            <w:vAlign w:val="center"/>
          </w:tcPr>
          <w:p w14:paraId="33E72BA3" w14:textId="77777777" w:rsidR="00046BD5" w:rsidRPr="00DE108C" w:rsidRDefault="00046BD5" w:rsidP="00ED094E">
            <w:pPr>
              <w:pStyle w:val="TableText"/>
              <w:rPr>
                <w:szCs w:val="16"/>
              </w:rPr>
            </w:pPr>
            <w:r w:rsidRPr="00DE108C">
              <w:rPr>
                <w:szCs w:val="16"/>
              </w:rPr>
              <w:t xml:space="preserve"> 621.3 </w:t>
            </w:r>
          </w:p>
        </w:tc>
        <w:tc>
          <w:tcPr>
            <w:tcW w:w="832" w:type="pct"/>
            <w:vAlign w:val="center"/>
          </w:tcPr>
          <w:p w14:paraId="4681D665" w14:textId="77777777" w:rsidR="00046BD5" w:rsidRPr="00DE108C" w:rsidRDefault="00046BD5" w:rsidP="00ED094E">
            <w:pPr>
              <w:pStyle w:val="TableText"/>
              <w:rPr>
                <w:szCs w:val="16"/>
              </w:rPr>
            </w:pPr>
            <w:r w:rsidRPr="00DE108C">
              <w:rPr>
                <w:szCs w:val="16"/>
              </w:rPr>
              <w:t xml:space="preserve"> 618.2 </w:t>
            </w:r>
          </w:p>
        </w:tc>
      </w:tr>
    </w:tbl>
    <w:p w14:paraId="46AE2F7F" w14:textId="24C0DB32" w:rsidR="00046BD5" w:rsidRPr="00DE108C" w:rsidRDefault="00046BD5">
      <w:pPr>
        <w:pStyle w:val="Heading4"/>
      </w:pPr>
      <w:bookmarkStart w:id="776" w:name="_Toc196745263"/>
      <w:r w:rsidRPr="00DE108C">
        <w:t>7.</w:t>
      </w:r>
      <w:r w:rsidR="001D64E8" w:rsidRPr="00DE108C">
        <w:t>5</w:t>
      </w:r>
      <w:r w:rsidRPr="00DE108C">
        <w:t>.2 Other non-controllable opex</w:t>
      </w:r>
      <w:bookmarkEnd w:id="776"/>
    </w:p>
    <w:p w14:paraId="2360EE16" w14:textId="77777777" w:rsidR="00046BD5" w:rsidRPr="00DE108C" w:rsidRDefault="00046BD5">
      <w:pPr>
        <w:pStyle w:val="BodyText"/>
      </w:pPr>
      <w:r w:rsidRPr="00DE108C">
        <w:t xml:space="preserve">We have $252 million in other non-controllable opex. The approach to forecasting this was to adopt the 2024-25 figure and hold that steady over the regulatory period, unless otherwise advised by the responsible authority. </w:t>
      </w:r>
    </w:p>
    <w:p w14:paraId="589A7864" w14:textId="77777777" w:rsidR="00046BD5" w:rsidRPr="00DE108C" w:rsidRDefault="00046BD5">
      <w:pPr>
        <w:pStyle w:val="BodyText"/>
      </w:pPr>
      <w:r w:rsidRPr="00DE108C">
        <w:t xml:space="preserve">The other non-controllable opex is allocated across our products as shown in Table 7.18. This allocation follows the cost allocation approach described above and applies the following: </w:t>
      </w:r>
    </w:p>
    <w:p w14:paraId="39096939" w14:textId="1886B5E2" w:rsidR="00046BD5" w:rsidRPr="00DE108C" w:rsidRDefault="00046BD5" w:rsidP="00562638">
      <w:pPr>
        <w:pStyle w:val="ListBullet"/>
      </w:pPr>
      <w:r>
        <w:t>E</w:t>
      </w:r>
      <w:r w:rsidR="1BB4D66B">
        <w:t>nvironmental Protection Authority</w:t>
      </w:r>
      <w:r>
        <w:t xml:space="preserve"> Victoria </w:t>
      </w:r>
      <w:r w:rsidR="4CB99844">
        <w:t>(</w:t>
      </w:r>
      <w:r w:rsidRPr="00DE108C">
        <w:t>EPA Victoria</w:t>
      </w:r>
      <w:r w:rsidR="4CB99844">
        <w:t>)</w:t>
      </w:r>
      <w:r w:rsidRPr="00DE108C">
        <w:t xml:space="preserve"> licence fee to sewerage</w:t>
      </w:r>
    </w:p>
    <w:p w14:paraId="391681D4" w14:textId="77777777" w:rsidR="00046BD5" w:rsidRPr="00DE108C" w:rsidRDefault="00046BD5" w:rsidP="00562638">
      <w:pPr>
        <w:pStyle w:val="ListBullet"/>
      </w:pPr>
      <w:r w:rsidRPr="00DE108C">
        <w:t>ESC licence fee across all products</w:t>
      </w:r>
    </w:p>
    <w:p w14:paraId="2F7F7EDA" w14:textId="77777777" w:rsidR="00046BD5" w:rsidRPr="00DE108C" w:rsidRDefault="00046BD5" w:rsidP="00562638">
      <w:pPr>
        <w:pStyle w:val="ListBullet"/>
      </w:pPr>
      <w:r w:rsidRPr="00DE108C">
        <w:t>Safe Drinking Water Levy to water only</w:t>
      </w:r>
    </w:p>
    <w:p w14:paraId="49324D0F" w14:textId="77777777" w:rsidR="00046BD5" w:rsidRPr="00DE108C" w:rsidRDefault="00046BD5" w:rsidP="00562638">
      <w:pPr>
        <w:pStyle w:val="ListBullet"/>
      </w:pPr>
      <w:r w:rsidRPr="00DE108C">
        <w:t xml:space="preserve">Land tax, fire services levy and local government rates across our core products (water, sewerage and waterways and drainage) based on cost allocation methodology. </w:t>
      </w:r>
    </w:p>
    <w:p w14:paraId="0AF519BB" w14:textId="786C0AE9" w:rsidR="31427463" w:rsidRPr="00DE108C" w:rsidRDefault="31427463" w:rsidP="00CA5A2A"/>
    <w:p w14:paraId="29C30674" w14:textId="77777777" w:rsidR="00046BD5" w:rsidRPr="00DE108C" w:rsidRDefault="00046BD5" w:rsidP="00ED094E">
      <w:pPr>
        <w:pStyle w:val="Caption"/>
      </w:pPr>
      <w:bookmarkStart w:id="777" w:name="_Toc190878413"/>
      <w:bookmarkStart w:id="778" w:name="_Toc207893068"/>
      <w:bookmarkStart w:id="779" w:name="_Toc208490592"/>
      <w:bookmarkStart w:id="780" w:name="_Toc208490930"/>
      <w:bookmarkStart w:id="781" w:name="_Toc208911088"/>
      <w:bookmarkStart w:id="782" w:name="_Toc210051394"/>
      <w:r w:rsidRPr="00DE108C">
        <w:t>Table 7.18: Other non-controllable opex</w:t>
      </w:r>
      <w:bookmarkEnd w:id="777"/>
      <w:r w:rsidRPr="00DE108C">
        <w:t xml:space="preserve"> ($millions, real 2025-26)</w:t>
      </w:r>
      <w:bookmarkEnd w:id="778"/>
      <w:bookmarkEnd w:id="779"/>
      <w:bookmarkEnd w:id="780"/>
      <w:bookmarkEnd w:id="781"/>
      <w:bookmarkEnd w:id="782"/>
    </w:p>
    <w:tbl>
      <w:tblPr>
        <w:tblStyle w:val="MWTableGrid"/>
        <w:tblW w:w="5000" w:type="pct"/>
        <w:tblLayout w:type="fixed"/>
        <w:tblLook w:val="0420" w:firstRow="1" w:lastRow="0" w:firstColumn="0" w:lastColumn="0" w:noHBand="0" w:noVBand="1"/>
      </w:tblPr>
      <w:tblGrid>
        <w:gridCol w:w="1964"/>
        <w:gridCol w:w="1277"/>
        <w:gridCol w:w="1279"/>
        <w:gridCol w:w="1279"/>
        <w:gridCol w:w="1279"/>
        <w:gridCol w:w="1277"/>
        <w:gridCol w:w="1273"/>
      </w:tblGrid>
      <w:tr w:rsidR="00556A0D" w:rsidRPr="00C347E8" w14:paraId="24E8C9A1" w14:textId="6D119947" w:rsidTr="004B22EB">
        <w:trPr>
          <w:cnfStyle w:val="100000000000" w:firstRow="1" w:lastRow="0" w:firstColumn="0" w:lastColumn="0" w:oddVBand="0" w:evenVBand="0" w:oddHBand="0" w:evenHBand="0" w:firstRowFirstColumn="0" w:firstRowLastColumn="0" w:lastRowFirstColumn="0" w:lastRowLastColumn="0"/>
          <w:cantSplit/>
        </w:trPr>
        <w:tc>
          <w:tcPr>
            <w:tcW w:w="1020" w:type="pct"/>
          </w:tcPr>
          <w:p w14:paraId="39DB46FD" w14:textId="77777777" w:rsidR="004B22EB" w:rsidRPr="00B856AA" w:rsidRDefault="004B22EB">
            <w:pPr>
              <w:pStyle w:val="TableHeading"/>
              <w:rPr>
                <w:rFonts w:asciiTheme="majorHAnsi" w:hAnsiTheme="majorHAnsi"/>
                <w:szCs w:val="16"/>
              </w:rPr>
            </w:pPr>
          </w:p>
        </w:tc>
        <w:tc>
          <w:tcPr>
            <w:tcW w:w="663" w:type="pct"/>
          </w:tcPr>
          <w:p w14:paraId="2C3F3041" w14:textId="77777777" w:rsidR="004B22EB" w:rsidRPr="00B856AA" w:rsidRDefault="004B22EB">
            <w:pPr>
              <w:pStyle w:val="TableHeading"/>
              <w:rPr>
                <w:rFonts w:asciiTheme="majorHAnsi" w:hAnsiTheme="majorHAnsi"/>
                <w:szCs w:val="16"/>
              </w:rPr>
            </w:pPr>
            <w:r w:rsidRPr="00B856AA">
              <w:rPr>
                <w:rFonts w:asciiTheme="majorHAnsi" w:hAnsiTheme="majorHAnsi"/>
                <w:szCs w:val="16"/>
              </w:rPr>
              <w:t>2026-27</w:t>
            </w:r>
          </w:p>
        </w:tc>
        <w:tc>
          <w:tcPr>
            <w:tcW w:w="664" w:type="pct"/>
          </w:tcPr>
          <w:p w14:paraId="0F2AE703" w14:textId="77777777" w:rsidR="004B22EB" w:rsidRPr="00B856AA" w:rsidRDefault="004B22EB">
            <w:pPr>
              <w:pStyle w:val="TableHeading"/>
              <w:rPr>
                <w:rFonts w:asciiTheme="majorHAnsi" w:hAnsiTheme="majorHAnsi"/>
                <w:szCs w:val="16"/>
              </w:rPr>
            </w:pPr>
            <w:r w:rsidRPr="00B856AA">
              <w:rPr>
                <w:rFonts w:asciiTheme="majorHAnsi" w:hAnsiTheme="majorHAnsi"/>
                <w:szCs w:val="16"/>
              </w:rPr>
              <w:t>2027-28</w:t>
            </w:r>
          </w:p>
        </w:tc>
        <w:tc>
          <w:tcPr>
            <w:tcW w:w="664" w:type="pct"/>
          </w:tcPr>
          <w:p w14:paraId="7BED16CF" w14:textId="77777777" w:rsidR="004B22EB" w:rsidRPr="00B856AA" w:rsidRDefault="004B22EB">
            <w:pPr>
              <w:pStyle w:val="TableHeading"/>
              <w:rPr>
                <w:rFonts w:asciiTheme="majorHAnsi" w:hAnsiTheme="majorHAnsi"/>
                <w:szCs w:val="16"/>
              </w:rPr>
            </w:pPr>
            <w:r w:rsidRPr="00B856AA">
              <w:rPr>
                <w:rFonts w:asciiTheme="majorHAnsi" w:hAnsiTheme="majorHAnsi"/>
                <w:szCs w:val="16"/>
              </w:rPr>
              <w:t>2028-29</w:t>
            </w:r>
          </w:p>
        </w:tc>
        <w:tc>
          <w:tcPr>
            <w:tcW w:w="664" w:type="pct"/>
          </w:tcPr>
          <w:p w14:paraId="5190F04B" w14:textId="77777777" w:rsidR="004B22EB" w:rsidRPr="00B856AA" w:rsidRDefault="004B22EB">
            <w:pPr>
              <w:pStyle w:val="TableHeading"/>
              <w:rPr>
                <w:rFonts w:asciiTheme="majorHAnsi" w:hAnsiTheme="majorHAnsi"/>
                <w:szCs w:val="16"/>
              </w:rPr>
            </w:pPr>
            <w:r w:rsidRPr="00B856AA">
              <w:rPr>
                <w:rFonts w:asciiTheme="majorHAnsi" w:hAnsiTheme="majorHAnsi"/>
                <w:szCs w:val="16"/>
              </w:rPr>
              <w:t>2029-30</w:t>
            </w:r>
          </w:p>
        </w:tc>
        <w:tc>
          <w:tcPr>
            <w:tcW w:w="663" w:type="pct"/>
          </w:tcPr>
          <w:p w14:paraId="405F5911" w14:textId="77777777" w:rsidR="004B22EB" w:rsidRPr="00B856AA" w:rsidRDefault="004B22EB">
            <w:pPr>
              <w:pStyle w:val="TableHeading"/>
              <w:rPr>
                <w:rFonts w:asciiTheme="majorHAnsi" w:hAnsiTheme="majorHAnsi"/>
                <w:szCs w:val="16"/>
              </w:rPr>
            </w:pPr>
            <w:r w:rsidRPr="00B856AA">
              <w:rPr>
                <w:rFonts w:asciiTheme="majorHAnsi" w:hAnsiTheme="majorHAnsi"/>
                <w:szCs w:val="16"/>
              </w:rPr>
              <w:t>2030-31</w:t>
            </w:r>
          </w:p>
        </w:tc>
        <w:tc>
          <w:tcPr>
            <w:tcW w:w="661" w:type="pct"/>
          </w:tcPr>
          <w:p w14:paraId="57323AB8" w14:textId="4C9519CF" w:rsidR="004B22EB" w:rsidRPr="00B856AA" w:rsidRDefault="004B22EB">
            <w:pPr>
              <w:pStyle w:val="TableHeading"/>
              <w:rPr>
                <w:rFonts w:asciiTheme="majorHAnsi" w:hAnsiTheme="majorHAnsi"/>
                <w:szCs w:val="16"/>
              </w:rPr>
            </w:pPr>
            <w:r w:rsidRPr="00B856AA">
              <w:rPr>
                <w:rFonts w:asciiTheme="majorHAnsi" w:hAnsiTheme="majorHAnsi"/>
                <w:szCs w:val="16"/>
              </w:rPr>
              <w:t>Total PS26</w:t>
            </w:r>
          </w:p>
        </w:tc>
      </w:tr>
      <w:tr w:rsidR="00B856AA" w:rsidRPr="00C347E8" w14:paraId="05AE78BE" w14:textId="5D449906" w:rsidTr="00245EE3">
        <w:trPr>
          <w:cantSplit/>
        </w:trPr>
        <w:tc>
          <w:tcPr>
            <w:tcW w:w="1020" w:type="pct"/>
            <w:vAlign w:val="center"/>
          </w:tcPr>
          <w:p w14:paraId="118BE0E9" w14:textId="5F04BED0" w:rsidR="00B856AA" w:rsidRPr="00B856AA" w:rsidRDefault="00B856AA" w:rsidP="00B856AA">
            <w:pPr>
              <w:pStyle w:val="TableText"/>
              <w:rPr>
                <w:rFonts w:asciiTheme="majorHAnsi" w:hAnsiTheme="majorHAnsi"/>
              </w:rPr>
            </w:pPr>
            <w:r w:rsidRPr="261EE0D3">
              <w:rPr>
                <w:rFonts w:asciiTheme="majorHAnsi" w:hAnsiTheme="majorHAnsi" w:cs="Arial"/>
                <w:color w:val="000000"/>
              </w:rPr>
              <w:t xml:space="preserve">EPA </w:t>
            </w:r>
            <w:r w:rsidR="75BE7EFB" w:rsidRPr="261EE0D3">
              <w:rPr>
                <w:rFonts w:asciiTheme="majorHAnsi" w:hAnsiTheme="majorHAnsi" w:cs="Arial"/>
                <w:color w:val="000000"/>
              </w:rPr>
              <w:t xml:space="preserve">Victoria </w:t>
            </w:r>
            <w:r w:rsidRPr="261EE0D3">
              <w:rPr>
                <w:rFonts w:asciiTheme="majorHAnsi" w:hAnsiTheme="majorHAnsi" w:cs="Arial"/>
                <w:color w:val="000000"/>
              </w:rPr>
              <w:t>licence fee</w:t>
            </w:r>
          </w:p>
        </w:tc>
        <w:tc>
          <w:tcPr>
            <w:tcW w:w="663" w:type="pct"/>
            <w:vAlign w:val="center"/>
          </w:tcPr>
          <w:p w14:paraId="3E3FFFB2"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1.4 </w:t>
            </w:r>
          </w:p>
        </w:tc>
        <w:tc>
          <w:tcPr>
            <w:tcW w:w="664" w:type="pct"/>
            <w:vAlign w:val="center"/>
          </w:tcPr>
          <w:p w14:paraId="38411A38"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1.4 </w:t>
            </w:r>
          </w:p>
        </w:tc>
        <w:tc>
          <w:tcPr>
            <w:tcW w:w="664" w:type="pct"/>
            <w:vAlign w:val="center"/>
          </w:tcPr>
          <w:p w14:paraId="3497A5EB"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1.4 </w:t>
            </w:r>
          </w:p>
        </w:tc>
        <w:tc>
          <w:tcPr>
            <w:tcW w:w="664" w:type="pct"/>
            <w:vAlign w:val="center"/>
          </w:tcPr>
          <w:p w14:paraId="38C4FE77"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1.4 </w:t>
            </w:r>
          </w:p>
        </w:tc>
        <w:tc>
          <w:tcPr>
            <w:tcW w:w="663" w:type="pct"/>
            <w:vAlign w:val="center"/>
          </w:tcPr>
          <w:p w14:paraId="7862E9C1"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1.4 </w:t>
            </w:r>
          </w:p>
        </w:tc>
        <w:tc>
          <w:tcPr>
            <w:tcW w:w="661" w:type="pct"/>
            <w:vAlign w:val="center"/>
          </w:tcPr>
          <w:p w14:paraId="2BAF69C7" w14:textId="3502EEBD" w:rsidR="00B856AA" w:rsidRPr="00B856AA" w:rsidRDefault="00B856AA" w:rsidP="00B856AA">
            <w:pPr>
              <w:pStyle w:val="TableText"/>
              <w:rPr>
                <w:rFonts w:asciiTheme="majorHAnsi" w:hAnsiTheme="majorHAnsi" w:cs="Arial"/>
                <w:b/>
                <w:color w:val="231F20"/>
                <w:szCs w:val="16"/>
              </w:rPr>
            </w:pPr>
            <w:r w:rsidRPr="00B856AA">
              <w:rPr>
                <w:rFonts w:asciiTheme="majorHAnsi" w:hAnsiTheme="majorHAnsi" w:cs="Arial"/>
                <w:b/>
                <w:bCs/>
                <w:color w:val="231F20"/>
                <w:szCs w:val="16"/>
              </w:rPr>
              <w:t xml:space="preserve"> 7.2 </w:t>
            </w:r>
          </w:p>
        </w:tc>
      </w:tr>
      <w:tr w:rsidR="00A043F7" w:rsidRPr="00C347E8" w14:paraId="209C2960" w14:textId="0BB794DE">
        <w:trPr>
          <w:cnfStyle w:val="000000010000" w:firstRow="0" w:lastRow="0" w:firstColumn="0" w:lastColumn="0" w:oddVBand="0" w:evenVBand="0" w:oddHBand="0" w:evenHBand="1" w:firstRowFirstColumn="0" w:firstRowLastColumn="0" w:lastRowFirstColumn="0" w:lastRowLastColumn="0"/>
          <w:cantSplit/>
        </w:trPr>
        <w:tc>
          <w:tcPr>
            <w:tcW w:w="1020" w:type="pct"/>
            <w:vAlign w:val="center"/>
          </w:tcPr>
          <w:p w14:paraId="115ACC98" w14:textId="77777777" w:rsidR="00B856AA" w:rsidRPr="00B856AA" w:rsidRDefault="00B856AA" w:rsidP="00B856AA">
            <w:pPr>
              <w:pStyle w:val="TableText"/>
              <w:rPr>
                <w:rFonts w:asciiTheme="majorHAnsi" w:hAnsiTheme="majorHAnsi"/>
                <w:szCs w:val="16"/>
              </w:rPr>
            </w:pPr>
            <w:r w:rsidRPr="00B856AA">
              <w:rPr>
                <w:rFonts w:asciiTheme="majorHAnsi" w:hAnsiTheme="majorHAnsi" w:cs="Arial"/>
                <w:color w:val="000000"/>
                <w:szCs w:val="16"/>
              </w:rPr>
              <w:t>ESC licence fee</w:t>
            </w:r>
          </w:p>
        </w:tc>
        <w:tc>
          <w:tcPr>
            <w:tcW w:w="663" w:type="pct"/>
            <w:vAlign w:val="center"/>
          </w:tcPr>
          <w:p w14:paraId="6367A634"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1.2 </w:t>
            </w:r>
          </w:p>
        </w:tc>
        <w:tc>
          <w:tcPr>
            <w:tcW w:w="664" w:type="pct"/>
            <w:vAlign w:val="center"/>
          </w:tcPr>
          <w:p w14:paraId="1A600191"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1.2 </w:t>
            </w:r>
          </w:p>
        </w:tc>
        <w:tc>
          <w:tcPr>
            <w:tcW w:w="664" w:type="pct"/>
            <w:vAlign w:val="center"/>
          </w:tcPr>
          <w:p w14:paraId="7028E7FF"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1.2 </w:t>
            </w:r>
          </w:p>
        </w:tc>
        <w:tc>
          <w:tcPr>
            <w:tcW w:w="664" w:type="pct"/>
            <w:vAlign w:val="center"/>
          </w:tcPr>
          <w:p w14:paraId="6C59170C"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1.2 </w:t>
            </w:r>
          </w:p>
        </w:tc>
        <w:tc>
          <w:tcPr>
            <w:tcW w:w="663" w:type="pct"/>
            <w:vAlign w:val="center"/>
          </w:tcPr>
          <w:p w14:paraId="30D6197A"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1.2 </w:t>
            </w:r>
          </w:p>
        </w:tc>
        <w:tc>
          <w:tcPr>
            <w:tcW w:w="661" w:type="pct"/>
            <w:vAlign w:val="center"/>
          </w:tcPr>
          <w:p w14:paraId="1CD6C412" w14:textId="7356A1AE" w:rsidR="00B856AA" w:rsidRPr="00B856AA" w:rsidRDefault="00B856AA" w:rsidP="00B856AA">
            <w:pPr>
              <w:pStyle w:val="TableText"/>
              <w:rPr>
                <w:rFonts w:asciiTheme="majorHAnsi" w:hAnsiTheme="majorHAnsi" w:cs="Arial"/>
                <w:b/>
                <w:color w:val="231F20"/>
                <w:szCs w:val="16"/>
              </w:rPr>
            </w:pPr>
            <w:r w:rsidRPr="00B856AA">
              <w:rPr>
                <w:rFonts w:asciiTheme="majorHAnsi" w:hAnsiTheme="majorHAnsi" w:cs="Arial"/>
                <w:b/>
                <w:bCs/>
                <w:color w:val="231F20"/>
                <w:szCs w:val="16"/>
              </w:rPr>
              <w:t xml:space="preserve"> 5.9 </w:t>
            </w:r>
          </w:p>
        </w:tc>
      </w:tr>
      <w:tr w:rsidR="00B856AA" w:rsidRPr="00C347E8" w14:paraId="6E0210EA" w14:textId="217D978C" w:rsidTr="00245EE3">
        <w:trPr>
          <w:cantSplit/>
        </w:trPr>
        <w:tc>
          <w:tcPr>
            <w:tcW w:w="1020" w:type="pct"/>
            <w:vAlign w:val="center"/>
          </w:tcPr>
          <w:p w14:paraId="21EC095D" w14:textId="77777777" w:rsidR="00B856AA" w:rsidRPr="00B856AA" w:rsidRDefault="00B856AA" w:rsidP="00B856AA">
            <w:pPr>
              <w:pStyle w:val="TableText"/>
              <w:rPr>
                <w:rFonts w:asciiTheme="majorHAnsi" w:hAnsiTheme="majorHAnsi"/>
                <w:szCs w:val="16"/>
              </w:rPr>
            </w:pPr>
            <w:r w:rsidRPr="00B856AA">
              <w:rPr>
                <w:rFonts w:asciiTheme="majorHAnsi" w:hAnsiTheme="majorHAnsi" w:cs="Arial"/>
                <w:color w:val="000000"/>
                <w:szCs w:val="16"/>
              </w:rPr>
              <w:t>Safe Drinking Water Levy</w:t>
            </w:r>
          </w:p>
        </w:tc>
        <w:tc>
          <w:tcPr>
            <w:tcW w:w="663" w:type="pct"/>
            <w:vAlign w:val="center"/>
          </w:tcPr>
          <w:p w14:paraId="7730052E"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0.3 </w:t>
            </w:r>
          </w:p>
        </w:tc>
        <w:tc>
          <w:tcPr>
            <w:tcW w:w="664" w:type="pct"/>
            <w:vAlign w:val="center"/>
          </w:tcPr>
          <w:p w14:paraId="0843B218"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0.3 </w:t>
            </w:r>
          </w:p>
        </w:tc>
        <w:tc>
          <w:tcPr>
            <w:tcW w:w="664" w:type="pct"/>
            <w:vAlign w:val="center"/>
          </w:tcPr>
          <w:p w14:paraId="28140A47"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0.3 </w:t>
            </w:r>
          </w:p>
        </w:tc>
        <w:tc>
          <w:tcPr>
            <w:tcW w:w="664" w:type="pct"/>
            <w:vAlign w:val="center"/>
          </w:tcPr>
          <w:p w14:paraId="23DB0B2E"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0.3 </w:t>
            </w:r>
          </w:p>
        </w:tc>
        <w:tc>
          <w:tcPr>
            <w:tcW w:w="663" w:type="pct"/>
            <w:vAlign w:val="center"/>
          </w:tcPr>
          <w:p w14:paraId="25489ED5"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0.3 </w:t>
            </w:r>
          </w:p>
        </w:tc>
        <w:tc>
          <w:tcPr>
            <w:tcW w:w="661" w:type="pct"/>
            <w:vAlign w:val="center"/>
          </w:tcPr>
          <w:p w14:paraId="6A2BA6C8" w14:textId="08F7BE46" w:rsidR="00B856AA" w:rsidRPr="00B856AA" w:rsidRDefault="00B856AA" w:rsidP="00B856AA">
            <w:pPr>
              <w:pStyle w:val="TableText"/>
              <w:rPr>
                <w:rFonts w:asciiTheme="majorHAnsi" w:hAnsiTheme="majorHAnsi" w:cs="Arial"/>
                <w:b/>
                <w:color w:val="231F20"/>
                <w:szCs w:val="16"/>
              </w:rPr>
            </w:pPr>
            <w:r w:rsidRPr="00B856AA">
              <w:rPr>
                <w:rFonts w:asciiTheme="majorHAnsi" w:hAnsiTheme="majorHAnsi" w:cs="Arial"/>
                <w:b/>
                <w:bCs/>
                <w:color w:val="231F20"/>
                <w:szCs w:val="16"/>
              </w:rPr>
              <w:t xml:space="preserve"> 1.4 </w:t>
            </w:r>
          </w:p>
        </w:tc>
      </w:tr>
      <w:tr w:rsidR="00A043F7" w:rsidRPr="00C347E8" w14:paraId="03F4CC4E" w14:textId="365B39F8">
        <w:trPr>
          <w:cnfStyle w:val="000000010000" w:firstRow="0" w:lastRow="0" w:firstColumn="0" w:lastColumn="0" w:oddVBand="0" w:evenVBand="0" w:oddHBand="0" w:evenHBand="1" w:firstRowFirstColumn="0" w:firstRowLastColumn="0" w:lastRowFirstColumn="0" w:lastRowLastColumn="0"/>
          <w:cantSplit/>
        </w:trPr>
        <w:tc>
          <w:tcPr>
            <w:tcW w:w="1020" w:type="pct"/>
            <w:vAlign w:val="center"/>
          </w:tcPr>
          <w:p w14:paraId="604FE268" w14:textId="02FC57E7" w:rsidR="00B856AA" w:rsidRPr="00B856AA" w:rsidRDefault="6DEB6815" w:rsidP="00B856AA">
            <w:pPr>
              <w:pStyle w:val="TableText"/>
              <w:rPr>
                <w:rFonts w:asciiTheme="majorHAnsi" w:hAnsiTheme="majorHAnsi"/>
              </w:rPr>
            </w:pPr>
            <w:r w:rsidRPr="22FAE64A">
              <w:rPr>
                <w:rFonts w:asciiTheme="majorHAnsi" w:hAnsiTheme="majorHAnsi" w:cs="Arial"/>
                <w:color w:val="000000"/>
              </w:rPr>
              <w:lastRenderedPageBreak/>
              <w:t>ECL</w:t>
            </w:r>
          </w:p>
        </w:tc>
        <w:tc>
          <w:tcPr>
            <w:tcW w:w="663" w:type="pct"/>
            <w:vAlign w:val="center"/>
          </w:tcPr>
          <w:p w14:paraId="73ADA44B" w14:textId="5CBED9A0" w:rsidR="00B856AA" w:rsidRPr="00B856AA" w:rsidRDefault="00B856AA" w:rsidP="00B856AA">
            <w:pPr>
              <w:pStyle w:val="TableText"/>
              <w:rPr>
                <w:rFonts w:asciiTheme="majorHAnsi" w:hAnsiTheme="majorHAnsi" w:cs="Arial"/>
                <w:color w:val="000000"/>
              </w:rPr>
            </w:pPr>
            <w:r w:rsidRPr="0F8CDBDA">
              <w:rPr>
                <w:rFonts w:asciiTheme="majorHAnsi" w:hAnsiTheme="majorHAnsi" w:cs="Arial"/>
              </w:rPr>
              <w:t xml:space="preserve"> 0.3 </w:t>
            </w:r>
          </w:p>
        </w:tc>
        <w:tc>
          <w:tcPr>
            <w:tcW w:w="664" w:type="pct"/>
            <w:vAlign w:val="center"/>
          </w:tcPr>
          <w:p w14:paraId="6784BC64"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0.3 </w:t>
            </w:r>
          </w:p>
        </w:tc>
        <w:tc>
          <w:tcPr>
            <w:tcW w:w="664" w:type="pct"/>
            <w:vAlign w:val="center"/>
          </w:tcPr>
          <w:p w14:paraId="6A3C3EF0"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0.3 </w:t>
            </w:r>
          </w:p>
        </w:tc>
        <w:tc>
          <w:tcPr>
            <w:tcW w:w="664" w:type="pct"/>
            <w:vAlign w:val="center"/>
          </w:tcPr>
          <w:p w14:paraId="24476BA2"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0.3 </w:t>
            </w:r>
          </w:p>
        </w:tc>
        <w:tc>
          <w:tcPr>
            <w:tcW w:w="663" w:type="pct"/>
            <w:vAlign w:val="center"/>
          </w:tcPr>
          <w:p w14:paraId="62F8F5A6"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0.3 </w:t>
            </w:r>
          </w:p>
        </w:tc>
        <w:tc>
          <w:tcPr>
            <w:tcW w:w="661" w:type="pct"/>
            <w:vAlign w:val="center"/>
          </w:tcPr>
          <w:p w14:paraId="64CBA7EC" w14:textId="1A07EEAB" w:rsidR="00B856AA" w:rsidRPr="00B856AA" w:rsidRDefault="00B856AA" w:rsidP="00B856AA">
            <w:pPr>
              <w:pStyle w:val="TableText"/>
              <w:rPr>
                <w:rFonts w:asciiTheme="majorHAnsi" w:hAnsiTheme="majorHAnsi" w:cs="Arial"/>
                <w:b/>
                <w:color w:val="231F20"/>
                <w:szCs w:val="16"/>
              </w:rPr>
            </w:pPr>
            <w:r w:rsidRPr="00B856AA">
              <w:rPr>
                <w:rFonts w:asciiTheme="majorHAnsi" w:hAnsiTheme="majorHAnsi" w:cs="Arial"/>
                <w:b/>
                <w:bCs/>
                <w:color w:val="231F20"/>
                <w:szCs w:val="16"/>
              </w:rPr>
              <w:t xml:space="preserve"> 1.6 </w:t>
            </w:r>
          </w:p>
        </w:tc>
      </w:tr>
      <w:tr w:rsidR="00B856AA" w:rsidRPr="00C347E8" w14:paraId="5749A1D5" w14:textId="2AF47264" w:rsidTr="00245EE3">
        <w:trPr>
          <w:cantSplit/>
        </w:trPr>
        <w:tc>
          <w:tcPr>
            <w:tcW w:w="1020" w:type="pct"/>
            <w:vAlign w:val="center"/>
          </w:tcPr>
          <w:p w14:paraId="614E8E7F" w14:textId="77777777" w:rsidR="00B856AA" w:rsidRPr="00B856AA" w:rsidRDefault="00B856AA" w:rsidP="00B856AA">
            <w:pPr>
              <w:pStyle w:val="TableText"/>
              <w:rPr>
                <w:rFonts w:asciiTheme="majorHAnsi" w:hAnsiTheme="majorHAnsi"/>
                <w:szCs w:val="16"/>
              </w:rPr>
            </w:pPr>
            <w:r w:rsidRPr="00B856AA">
              <w:rPr>
                <w:rFonts w:asciiTheme="majorHAnsi" w:hAnsiTheme="majorHAnsi" w:cs="Arial"/>
                <w:color w:val="000000"/>
                <w:szCs w:val="16"/>
              </w:rPr>
              <w:t>Land tax</w:t>
            </w:r>
          </w:p>
        </w:tc>
        <w:tc>
          <w:tcPr>
            <w:tcW w:w="663" w:type="pct"/>
            <w:vAlign w:val="center"/>
          </w:tcPr>
          <w:p w14:paraId="1DBD86E4"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42.3 </w:t>
            </w:r>
          </w:p>
        </w:tc>
        <w:tc>
          <w:tcPr>
            <w:tcW w:w="664" w:type="pct"/>
            <w:vAlign w:val="center"/>
          </w:tcPr>
          <w:p w14:paraId="0AEC89C3"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42.5 </w:t>
            </w:r>
          </w:p>
        </w:tc>
        <w:tc>
          <w:tcPr>
            <w:tcW w:w="664" w:type="pct"/>
            <w:vAlign w:val="center"/>
          </w:tcPr>
          <w:p w14:paraId="2F6DA268"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42.7 </w:t>
            </w:r>
          </w:p>
        </w:tc>
        <w:tc>
          <w:tcPr>
            <w:tcW w:w="664" w:type="pct"/>
            <w:vAlign w:val="center"/>
          </w:tcPr>
          <w:p w14:paraId="1BFC3BD6"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42.9 </w:t>
            </w:r>
          </w:p>
        </w:tc>
        <w:tc>
          <w:tcPr>
            <w:tcW w:w="663" w:type="pct"/>
            <w:vAlign w:val="center"/>
          </w:tcPr>
          <w:p w14:paraId="3690423B"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42.9 </w:t>
            </w:r>
          </w:p>
        </w:tc>
        <w:tc>
          <w:tcPr>
            <w:tcW w:w="661" w:type="pct"/>
            <w:vAlign w:val="center"/>
          </w:tcPr>
          <w:p w14:paraId="7ED539CB" w14:textId="7744F684" w:rsidR="00B856AA" w:rsidRPr="00B856AA" w:rsidRDefault="00B856AA" w:rsidP="00B856AA">
            <w:pPr>
              <w:pStyle w:val="TableText"/>
              <w:rPr>
                <w:rFonts w:asciiTheme="majorHAnsi" w:hAnsiTheme="majorHAnsi" w:cs="Arial"/>
                <w:b/>
                <w:color w:val="231F20"/>
                <w:szCs w:val="16"/>
              </w:rPr>
            </w:pPr>
            <w:r w:rsidRPr="00B856AA">
              <w:rPr>
                <w:rFonts w:asciiTheme="majorHAnsi" w:hAnsiTheme="majorHAnsi" w:cs="Arial"/>
                <w:b/>
                <w:bCs/>
                <w:color w:val="231F20"/>
                <w:szCs w:val="16"/>
              </w:rPr>
              <w:t xml:space="preserve"> 213.3 </w:t>
            </w:r>
          </w:p>
        </w:tc>
      </w:tr>
      <w:tr w:rsidR="00A043F7" w:rsidRPr="00C347E8" w14:paraId="146521BB" w14:textId="39965314">
        <w:trPr>
          <w:cnfStyle w:val="000000010000" w:firstRow="0" w:lastRow="0" w:firstColumn="0" w:lastColumn="0" w:oddVBand="0" w:evenVBand="0" w:oddHBand="0" w:evenHBand="1" w:firstRowFirstColumn="0" w:firstRowLastColumn="0" w:lastRowFirstColumn="0" w:lastRowLastColumn="0"/>
          <w:cantSplit/>
        </w:trPr>
        <w:tc>
          <w:tcPr>
            <w:tcW w:w="1020" w:type="pct"/>
            <w:vAlign w:val="center"/>
          </w:tcPr>
          <w:p w14:paraId="3ED23E66" w14:textId="77777777" w:rsidR="00B856AA" w:rsidRPr="00B856AA" w:rsidRDefault="00B856AA" w:rsidP="00B856AA">
            <w:pPr>
              <w:pStyle w:val="TableText"/>
              <w:rPr>
                <w:rFonts w:asciiTheme="majorHAnsi" w:hAnsiTheme="majorHAnsi"/>
                <w:szCs w:val="16"/>
              </w:rPr>
            </w:pPr>
            <w:r w:rsidRPr="00B856AA">
              <w:rPr>
                <w:rFonts w:asciiTheme="majorHAnsi" w:hAnsiTheme="majorHAnsi" w:cs="Arial"/>
                <w:color w:val="000000"/>
                <w:szCs w:val="16"/>
              </w:rPr>
              <w:t>Local government rates and fire services levy</w:t>
            </w:r>
          </w:p>
        </w:tc>
        <w:tc>
          <w:tcPr>
            <w:tcW w:w="663" w:type="pct"/>
            <w:vAlign w:val="center"/>
          </w:tcPr>
          <w:p w14:paraId="22B0969D"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4.4 </w:t>
            </w:r>
          </w:p>
        </w:tc>
        <w:tc>
          <w:tcPr>
            <w:tcW w:w="664" w:type="pct"/>
            <w:vAlign w:val="center"/>
          </w:tcPr>
          <w:p w14:paraId="6B8ECA6B"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4.4 </w:t>
            </w:r>
          </w:p>
        </w:tc>
        <w:tc>
          <w:tcPr>
            <w:tcW w:w="664" w:type="pct"/>
            <w:vAlign w:val="center"/>
          </w:tcPr>
          <w:p w14:paraId="5FF84C5A"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4.4 </w:t>
            </w:r>
          </w:p>
        </w:tc>
        <w:tc>
          <w:tcPr>
            <w:tcW w:w="664" w:type="pct"/>
            <w:vAlign w:val="center"/>
          </w:tcPr>
          <w:p w14:paraId="5395FEAC"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4.4 </w:t>
            </w:r>
          </w:p>
        </w:tc>
        <w:tc>
          <w:tcPr>
            <w:tcW w:w="663" w:type="pct"/>
            <w:vAlign w:val="center"/>
          </w:tcPr>
          <w:p w14:paraId="3C57EE7E" w14:textId="77777777" w:rsidR="00B856AA" w:rsidRPr="00B856AA" w:rsidRDefault="00B856AA" w:rsidP="00B856AA">
            <w:pPr>
              <w:pStyle w:val="TableText"/>
              <w:rPr>
                <w:rFonts w:asciiTheme="majorHAnsi" w:hAnsiTheme="majorHAnsi" w:cs="Arial"/>
                <w:color w:val="000000"/>
                <w:szCs w:val="16"/>
              </w:rPr>
            </w:pPr>
            <w:r w:rsidRPr="00B856AA">
              <w:rPr>
                <w:rFonts w:asciiTheme="majorHAnsi" w:hAnsiTheme="majorHAnsi" w:cs="Arial"/>
                <w:color w:val="231F20"/>
                <w:szCs w:val="16"/>
              </w:rPr>
              <w:t xml:space="preserve"> 4.4 </w:t>
            </w:r>
          </w:p>
        </w:tc>
        <w:tc>
          <w:tcPr>
            <w:tcW w:w="661" w:type="pct"/>
            <w:vAlign w:val="center"/>
          </w:tcPr>
          <w:p w14:paraId="56FDE654" w14:textId="0CB0EBF0" w:rsidR="00B856AA" w:rsidRPr="00B856AA" w:rsidRDefault="00B856AA" w:rsidP="00B856AA">
            <w:pPr>
              <w:pStyle w:val="TableText"/>
              <w:rPr>
                <w:rFonts w:asciiTheme="majorHAnsi" w:hAnsiTheme="majorHAnsi" w:cs="Arial"/>
                <w:b/>
                <w:color w:val="231F20"/>
                <w:szCs w:val="16"/>
              </w:rPr>
            </w:pPr>
            <w:r w:rsidRPr="00B856AA">
              <w:rPr>
                <w:rFonts w:asciiTheme="majorHAnsi" w:hAnsiTheme="majorHAnsi" w:cs="Arial"/>
                <w:b/>
                <w:bCs/>
                <w:color w:val="231F20"/>
                <w:szCs w:val="16"/>
              </w:rPr>
              <w:t xml:space="preserve"> 22.2 </w:t>
            </w:r>
          </w:p>
        </w:tc>
      </w:tr>
      <w:tr w:rsidR="00B856AA" w:rsidRPr="00C347E8" w14:paraId="0B117E97" w14:textId="64ED8E60" w:rsidTr="00245EE3">
        <w:trPr>
          <w:cantSplit/>
        </w:trPr>
        <w:tc>
          <w:tcPr>
            <w:tcW w:w="1020" w:type="pct"/>
            <w:vAlign w:val="center"/>
          </w:tcPr>
          <w:p w14:paraId="06CBC121" w14:textId="77777777" w:rsidR="00B856AA" w:rsidRPr="00B856AA" w:rsidRDefault="00B856AA" w:rsidP="00B856AA">
            <w:pPr>
              <w:pStyle w:val="TableText"/>
              <w:rPr>
                <w:rFonts w:asciiTheme="majorHAnsi" w:hAnsiTheme="majorHAnsi"/>
                <w:b/>
                <w:szCs w:val="16"/>
              </w:rPr>
            </w:pPr>
            <w:r w:rsidRPr="00B856AA">
              <w:rPr>
                <w:rFonts w:asciiTheme="majorHAnsi" w:hAnsiTheme="majorHAnsi"/>
                <w:b/>
                <w:szCs w:val="16"/>
              </w:rPr>
              <w:t>Total</w:t>
            </w:r>
          </w:p>
        </w:tc>
        <w:tc>
          <w:tcPr>
            <w:tcW w:w="663" w:type="pct"/>
            <w:vAlign w:val="center"/>
          </w:tcPr>
          <w:p w14:paraId="51BCB952" w14:textId="77777777" w:rsidR="00B856AA" w:rsidRPr="00B856AA" w:rsidRDefault="00B856AA" w:rsidP="00B856AA">
            <w:pPr>
              <w:pStyle w:val="TableText"/>
              <w:rPr>
                <w:rFonts w:asciiTheme="majorHAnsi" w:hAnsiTheme="majorHAnsi" w:cs="Arial"/>
                <w:b/>
                <w:color w:val="000000"/>
                <w:szCs w:val="16"/>
              </w:rPr>
            </w:pPr>
            <w:r w:rsidRPr="00B856AA">
              <w:rPr>
                <w:rFonts w:asciiTheme="majorHAnsi" w:hAnsiTheme="majorHAnsi" w:cs="Arial"/>
                <w:b/>
                <w:color w:val="231F20"/>
                <w:szCs w:val="16"/>
              </w:rPr>
              <w:t xml:space="preserve"> 50.0 </w:t>
            </w:r>
          </w:p>
        </w:tc>
        <w:tc>
          <w:tcPr>
            <w:tcW w:w="664" w:type="pct"/>
            <w:vAlign w:val="center"/>
          </w:tcPr>
          <w:p w14:paraId="501E70AE" w14:textId="77777777" w:rsidR="00B856AA" w:rsidRPr="00B856AA" w:rsidRDefault="00B856AA" w:rsidP="00B856AA">
            <w:pPr>
              <w:pStyle w:val="TableText"/>
              <w:rPr>
                <w:rFonts w:asciiTheme="majorHAnsi" w:hAnsiTheme="majorHAnsi" w:cs="Arial"/>
                <w:b/>
                <w:color w:val="000000"/>
                <w:szCs w:val="16"/>
              </w:rPr>
            </w:pPr>
            <w:r w:rsidRPr="00B856AA">
              <w:rPr>
                <w:rFonts w:asciiTheme="majorHAnsi" w:hAnsiTheme="majorHAnsi" w:cs="Arial"/>
                <w:b/>
                <w:color w:val="231F20"/>
                <w:szCs w:val="16"/>
              </w:rPr>
              <w:t xml:space="preserve"> 50.2 </w:t>
            </w:r>
          </w:p>
        </w:tc>
        <w:tc>
          <w:tcPr>
            <w:tcW w:w="664" w:type="pct"/>
            <w:vAlign w:val="center"/>
          </w:tcPr>
          <w:p w14:paraId="3AD5A0A6" w14:textId="77777777" w:rsidR="00B856AA" w:rsidRPr="00B856AA" w:rsidRDefault="00B856AA" w:rsidP="00B856AA">
            <w:pPr>
              <w:pStyle w:val="TableText"/>
              <w:rPr>
                <w:rFonts w:asciiTheme="majorHAnsi" w:hAnsiTheme="majorHAnsi" w:cs="Arial"/>
                <w:b/>
                <w:color w:val="000000"/>
                <w:szCs w:val="16"/>
              </w:rPr>
            </w:pPr>
            <w:r w:rsidRPr="00B856AA">
              <w:rPr>
                <w:rFonts w:asciiTheme="majorHAnsi" w:hAnsiTheme="majorHAnsi" w:cs="Arial"/>
                <w:b/>
                <w:color w:val="231F20"/>
                <w:szCs w:val="16"/>
              </w:rPr>
              <w:t xml:space="preserve"> 50.4 </w:t>
            </w:r>
          </w:p>
        </w:tc>
        <w:tc>
          <w:tcPr>
            <w:tcW w:w="664" w:type="pct"/>
            <w:vAlign w:val="center"/>
          </w:tcPr>
          <w:p w14:paraId="3080C730" w14:textId="77777777" w:rsidR="00B856AA" w:rsidRPr="00B856AA" w:rsidRDefault="00B856AA" w:rsidP="00B856AA">
            <w:pPr>
              <w:pStyle w:val="TableText"/>
              <w:rPr>
                <w:rFonts w:asciiTheme="majorHAnsi" w:hAnsiTheme="majorHAnsi" w:cs="Arial"/>
                <w:b/>
                <w:color w:val="000000"/>
                <w:szCs w:val="16"/>
              </w:rPr>
            </w:pPr>
            <w:r w:rsidRPr="00B856AA">
              <w:rPr>
                <w:rFonts w:asciiTheme="majorHAnsi" w:hAnsiTheme="majorHAnsi" w:cs="Arial"/>
                <w:b/>
                <w:color w:val="231F20"/>
                <w:szCs w:val="16"/>
              </w:rPr>
              <w:t xml:space="preserve"> 50.6 </w:t>
            </w:r>
          </w:p>
        </w:tc>
        <w:tc>
          <w:tcPr>
            <w:tcW w:w="663" w:type="pct"/>
            <w:vAlign w:val="center"/>
          </w:tcPr>
          <w:p w14:paraId="57664FD5" w14:textId="77777777" w:rsidR="00B856AA" w:rsidRPr="00B856AA" w:rsidRDefault="00B856AA" w:rsidP="00B856AA">
            <w:pPr>
              <w:pStyle w:val="TableText"/>
              <w:rPr>
                <w:rFonts w:asciiTheme="majorHAnsi" w:hAnsiTheme="majorHAnsi" w:cs="Arial"/>
                <w:b/>
                <w:color w:val="000000"/>
                <w:szCs w:val="16"/>
              </w:rPr>
            </w:pPr>
            <w:r w:rsidRPr="00B856AA">
              <w:rPr>
                <w:rFonts w:asciiTheme="majorHAnsi" w:hAnsiTheme="majorHAnsi" w:cs="Arial"/>
                <w:b/>
                <w:color w:val="231F20"/>
                <w:szCs w:val="16"/>
              </w:rPr>
              <w:t xml:space="preserve"> 50.6 </w:t>
            </w:r>
          </w:p>
        </w:tc>
        <w:tc>
          <w:tcPr>
            <w:tcW w:w="661" w:type="pct"/>
            <w:vAlign w:val="center"/>
          </w:tcPr>
          <w:p w14:paraId="087BDACF" w14:textId="55AE4260" w:rsidR="00B856AA" w:rsidRPr="00B856AA" w:rsidRDefault="00B856AA" w:rsidP="00B856AA">
            <w:pPr>
              <w:pStyle w:val="TableText"/>
              <w:rPr>
                <w:rFonts w:asciiTheme="majorHAnsi" w:hAnsiTheme="majorHAnsi" w:cs="Arial"/>
                <w:b/>
                <w:color w:val="231F20"/>
                <w:szCs w:val="16"/>
              </w:rPr>
            </w:pPr>
            <w:r w:rsidRPr="00B856AA">
              <w:rPr>
                <w:rFonts w:asciiTheme="majorHAnsi" w:hAnsiTheme="majorHAnsi" w:cs="Arial"/>
                <w:b/>
                <w:bCs/>
                <w:color w:val="231F20"/>
                <w:szCs w:val="16"/>
              </w:rPr>
              <w:t xml:space="preserve"> 251.7 </w:t>
            </w:r>
          </w:p>
        </w:tc>
      </w:tr>
    </w:tbl>
    <w:p w14:paraId="39322306" w14:textId="77777777" w:rsidR="00046BD5" w:rsidRPr="00DE108C" w:rsidRDefault="00046BD5" w:rsidP="00ED094E"/>
    <w:p w14:paraId="5376718C" w14:textId="15D5E2FB" w:rsidR="00046BD5" w:rsidRPr="00DE108C" w:rsidRDefault="00046BD5">
      <w:pPr>
        <w:pStyle w:val="Heading2"/>
      </w:pPr>
      <w:bookmarkStart w:id="783" w:name="_Toc207892914"/>
      <w:bookmarkStart w:id="784" w:name="_Toc207853407"/>
      <w:r w:rsidRPr="00DE108C">
        <w:t>7.</w:t>
      </w:r>
      <w:r w:rsidR="001D64E8" w:rsidRPr="00DE108C">
        <w:t>6</w:t>
      </w:r>
      <w:r w:rsidRPr="00DE108C">
        <w:t xml:space="preserve"> </w:t>
      </w:r>
      <w:bookmarkStart w:id="785" w:name="_Toc190876165"/>
      <w:bookmarkStart w:id="786" w:name="_Toc196745264"/>
      <w:r w:rsidRPr="00DE108C">
        <w:t>Total opex forecast</w:t>
      </w:r>
      <w:bookmarkStart w:id="787" w:name="_Hlk188357651"/>
      <w:bookmarkEnd w:id="783"/>
      <w:bookmarkEnd w:id="784"/>
      <w:bookmarkEnd w:id="785"/>
      <w:bookmarkEnd w:id="786"/>
    </w:p>
    <w:p w14:paraId="01EEF5EF" w14:textId="4FE9323F" w:rsidR="00046BD5" w:rsidRPr="00DE108C" w:rsidRDefault="00046BD5">
      <w:pPr>
        <w:pStyle w:val="BodyText"/>
      </w:pPr>
      <w:r w:rsidRPr="00DE108C">
        <w:t>The total opex forecast is $</w:t>
      </w:r>
      <w:r w:rsidRPr="001164EE">
        <w:t>5,51</w:t>
      </w:r>
      <w:r w:rsidR="00B63B77" w:rsidRPr="001164EE">
        <w:t>2</w:t>
      </w:r>
      <w:r w:rsidRPr="00DE108C">
        <w:t xml:space="preserve"> million over five years as shown in Table 7.19. </w:t>
      </w:r>
    </w:p>
    <w:p w14:paraId="475D7EC8" w14:textId="77777777" w:rsidR="00046BD5" w:rsidRPr="00DE108C" w:rsidRDefault="00046BD5" w:rsidP="00ED094E">
      <w:pPr>
        <w:pStyle w:val="Caption"/>
      </w:pPr>
      <w:bookmarkStart w:id="788" w:name="_Toc190878415"/>
      <w:bookmarkStart w:id="789" w:name="_Toc207893069"/>
      <w:bookmarkStart w:id="790" w:name="_Toc208490593"/>
      <w:bookmarkStart w:id="791" w:name="_Toc208490931"/>
      <w:bookmarkStart w:id="792" w:name="_Toc208911089"/>
      <w:bookmarkStart w:id="793" w:name="_Toc210051395"/>
      <w:r w:rsidRPr="001164EE">
        <w:t>Table 7.19: Total prescribed opex over PS26 ($</w:t>
      </w:r>
      <w:bookmarkEnd w:id="788"/>
      <w:r w:rsidRPr="001164EE">
        <w:t>millions, real 2025-26)</w:t>
      </w:r>
      <w:bookmarkEnd w:id="789"/>
      <w:bookmarkEnd w:id="790"/>
      <w:bookmarkEnd w:id="791"/>
      <w:bookmarkEnd w:id="792"/>
      <w:bookmarkEnd w:id="793"/>
    </w:p>
    <w:tbl>
      <w:tblPr>
        <w:tblStyle w:val="MWTableGrid"/>
        <w:tblW w:w="5000" w:type="pct"/>
        <w:tblLook w:val="0420" w:firstRow="1" w:lastRow="0" w:firstColumn="0" w:lastColumn="0" w:noHBand="0" w:noVBand="1"/>
      </w:tblPr>
      <w:tblGrid>
        <w:gridCol w:w="2264"/>
        <w:gridCol w:w="1226"/>
        <w:gridCol w:w="1226"/>
        <w:gridCol w:w="1229"/>
        <w:gridCol w:w="1227"/>
        <w:gridCol w:w="1227"/>
        <w:gridCol w:w="1229"/>
      </w:tblGrid>
      <w:tr w:rsidR="00556A0D" w:rsidRPr="00C347E8" w14:paraId="5C8D57B0" w14:textId="3F2BCBEC" w:rsidTr="00A371A0">
        <w:trPr>
          <w:cnfStyle w:val="100000000000" w:firstRow="1" w:lastRow="0" w:firstColumn="0" w:lastColumn="0" w:oddVBand="0" w:evenVBand="0" w:oddHBand="0" w:evenHBand="0" w:firstRowFirstColumn="0" w:firstRowLastColumn="0" w:lastRowFirstColumn="0" w:lastRowLastColumn="0"/>
          <w:cantSplit/>
          <w:trHeight w:val="385"/>
        </w:trPr>
        <w:tc>
          <w:tcPr>
            <w:tcW w:w="1176" w:type="pct"/>
          </w:tcPr>
          <w:p w14:paraId="68D597E5" w14:textId="77777777" w:rsidR="00A371A0" w:rsidRPr="00A371A0" w:rsidRDefault="00A371A0">
            <w:pPr>
              <w:pStyle w:val="TableHeading"/>
              <w:rPr>
                <w:szCs w:val="16"/>
              </w:rPr>
            </w:pPr>
          </w:p>
        </w:tc>
        <w:tc>
          <w:tcPr>
            <w:tcW w:w="637" w:type="pct"/>
          </w:tcPr>
          <w:p w14:paraId="653129D8" w14:textId="77777777" w:rsidR="00A371A0" w:rsidRPr="00A371A0" w:rsidRDefault="00A371A0">
            <w:pPr>
              <w:pStyle w:val="TableHeading"/>
              <w:rPr>
                <w:szCs w:val="16"/>
              </w:rPr>
            </w:pPr>
            <w:r w:rsidRPr="00A371A0">
              <w:rPr>
                <w:szCs w:val="16"/>
              </w:rPr>
              <w:t>2026-27</w:t>
            </w:r>
          </w:p>
        </w:tc>
        <w:tc>
          <w:tcPr>
            <w:tcW w:w="637" w:type="pct"/>
          </w:tcPr>
          <w:p w14:paraId="2A1F34C3" w14:textId="77777777" w:rsidR="00A371A0" w:rsidRPr="00A371A0" w:rsidRDefault="00A371A0">
            <w:pPr>
              <w:pStyle w:val="TableHeading"/>
              <w:rPr>
                <w:szCs w:val="16"/>
              </w:rPr>
            </w:pPr>
            <w:r w:rsidRPr="00A371A0">
              <w:rPr>
                <w:szCs w:val="16"/>
              </w:rPr>
              <w:t>2027-28</w:t>
            </w:r>
          </w:p>
        </w:tc>
        <w:tc>
          <w:tcPr>
            <w:tcW w:w="638" w:type="pct"/>
          </w:tcPr>
          <w:p w14:paraId="0A37E8E5" w14:textId="77777777" w:rsidR="00A371A0" w:rsidRPr="00A371A0" w:rsidRDefault="00A371A0">
            <w:pPr>
              <w:pStyle w:val="TableHeading"/>
              <w:rPr>
                <w:szCs w:val="16"/>
              </w:rPr>
            </w:pPr>
            <w:r w:rsidRPr="00A371A0">
              <w:rPr>
                <w:szCs w:val="16"/>
              </w:rPr>
              <w:t>2028-29</w:t>
            </w:r>
          </w:p>
        </w:tc>
        <w:tc>
          <w:tcPr>
            <w:tcW w:w="637" w:type="pct"/>
          </w:tcPr>
          <w:p w14:paraId="1DEE5AAE" w14:textId="77777777" w:rsidR="00A371A0" w:rsidRPr="00A371A0" w:rsidRDefault="00A371A0">
            <w:pPr>
              <w:pStyle w:val="TableHeading"/>
              <w:rPr>
                <w:szCs w:val="16"/>
              </w:rPr>
            </w:pPr>
            <w:r w:rsidRPr="00A371A0">
              <w:rPr>
                <w:szCs w:val="16"/>
              </w:rPr>
              <w:t>2029-30</w:t>
            </w:r>
          </w:p>
        </w:tc>
        <w:tc>
          <w:tcPr>
            <w:tcW w:w="637" w:type="pct"/>
          </w:tcPr>
          <w:p w14:paraId="5C19959C" w14:textId="77777777" w:rsidR="00A371A0" w:rsidRPr="00A371A0" w:rsidRDefault="00A371A0">
            <w:pPr>
              <w:pStyle w:val="TableHeading"/>
              <w:rPr>
                <w:szCs w:val="16"/>
              </w:rPr>
            </w:pPr>
            <w:r w:rsidRPr="00A371A0">
              <w:rPr>
                <w:szCs w:val="16"/>
              </w:rPr>
              <w:t>2030-31</w:t>
            </w:r>
          </w:p>
        </w:tc>
        <w:tc>
          <w:tcPr>
            <w:tcW w:w="638" w:type="pct"/>
          </w:tcPr>
          <w:p w14:paraId="0E3AF561" w14:textId="1DFB24D7" w:rsidR="00A371A0" w:rsidRPr="00A371A0" w:rsidRDefault="00A371A0">
            <w:pPr>
              <w:pStyle w:val="TableHeading"/>
              <w:rPr>
                <w:szCs w:val="16"/>
              </w:rPr>
            </w:pPr>
            <w:r w:rsidRPr="00A371A0">
              <w:rPr>
                <w:szCs w:val="16"/>
              </w:rPr>
              <w:t>Total PS26</w:t>
            </w:r>
          </w:p>
        </w:tc>
      </w:tr>
      <w:tr w:rsidR="00A371A0" w:rsidRPr="00C347E8" w14:paraId="5926A913" w14:textId="185AE13B" w:rsidTr="00A371A0">
        <w:trPr>
          <w:cantSplit/>
          <w:trHeight w:val="49"/>
        </w:trPr>
        <w:tc>
          <w:tcPr>
            <w:tcW w:w="1176" w:type="pct"/>
          </w:tcPr>
          <w:p w14:paraId="3569E8DC" w14:textId="77777777" w:rsidR="00A371A0" w:rsidRPr="00A371A0" w:rsidRDefault="00A371A0" w:rsidP="00A371A0">
            <w:pPr>
              <w:pStyle w:val="TableText"/>
              <w:rPr>
                <w:szCs w:val="16"/>
              </w:rPr>
            </w:pPr>
            <w:r w:rsidRPr="00A371A0">
              <w:rPr>
                <w:szCs w:val="16"/>
              </w:rPr>
              <w:t>Recycled Water</w:t>
            </w:r>
          </w:p>
        </w:tc>
        <w:tc>
          <w:tcPr>
            <w:tcW w:w="637" w:type="pct"/>
            <w:vAlign w:val="center"/>
          </w:tcPr>
          <w:p w14:paraId="3B17054E" w14:textId="77777777" w:rsidR="00A371A0" w:rsidRPr="00A371A0" w:rsidRDefault="00A371A0" w:rsidP="00A371A0">
            <w:pPr>
              <w:pStyle w:val="TableText"/>
              <w:rPr>
                <w:szCs w:val="16"/>
              </w:rPr>
            </w:pPr>
            <w:r w:rsidRPr="00A371A0">
              <w:rPr>
                <w:rFonts w:cs="Arial"/>
                <w:color w:val="231F20"/>
                <w:szCs w:val="16"/>
              </w:rPr>
              <w:t xml:space="preserve"> 3.9 </w:t>
            </w:r>
          </w:p>
        </w:tc>
        <w:tc>
          <w:tcPr>
            <w:tcW w:w="637" w:type="pct"/>
            <w:vAlign w:val="center"/>
          </w:tcPr>
          <w:p w14:paraId="7D3362D0" w14:textId="77777777" w:rsidR="00A371A0" w:rsidRPr="00A371A0" w:rsidRDefault="00A371A0" w:rsidP="00A371A0">
            <w:pPr>
              <w:pStyle w:val="TableText"/>
              <w:rPr>
                <w:szCs w:val="16"/>
              </w:rPr>
            </w:pPr>
            <w:r w:rsidRPr="00A371A0">
              <w:rPr>
                <w:rFonts w:cs="Arial"/>
                <w:color w:val="231F20"/>
                <w:szCs w:val="16"/>
              </w:rPr>
              <w:t xml:space="preserve"> 4.0 </w:t>
            </w:r>
          </w:p>
        </w:tc>
        <w:tc>
          <w:tcPr>
            <w:tcW w:w="638" w:type="pct"/>
            <w:vAlign w:val="center"/>
          </w:tcPr>
          <w:p w14:paraId="3762D1D4" w14:textId="77777777" w:rsidR="00A371A0" w:rsidRPr="00A371A0" w:rsidRDefault="00A371A0" w:rsidP="00A371A0">
            <w:pPr>
              <w:pStyle w:val="TableText"/>
              <w:rPr>
                <w:szCs w:val="16"/>
              </w:rPr>
            </w:pPr>
            <w:r w:rsidRPr="00A371A0">
              <w:rPr>
                <w:rFonts w:cs="Arial"/>
                <w:color w:val="231F20"/>
                <w:szCs w:val="16"/>
              </w:rPr>
              <w:t xml:space="preserve"> 4.0 </w:t>
            </w:r>
          </w:p>
        </w:tc>
        <w:tc>
          <w:tcPr>
            <w:tcW w:w="637" w:type="pct"/>
            <w:vAlign w:val="center"/>
          </w:tcPr>
          <w:p w14:paraId="65188D0D" w14:textId="77777777" w:rsidR="00A371A0" w:rsidRPr="00A371A0" w:rsidRDefault="00A371A0" w:rsidP="00A371A0">
            <w:pPr>
              <w:pStyle w:val="TableText"/>
              <w:rPr>
                <w:szCs w:val="16"/>
              </w:rPr>
            </w:pPr>
            <w:r w:rsidRPr="00A371A0">
              <w:rPr>
                <w:rFonts w:cs="Arial"/>
                <w:color w:val="231F20"/>
                <w:szCs w:val="16"/>
              </w:rPr>
              <w:t xml:space="preserve"> 4.0 </w:t>
            </w:r>
          </w:p>
        </w:tc>
        <w:tc>
          <w:tcPr>
            <w:tcW w:w="637" w:type="pct"/>
            <w:vAlign w:val="center"/>
          </w:tcPr>
          <w:p w14:paraId="79E82028" w14:textId="77777777" w:rsidR="00A371A0" w:rsidRPr="00A371A0" w:rsidRDefault="00A371A0" w:rsidP="00A371A0">
            <w:pPr>
              <w:pStyle w:val="TableText"/>
              <w:rPr>
                <w:szCs w:val="16"/>
              </w:rPr>
            </w:pPr>
            <w:r w:rsidRPr="00A371A0">
              <w:rPr>
                <w:rFonts w:cs="Arial"/>
                <w:color w:val="231F20"/>
                <w:szCs w:val="16"/>
              </w:rPr>
              <w:t xml:space="preserve"> 3.9 </w:t>
            </w:r>
          </w:p>
        </w:tc>
        <w:tc>
          <w:tcPr>
            <w:tcW w:w="638" w:type="pct"/>
            <w:vAlign w:val="center"/>
          </w:tcPr>
          <w:p w14:paraId="717F4BCE" w14:textId="3ABDEAC8" w:rsidR="00A371A0" w:rsidRPr="00A371A0" w:rsidRDefault="00A371A0" w:rsidP="00A371A0">
            <w:pPr>
              <w:pStyle w:val="TableText"/>
              <w:rPr>
                <w:rFonts w:cs="Arial"/>
                <w:b/>
                <w:color w:val="231F20"/>
                <w:szCs w:val="16"/>
              </w:rPr>
            </w:pPr>
            <w:r w:rsidRPr="00A371A0">
              <w:rPr>
                <w:rFonts w:cs="Arial"/>
                <w:b/>
                <w:bCs/>
                <w:color w:val="231F20"/>
                <w:szCs w:val="16"/>
              </w:rPr>
              <w:t xml:space="preserve"> 19.8 </w:t>
            </w:r>
          </w:p>
        </w:tc>
      </w:tr>
      <w:tr w:rsidR="00A043F7" w:rsidRPr="00C347E8" w14:paraId="009F2E60" w14:textId="5A68B56F" w:rsidTr="00A371A0">
        <w:trPr>
          <w:cnfStyle w:val="000000010000" w:firstRow="0" w:lastRow="0" w:firstColumn="0" w:lastColumn="0" w:oddVBand="0" w:evenVBand="0" w:oddHBand="0" w:evenHBand="1" w:firstRowFirstColumn="0" w:firstRowLastColumn="0" w:lastRowFirstColumn="0" w:lastRowLastColumn="0"/>
          <w:cantSplit/>
          <w:trHeight w:val="368"/>
        </w:trPr>
        <w:tc>
          <w:tcPr>
            <w:tcW w:w="1176" w:type="pct"/>
          </w:tcPr>
          <w:p w14:paraId="3B311233" w14:textId="77777777" w:rsidR="00A371A0" w:rsidRPr="00A371A0" w:rsidRDefault="00A371A0" w:rsidP="00A371A0">
            <w:pPr>
              <w:pStyle w:val="TableText"/>
              <w:rPr>
                <w:szCs w:val="16"/>
              </w:rPr>
            </w:pPr>
            <w:r w:rsidRPr="00A371A0">
              <w:rPr>
                <w:szCs w:val="16"/>
              </w:rPr>
              <w:t>Sewerage</w:t>
            </w:r>
          </w:p>
        </w:tc>
        <w:tc>
          <w:tcPr>
            <w:tcW w:w="637" w:type="pct"/>
            <w:vAlign w:val="center"/>
          </w:tcPr>
          <w:p w14:paraId="6493EF43" w14:textId="40C711A7" w:rsidR="00A371A0" w:rsidRPr="00A371A0" w:rsidRDefault="00A371A0" w:rsidP="00A371A0">
            <w:pPr>
              <w:pStyle w:val="TableText"/>
              <w:rPr>
                <w:szCs w:val="16"/>
              </w:rPr>
            </w:pPr>
            <w:r w:rsidRPr="00A371A0">
              <w:rPr>
                <w:rFonts w:cs="Arial"/>
                <w:color w:val="231F20"/>
                <w:szCs w:val="16"/>
              </w:rPr>
              <w:t xml:space="preserve"> 213.1 </w:t>
            </w:r>
          </w:p>
        </w:tc>
        <w:tc>
          <w:tcPr>
            <w:tcW w:w="637" w:type="pct"/>
            <w:vAlign w:val="center"/>
          </w:tcPr>
          <w:p w14:paraId="1A4EDB26" w14:textId="195B0D25" w:rsidR="00A371A0" w:rsidRPr="00A371A0" w:rsidRDefault="00A371A0" w:rsidP="00A371A0">
            <w:pPr>
              <w:pStyle w:val="TableText"/>
              <w:rPr>
                <w:szCs w:val="16"/>
              </w:rPr>
            </w:pPr>
            <w:r w:rsidRPr="00A371A0">
              <w:rPr>
                <w:rFonts w:cs="Arial"/>
                <w:color w:val="231F20"/>
                <w:szCs w:val="16"/>
              </w:rPr>
              <w:t xml:space="preserve"> 214.8 </w:t>
            </w:r>
          </w:p>
        </w:tc>
        <w:tc>
          <w:tcPr>
            <w:tcW w:w="638" w:type="pct"/>
            <w:vAlign w:val="center"/>
          </w:tcPr>
          <w:p w14:paraId="5E39F34E" w14:textId="7A2083C8" w:rsidR="00A371A0" w:rsidRPr="00A371A0" w:rsidRDefault="00A371A0" w:rsidP="00A371A0">
            <w:pPr>
              <w:pStyle w:val="TableText"/>
              <w:rPr>
                <w:szCs w:val="16"/>
              </w:rPr>
            </w:pPr>
            <w:r w:rsidRPr="00A371A0">
              <w:rPr>
                <w:rFonts w:cs="Arial"/>
                <w:color w:val="231F20"/>
                <w:szCs w:val="16"/>
              </w:rPr>
              <w:t xml:space="preserve"> 222.4 </w:t>
            </w:r>
          </w:p>
        </w:tc>
        <w:tc>
          <w:tcPr>
            <w:tcW w:w="637" w:type="pct"/>
            <w:vAlign w:val="center"/>
          </w:tcPr>
          <w:p w14:paraId="7037E182" w14:textId="7A8A4BAB" w:rsidR="00A371A0" w:rsidRPr="00A371A0" w:rsidRDefault="00A371A0" w:rsidP="00A371A0">
            <w:pPr>
              <w:pStyle w:val="TableText"/>
              <w:rPr>
                <w:szCs w:val="16"/>
              </w:rPr>
            </w:pPr>
            <w:r w:rsidRPr="00A371A0">
              <w:rPr>
                <w:rFonts w:cs="Arial"/>
                <w:color w:val="231F20"/>
                <w:szCs w:val="16"/>
              </w:rPr>
              <w:t xml:space="preserve"> 227.1 </w:t>
            </w:r>
          </w:p>
        </w:tc>
        <w:tc>
          <w:tcPr>
            <w:tcW w:w="637" w:type="pct"/>
            <w:vAlign w:val="center"/>
          </w:tcPr>
          <w:p w14:paraId="2AD320D4" w14:textId="76B5FD6A" w:rsidR="00A371A0" w:rsidRPr="00A371A0" w:rsidRDefault="00A371A0" w:rsidP="00A371A0">
            <w:pPr>
              <w:pStyle w:val="TableText"/>
              <w:rPr>
                <w:szCs w:val="16"/>
              </w:rPr>
            </w:pPr>
            <w:r w:rsidRPr="00A371A0">
              <w:rPr>
                <w:rFonts w:cs="Arial"/>
                <w:color w:val="231F20"/>
                <w:szCs w:val="16"/>
              </w:rPr>
              <w:t xml:space="preserve"> 228.1 </w:t>
            </w:r>
          </w:p>
        </w:tc>
        <w:tc>
          <w:tcPr>
            <w:tcW w:w="638" w:type="pct"/>
            <w:vAlign w:val="center"/>
          </w:tcPr>
          <w:p w14:paraId="7E0555E3" w14:textId="3EC7BE73" w:rsidR="00A371A0" w:rsidRPr="00A371A0" w:rsidRDefault="00A371A0" w:rsidP="00A371A0">
            <w:pPr>
              <w:pStyle w:val="TableText"/>
              <w:rPr>
                <w:rFonts w:cs="Arial"/>
                <w:b/>
                <w:color w:val="231F20"/>
                <w:szCs w:val="16"/>
              </w:rPr>
            </w:pPr>
            <w:r w:rsidRPr="00A371A0">
              <w:rPr>
                <w:rFonts w:cs="Arial"/>
                <w:b/>
                <w:bCs/>
                <w:color w:val="231F20"/>
                <w:szCs w:val="16"/>
              </w:rPr>
              <w:t xml:space="preserve"> 1,105.5 </w:t>
            </w:r>
          </w:p>
        </w:tc>
      </w:tr>
      <w:tr w:rsidR="00A371A0" w:rsidRPr="00C347E8" w14:paraId="6A5C8943" w14:textId="060DA056" w:rsidTr="00A371A0">
        <w:trPr>
          <w:cantSplit/>
          <w:trHeight w:val="385"/>
        </w:trPr>
        <w:tc>
          <w:tcPr>
            <w:tcW w:w="1176" w:type="pct"/>
          </w:tcPr>
          <w:p w14:paraId="75C2C5AE" w14:textId="77777777" w:rsidR="00A371A0" w:rsidRPr="00A371A0" w:rsidRDefault="00A371A0" w:rsidP="00A371A0">
            <w:pPr>
              <w:pStyle w:val="TableText"/>
              <w:rPr>
                <w:szCs w:val="16"/>
              </w:rPr>
            </w:pPr>
            <w:r w:rsidRPr="00A371A0">
              <w:rPr>
                <w:szCs w:val="16"/>
              </w:rPr>
              <w:t>Water</w:t>
            </w:r>
          </w:p>
        </w:tc>
        <w:tc>
          <w:tcPr>
            <w:tcW w:w="637" w:type="pct"/>
            <w:vAlign w:val="center"/>
          </w:tcPr>
          <w:p w14:paraId="4C2695E1" w14:textId="77777777" w:rsidR="00A371A0" w:rsidRPr="00A371A0" w:rsidRDefault="00A371A0" w:rsidP="00A371A0">
            <w:pPr>
              <w:pStyle w:val="TableText"/>
              <w:rPr>
                <w:szCs w:val="16"/>
              </w:rPr>
            </w:pPr>
            <w:r w:rsidRPr="00A371A0">
              <w:rPr>
                <w:rFonts w:cs="Arial"/>
                <w:color w:val="231F20"/>
                <w:szCs w:val="16"/>
              </w:rPr>
              <w:t xml:space="preserve"> 696.2 </w:t>
            </w:r>
          </w:p>
        </w:tc>
        <w:tc>
          <w:tcPr>
            <w:tcW w:w="637" w:type="pct"/>
            <w:vAlign w:val="center"/>
          </w:tcPr>
          <w:p w14:paraId="7F50ACE1" w14:textId="77777777" w:rsidR="00A371A0" w:rsidRPr="00A371A0" w:rsidRDefault="00A371A0" w:rsidP="00A371A0">
            <w:pPr>
              <w:pStyle w:val="TableText"/>
              <w:rPr>
                <w:szCs w:val="16"/>
              </w:rPr>
            </w:pPr>
            <w:r w:rsidRPr="00A371A0">
              <w:rPr>
                <w:rFonts w:cs="Arial"/>
                <w:color w:val="231F20"/>
                <w:szCs w:val="16"/>
              </w:rPr>
              <w:t xml:space="preserve"> 686.0 </w:t>
            </w:r>
          </w:p>
        </w:tc>
        <w:tc>
          <w:tcPr>
            <w:tcW w:w="638" w:type="pct"/>
            <w:vAlign w:val="center"/>
          </w:tcPr>
          <w:p w14:paraId="55053344" w14:textId="77777777" w:rsidR="00A371A0" w:rsidRPr="00A371A0" w:rsidRDefault="00A371A0" w:rsidP="00A371A0">
            <w:pPr>
              <w:pStyle w:val="TableText"/>
              <w:rPr>
                <w:szCs w:val="16"/>
              </w:rPr>
            </w:pPr>
            <w:r w:rsidRPr="00A371A0">
              <w:rPr>
                <w:rFonts w:cs="Arial"/>
                <w:color w:val="231F20"/>
                <w:szCs w:val="16"/>
              </w:rPr>
              <w:t xml:space="preserve"> 683.0 </w:t>
            </w:r>
          </w:p>
        </w:tc>
        <w:tc>
          <w:tcPr>
            <w:tcW w:w="637" w:type="pct"/>
            <w:vAlign w:val="center"/>
          </w:tcPr>
          <w:p w14:paraId="438C9789" w14:textId="1E5EC0E3" w:rsidR="00A371A0" w:rsidRPr="00A371A0" w:rsidRDefault="00A371A0" w:rsidP="00A371A0">
            <w:pPr>
              <w:pStyle w:val="TableText"/>
              <w:rPr>
                <w:szCs w:val="16"/>
              </w:rPr>
            </w:pPr>
            <w:r w:rsidRPr="00A371A0">
              <w:rPr>
                <w:rFonts w:cs="Arial"/>
                <w:color w:val="231F20"/>
                <w:szCs w:val="16"/>
              </w:rPr>
              <w:t xml:space="preserve"> 661.5 </w:t>
            </w:r>
          </w:p>
        </w:tc>
        <w:tc>
          <w:tcPr>
            <w:tcW w:w="637" w:type="pct"/>
            <w:vAlign w:val="center"/>
          </w:tcPr>
          <w:p w14:paraId="039E48D3" w14:textId="77777777" w:rsidR="00A371A0" w:rsidRPr="00A371A0" w:rsidRDefault="00A371A0" w:rsidP="00A371A0">
            <w:pPr>
              <w:pStyle w:val="TableText"/>
              <w:rPr>
                <w:szCs w:val="16"/>
              </w:rPr>
            </w:pPr>
            <w:r w:rsidRPr="00A371A0">
              <w:rPr>
                <w:rFonts w:cs="Arial"/>
                <w:color w:val="231F20"/>
                <w:szCs w:val="16"/>
              </w:rPr>
              <w:t xml:space="preserve"> 640.7 </w:t>
            </w:r>
          </w:p>
        </w:tc>
        <w:tc>
          <w:tcPr>
            <w:tcW w:w="638" w:type="pct"/>
            <w:vAlign w:val="center"/>
          </w:tcPr>
          <w:p w14:paraId="53CCC3C1" w14:textId="768F4C6E" w:rsidR="00A371A0" w:rsidRPr="00A371A0" w:rsidRDefault="00A371A0" w:rsidP="00A371A0">
            <w:pPr>
              <w:pStyle w:val="TableText"/>
              <w:rPr>
                <w:rFonts w:cs="Arial"/>
                <w:b/>
                <w:color w:val="231F20"/>
                <w:szCs w:val="16"/>
              </w:rPr>
            </w:pPr>
            <w:r w:rsidRPr="00A371A0">
              <w:rPr>
                <w:rFonts w:cs="Arial"/>
                <w:b/>
                <w:bCs/>
                <w:color w:val="231F20"/>
                <w:szCs w:val="16"/>
              </w:rPr>
              <w:t xml:space="preserve"> 3,367.5 </w:t>
            </w:r>
          </w:p>
        </w:tc>
      </w:tr>
      <w:tr w:rsidR="00A043F7" w:rsidRPr="00C347E8" w14:paraId="14427EBC" w14:textId="5F73108C" w:rsidTr="00A371A0">
        <w:trPr>
          <w:cnfStyle w:val="000000010000" w:firstRow="0" w:lastRow="0" w:firstColumn="0" w:lastColumn="0" w:oddVBand="0" w:evenVBand="0" w:oddHBand="0" w:evenHBand="1" w:firstRowFirstColumn="0" w:firstRowLastColumn="0" w:lastRowFirstColumn="0" w:lastRowLastColumn="0"/>
          <w:cantSplit/>
          <w:trHeight w:val="49"/>
        </w:trPr>
        <w:tc>
          <w:tcPr>
            <w:tcW w:w="1176" w:type="pct"/>
          </w:tcPr>
          <w:p w14:paraId="7B0ABB88" w14:textId="77777777" w:rsidR="00A371A0" w:rsidRPr="00A371A0" w:rsidRDefault="00A371A0" w:rsidP="00A371A0">
            <w:pPr>
              <w:pStyle w:val="TableText"/>
              <w:rPr>
                <w:szCs w:val="16"/>
              </w:rPr>
            </w:pPr>
            <w:r w:rsidRPr="00A371A0">
              <w:rPr>
                <w:szCs w:val="16"/>
              </w:rPr>
              <w:t>Waterways and drainage</w:t>
            </w:r>
          </w:p>
        </w:tc>
        <w:tc>
          <w:tcPr>
            <w:tcW w:w="637" w:type="pct"/>
            <w:vAlign w:val="center"/>
          </w:tcPr>
          <w:p w14:paraId="65C95BB2" w14:textId="77777777" w:rsidR="00A371A0" w:rsidRPr="00A371A0" w:rsidRDefault="00A371A0" w:rsidP="00A371A0">
            <w:pPr>
              <w:pStyle w:val="TableText"/>
              <w:rPr>
                <w:szCs w:val="16"/>
              </w:rPr>
            </w:pPr>
            <w:r w:rsidRPr="00A371A0">
              <w:rPr>
                <w:rFonts w:cs="Arial"/>
                <w:color w:val="231F20"/>
                <w:szCs w:val="16"/>
              </w:rPr>
              <w:t xml:space="preserve"> 201.8 </w:t>
            </w:r>
          </w:p>
        </w:tc>
        <w:tc>
          <w:tcPr>
            <w:tcW w:w="637" w:type="pct"/>
            <w:vAlign w:val="center"/>
          </w:tcPr>
          <w:p w14:paraId="78CFAF46" w14:textId="77777777" w:rsidR="00A371A0" w:rsidRPr="00A371A0" w:rsidRDefault="00A371A0" w:rsidP="00A371A0">
            <w:pPr>
              <w:pStyle w:val="TableText"/>
              <w:rPr>
                <w:szCs w:val="16"/>
              </w:rPr>
            </w:pPr>
            <w:r w:rsidRPr="00A371A0">
              <w:rPr>
                <w:rFonts w:cs="Arial"/>
                <w:color w:val="231F20"/>
                <w:szCs w:val="16"/>
              </w:rPr>
              <w:t xml:space="preserve"> 203.8 </w:t>
            </w:r>
          </w:p>
        </w:tc>
        <w:tc>
          <w:tcPr>
            <w:tcW w:w="638" w:type="pct"/>
            <w:vAlign w:val="center"/>
          </w:tcPr>
          <w:p w14:paraId="52841B0C" w14:textId="77777777" w:rsidR="00A371A0" w:rsidRPr="00A371A0" w:rsidRDefault="00A371A0" w:rsidP="00A371A0">
            <w:pPr>
              <w:pStyle w:val="TableText"/>
              <w:rPr>
                <w:szCs w:val="16"/>
              </w:rPr>
            </w:pPr>
            <w:r w:rsidRPr="00A371A0">
              <w:rPr>
                <w:rFonts w:cs="Arial"/>
                <w:color w:val="231F20"/>
                <w:szCs w:val="16"/>
              </w:rPr>
              <w:t xml:space="preserve"> 205.1 </w:t>
            </w:r>
          </w:p>
        </w:tc>
        <w:tc>
          <w:tcPr>
            <w:tcW w:w="637" w:type="pct"/>
            <w:vAlign w:val="center"/>
          </w:tcPr>
          <w:p w14:paraId="310E76B3" w14:textId="776A6A83" w:rsidR="00A371A0" w:rsidRPr="00A371A0" w:rsidRDefault="00A371A0" w:rsidP="00A371A0">
            <w:pPr>
              <w:pStyle w:val="TableText"/>
              <w:rPr>
                <w:szCs w:val="16"/>
              </w:rPr>
            </w:pPr>
            <w:r w:rsidRPr="00A371A0">
              <w:rPr>
                <w:rFonts w:cs="Arial"/>
                <w:color w:val="231F20"/>
                <w:szCs w:val="16"/>
              </w:rPr>
              <w:t xml:space="preserve"> 204.2 </w:t>
            </w:r>
          </w:p>
        </w:tc>
        <w:tc>
          <w:tcPr>
            <w:tcW w:w="637" w:type="pct"/>
            <w:vAlign w:val="center"/>
          </w:tcPr>
          <w:p w14:paraId="12EC749E" w14:textId="77777777" w:rsidR="00A371A0" w:rsidRPr="00A371A0" w:rsidRDefault="00A371A0" w:rsidP="00A371A0">
            <w:pPr>
              <w:pStyle w:val="TableText"/>
              <w:rPr>
                <w:szCs w:val="16"/>
              </w:rPr>
            </w:pPr>
            <w:r w:rsidRPr="00A371A0">
              <w:rPr>
                <w:rFonts w:cs="Arial"/>
                <w:color w:val="231F20"/>
                <w:szCs w:val="16"/>
              </w:rPr>
              <w:t xml:space="preserve"> 204.2 </w:t>
            </w:r>
          </w:p>
        </w:tc>
        <w:tc>
          <w:tcPr>
            <w:tcW w:w="638" w:type="pct"/>
            <w:vAlign w:val="center"/>
          </w:tcPr>
          <w:p w14:paraId="5C4EC4FE" w14:textId="6115C98A" w:rsidR="00A371A0" w:rsidRPr="00A371A0" w:rsidRDefault="00A371A0" w:rsidP="00A371A0">
            <w:pPr>
              <w:pStyle w:val="TableText"/>
              <w:rPr>
                <w:rFonts w:cs="Arial"/>
                <w:b/>
                <w:color w:val="231F20"/>
                <w:szCs w:val="16"/>
              </w:rPr>
            </w:pPr>
            <w:r w:rsidRPr="00A371A0">
              <w:rPr>
                <w:rFonts w:cs="Arial"/>
                <w:b/>
                <w:bCs/>
                <w:color w:val="231F20"/>
                <w:szCs w:val="16"/>
              </w:rPr>
              <w:t xml:space="preserve"> 1,019.2 </w:t>
            </w:r>
          </w:p>
        </w:tc>
      </w:tr>
      <w:tr w:rsidR="00A371A0" w:rsidRPr="00C347E8" w14:paraId="4F60D029" w14:textId="4566527D" w:rsidTr="00A371A0">
        <w:trPr>
          <w:cantSplit/>
          <w:trHeight w:val="279"/>
        </w:trPr>
        <w:tc>
          <w:tcPr>
            <w:tcW w:w="1176" w:type="pct"/>
          </w:tcPr>
          <w:p w14:paraId="5604A1A7" w14:textId="77777777" w:rsidR="00A371A0" w:rsidRPr="00A371A0" w:rsidRDefault="00A371A0" w:rsidP="00A371A0">
            <w:pPr>
              <w:pStyle w:val="TableText"/>
              <w:rPr>
                <w:b/>
                <w:szCs w:val="16"/>
              </w:rPr>
            </w:pPr>
            <w:r w:rsidRPr="00A371A0">
              <w:rPr>
                <w:b/>
                <w:szCs w:val="16"/>
              </w:rPr>
              <w:t>Total prescribed opex</w:t>
            </w:r>
          </w:p>
        </w:tc>
        <w:tc>
          <w:tcPr>
            <w:tcW w:w="637" w:type="pct"/>
            <w:vAlign w:val="center"/>
          </w:tcPr>
          <w:p w14:paraId="0ABA55B8" w14:textId="3A201924" w:rsidR="00A371A0" w:rsidRPr="00A371A0" w:rsidRDefault="00A371A0" w:rsidP="00A371A0">
            <w:pPr>
              <w:pStyle w:val="TableText"/>
              <w:rPr>
                <w:b/>
                <w:bCs/>
                <w:szCs w:val="16"/>
              </w:rPr>
            </w:pPr>
            <w:r w:rsidRPr="00A371A0">
              <w:rPr>
                <w:rFonts w:cs="Arial"/>
                <w:b/>
                <w:bCs/>
                <w:color w:val="231F20"/>
                <w:szCs w:val="16"/>
              </w:rPr>
              <w:t xml:space="preserve"> 1,115.1 </w:t>
            </w:r>
          </w:p>
        </w:tc>
        <w:tc>
          <w:tcPr>
            <w:tcW w:w="637" w:type="pct"/>
            <w:vAlign w:val="center"/>
          </w:tcPr>
          <w:p w14:paraId="2977235A" w14:textId="24341E75" w:rsidR="00A371A0" w:rsidRPr="00A371A0" w:rsidRDefault="00A371A0" w:rsidP="00A371A0">
            <w:pPr>
              <w:pStyle w:val="TableText"/>
              <w:rPr>
                <w:b/>
                <w:bCs/>
                <w:szCs w:val="16"/>
              </w:rPr>
            </w:pPr>
            <w:r w:rsidRPr="00A371A0">
              <w:rPr>
                <w:rFonts w:cs="Arial"/>
                <w:b/>
                <w:bCs/>
                <w:color w:val="231F20"/>
                <w:szCs w:val="16"/>
              </w:rPr>
              <w:t xml:space="preserve"> 1,108.6 </w:t>
            </w:r>
          </w:p>
        </w:tc>
        <w:tc>
          <w:tcPr>
            <w:tcW w:w="638" w:type="pct"/>
            <w:vAlign w:val="center"/>
          </w:tcPr>
          <w:p w14:paraId="5A93ED50" w14:textId="3D34D282" w:rsidR="00A371A0" w:rsidRPr="00A371A0" w:rsidRDefault="00A371A0" w:rsidP="00A371A0">
            <w:pPr>
              <w:pStyle w:val="TableText"/>
              <w:rPr>
                <w:b/>
                <w:bCs/>
                <w:szCs w:val="16"/>
              </w:rPr>
            </w:pPr>
            <w:r w:rsidRPr="00A371A0">
              <w:rPr>
                <w:rFonts w:cs="Arial"/>
                <w:b/>
                <w:bCs/>
                <w:color w:val="231F20"/>
                <w:szCs w:val="16"/>
              </w:rPr>
              <w:t xml:space="preserve"> 1,114.5 </w:t>
            </w:r>
          </w:p>
        </w:tc>
        <w:tc>
          <w:tcPr>
            <w:tcW w:w="637" w:type="pct"/>
            <w:vAlign w:val="center"/>
          </w:tcPr>
          <w:p w14:paraId="78040A0C" w14:textId="7D9324FC" w:rsidR="00A371A0" w:rsidRPr="00A371A0" w:rsidRDefault="00A371A0" w:rsidP="00A371A0">
            <w:pPr>
              <w:pStyle w:val="TableText"/>
              <w:rPr>
                <w:b/>
                <w:bCs/>
                <w:szCs w:val="16"/>
              </w:rPr>
            </w:pPr>
            <w:r w:rsidRPr="00A371A0">
              <w:rPr>
                <w:rFonts w:cs="Arial"/>
                <w:b/>
                <w:bCs/>
                <w:color w:val="231F20"/>
                <w:szCs w:val="16"/>
              </w:rPr>
              <w:t xml:space="preserve"> 1,096.8 </w:t>
            </w:r>
          </w:p>
        </w:tc>
        <w:tc>
          <w:tcPr>
            <w:tcW w:w="637" w:type="pct"/>
            <w:vAlign w:val="center"/>
          </w:tcPr>
          <w:p w14:paraId="4E027574" w14:textId="185A9885" w:rsidR="00A371A0" w:rsidRPr="00A371A0" w:rsidRDefault="00A371A0" w:rsidP="00A371A0">
            <w:pPr>
              <w:pStyle w:val="TableText"/>
              <w:rPr>
                <w:b/>
                <w:bCs/>
                <w:szCs w:val="16"/>
              </w:rPr>
            </w:pPr>
            <w:r w:rsidRPr="00A371A0">
              <w:rPr>
                <w:rFonts w:cs="Arial"/>
                <w:b/>
                <w:bCs/>
                <w:color w:val="231F20"/>
                <w:szCs w:val="16"/>
              </w:rPr>
              <w:t xml:space="preserve"> 1,077.0 </w:t>
            </w:r>
          </w:p>
        </w:tc>
        <w:tc>
          <w:tcPr>
            <w:tcW w:w="638" w:type="pct"/>
            <w:vAlign w:val="center"/>
          </w:tcPr>
          <w:p w14:paraId="017761E0" w14:textId="6699F6A3" w:rsidR="00A371A0" w:rsidRPr="00A371A0" w:rsidRDefault="00A371A0" w:rsidP="00A371A0">
            <w:pPr>
              <w:pStyle w:val="TableText"/>
              <w:rPr>
                <w:rFonts w:cs="Arial"/>
                <w:b/>
                <w:color w:val="231F20"/>
                <w:szCs w:val="16"/>
              </w:rPr>
            </w:pPr>
            <w:r w:rsidRPr="00A371A0">
              <w:rPr>
                <w:rFonts w:cs="Arial"/>
                <w:b/>
                <w:bCs/>
                <w:color w:val="231F20"/>
                <w:szCs w:val="16"/>
              </w:rPr>
              <w:t xml:space="preserve"> 5,511.9 </w:t>
            </w:r>
          </w:p>
        </w:tc>
      </w:tr>
      <w:bookmarkEnd w:id="787"/>
    </w:tbl>
    <w:p w14:paraId="501E99BF" w14:textId="77777777" w:rsidR="00046BD5" w:rsidRPr="00DE108C" w:rsidRDefault="00046BD5" w:rsidP="00ED094E"/>
    <w:p w14:paraId="40FD20F5" w14:textId="77777777" w:rsidR="00046BD5" w:rsidRPr="00DE108C" w:rsidRDefault="00046BD5" w:rsidP="00ED094E">
      <w:r w:rsidRPr="00DE108C">
        <w:br w:type="page"/>
      </w:r>
    </w:p>
    <w:bookmarkStart w:id="794" w:name="_Toc190876166"/>
    <w:bookmarkStart w:id="795" w:name="_Toc196745265"/>
    <w:bookmarkStart w:id="796" w:name="_Toc199757804"/>
    <w:bookmarkStart w:id="797" w:name="_Toc207892915"/>
    <w:bookmarkStart w:id="798" w:name="_Toc207853408"/>
    <w:bookmarkStart w:id="799" w:name="_Toc210229041"/>
    <w:p w14:paraId="49E63869" w14:textId="3D47EBBA" w:rsidR="00046BD5" w:rsidRPr="00DE108C" w:rsidRDefault="005D47BE">
      <w:pPr>
        <w:pStyle w:val="Heading1"/>
        <w:rPr>
          <w:b w:val="0"/>
          <w:sz w:val="76"/>
          <w:szCs w:val="76"/>
        </w:rPr>
      </w:pPr>
      <w:r>
        <w:rPr>
          <w:noProof/>
        </w:rPr>
        <w:lastRenderedPageBreak/>
        <mc:AlternateContent>
          <mc:Choice Requires="wps">
            <w:drawing>
              <wp:anchor distT="45720" distB="45720" distL="114300" distR="114300" simplePos="0" relativeHeight="251658271" behindDoc="0" locked="0" layoutInCell="1" allowOverlap="1" wp14:anchorId="5C00B4D8" wp14:editId="2B2C2028">
                <wp:simplePos x="0" y="0"/>
                <wp:positionH relativeFrom="margin">
                  <wp:posOffset>0</wp:posOffset>
                </wp:positionH>
                <wp:positionV relativeFrom="margin">
                  <wp:posOffset>0</wp:posOffset>
                </wp:positionV>
                <wp:extent cx="4122000" cy="907200"/>
                <wp:effectExtent l="0" t="0" r="0" b="0"/>
                <wp:wrapSquare wrapText="bothSides"/>
                <wp:docPr id="1296167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000" cy="907200"/>
                        </a:xfrm>
                        <a:prstGeom prst="rect">
                          <a:avLst/>
                        </a:prstGeom>
                        <a:noFill/>
                        <a:ln w="9525">
                          <a:noFill/>
                          <a:miter lim="800000"/>
                          <a:headEnd/>
                          <a:tailEnd/>
                        </a:ln>
                      </wps:spPr>
                      <wps:txbx>
                        <w:txbxContent>
                          <w:p w14:paraId="332862E6" w14:textId="4E479501" w:rsidR="005D47BE" w:rsidRPr="00FA4200" w:rsidRDefault="005D47BE" w:rsidP="005D47BE">
                            <w:pPr>
                              <w:rPr>
                                <w:color w:val="FFFFFF" w:themeColor="background1"/>
                                <w:sz w:val="80"/>
                                <w:szCs w:val="80"/>
                              </w:rPr>
                            </w:pPr>
                            <w:r>
                              <w:rPr>
                                <w:color w:val="FFFFFF" w:themeColor="background1"/>
                                <w:sz w:val="80"/>
                                <w:szCs w:val="80"/>
                              </w:rPr>
                              <w:t>Asset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0B4D8" id="_x0000_s1050" type="#_x0000_t202" style="position:absolute;margin-left:0;margin-top:0;width:324.55pt;height:71.45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" filled="f" stroked="f">
                <v:textbox>
                  <w:txbxContent>
                    <w:p w14:paraId="332862E6" w14:textId="4E479501" w:rsidR="005D47BE" w:rsidRPr="00FA4200" w:rsidRDefault="005D47BE" w:rsidP="005D47BE">
                      <w:pPr>
                        <w:rPr>
                          <w:color w:val="FFFFFF" w:themeColor="background1"/>
                          <w:sz w:val="80"/>
                          <w:szCs w:val="80"/>
                        </w:rPr>
                      </w:pPr>
                      <w:r>
                        <w:rPr>
                          <w:color w:val="FFFFFF" w:themeColor="background1"/>
                          <w:sz w:val="80"/>
                          <w:szCs w:val="80"/>
                        </w:rPr>
                        <w:t>Asset base</w:t>
                      </w:r>
                    </w:p>
                  </w:txbxContent>
                </v:textbox>
                <w10:wrap type="square" anchorx="margin" anchory="margin"/>
              </v:shape>
            </w:pict>
          </mc:Fallback>
        </mc:AlternateContent>
      </w:r>
      <w:r w:rsidR="004D527C" w:rsidRPr="00DE108C">
        <w:rPr>
          <w:b w:val="0"/>
          <w:bCs w:val="0"/>
          <w:noProof/>
          <w:color w:val="FFFFFF" w:themeColor="background1"/>
          <w:sz w:val="76"/>
          <w:szCs w:val="76"/>
        </w:rPr>
        <w:drawing>
          <wp:anchor distT="0" distB="0" distL="114300" distR="114300" simplePos="0" relativeHeight="251658264" behindDoc="0" locked="1" layoutInCell="1" allowOverlap="1" wp14:anchorId="6041E13C" wp14:editId="45721F4D">
            <wp:simplePos x="0" y="0"/>
            <wp:positionH relativeFrom="page">
              <wp:posOffset>0</wp:posOffset>
            </wp:positionH>
            <wp:positionV relativeFrom="page">
              <wp:posOffset>-113665</wp:posOffset>
            </wp:positionV>
            <wp:extent cx="7628255" cy="10781665"/>
            <wp:effectExtent l="0" t="0" r="0" b="635"/>
            <wp:wrapNone/>
            <wp:docPr id="60045633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56333" name="Picture 8">
                      <a:extLst>
                        <a:ext uri="{C183D7F6-B498-43B3-948B-1728B52AA6E4}">
                          <adec:decorative xmlns:adec="http://schemas.microsoft.com/office/drawing/2017/decorative" val="1"/>
                        </a:ext>
                      </a:extLst>
                    </pic:cNvPr>
                    <pic:cNvPicPr/>
                  </pic:nvPicPr>
                  <pic:blipFill>
                    <a:blip r:embed="rId103" cstate="email">
                      <a:extLst>
                        <a:ext uri="{28A0092B-C50C-407E-A947-70E740481C1C}">
                          <a14:useLocalDpi xmlns:a14="http://schemas.microsoft.com/office/drawing/2010/main"/>
                        </a:ext>
                      </a:extLst>
                    </a:blip>
                    <a:stretch>
                      <a:fillRect/>
                    </a:stretch>
                  </pic:blipFill>
                  <pic:spPr>
                    <a:xfrm>
                      <a:off x="0" y="0"/>
                      <a:ext cx="7628255" cy="10781665"/>
                    </a:xfrm>
                    <a:prstGeom prst="rect">
                      <a:avLst/>
                    </a:prstGeom>
                  </pic:spPr>
                </pic:pic>
              </a:graphicData>
            </a:graphic>
            <wp14:sizeRelH relativeFrom="page">
              <wp14:pctWidth>0</wp14:pctWidth>
            </wp14:sizeRelH>
            <wp14:sizeRelV relativeFrom="page">
              <wp14:pctHeight>0</wp14:pctHeight>
            </wp14:sizeRelV>
          </wp:anchor>
        </w:drawing>
      </w:r>
      <w:r w:rsidR="00046BD5" w:rsidRPr="00DE108C">
        <w:rPr>
          <w:b w:val="0"/>
          <w:color w:val="FFFFFF" w:themeColor="background1"/>
          <w:sz w:val="76"/>
          <w:szCs w:val="76"/>
        </w:rPr>
        <w:t>8. Asset base</w:t>
      </w:r>
      <w:bookmarkEnd w:id="794"/>
      <w:bookmarkEnd w:id="795"/>
      <w:bookmarkEnd w:id="796"/>
      <w:bookmarkEnd w:id="797"/>
      <w:bookmarkEnd w:id="798"/>
      <w:bookmarkEnd w:id="799"/>
    </w:p>
    <w:p w14:paraId="200EF315" w14:textId="77777777" w:rsidR="00046BD5" w:rsidRPr="00DE108C" w:rsidRDefault="00046BD5">
      <w:pPr>
        <w:spacing w:before="0" w:after="0"/>
      </w:pPr>
      <w:r w:rsidRPr="00DE108C">
        <w:br w:type="page"/>
      </w:r>
    </w:p>
    <w:p w14:paraId="7890256C" w14:textId="77777777" w:rsidR="00046BD5" w:rsidRPr="00DE108C" w:rsidRDefault="00046BD5" w:rsidP="00ED094E">
      <w:pPr>
        <w:pStyle w:val="HighlightBoxHeading"/>
      </w:pPr>
      <w:r w:rsidRPr="00DE108C">
        <w:lastRenderedPageBreak/>
        <w:t>In summary</w:t>
      </w:r>
    </w:p>
    <w:p w14:paraId="4CF8944C" w14:textId="7F4DFA1A" w:rsidR="00046BD5" w:rsidRPr="00DE108C" w:rsidRDefault="00046BD5" w:rsidP="00046BD5">
      <w:pPr>
        <w:pStyle w:val="HighlightBoxBullet"/>
        <w:spacing w:line="320" w:lineRule="atLeast"/>
      </w:pPr>
      <w:r w:rsidRPr="00DE108C">
        <w:t xml:space="preserve">The proposed closing value of the Regulatory Asset Base (RAB) on 30 June 2026 is </w:t>
      </w:r>
      <w:r w:rsidRPr="001164EE">
        <w:t>$15,73</w:t>
      </w:r>
      <w:r w:rsidR="003C7079" w:rsidRPr="001164EE">
        <w:t>3</w:t>
      </w:r>
      <w:r w:rsidRPr="00DE108C">
        <w:t xml:space="preserve"> million. </w:t>
      </w:r>
    </w:p>
    <w:p w14:paraId="775E0F62" w14:textId="7D4C6632" w:rsidR="00046BD5" w:rsidRPr="00DE108C" w:rsidRDefault="00046BD5" w:rsidP="00046BD5">
      <w:pPr>
        <w:pStyle w:val="HighlightBoxBullet"/>
        <w:spacing w:line="320" w:lineRule="atLeast"/>
      </w:pPr>
      <w:r w:rsidRPr="00DE108C">
        <w:t>We are expecting our RAB to grow by $</w:t>
      </w:r>
      <w:r w:rsidRPr="001164EE">
        <w:t>4,6</w:t>
      </w:r>
      <w:r w:rsidR="007B5E6F" w:rsidRPr="001164EE">
        <w:t>5</w:t>
      </w:r>
      <w:r w:rsidR="00F65FE4" w:rsidRPr="001164EE">
        <w:t>8</w:t>
      </w:r>
      <w:r w:rsidRPr="00DE108C">
        <w:t xml:space="preserve"> million over the 2026-31 regulatory period and close at </w:t>
      </w:r>
      <w:r w:rsidRPr="001164EE">
        <w:t>$20,39</w:t>
      </w:r>
      <w:r w:rsidR="005C413C" w:rsidRPr="001164EE">
        <w:t>1</w:t>
      </w:r>
      <w:r w:rsidRPr="00DE108C">
        <w:t xml:space="preserve"> million on 30 June 2031. </w:t>
      </w:r>
    </w:p>
    <w:p w14:paraId="6E811264" w14:textId="77777777" w:rsidR="00046BD5" w:rsidRPr="00DE108C" w:rsidRDefault="00046BD5" w:rsidP="00046BD5">
      <w:pPr>
        <w:pStyle w:val="HighlightBoxBullet"/>
        <w:spacing w:line="320" w:lineRule="atLeast"/>
      </w:pPr>
      <w:r w:rsidRPr="00DE108C">
        <w:t xml:space="preserve">Consistent with our overall ‘Standard’ PREMO rating, we are proposing a 4.1 per cent return on equity. </w:t>
      </w:r>
    </w:p>
    <w:p w14:paraId="68AB86D4" w14:textId="77777777" w:rsidR="00046BD5" w:rsidRPr="00DE108C" w:rsidRDefault="00046BD5">
      <w:pPr>
        <w:pStyle w:val="Heading2"/>
      </w:pPr>
      <w:bookmarkStart w:id="800" w:name="_Toc190876167"/>
      <w:bookmarkStart w:id="801" w:name="_Toc196745266"/>
      <w:bookmarkStart w:id="802" w:name="_Toc207892916"/>
      <w:bookmarkStart w:id="803" w:name="_Toc207853409"/>
      <w:r w:rsidRPr="00DE108C">
        <w:t xml:space="preserve">8.1 Opening value of RAB at 1 July </w:t>
      </w:r>
      <w:bookmarkEnd w:id="800"/>
      <w:r w:rsidRPr="00DE108C">
        <w:t>202</w:t>
      </w:r>
      <w:bookmarkEnd w:id="801"/>
      <w:r w:rsidRPr="00DE108C">
        <w:t>5</w:t>
      </w:r>
      <w:bookmarkEnd w:id="802"/>
      <w:bookmarkEnd w:id="803"/>
    </w:p>
    <w:p w14:paraId="176060A3" w14:textId="7E03CDC5" w:rsidR="00046BD5" w:rsidRPr="00DE108C" w:rsidRDefault="00046BD5">
      <w:pPr>
        <w:pStyle w:val="BodyText"/>
        <w:rPr>
          <w:sz w:val="22"/>
          <w:szCs w:val="22"/>
        </w:rPr>
      </w:pPr>
      <w:r w:rsidRPr="00DE108C">
        <w:t xml:space="preserve">The opening value of the RAB on 1 July 2025 has been calculated as shown in Table 8.1. </w:t>
      </w:r>
    </w:p>
    <w:p w14:paraId="67681D16" w14:textId="61FF9379" w:rsidR="00046BD5" w:rsidRPr="00DE108C" w:rsidRDefault="00046BD5" w:rsidP="00ED094E">
      <w:pPr>
        <w:pStyle w:val="Caption"/>
      </w:pPr>
      <w:bookmarkStart w:id="804" w:name="_Ref192600813"/>
      <w:bookmarkStart w:id="805" w:name="_Toc207893070"/>
      <w:bookmarkStart w:id="806" w:name="_Toc208490594"/>
      <w:bookmarkStart w:id="807" w:name="_Toc208490932"/>
      <w:bookmarkStart w:id="808" w:name="_Toc208911090"/>
      <w:bookmarkStart w:id="809" w:name="_Toc210051396"/>
      <w:r w:rsidRPr="001164EE">
        <w:t xml:space="preserve">Table </w:t>
      </w:r>
      <w:bookmarkEnd w:id="804"/>
      <w:r w:rsidRPr="001164EE">
        <w:t xml:space="preserve">8.1: </w:t>
      </w:r>
      <w:r w:rsidR="71BE58EF" w:rsidRPr="001164EE">
        <w:t>RAB</w:t>
      </w:r>
      <w:r w:rsidRPr="001164EE">
        <w:t xml:space="preserve"> to 2024-25 ($millions, real 2025-26)</w:t>
      </w:r>
      <w:bookmarkEnd w:id="805"/>
      <w:bookmarkEnd w:id="806"/>
      <w:bookmarkEnd w:id="807"/>
      <w:bookmarkEnd w:id="808"/>
      <w:bookmarkEnd w:id="809"/>
    </w:p>
    <w:tbl>
      <w:tblPr>
        <w:tblW w:w="5000" w:type="pct"/>
        <w:tblLook w:val="04A0" w:firstRow="1" w:lastRow="0" w:firstColumn="1" w:lastColumn="0" w:noHBand="0" w:noVBand="1"/>
      </w:tblPr>
      <w:tblGrid>
        <w:gridCol w:w="1824"/>
        <w:gridCol w:w="1704"/>
        <w:gridCol w:w="1525"/>
        <w:gridCol w:w="1525"/>
        <w:gridCol w:w="1525"/>
        <w:gridCol w:w="1525"/>
      </w:tblGrid>
      <w:tr w:rsidR="00046BD5" w:rsidRPr="00E97DE7" w14:paraId="3F63DCC8" w14:textId="77777777" w:rsidTr="5ED23ABB">
        <w:trPr>
          <w:trHeight w:val="504"/>
        </w:trPr>
        <w:tc>
          <w:tcPr>
            <w:tcW w:w="947" w:type="pct"/>
            <w:tcBorders>
              <w:top w:val="single" w:sz="4" w:space="0" w:color="auto"/>
              <w:left w:val="single" w:sz="4" w:space="0" w:color="auto"/>
              <w:bottom w:val="single" w:sz="4" w:space="0" w:color="auto"/>
              <w:right w:val="single" w:sz="4" w:space="0" w:color="auto"/>
            </w:tcBorders>
            <w:shd w:val="clear" w:color="auto" w:fill="00428B" w:themeFill="accent1"/>
            <w:vAlign w:val="center"/>
            <w:hideMark/>
          </w:tcPr>
          <w:p w14:paraId="2030C6F6" w14:textId="77777777" w:rsidR="00046BD5" w:rsidRPr="00E97DE7" w:rsidRDefault="00046BD5" w:rsidP="00ED094E">
            <w:pPr>
              <w:pStyle w:val="TableHeading"/>
              <w:rPr>
                <w:szCs w:val="16"/>
              </w:rPr>
            </w:pPr>
            <w:r w:rsidRPr="00E97DE7">
              <w:rPr>
                <w:szCs w:val="16"/>
              </w:rPr>
              <w:t> </w:t>
            </w:r>
          </w:p>
        </w:tc>
        <w:tc>
          <w:tcPr>
            <w:tcW w:w="885" w:type="pct"/>
            <w:tcBorders>
              <w:top w:val="single" w:sz="4" w:space="0" w:color="auto"/>
              <w:left w:val="nil"/>
              <w:bottom w:val="single" w:sz="4" w:space="0" w:color="auto"/>
              <w:right w:val="single" w:sz="4" w:space="0" w:color="auto"/>
            </w:tcBorders>
            <w:shd w:val="clear" w:color="auto" w:fill="00428B" w:themeFill="accent1"/>
            <w:vAlign w:val="center"/>
            <w:hideMark/>
          </w:tcPr>
          <w:p w14:paraId="0A4D8969" w14:textId="77777777" w:rsidR="00046BD5" w:rsidRPr="00E97DE7" w:rsidRDefault="00046BD5" w:rsidP="00ED094E">
            <w:pPr>
              <w:pStyle w:val="TableHeading"/>
              <w:rPr>
                <w:szCs w:val="16"/>
              </w:rPr>
            </w:pPr>
            <w:r w:rsidRPr="00E97DE7">
              <w:rPr>
                <w:szCs w:val="16"/>
              </w:rPr>
              <w:t>2020-21 </w:t>
            </w:r>
          </w:p>
        </w:tc>
        <w:tc>
          <w:tcPr>
            <w:tcW w:w="792" w:type="pct"/>
            <w:tcBorders>
              <w:top w:val="single" w:sz="4" w:space="0" w:color="auto"/>
              <w:left w:val="nil"/>
              <w:bottom w:val="single" w:sz="4" w:space="0" w:color="auto"/>
              <w:right w:val="single" w:sz="4" w:space="0" w:color="auto"/>
            </w:tcBorders>
            <w:shd w:val="clear" w:color="auto" w:fill="00428B" w:themeFill="accent1"/>
            <w:vAlign w:val="center"/>
            <w:hideMark/>
          </w:tcPr>
          <w:p w14:paraId="5B9D43E7" w14:textId="77777777" w:rsidR="00046BD5" w:rsidRPr="00E97DE7" w:rsidRDefault="00046BD5" w:rsidP="00ED094E">
            <w:pPr>
              <w:pStyle w:val="TableHeading"/>
              <w:rPr>
                <w:szCs w:val="16"/>
              </w:rPr>
            </w:pPr>
            <w:r w:rsidRPr="00E97DE7">
              <w:rPr>
                <w:szCs w:val="16"/>
              </w:rPr>
              <w:t>2021-22 </w:t>
            </w:r>
          </w:p>
        </w:tc>
        <w:tc>
          <w:tcPr>
            <w:tcW w:w="792" w:type="pct"/>
            <w:tcBorders>
              <w:top w:val="single" w:sz="4" w:space="0" w:color="auto"/>
              <w:left w:val="nil"/>
              <w:bottom w:val="single" w:sz="4" w:space="0" w:color="auto"/>
              <w:right w:val="single" w:sz="4" w:space="0" w:color="auto"/>
            </w:tcBorders>
            <w:shd w:val="clear" w:color="auto" w:fill="00428B" w:themeFill="accent1"/>
            <w:vAlign w:val="center"/>
            <w:hideMark/>
          </w:tcPr>
          <w:p w14:paraId="3B42EF0D" w14:textId="77777777" w:rsidR="00046BD5" w:rsidRPr="00E97DE7" w:rsidRDefault="00046BD5" w:rsidP="00ED094E">
            <w:pPr>
              <w:pStyle w:val="TableHeading"/>
              <w:rPr>
                <w:szCs w:val="16"/>
              </w:rPr>
            </w:pPr>
            <w:r w:rsidRPr="00E97DE7">
              <w:rPr>
                <w:szCs w:val="16"/>
              </w:rPr>
              <w:t>2022-23 </w:t>
            </w:r>
          </w:p>
        </w:tc>
        <w:tc>
          <w:tcPr>
            <w:tcW w:w="792" w:type="pct"/>
            <w:tcBorders>
              <w:top w:val="single" w:sz="4" w:space="0" w:color="auto"/>
              <w:left w:val="nil"/>
              <w:bottom w:val="single" w:sz="4" w:space="0" w:color="auto"/>
              <w:right w:val="single" w:sz="4" w:space="0" w:color="auto"/>
            </w:tcBorders>
            <w:shd w:val="clear" w:color="auto" w:fill="00428B" w:themeFill="accent1"/>
            <w:vAlign w:val="center"/>
            <w:hideMark/>
          </w:tcPr>
          <w:p w14:paraId="11D9A269" w14:textId="77777777" w:rsidR="00046BD5" w:rsidRPr="00E97DE7" w:rsidRDefault="00046BD5" w:rsidP="00ED094E">
            <w:pPr>
              <w:pStyle w:val="TableHeading"/>
              <w:rPr>
                <w:szCs w:val="16"/>
              </w:rPr>
            </w:pPr>
            <w:r w:rsidRPr="00E97DE7">
              <w:rPr>
                <w:szCs w:val="16"/>
              </w:rPr>
              <w:t>2023-24 </w:t>
            </w:r>
          </w:p>
        </w:tc>
        <w:tc>
          <w:tcPr>
            <w:tcW w:w="792" w:type="pct"/>
            <w:tcBorders>
              <w:top w:val="single" w:sz="4" w:space="0" w:color="auto"/>
              <w:left w:val="nil"/>
              <w:bottom w:val="single" w:sz="4" w:space="0" w:color="auto"/>
              <w:right w:val="single" w:sz="4" w:space="0" w:color="auto"/>
            </w:tcBorders>
            <w:shd w:val="clear" w:color="auto" w:fill="00428B" w:themeFill="accent1"/>
            <w:vAlign w:val="center"/>
            <w:hideMark/>
          </w:tcPr>
          <w:p w14:paraId="65386411" w14:textId="77777777" w:rsidR="00046BD5" w:rsidRPr="00E97DE7" w:rsidRDefault="00046BD5" w:rsidP="00ED094E">
            <w:pPr>
              <w:pStyle w:val="TableHeading"/>
              <w:rPr>
                <w:szCs w:val="16"/>
              </w:rPr>
            </w:pPr>
            <w:r w:rsidRPr="00E97DE7">
              <w:rPr>
                <w:szCs w:val="16"/>
              </w:rPr>
              <w:t>2024-25 </w:t>
            </w:r>
          </w:p>
        </w:tc>
      </w:tr>
      <w:tr w:rsidR="00E97DE7" w:rsidRPr="00E97DE7" w14:paraId="7E22A983" w14:textId="77777777" w:rsidTr="00666CC6">
        <w:trPr>
          <w:trHeight w:val="252"/>
        </w:trPr>
        <w:tc>
          <w:tcPr>
            <w:tcW w:w="947" w:type="pct"/>
            <w:tcBorders>
              <w:top w:val="nil"/>
              <w:left w:val="single" w:sz="4" w:space="0" w:color="auto"/>
              <w:bottom w:val="single" w:sz="4" w:space="0" w:color="auto"/>
              <w:right w:val="single" w:sz="4" w:space="0" w:color="auto"/>
            </w:tcBorders>
            <w:vAlign w:val="center"/>
            <w:hideMark/>
          </w:tcPr>
          <w:p w14:paraId="7519C11D" w14:textId="77777777" w:rsidR="00E97DE7" w:rsidRPr="00DE108C" w:rsidRDefault="00E97DE7" w:rsidP="00E97DE7">
            <w:pPr>
              <w:pStyle w:val="TableText"/>
              <w:rPr>
                <w:b/>
              </w:rPr>
            </w:pPr>
            <w:r w:rsidRPr="00DE108C">
              <w:rPr>
                <w:b/>
              </w:rPr>
              <w:t>Opening value </w:t>
            </w:r>
          </w:p>
        </w:tc>
        <w:tc>
          <w:tcPr>
            <w:tcW w:w="885" w:type="pct"/>
            <w:tcBorders>
              <w:top w:val="nil"/>
              <w:left w:val="nil"/>
              <w:bottom w:val="single" w:sz="4" w:space="0" w:color="auto"/>
              <w:right w:val="single" w:sz="4" w:space="0" w:color="auto"/>
            </w:tcBorders>
            <w:noWrap/>
            <w:vAlign w:val="center"/>
            <w:hideMark/>
          </w:tcPr>
          <w:p w14:paraId="78127B47" w14:textId="77777777" w:rsidR="00E97DE7" w:rsidRPr="00DE108C" w:rsidRDefault="00E97DE7" w:rsidP="00E97DE7">
            <w:pPr>
              <w:pStyle w:val="TableText"/>
              <w:rPr>
                <w:b/>
              </w:rPr>
            </w:pPr>
            <w:r w:rsidRPr="00E97DE7">
              <w:rPr>
                <w:rFonts w:cs="Tahoma"/>
                <w:b/>
                <w:bCs/>
                <w:szCs w:val="16"/>
              </w:rPr>
              <w:t xml:space="preserve"> 13,681.4 </w:t>
            </w:r>
          </w:p>
        </w:tc>
        <w:tc>
          <w:tcPr>
            <w:tcW w:w="792" w:type="pct"/>
            <w:tcBorders>
              <w:top w:val="nil"/>
              <w:left w:val="nil"/>
              <w:bottom w:val="single" w:sz="4" w:space="0" w:color="auto"/>
              <w:right w:val="single" w:sz="4" w:space="0" w:color="auto"/>
            </w:tcBorders>
            <w:noWrap/>
            <w:vAlign w:val="center"/>
            <w:hideMark/>
          </w:tcPr>
          <w:p w14:paraId="78105BD5" w14:textId="77777777" w:rsidR="00E97DE7" w:rsidRPr="00DE108C" w:rsidRDefault="00E97DE7" w:rsidP="00E97DE7">
            <w:pPr>
              <w:pStyle w:val="TableText"/>
              <w:rPr>
                <w:b/>
              </w:rPr>
            </w:pPr>
            <w:r w:rsidRPr="00E97DE7">
              <w:rPr>
                <w:rFonts w:cs="Tahoma"/>
                <w:b/>
                <w:bCs/>
                <w:szCs w:val="16"/>
              </w:rPr>
              <w:t xml:space="preserve"> 13,975.0 </w:t>
            </w:r>
          </w:p>
        </w:tc>
        <w:tc>
          <w:tcPr>
            <w:tcW w:w="792" w:type="pct"/>
            <w:tcBorders>
              <w:top w:val="nil"/>
              <w:left w:val="nil"/>
              <w:bottom w:val="single" w:sz="4" w:space="0" w:color="auto"/>
              <w:right w:val="single" w:sz="4" w:space="0" w:color="auto"/>
            </w:tcBorders>
            <w:noWrap/>
            <w:vAlign w:val="center"/>
            <w:hideMark/>
          </w:tcPr>
          <w:p w14:paraId="26A00320" w14:textId="77777777" w:rsidR="00E97DE7" w:rsidRPr="00DE108C" w:rsidRDefault="00E97DE7" w:rsidP="00E97DE7">
            <w:pPr>
              <w:pStyle w:val="TableText"/>
              <w:rPr>
                <w:b/>
              </w:rPr>
            </w:pPr>
            <w:r w:rsidRPr="00E97DE7">
              <w:rPr>
                <w:rFonts w:cs="Tahoma"/>
                <w:b/>
                <w:bCs/>
                <w:szCs w:val="16"/>
              </w:rPr>
              <w:t xml:space="preserve"> 14,252.1 </w:t>
            </w:r>
          </w:p>
        </w:tc>
        <w:tc>
          <w:tcPr>
            <w:tcW w:w="792" w:type="pct"/>
            <w:tcBorders>
              <w:top w:val="nil"/>
              <w:left w:val="nil"/>
              <w:bottom w:val="single" w:sz="4" w:space="0" w:color="auto"/>
              <w:right w:val="single" w:sz="4" w:space="0" w:color="auto"/>
            </w:tcBorders>
            <w:noWrap/>
            <w:vAlign w:val="center"/>
            <w:hideMark/>
          </w:tcPr>
          <w:p w14:paraId="63A4A921" w14:textId="77777777" w:rsidR="00E97DE7" w:rsidRPr="00DE108C" w:rsidRDefault="00E97DE7" w:rsidP="00E97DE7">
            <w:pPr>
              <w:pStyle w:val="TableText"/>
              <w:rPr>
                <w:b/>
              </w:rPr>
            </w:pPr>
            <w:r w:rsidRPr="00E97DE7">
              <w:rPr>
                <w:rFonts w:cs="Tahoma"/>
                <w:b/>
                <w:bCs/>
                <w:szCs w:val="16"/>
              </w:rPr>
              <w:t xml:space="preserve"> 14,629.7 </w:t>
            </w:r>
          </w:p>
        </w:tc>
        <w:tc>
          <w:tcPr>
            <w:tcW w:w="792" w:type="pct"/>
            <w:tcBorders>
              <w:top w:val="nil"/>
              <w:left w:val="nil"/>
              <w:bottom w:val="single" w:sz="4" w:space="0" w:color="auto"/>
              <w:right w:val="single" w:sz="4" w:space="0" w:color="auto"/>
            </w:tcBorders>
            <w:noWrap/>
            <w:vAlign w:val="center"/>
            <w:hideMark/>
          </w:tcPr>
          <w:p w14:paraId="3EF95445" w14:textId="77777777" w:rsidR="00E97DE7" w:rsidRPr="00DE108C" w:rsidRDefault="00E97DE7" w:rsidP="00E97DE7">
            <w:pPr>
              <w:pStyle w:val="TableText"/>
              <w:rPr>
                <w:b/>
              </w:rPr>
            </w:pPr>
            <w:r w:rsidRPr="00E97DE7">
              <w:rPr>
                <w:rFonts w:cs="Tahoma"/>
                <w:b/>
                <w:bCs/>
                <w:szCs w:val="16"/>
              </w:rPr>
              <w:t xml:space="preserve"> 15,089.7 </w:t>
            </w:r>
          </w:p>
        </w:tc>
      </w:tr>
      <w:tr w:rsidR="00E97DE7" w:rsidRPr="00E97DE7" w14:paraId="7260DFD3" w14:textId="77777777" w:rsidTr="5ED23ABB">
        <w:trPr>
          <w:trHeight w:val="504"/>
        </w:trPr>
        <w:tc>
          <w:tcPr>
            <w:tcW w:w="947" w:type="pct"/>
            <w:tcBorders>
              <w:top w:val="nil"/>
              <w:left w:val="single" w:sz="4" w:space="0" w:color="auto"/>
              <w:bottom w:val="single" w:sz="4" w:space="0" w:color="auto"/>
              <w:right w:val="single" w:sz="4" w:space="0" w:color="auto"/>
            </w:tcBorders>
            <w:shd w:val="clear" w:color="auto" w:fill="EFF5FB" w:themeFill="background2"/>
            <w:vAlign w:val="center"/>
            <w:hideMark/>
          </w:tcPr>
          <w:p w14:paraId="12CE0D9D" w14:textId="77777777" w:rsidR="00E97DE7" w:rsidRPr="00DE108C" w:rsidRDefault="00E97DE7" w:rsidP="00E97DE7">
            <w:pPr>
              <w:pStyle w:val="TableText"/>
            </w:pPr>
            <w:r w:rsidRPr="00DE108C">
              <w:t>Plus gross capex </w:t>
            </w:r>
          </w:p>
        </w:tc>
        <w:tc>
          <w:tcPr>
            <w:tcW w:w="885" w:type="pct"/>
            <w:tcBorders>
              <w:top w:val="nil"/>
              <w:left w:val="nil"/>
              <w:bottom w:val="single" w:sz="4" w:space="0" w:color="auto"/>
              <w:right w:val="single" w:sz="4" w:space="0" w:color="auto"/>
            </w:tcBorders>
            <w:shd w:val="clear" w:color="auto" w:fill="EFF5FB" w:themeFill="background2"/>
            <w:noWrap/>
            <w:vAlign w:val="center"/>
            <w:hideMark/>
          </w:tcPr>
          <w:p w14:paraId="05ECFFCE" w14:textId="77777777" w:rsidR="00E97DE7" w:rsidRPr="00DE108C" w:rsidRDefault="00E97DE7" w:rsidP="00E97DE7">
            <w:pPr>
              <w:pStyle w:val="TableText"/>
            </w:pPr>
            <w:r w:rsidRPr="00E97DE7">
              <w:rPr>
                <w:rFonts w:cs="Tahoma"/>
                <w:szCs w:val="16"/>
              </w:rPr>
              <w:t xml:space="preserve"> 757.5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701E250D" w14:textId="77777777" w:rsidR="00E97DE7" w:rsidRPr="00DE108C" w:rsidRDefault="00E97DE7" w:rsidP="00E97DE7">
            <w:pPr>
              <w:pStyle w:val="TableText"/>
            </w:pPr>
            <w:r w:rsidRPr="00E97DE7">
              <w:rPr>
                <w:rFonts w:cs="Tahoma"/>
                <w:szCs w:val="16"/>
              </w:rPr>
              <w:t xml:space="preserve"> 727.4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4F804BCC" w14:textId="77777777" w:rsidR="00E97DE7" w:rsidRPr="00DE108C" w:rsidRDefault="00E97DE7" w:rsidP="00E97DE7">
            <w:pPr>
              <w:pStyle w:val="TableText"/>
            </w:pPr>
            <w:r w:rsidRPr="00E97DE7">
              <w:rPr>
                <w:rFonts w:cs="Tahoma"/>
                <w:szCs w:val="16"/>
              </w:rPr>
              <w:t xml:space="preserve"> 847.2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07E8B67E" w14:textId="77777777" w:rsidR="00E97DE7" w:rsidRPr="00DE108C" w:rsidRDefault="00E97DE7" w:rsidP="00E97DE7">
            <w:pPr>
              <w:pStyle w:val="TableText"/>
            </w:pPr>
            <w:r w:rsidRPr="00E97DE7">
              <w:rPr>
                <w:rFonts w:cs="Tahoma"/>
                <w:szCs w:val="16"/>
              </w:rPr>
              <w:t xml:space="preserve"> 921.0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05ADAA09" w14:textId="11537838" w:rsidR="00E97DE7" w:rsidRPr="00DE108C" w:rsidRDefault="00E97DE7" w:rsidP="00E97DE7">
            <w:pPr>
              <w:pStyle w:val="TableText"/>
            </w:pPr>
            <w:r w:rsidRPr="00E97DE7">
              <w:rPr>
                <w:rFonts w:cs="Tahoma"/>
                <w:szCs w:val="16"/>
              </w:rPr>
              <w:t xml:space="preserve"> 992.8 </w:t>
            </w:r>
          </w:p>
        </w:tc>
      </w:tr>
      <w:tr w:rsidR="00E97DE7" w:rsidRPr="00E97DE7" w14:paraId="6B37063E" w14:textId="77777777" w:rsidTr="00666CC6">
        <w:trPr>
          <w:trHeight w:val="504"/>
        </w:trPr>
        <w:tc>
          <w:tcPr>
            <w:tcW w:w="947" w:type="pct"/>
            <w:tcBorders>
              <w:top w:val="nil"/>
              <w:left w:val="single" w:sz="4" w:space="0" w:color="auto"/>
              <w:bottom w:val="single" w:sz="4" w:space="0" w:color="auto"/>
              <w:right w:val="single" w:sz="4" w:space="0" w:color="auto"/>
            </w:tcBorders>
            <w:vAlign w:val="center"/>
            <w:hideMark/>
          </w:tcPr>
          <w:p w14:paraId="0977A993" w14:textId="64AA5DD2" w:rsidR="00E97DE7" w:rsidRPr="00DE108C" w:rsidRDefault="00E97DE7" w:rsidP="00E97DE7">
            <w:pPr>
              <w:pStyle w:val="TableText"/>
            </w:pPr>
            <w:r w:rsidRPr="00DE108C">
              <w:t xml:space="preserve">Plus </w:t>
            </w:r>
            <w:r>
              <w:t>V</w:t>
            </w:r>
            <w:r w:rsidR="0B1BB13B">
              <w:t xml:space="preserve">ictorian </w:t>
            </w:r>
            <w:r>
              <w:t>D</w:t>
            </w:r>
            <w:r w:rsidR="44030CC2">
              <w:t xml:space="preserve">esalination </w:t>
            </w:r>
            <w:r>
              <w:t>P</w:t>
            </w:r>
            <w:r w:rsidR="166A4A56">
              <w:t>roject (</w:t>
            </w:r>
            <w:r w:rsidRPr="00DE108C">
              <w:t>VDP</w:t>
            </w:r>
            <w:r w:rsidR="166A4A56">
              <w:t>)</w:t>
            </w:r>
            <w:r w:rsidRPr="00DE108C">
              <w:t xml:space="preserve"> capitalisation </w:t>
            </w:r>
          </w:p>
        </w:tc>
        <w:tc>
          <w:tcPr>
            <w:tcW w:w="885" w:type="pct"/>
            <w:tcBorders>
              <w:top w:val="nil"/>
              <w:left w:val="nil"/>
              <w:bottom w:val="single" w:sz="4" w:space="0" w:color="auto"/>
              <w:right w:val="single" w:sz="4" w:space="0" w:color="auto"/>
            </w:tcBorders>
            <w:noWrap/>
            <w:vAlign w:val="center"/>
            <w:hideMark/>
          </w:tcPr>
          <w:p w14:paraId="4EB1330F" w14:textId="77777777" w:rsidR="00E97DE7" w:rsidRPr="00DE108C" w:rsidRDefault="00E97DE7" w:rsidP="00E97DE7">
            <w:pPr>
              <w:pStyle w:val="TableText"/>
            </w:pPr>
            <w:r w:rsidRPr="00E97DE7">
              <w:rPr>
                <w:rFonts w:cs="Tahoma"/>
                <w:szCs w:val="16"/>
              </w:rPr>
              <w:t xml:space="preserve"> 39.5 </w:t>
            </w:r>
          </w:p>
        </w:tc>
        <w:tc>
          <w:tcPr>
            <w:tcW w:w="792" w:type="pct"/>
            <w:tcBorders>
              <w:top w:val="nil"/>
              <w:left w:val="nil"/>
              <w:bottom w:val="single" w:sz="4" w:space="0" w:color="auto"/>
              <w:right w:val="single" w:sz="4" w:space="0" w:color="auto"/>
            </w:tcBorders>
            <w:noWrap/>
            <w:vAlign w:val="center"/>
            <w:hideMark/>
          </w:tcPr>
          <w:p w14:paraId="7F00AB4D" w14:textId="77777777" w:rsidR="00E97DE7" w:rsidRPr="00DE108C" w:rsidRDefault="00E97DE7" w:rsidP="00E97DE7">
            <w:pPr>
              <w:pStyle w:val="TableText"/>
            </w:pPr>
            <w:r w:rsidRPr="00E97DE7">
              <w:rPr>
                <w:rFonts w:cs="Tahoma"/>
                <w:szCs w:val="16"/>
              </w:rPr>
              <w:t xml:space="preserve"> 24.5 </w:t>
            </w:r>
          </w:p>
        </w:tc>
        <w:tc>
          <w:tcPr>
            <w:tcW w:w="792" w:type="pct"/>
            <w:tcBorders>
              <w:top w:val="nil"/>
              <w:left w:val="nil"/>
              <w:bottom w:val="single" w:sz="4" w:space="0" w:color="auto"/>
              <w:right w:val="single" w:sz="4" w:space="0" w:color="auto"/>
            </w:tcBorders>
            <w:noWrap/>
            <w:vAlign w:val="center"/>
            <w:hideMark/>
          </w:tcPr>
          <w:p w14:paraId="57B8958B" w14:textId="77777777" w:rsidR="00E97DE7" w:rsidRPr="00DE108C" w:rsidRDefault="00E97DE7" w:rsidP="00E97DE7">
            <w:pPr>
              <w:pStyle w:val="TableText"/>
            </w:pPr>
            <w:r w:rsidRPr="00E97DE7">
              <w:rPr>
                <w:rFonts w:cs="Tahoma"/>
                <w:szCs w:val="16"/>
              </w:rPr>
              <w:t xml:space="preserve"> 36.1 </w:t>
            </w:r>
          </w:p>
        </w:tc>
        <w:tc>
          <w:tcPr>
            <w:tcW w:w="792" w:type="pct"/>
            <w:tcBorders>
              <w:top w:val="nil"/>
              <w:left w:val="nil"/>
              <w:bottom w:val="single" w:sz="4" w:space="0" w:color="auto"/>
              <w:right w:val="single" w:sz="4" w:space="0" w:color="auto"/>
            </w:tcBorders>
            <w:noWrap/>
            <w:vAlign w:val="center"/>
            <w:hideMark/>
          </w:tcPr>
          <w:p w14:paraId="5F4DD6FA" w14:textId="77777777" w:rsidR="00E97DE7" w:rsidRPr="00DE108C" w:rsidRDefault="00E97DE7" w:rsidP="00E97DE7">
            <w:pPr>
              <w:pStyle w:val="TableText"/>
            </w:pPr>
            <w:r w:rsidRPr="00E97DE7">
              <w:rPr>
                <w:rFonts w:cs="Tahoma"/>
                <w:szCs w:val="16"/>
              </w:rPr>
              <w:t xml:space="preserve"> 54.5 </w:t>
            </w:r>
          </w:p>
        </w:tc>
        <w:tc>
          <w:tcPr>
            <w:tcW w:w="792" w:type="pct"/>
            <w:tcBorders>
              <w:top w:val="nil"/>
              <w:left w:val="nil"/>
              <w:bottom w:val="single" w:sz="4" w:space="0" w:color="auto"/>
              <w:right w:val="single" w:sz="4" w:space="0" w:color="auto"/>
            </w:tcBorders>
            <w:noWrap/>
            <w:vAlign w:val="center"/>
            <w:hideMark/>
          </w:tcPr>
          <w:p w14:paraId="483D1AB9" w14:textId="77777777" w:rsidR="00E97DE7" w:rsidRPr="00DE108C" w:rsidRDefault="00E97DE7" w:rsidP="00E97DE7">
            <w:pPr>
              <w:pStyle w:val="TableText"/>
            </w:pPr>
            <w:r w:rsidRPr="00E97DE7">
              <w:rPr>
                <w:rFonts w:cs="Tahoma"/>
                <w:szCs w:val="16"/>
              </w:rPr>
              <w:t xml:space="preserve"> 66.0 </w:t>
            </w:r>
          </w:p>
        </w:tc>
      </w:tr>
      <w:tr w:rsidR="00E97DE7" w:rsidRPr="00E97DE7" w14:paraId="53C99FF9" w14:textId="77777777" w:rsidTr="5ED23ABB">
        <w:trPr>
          <w:trHeight w:val="756"/>
        </w:trPr>
        <w:tc>
          <w:tcPr>
            <w:tcW w:w="947" w:type="pct"/>
            <w:tcBorders>
              <w:top w:val="nil"/>
              <w:left w:val="single" w:sz="4" w:space="0" w:color="auto"/>
              <w:bottom w:val="single" w:sz="4" w:space="0" w:color="auto"/>
              <w:right w:val="single" w:sz="4" w:space="0" w:color="auto"/>
            </w:tcBorders>
            <w:shd w:val="clear" w:color="auto" w:fill="EFF5FB" w:themeFill="background2"/>
            <w:vAlign w:val="center"/>
            <w:hideMark/>
          </w:tcPr>
          <w:p w14:paraId="38F76CF6" w14:textId="77777777" w:rsidR="00E97DE7" w:rsidRPr="00DE108C" w:rsidRDefault="00E97DE7" w:rsidP="00E97DE7">
            <w:pPr>
              <w:pStyle w:val="TableText"/>
            </w:pPr>
            <w:r w:rsidRPr="00DE108C">
              <w:t>Less Government contribution </w:t>
            </w:r>
          </w:p>
        </w:tc>
        <w:tc>
          <w:tcPr>
            <w:tcW w:w="885" w:type="pct"/>
            <w:tcBorders>
              <w:top w:val="nil"/>
              <w:left w:val="nil"/>
              <w:bottom w:val="single" w:sz="4" w:space="0" w:color="auto"/>
              <w:right w:val="single" w:sz="4" w:space="0" w:color="auto"/>
            </w:tcBorders>
            <w:shd w:val="clear" w:color="auto" w:fill="EFF5FB" w:themeFill="background2"/>
            <w:noWrap/>
            <w:vAlign w:val="center"/>
            <w:hideMark/>
          </w:tcPr>
          <w:p w14:paraId="071BFDB3" w14:textId="77777777" w:rsidR="00E97DE7" w:rsidRPr="00DE108C" w:rsidRDefault="00E97DE7" w:rsidP="00E97DE7">
            <w:pPr>
              <w:pStyle w:val="TableText"/>
            </w:pPr>
            <w:r w:rsidRPr="00E97DE7">
              <w:rPr>
                <w:rFonts w:cs="Tahoma"/>
                <w:szCs w:val="16"/>
              </w:rPr>
              <w:t xml:space="preserve"> -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57E077D2" w14:textId="77777777" w:rsidR="00E97DE7" w:rsidRPr="00DE108C" w:rsidRDefault="00E97DE7" w:rsidP="00E97DE7">
            <w:pPr>
              <w:pStyle w:val="TableText"/>
            </w:pPr>
            <w:r w:rsidRPr="00E97DE7">
              <w:rPr>
                <w:rFonts w:cs="Tahoma"/>
                <w:szCs w:val="16"/>
              </w:rPr>
              <w:t xml:space="preserve"> -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59618B2E" w14:textId="77777777" w:rsidR="00E97DE7" w:rsidRPr="00DE108C" w:rsidRDefault="00E97DE7" w:rsidP="00E97DE7">
            <w:pPr>
              <w:pStyle w:val="TableText"/>
            </w:pPr>
            <w:r w:rsidRPr="00E97DE7">
              <w:rPr>
                <w:rFonts w:cs="Tahoma"/>
                <w:szCs w:val="16"/>
              </w:rPr>
              <w:t xml:space="preserve"> -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0E254007" w14:textId="77777777" w:rsidR="00E97DE7" w:rsidRPr="00DE108C" w:rsidRDefault="00E97DE7" w:rsidP="00E97DE7">
            <w:pPr>
              <w:pStyle w:val="TableText"/>
            </w:pPr>
            <w:r w:rsidRPr="00E97DE7">
              <w:rPr>
                <w:rFonts w:cs="Tahoma"/>
                <w:szCs w:val="16"/>
              </w:rPr>
              <w:t xml:space="preserve"> -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4615F7A0" w14:textId="77777777" w:rsidR="00E97DE7" w:rsidRPr="00DE108C" w:rsidRDefault="00E97DE7" w:rsidP="00E97DE7">
            <w:pPr>
              <w:pStyle w:val="TableText"/>
            </w:pPr>
            <w:r w:rsidRPr="00E97DE7">
              <w:rPr>
                <w:rFonts w:cs="Tahoma"/>
                <w:szCs w:val="16"/>
              </w:rPr>
              <w:t xml:space="preserve"> - </w:t>
            </w:r>
          </w:p>
        </w:tc>
      </w:tr>
      <w:tr w:rsidR="00E97DE7" w:rsidRPr="00E97DE7" w14:paraId="05FD7637" w14:textId="77777777" w:rsidTr="00666CC6">
        <w:trPr>
          <w:trHeight w:val="504"/>
        </w:trPr>
        <w:tc>
          <w:tcPr>
            <w:tcW w:w="947" w:type="pct"/>
            <w:tcBorders>
              <w:top w:val="nil"/>
              <w:left w:val="single" w:sz="4" w:space="0" w:color="auto"/>
              <w:bottom w:val="single" w:sz="4" w:space="0" w:color="auto"/>
              <w:right w:val="single" w:sz="4" w:space="0" w:color="auto"/>
            </w:tcBorders>
            <w:vAlign w:val="center"/>
            <w:hideMark/>
          </w:tcPr>
          <w:p w14:paraId="790AEE0B" w14:textId="77777777" w:rsidR="00E97DE7" w:rsidRPr="00DE108C" w:rsidRDefault="00E97DE7" w:rsidP="00E97DE7">
            <w:pPr>
              <w:pStyle w:val="TableText"/>
            </w:pPr>
            <w:r w:rsidRPr="00DE108C">
              <w:t>Less customer contribution </w:t>
            </w:r>
          </w:p>
        </w:tc>
        <w:tc>
          <w:tcPr>
            <w:tcW w:w="885" w:type="pct"/>
            <w:tcBorders>
              <w:top w:val="nil"/>
              <w:left w:val="nil"/>
              <w:bottom w:val="single" w:sz="4" w:space="0" w:color="auto"/>
              <w:right w:val="single" w:sz="4" w:space="0" w:color="auto"/>
            </w:tcBorders>
            <w:noWrap/>
            <w:vAlign w:val="center"/>
            <w:hideMark/>
          </w:tcPr>
          <w:p w14:paraId="335B0CFD" w14:textId="77777777" w:rsidR="00E97DE7" w:rsidRPr="00DE108C" w:rsidRDefault="00E97DE7" w:rsidP="00E97DE7">
            <w:pPr>
              <w:pStyle w:val="TableText"/>
            </w:pPr>
            <w:r w:rsidRPr="00E97DE7">
              <w:rPr>
                <w:rFonts w:cs="Tahoma"/>
                <w:szCs w:val="16"/>
              </w:rPr>
              <w:t xml:space="preserve"> 210.9 </w:t>
            </w:r>
          </w:p>
        </w:tc>
        <w:tc>
          <w:tcPr>
            <w:tcW w:w="792" w:type="pct"/>
            <w:tcBorders>
              <w:top w:val="nil"/>
              <w:left w:val="nil"/>
              <w:bottom w:val="single" w:sz="4" w:space="0" w:color="auto"/>
              <w:right w:val="single" w:sz="4" w:space="0" w:color="auto"/>
            </w:tcBorders>
            <w:noWrap/>
            <w:vAlign w:val="center"/>
            <w:hideMark/>
          </w:tcPr>
          <w:p w14:paraId="470E1C74" w14:textId="77777777" w:rsidR="00E97DE7" w:rsidRPr="00DE108C" w:rsidRDefault="00E97DE7" w:rsidP="00E97DE7">
            <w:pPr>
              <w:pStyle w:val="TableText"/>
            </w:pPr>
            <w:r w:rsidRPr="00E97DE7">
              <w:rPr>
                <w:rFonts w:cs="Tahoma"/>
                <w:szCs w:val="16"/>
              </w:rPr>
              <w:t xml:space="preserve"> 230.1 </w:t>
            </w:r>
          </w:p>
        </w:tc>
        <w:tc>
          <w:tcPr>
            <w:tcW w:w="792" w:type="pct"/>
            <w:tcBorders>
              <w:top w:val="nil"/>
              <w:left w:val="nil"/>
              <w:bottom w:val="single" w:sz="4" w:space="0" w:color="auto"/>
              <w:right w:val="single" w:sz="4" w:space="0" w:color="auto"/>
            </w:tcBorders>
            <w:noWrap/>
            <w:vAlign w:val="center"/>
            <w:hideMark/>
          </w:tcPr>
          <w:p w14:paraId="0366601E" w14:textId="77777777" w:rsidR="00E97DE7" w:rsidRPr="00DE108C" w:rsidRDefault="00E97DE7" w:rsidP="00E97DE7">
            <w:pPr>
              <w:pStyle w:val="TableText"/>
            </w:pPr>
            <w:r w:rsidRPr="00E97DE7">
              <w:rPr>
                <w:rFonts w:cs="Tahoma"/>
                <w:szCs w:val="16"/>
              </w:rPr>
              <w:t xml:space="preserve"> 244.5 </w:t>
            </w:r>
          </w:p>
        </w:tc>
        <w:tc>
          <w:tcPr>
            <w:tcW w:w="792" w:type="pct"/>
            <w:tcBorders>
              <w:top w:val="nil"/>
              <w:left w:val="nil"/>
              <w:bottom w:val="single" w:sz="4" w:space="0" w:color="auto"/>
              <w:right w:val="single" w:sz="4" w:space="0" w:color="auto"/>
            </w:tcBorders>
            <w:noWrap/>
            <w:vAlign w:val="center"/>
            <w:hideMark/>
          </w:tcPr>
          <w:p w14:paraId="09820770" w14:textId="77777777" w:rsidR="00E97DE7" w:rsidRPr="00DE108C" w:rsidRDefault="00E97DE7" w:rsidP="00E97DE7">
            <w:pPr>
              <w:pStyle w:val="TableText"/>
            </w:pPr>
            <w:r w:rsidRPr="00E97DE7">
              <w:rPr>
                <w:rFonts w:cs="Tahoma"/>
                <w:szCs w:val="16"/>
              </w:rPr>
              <w:t xml:space="preserve"> 229.9 </w:t>
            </w:r>
          </w:p>
        </w:tc>
        <w:tc>
          <w:tcPr>
            <w:tcW w:w="792" w:type="pct"/>
            <w:tcBorders>
              <w:top w:val="nil"/>
              <w:left w:val="nil"/>
              <w:bottom w:val="single" w:sz="4" w:space="0" w:color="auto"/>
              <w:right w:val="single" w:sz="4" w:space="0" w:color="auto"/>
            </w:tcBorders>
            <w:noWrap/>
            <w:vAlign w:val="center"/>
            <w:hideMark/>
          </w:tcPr>
          <w:p w14:paraId="5C64116D" w14:textId="77777777" w:rsidR="00E97DE7" w:rsidRPr="00DE108C" w:rsidRDefault="00E97DE7" w:rsidP="00E97DE7">
            <w:pPr>
              <w:pStyle w:val="TableText"/>
            </w:pPr>
            <w:r w:rsidRPr="00E97DE7">
              <w:rPr>
                <w:rFonts w:cs="Tahoma"/>
                <w:szCs w:val="16"/>
              </w:rPr>
              <w:t xml:space="preserve"> 222.8 </w:t>
            </w:r>
          </w:p>
        </w:tc>
      </w:tr>
      <w:tr w:rsidR="00E97DE7" w:rsidRPr="00E97DE7" w14:paraId="0C4FB025" w14:textId="77777777" w:rsidTr="5ED23ABB">
        <w:trPr>
          <w:trHeight w:val="756"/>
        </w:trPr>
        <w:tc>
          <w:tcPr>
            <w:tcW w:w="947" w:type="pct"/>
            <w:tcBorders>
              <w:top w:val="nil"/>
              <w:left w:val="single" w:sz="4" w:space="0" w:color="auto"/>
              <w:bottom w:val="single" w:sz="4" w:space="0" w:color="auto"/>
              <w:right w:val="single" w:sz="4" w:space="0" w:color="auto"/>
            </w:tcBorders>
            <w:shd w:val="clear" w:color="auto" w:fill="EFF5FB" w:themeFill="background2"/>
            <w:vAlign w:val="center"/>
            <w:hideMark/>
          </w:tcPr>
          <w:p w14:paraId="67ACD9DF" w14:textId="77777777" w:rsidR="00E97DE7" w:rsidRPr="00DE108C" w:rsidRDefault="00E97DE7" w:rsidP="00E97DE7">
            <w:pPr>
              <w:pStyle w:val="TableText"/>
            </w:pPr>
            <w:r w:rsidRPr="00DE108C">
              <w:t>Less Proceeds from disposal </w:t>
            </w:r>
          </w:p>
        </w:tc>
        <w:tc>
          <w:tcPr>
            <w:tcW w:w="885" w:type="pct"/>
            <w:tcBorders>
              <w:top w:val="nil"/>
              <w:left w:val="nil"/>
              <w:bottom w:val="single" w:sz="4" w:space="0" w:color="auto"/>
              <w:right w:val="single" w:sz="4" w:space="0" w:color="auto"/>
            </w:tcBorders>
            <w:shd w:val="clear" w:color="auto" w:fill="EFF5FB" w:themeFill="background2"/>
            <w:noWrap/>
            <w:vAlign w:val="center"/>
            <w:hideMark/>
          </w:tcPr>
          <w:p w14:paraId="6D2F1B32" w14:textId="77777777" w:rsidR="00E97DE7" w:rsidRPr="00DE108C" w:rsidRDefault="00E97DE7" w:rsidP="00E97DE7">
            <w:pPr>
              <w:pStyle w:val="TableText"/>
            </w:pPr>
            <w:r w:rsidRPr="00E97DE7">
              <w:rPr>
                <w:rFonts w:cs="Tahoma"/>
                <w:szCs w:val="16"/>
              </w:rPr>
              <w:t xml:space="preserve"> 4.1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43334F8A" w14:textId="77777777" w:rsidR="00E97DE7" w:rsidRPr="00DE108C" w:rsidRDefault="00E97DE7" w:rsidP="00E97DE7">
            <w:pPr>
              <w:pStyle w:val="TableText"/>
            </w:pPr>
            <w:r w:rsidRPr="00E97DE7">
              <w:rPr>
                <w:rFonts w:cs="Tahoma"/>
                <w:szCs w:val="16"/>
              </w:rPr>
              <w:t xml:space="preserve"> 13.8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227F3D12" w14:textId="77777777" w:rsidR="00E97DE7" w:rsidRPr="00DE108C" w:rsidRDefault="00E97DE7" w:rsidP="00E97DE7">
            <w:pPr>
              <w:pStyle w:val="TableText"/>
            </w:pPr>
            <w:r w:rsidRPr="00E97DE7">
              <w:rPr>
                <w:rFonts w:cs="Tahoma"/>
                <w:szCs w:val="16"/>
              </w:rPr>
              <w:t xml:space="preserve"> 4.7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0656B083" w14:textId="77777777" w:rsidR="00E97DE7" w:rsidRPr="00DE108C" w:rsidRDefault="00E97DE7" w:rsidP="00E97DE7">
            <w:pPr>
              <w:pStyle w:val="TableText"/>
            </w:pPr>
            <w:r w:rsidRPr="00E97DE7">
              <w:rPr>
                <w:rFonts w:cs="Tahoma"/>
                <w:szCs w:val="16"/>
              </w:rPr>
              <w:t xml:space="preserve"> 2.7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46BE4451" w14:textId="77777777" w:rsidR="00E97DE7" w:rsidRPr="00DE108C" w:rsidRDefault="00E97DE7" w:rsidP="00E97DE7">
            <w:pPr>
              <w:pStyle w:val="TableText"/>
            </w:pPr>
            <w:r w:rsidRPr="00E97DE7">
              <w:rPr>
                <w:rFonts w:cs="Tahoma"/>
                <w:szCs w:val="16"/>
              </w:rPr>
              <w:t xml:space="preserve"> 1.7 </w:t>
            </w:r>
          </w:p>
        </w:tc>
      </w:tr>
      <w:tr w:rsidR="00E97DE7" w:rsidRPr="00E97DE7" w14:paraId="05D54C3C" w14:textId="77777777" w:rsidTr="00666CC6">
        <w:trPr>
          <w:trHeight w:val="756"/>
        </w:trPr>
        <w:tc>
          <w:tcPr>
            <w:tcW w:w="947" w:type="pct"/>
            <w:tcBorders>
              <w:top w:val="nil"/>
              <w:left w:val="single" w:sz="4" w:space="0" w:color="auto"/>
              <w:bottom w:val="single" w:sz="4" w:space="0" w:color="auto"/>
              <w:right w:val="single" w:sz="4" w:space="0" w:color="auto"/>
            </w:tcBorders>
            <w:vAlign w:val="center"/>
            <w:hideMark/>
          </w:tcPr>
          <w:p w14:paraId="68253150" w14:textId="77777777" w:rsidR="00E97DE7" w:rsidRPr="00DE108C" w:rsidRDefault="00E97DE7" w:rsidP="00E97DE7">
            <w:pPr>
              <w:pStyle w:val="TableText"/>
            </w:pPr>
            <w:r w:rsidRPr="00DE108C">
              <w:t>Less regulatory depreciation </w:t>
            </w:r>
          </w:p>
        </w:tc>
        <w:tc>
          <w:tcPr>
            <w:tcW w:w="885" w:type="pct"/>
            <w:tcBorders>
              <w:top w:val="nil"/>
              <w:left w:val="nil"/>
              <w:bottom w:val="single" w:sz="4" w:space="0" w:color="auto"/>
              <w:right w:val="single" w:sz="4" w:space="0" w:color="auto"/>
            </w:tcBorders>
            <w:noWrap/>
            <w:vAlign w:val="center"/>
            <w:hideMark/>
          </w:tcPr>
          <w:p w14:paraId="75E1BAE7" w14:textId="77777777" w:rsidR="00E97DE7" w:rsidRPr="00DE108C" w:rsidRDefault="00E97DE7" w:rsidP="00E97DE7">
            <w:pPr>
              <w:pStyle w:val="TableText"/>
            </w:pPr>
            <w:r w:rsidRPr="00E97DE7">
              <w:rPr>
                <w:rFonts w:cs="Tahoma"/>
                <w:szCs w:val="16"/>
              </w:rPr>
              <w:t xml:space="preserve"> 288.4 </w:t>
            </w:r>
          </w:p>
        </w:tc>
        <w:tc>
          <w:tcPr>
            <w:tcW w:w="792" w:type="pct"/>
            <w:tcBorders>
              <w:top w:val="nil"/>
              <w:left w:val="nil"/>
              <w:bottom w:val="single" w:sz="4" w:space="0" w:color="auto"/>
              <w:right w:val="single" w:sz="4" w:space="0" w:color="auto"/>
            </w:tcBorders>
            <w:noWrap/>
            <w:vAlign w:val="center"/>
            <w:hideMark/>
          </w:tcPr>
          <w:p w14:paraId="6FCC1EE2" w14:textId="77777777" w:rsidR="00E97DE7" w:rsidRPr="00DE108C" w:rsidRDefault="00E97DE7" w:rsidP="00E97DE7">
            <w:pPr>
              <w:pStyle w:val="TableText"/>
            </w:pPr>
            <w:r w:rsidRPr="00E97DE7">
              <w:rPr>
                <w:rFonts w:cs="Tahoma"/>
                <w:szCs w:val="16"/>
              </w:rPr>
              <w:t xml:space="preserve"> 230.9 </w:t>
            </w:r>
          </w:p>
        </w:tc>
        <w:tc>
          <w:tcPr>
            <w:tcW w:w="792" w:type="pct"/>
            <w:tcBorders>
              <w:top w:val="nil"/>
              <w:left w:val="nil"/>
              <w:bottom w:val="single" w:sz="4" w:space="0" w:color="auto"/>
              <w:right w:val="single" w:sz="4" w:space="0" w:color="auto"/>
            </w:tcBorders>
            <w:noWrap/>
            <w:vAlign w:val="center"/>
            <w:hideMark/>
          </w:tcPr>
          <w:p w14:paraId="04C9C4C2" w14:textId="77777777" w:rsidR="00E97DE7" w:rsidRPr="00DE108C" w:rsidRDefault="00E97DE7" w:rsidP="00E97DE7">
            <w:pPr>
              <w:pStyle w:val="TableText"/>
            </w:pPr>
            <w:r w:rsidRPr="00E97DE7">
              <w:rPr>
                <w:rFonts w:cs="Tahoma"/>
                <w:szCs w:val="16"/>
              </w:rPr>
              <w:t xml:space="preserve"> 256.5 </w:t>
            </w:r>
          </w:p>
        </w:tc>
        <w:tc>
          <w:tcPr>
            <w:tcW w:w="792" w:type="pct"/>
            <w:tcBorders>
              <w:top w:val="nil"/>
              <w:left w:val="nil"/>
              <w:bottom w:val="single" w:sz="4" w:space="0" w:color="auto"/>
              <w:right w:val="single" w:sz="4" w:space="0" w:color="auto"/>
            </w:tcBorders>
            <w:noWrap/>
            <w:vAlign w:val="center"/>
            <w:hideMark/>
          </w:tcPr>
          <w:p w14:paraId="4B8DF54E" w14:textId="77777777" w:rsidR="00E97DE7" w:rsidRPr="00DE108C" w:rsidRDefault="00E97DE7" w:rsidP="00E97DE7">
            <w:pPr>
              <w:pStyle w:val="TableText"/>
            </w:pPr>
            <w:r w:rsidRPr="00E97DE7">
              <w:rPr>
                <w:rFonts w:cs="Tahoma"/>
                <w:szCs w:val="16"/>
              </w:rPr>
              <w:t xml:space="preserve"> 283.0 </w:t>
            </w:r>
          </w:p>
        </w:tc>
        <w:tc>
          <w:tcPr>
            <w:tcW w:w="792" w:type="pct"/>
            <w:tcBorders>
              <w:top w:val="nil"/>
              <w:left w:val="nil"/>
              <w:bottom w:val="single" w:sz="4" w:space="0" w:color="auto"/>
              <w:right w:val="single" w:sz="4" w:space="0" w:color="auto"/>
            </w:tcBorders>
            <w:noWrap/>
            <w:vAlign w:val="center"/>
            <w:hideMark/>
          </w:tcPr>
          <w:p w14:paraId="20089F55" w14:textId="77777777" w:rsidR="00E97DE7" w:rsidRPr="00DE108C" w:rsidRDefault="00E97DE7" w:rsidP="00E97DE7">
            <w:pPr>
              <w:pStyle w:val="TableText"/>
            </w:pPr>
            <w:r w:rsidRPr="00E97DE7">
              <w:rPr>
                <w:rFonts w:cs="Tahoma"/>
                <w:szCs w:val="16"/>
              </w:rPr>
              <w:t xml:space="preserve"> 302.8 </w:t>
            </w:r>
          </w:p>
        </w:tc>
      </w:tr>
      <w:tr w:rsidR="00E97DE7" w:rsidRPr="00E97DE7" w14:paraId="381ABB57" w14:textId="77777777" w:rsidTr="5ED23ABB">
        <w:trPr>
          <w:trHeight w:val="756"/>
        </w:trPr>
        <w:tc>
          <w:tcPr>
            <w:tcW w:w="947" w:type="pct"/>
            <w:tcBorders>
              <w:top w:val="nil"/>
              <w:left w:val="single" w:sz="4" w:space="0" w:color="auto"/>
              <w:bottom w:val="single" w:sz="4" w:space="0" w:color="auto"/>
              <w:right w:val="single" w:sz="4" w:space="0" w:color="auto"/>
            </w:tcBorders>
            <w:shd w:val="clear" w:color="auto" w:fill="EFF5FB" w:themeFill="background2"/>
            <w:vAlign w:val="center"/>
            <w:hideMark/>
          </w:tcPr>
          <w:p w14:paraId="62DA50CB" w14:textId="77777777" w:rsidR="00E97DE7" w:rsidRPr="00DE108C" w:rsidRDefault="00E97DE7" w:rsidP="00E97DE7">
            <w:pPr>
              <w:pStyle w:val="TableText"/>
              <w:rPr>
                <w:b/>
              </w:rPr>
            </w:pPr>
            <w:r w:rsidRPr="00DE108C">
              <w:rPr>
                <w:b/>
              </w:rPr>
              <w:t>Closing value </w:t>
            </w:r>
          </w:p>
        </w:tc>
        <w:tc>
          <w:tcPr>
            <w:tcW w:w="885" w:type="pct"/>
            <w:tcBorders>
              <w:top w:val="nil"/>
              <w:left w:val="nil"/>
              <w:bottom w:val="single" w:sz="4" w:space="0" w:color="auto"/>
              <w:right w:val="single" w:sz="4" w:space="0" w:color="auto"/>
            </w:tcBorders>
            <w:shd w:val="clear" w:color="auto" w:fill="EFF5FB" w:themeFill="background2"/>
            <w:noWrap/>
            <w:vAlign w:val="center"/>
            <w:hideMark/>
          </w:tcPr>
          <w:p w14:paraId="6C5A6205" w14:textId="77777777" w:rsidR="00E97DE7" w:rsidRPr="00DE108C" w:rsidRDefault="00E97DE7" w:rsidP="00E97DE7">
            <w:pPr>
              <w:pStyle w:val="TableText"/>
              <w:rPr>
                <w:b/>
              </w:rPr>
            </w:pPr>
            <w:r w:rsidRPr="00E97DE7">
              <w:rPr>
                <w:rFonts w:cs="Tahoma"/>
                <w:b/>
                <w:bCs/>
                <w:szCs w:val="16"/>
              </w:rPr>
              <w:t xml:space="preserve"> 13,975.0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626F57B2" w14:textId="77777777" w:rsidR="00E97DE7" w:rsidRPr="00DE108C" w:rsidRDefault="00E97DE7" w:rsidP="00E97DE7">
            <w:pPr>
              <w:pStyle w:val="TableText"/>
              <w:rPr>
                <w:b/>
              </w:rPr>
            </w:pPr>
            <w:r w:rsidRPr="00E97DE7">
              <w:rPr>
                <w:rFonts w:cs="Tahoma"/>
                <w:b/>
                <w:bCs/>
                <w:szCs w:val="16"/>
              </w:rPr>
              <w:t xml:space="preserve"> 14,252.1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6484277F" w14:textId="77777777" w:rsidR="00E97DE7" w:rsidRPr="00DE108C" w:rsidRDefault="00E97DE7" w:rsidP="00E97DE7">
            <w:pPr>
              <w:pStyle w:val="TableText"/>
              <w:rPr>
                <w:b/>
              </w:rPr>
            </w:pPr>
            <w:r w:rsidRPr="00E97DE7">
              <w:rPr>
                <w:rFonts w:cs="Tahoma"/>
                <w:b/>
                <w:bCs/>
                <w:szCs w:val="16"/>
              </w:rPr>
              <w:t xml:space="preserve"> 14,629.7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3CEC1931" w14:textId="77777777" w:rsidR="00E97DE7" w:rsidRPr="00DE108C" w:rsidRDefault="00E97DE7" w:rsidP="00E97DE7">
            <w:pPr>
              <w:pStyle w:val="TableText"/>
              <w:rPr>
                <w:b/>
              </w:rPr>
            </w:pPr>
            <w:r w:rsidRPr="00E97DE7">
              <w:rPr>
                <w:rFonts w:cs="Tahoma"/>
                <w:b/>
                <w:bCs/>
                <w:szCs w:val="16"/>
              </w:rPr>
              <w:t xml:space="preserve"> 15,089.7 </w:t>
            </w:r>
          </w:p>
        </w:tc>
        <w:tc>
          <w:tcPr>
            <w:tcW w:w="792" w:type="pct"/>
            <w:tcBorders>
              <w:top w:val="nil"/>
              <w:left w:val="nil"/>
              <w:bottom w:val="single" w:sz="4" w:space="0" w:color="auto"/>
              <w:right w:val="single" w:sz="4" w:space="0" w:color="auto"/>
            </w:tcBorders>
            <w:shd w:val="clear" w:color="auto" w:fill="EFF5FB" w:themeFill="background2"/>
            <w:noWrap/>
            <w:vAlign w:val="center"/>
            <w:hideMark/>
          </w:tcPr>
          <w:p w14:paraId="488F2F69" w14:textId="360E8A88" w:rsidR="00E97DE7" w:rsidRPr="00DE108C" w:rsidRDefault="00E97DE7" w:rsidP="00E97DE7">
            <w:pPr>
              <w:pStyle w:val="TableText"/>
              <w:rPr>
                <w:b/>
              </w:rPr>
            </w:pPr>
            <w:r w:rsidRPr="00E97DE7">
              <w:rPr>
                <w:rFonts w:cs="Tahoma"/>
                <w:b/>
                <w:bCs/>
                <w:szCs w:val="16"/>
              </w:rPr>
              <w:t xml:space="preserve"> 15,621.2 </w:t>
            </w:r>
          </w:p>
        </w:tc>
      </w:tr>
    </w:tbl>
    <w:p w14:paraId="7491DD88" w14:textId="77777777" w:rsidR="00046BD5" w:rsidRPr="00DE108C" w:rsidRDefault="00046BD5">
      <w:pPr>
        <w:pStyle w:val="BodyText"/>
      </w:pPr>
    </w:p>
    <w:p w14:paraId="1AEC9DF3" w14:textId="77777777" w:rsidR="00046BD5" w:rsidRPr="00DE108C" w:rsidRDefault="00046BD5" w:rsidP="00ED094E">
      <w:r w:rsidRPr="00DE108C">
        <w:t>The RAB has been calculated using the following assumptions over the 2021-26 regulatory period:</w:t>
      </w:r>
    </w:p>
    <w:p w14:paraId="02742A5B" w14:textId="621B8183" w:rsidR="00046BD5" w:rsidRPr="00DE108C" w:rsidRDefault="00046BD5" w:rsidP="00CA5A2A">
      <w:pPr>
        <w:pStyle w:val="ListBullet"/>
      </w:pPr>
      <w:r w:rsidRPr="00DE108C">
        <w:rPr>
          <w:b/>
          <w:bCs/>
        </w:rPr>
        <w:t xml:space="preserve">Proceeds from disposal: </w:t>
      </w:r>
      <w:r w:rsidRPr="00DE108C">
        <w:t xml:space="preserve">Where Melbourne Water disposes of an asset </w:t>
      </w:r>
      <w:r w:rsidR="3A07B479">
        <w:t xml:space="preserve">that </w:t>
      </w:r>
      <w:r w:rsidRPr="00DE108C">
        <w:t>is part of our RAB, the proceeds of the disposal are removed from our RAB. Proceeds of disposal for assets non-prescribed assets do not impact our RAB. Our proceeds from disposal reflect actuals as per our regulatory accounting statements and a forecast for 2025-26.</w:t>
      </w:r>
    </w:p>
    <w:p w14:paraId="3D898594" w14:textId="54447C18" w:rsidR="00046BD5" w:rsidRPr="00DE108C" w:rsidRDefault="00046BD5" w:rsidP="00CA5A2A">
      <w:pPr>
        <w:pStyle w:val="ListBullet"/>
      </w:pPr>
      <w:r w:rsidRPr="6A26CD0F">
        <w:rPr>
          <w:b/>
          <w:bCs/>
        </w:rPr>
        <w:lastRenderedPageBreak/>
        <w:t>Cap</w:t>
      </w:r>
      <w:r w:rsidR="36DEF892" w:rsidRPr="6A26CD0F">
        <w:rPr>
          <w:b/>
          <w:bCs/>
        </w:rPr>
        <w:t>ital expenditure (</w:t>
      </w:r>
      <w:r w:rsidR="36DEF892" w:rsidRPr="2EFC0F76">
        <w:rPr>
          <w:b/>
          <w:bCs/>
        </w:rPr>
        <w:t>capex)</w:t>
      </w:r>
      <w:r w:rsidRPr="00DE108C">
        <w:rPr>
          <w:b/>
          <w:bCs/>
        </w:rPr>
        <w:t xml:space="preserve"> – Actuals:</w:t>
      </w:r>
      <w:r w:rsidRPr="00DE108C">
        <w:t xml:space="preserve"> For 2020-21 to 2024-25, we are updating the RAB with the capex that is consistent with our financial template, including </w:t>
      </w:r>
      <w:r w:rsidR="39D4F576">
        <w:t>operational expenditure (</w:t>
      </w:r>
      <w:r w:rsidRPr="00DE108C">
        <w:t>opex</w:t>
      </w:r>
      <w:r w:rsidR="2D7542D9">
        <w:t>)</w:t>
      </w:r>
      <w:r w:rsidRPr="00DE108C">
        <w:t xml:space="preserve"> that has been capitalised as reflected in our regulatory accounts.</w:t>
      </w:r>
    </w:p>
    <w:p w14:paraId="5FD65229" w14:textId="2669849F" w:rsidR="00046BD5" w:rsidRPr="00DE108C" w:rsidRDefault="00046BD5" w:rsidP="00CA5A2A">
      <w:pPr>
        <w:pStyle w:val="ListBullet"/>
      </w:pPr>
      <w:r w:rsidRPr="00DE108C">
        <w:rPr>
          <w:b/>
          <w:bCs/>
        </w:rPr>
        <w:t>Capex – Forecast:</w:t>
      </w:r>
      <w:r w:rsidRPr="00DE108C">
        <w:t xml:space="preserve"> We are proposing to use the determination value of capex of </w:t>
      </w:r>
      <w:r w:rsidRPr="001164EE">
        <w:t>$</w:t>
      </w:r>
      <w:r w:rsidR="00725AAD" w:rsidRPr="001164EE">
        <w:t>679</w:t>
      </w:r>
      <w:r w:rsidRPr="00DE108C">
        <w:t xml:space="preserve"> million (including </w:t>
      </w:r>
      <w:r>
        <w:t>desal</w:t>
      </w:r>
      <w:r w:rsidR="3F6B8D06">
        <w:t>ination</w:t>
      </w:r>
      <w:r w:rsidRPr="00DE108C">
        <w:t xml:space="preserve"> capitalisation) from 2021 for the 2025-26 year in the RAB. This is a lower figure than forecast by </w:t>
      </w:r>
      <w:r w:rsidRPr="001164EE">
        <w:t>$49</w:t>
      </w:r>
      <w:r w:rsidR="00725AAD" w:rsidRPr="001164EE">
        <w:t>1</w:t>
      </w:r>
      <w:r w:rsidRPr="001164EE">
        <w:t> million</w:t>
      </w:r>
      <w:r w:rsidRPr="00DE108C">
        <w:t xml:space="preserve">. By adopting this lower figure, as is consistent with the ESC guidance, we are reducing our total revenue requirement over the PS26 period by </w:t>
      </w:r>
      <w:r w:rsidRPr="001164EE">
        <w:t>$</w:t>
      </w:r>
      <w:r w:rsidR="00B85692" w:rsidRPr="001164EE">
        <w:t>124</w:t>
      </w:r>
      <w:r w:rsidR="00725AAD" w:rsidRPr="001164EE">
        <w:t> </w:t>
      </w:r>
      <w:r w:rsidRPr="001164EE">
        <w:t>million.</w:t>
      </w:r>
      <w:r w:rsidRPr="00DE108C">
        <w:t xml:space="preserve"> </w:t>
      </w:r>
    </w:p>
    <w:p w14:paraId="6EFA7345" w14:textId="1FC61533" w:rsidR="00046BD5" w:rsidRPr="00DE108C" w:rsidRDefault="00046BD5" w:rsidP="009F409A">
      <w:pPr>
        <w:pStyle w:val="ListBullet"/>
      </w:pPr>
      <w:r w:rsidRPr="00DE108C">
        <w:rPr>
          <w:b/>
          <w:bCs/>
        </w:rPr>
        <w:t>Contributions:</w:t>
      </w:r>
      <w:r w:rsidRPr="00DE108C">
        <w:t xml:space="preserve"> For 2020-21 to 2025-26, we are updating the RAB based on actual and forecast contributions. We are proposing to incorporate an updated forecast of capital contributions of $24</w:t>
      </w:r>
      <w:r w:rsidR="00725AAD">
        <w:t>5</w:t>
      </w:r>
      <w:r w:rsidRPr="00DE108C">
        <w:t xml:space="preserve"> million </w:t>
      </w:r>
      <w:r w:rsidR="00ED0C9B" w:rsidRPr="007558A3">
        <w:t>for 2025-26</w:t>
      </w:r>
      <w:r w:rsidR="00ED0C9B">
        <w:t xml:space="preserve"> </w:t>
      </w:r>
      <w:r w:rsidRPr="00DE108C">
        <w:t xml:space="preserve">to be rolled into the regulatory asset base for pricing purposes from 1 July 2026. This is $84 million higher than the forecast in the 2021 </w:t>
      </w:r>
      <w:r w:rsidR="7D14307F">
        <w:t>P</w:t>
      </w:r>
      <w:r>
        <w:t xml:space="preserve">rice </w:t>
      </w:r>
      <w:r w:rsidR="2788119D">
        <w:t>D</w:t>
      </w:r>
      <w:r w:rsidRPr="00DE108C">
        <w:t xml:space="preserve">etermination. </w:t>
      </w:r>
    </w:p>
    <w:p w14:paraId="192519A0" w14:textId="77777777" w:rsidR="00046BD5" w:rsidRPr="00DE108C" w:rsidRDefault="00046BD5">
      <w:pPr>
        <w:pStyle w:val="Heading2"/>
      </w:pPr>
      <w:bookmarkStart w:id="810" w:name="_Toc190876168"/>
      <w:bookmarkStart w:id="811" w:name="_Ref192599756"/>
      <w:bookmarkStart w:id="812" w:name="_Ref192606538"/>
      <w:bookmarkStart w:id="813" w:name="_Toc196745267"/>
      <w:bookmarkStart w:id="814" w:name="_Toc207892917"/>
      <w:bookmarkStart w:id="815" w:name="_Toc207853410"/>
      <w:r w:rsidRPr="00DE108C">
        <w:t>8.2 Developer contributions</w:t>
      </w:r>
      <w:bookmarkEnd w:id="810"/>
      <w:bookmarkEnd w:id="811"/>
      <w:bookmarkEnd w:id="812"/>
      <w:bookmarkEnd w:id="813"/>
      <w:bookmarkEnd w:id="814"/>
      <w:bookmarkEnd w:id="815"/>
    </w:p>
    <w:p w14:paraId="3F54D6D5" w14:textId="532603FF" w:rsidR="00046BD5" w:rsidRPr="00DE108C" w:rsidRDefault="00046BD5" w:rsidP="00ED094E">
      <w:r w:rsidRPr="00DE108C">
        <w:t xml:space="preserve">We receive contributions from developers through the </w:t>
      </w:r>
      <w:r w:rsidR="003A389F">
        <w:t>Development Services</w:t>
      </w:r>
      <w:r w:rsidRPr="00DE108C">
        <w:t xml:space="preserve"> Schemes and Stormwater Quality </w:t>
      </w:r>
      <w:r w:rsidR="00680444" w:rsidRPr="00DE108C">
        <w:t>(SWQ)</w:t>
      </w:r>
      <w:r w:rsidR="00680444">
        <w:t xml:space="preserve"> </w:t>
      </w:r>
      <w:r w:rsidRPr="00DE108C">
        <w:t xml:space="preserve">Offsets. </w:t>
      </w:r>
    </w:p>
    <w:p w14:paraId="34C27CB3" w14:textId="485D7FD5" w:rsidR="00046BD5" w:rsidRPr="00DE108C" w:rsidRDefault="00046BD5" w:rsidP="00ED094E">
      <w:r w:rsidRPr="00DE108C">
        <w:t xml:space="preserve">We have calculated the </w:t>
      </w:r>
      <w:r w:rsidR="003A389F">
        <w:t>Development Services</w:t>
      </w:r>
      <w:r w:rsidRPr="00DE108C">
        <w:t xml:space="preserve"> Scheme developer contributions forecast </w:t>
      </w:r>
      <w:r w:rsidR="00E72195" w:rsidRPr="00DE108C">
        <w:t xml:space="preserve">(outlined annually in Table 8.2) </w:t>
      </w:r>
      <w:r w:rsidRPr="00DE108C">
        <w:t>to offset the RAB by:</w:t>
      </w:r>
    </w:p>
    <w:p w14:paraId="2436B845" w14:textId="5D093B0A" w:rsidR="00046BD5" w:rsidRPr="00DE108C" w:rsidRDefault="00046BD5" w:rsidP="00CA5A2A">
      <w:pPr>
        <w:pStyle w:val="ListBullet"/>
      </w:pPr>
      <w:r w:rsidRPr="00DE108C">
        <w:t xml:space="preserve">Forecasting the developable </w:t>
      </w:r>
      <w:r>
        <w:t>hectare</w:t>
      </w:r>
      <w:r w:rsidR="3C5254A4">
        <w:t>s</w:t>
      </w:r>
      <w:r w:rsidRPr="00DE108C">
        <w:t xml:space="preserve"> with the support of external expert advice that provided a forecast of developable hectares by our three growth areas – North, West and South-East. This produced an average developable area of 1,167 hectares per year, or 5,836 hectares over the five-year period. </w:t>
      </w:r>
    </w:p>
    <w:p w14:paraId="6247EF5A" w14:textId="7C1675A0" w:rsidR="00046BD5" w:rsidRPr="00DE108C" w:rsidRDefault="00046BD5" w:rsidP="00CA5A2A">
      <w:pPr>
        <w:pStyle w:val="ListBullet"/>
      </w:pPr>
      <w:r w:rsidRPr="00DE108C">
        <w:t xml:space="preserve">Multiplying this by the average annual </w:t>
      </w:r>
      <w:r w:rsidR="003A389F">
        <w:t>Development Services</w:t>
      </w:r>
      <w:r w:rsidRPr="00DE108C">
        <w:t xml:space="preserve"> Scheme contribution rate for each of our three growth areas, we have incorporated forecast price rises to achieve net present value neutrality as per the latest schemes reviews completed in 2024-25 (for prices to apply from 30 September 2025). </w:t>
      </w:r>
    </w:p>
    <w:p w14:paraId="7CB64A0D" w14:textId="0D280645" w:rsidR="00046BD5" w:rsidRPr="00DE108C" w:rsidRDefault="00046BD5" w:rsidP="00ED094E">
      <w:r w:rsidRPr="00DE108C">
        <w:t xml:space="preserve">Melbourne Water is currently re-calculating the appropriate SWQ offset rate to apply per kilogram of </w:t>
      </w:r>
      <w:r w:rsidR="13464D12">
        <w:t>n</w:t>
      </w:r>
      <w:r w:rsidRPr="00DE108C">
        <w:t>itrogen, in line with the pricing principles in PS21 and whether this should increase. Forecasting the volume of SWQ offsets is challenging as these are a ‘last resort’ for developers that are unable to manage works on site. If the price was to increase, it may be more economically viable for the developer to undertake works on site rather than use our offset scheme. Therefore, for the purposes of PS26, the forecast SWQ offset contribution is as per the last known actual (2024-25) in nominal dollars.</w:t>
      </w:r>
    </w:p>
    <w:p w14:paraId="062AC8C5" w14:textId="6B97BBF1" w:rsidR="2AE6E780" w:rsidRDefault="2AE6E780"/>
    <w:p w14:paraId="7843C650" w14:textId="77777777" w:rsidR="00046BD5" w:rsidRPr="00DE108C" w:rsidRDefault="00046BD5" w:rsidP="00ED094E">
      <w:pPr>
        <w:pStyle w:val="Caption"/>
      </w:pPr>
      <w:bookmarkStart w:id="816" w:name="_Toc207893071"/>
      <w:bookmarkStart w:id="817" w:name="_Toc208490595"/>
      <w:bookmarkStart w:id="818" w:name="_Toc208490933"/>
      <w:bookmarkStart w:id="819" w:name="_Toc208911091"/>
      <w:bookmarkStart w:id="820" w:name="_Toc210051397"/>
      <w:r w:rsidRPr="00DE108C">
        <w:t>Table 8.2: Developer Contribution Forecast 2025-26 to 2030-31 ($millions, real 2025-26 unless otherwise stated)</w:t>
      </w:r>
      <w:bookmarkEnd w:id="816"/>
      <w:bookmarkEnd w:id="817"/>
      <w:bookmarkEnd w:id="818"/>
      <w:bookmarkEnd w:id="819"/>
      <w:bookmarkEnd w:id="820"/>
    </w:p>
    <w:tbl>
      <w:tblPr>
        <w:tblStyle w:val="TableGrid"/>
        <w:tblW w:w="5000" w:type="pct"/>
        <w:tblLook w:val="04A0" w:firstRow="1" w:lastRow="0" w:firstColumn="1" w:lastColumn="0" w:noHBand="0" w:noVBand="1"/>
      </w:tblPr>
      <w:tblGrid>
        <w:gridCol w:w="1794"/>
        <w:gridCol w:w="1305"/>
        <w:gridCol w:w="1305"/>
        <w:gridCol w:w="1306"/>
        <w:gridCol w:w="1306"/>
        <w:gridCol w:w="1306"/>
        <w:gridCol w:w="1306"/>
      </w:tblGrid>
      <w:tr w:rsidR="00556A0D" w:rsidRPr="00DE108C" w14:paraId="72125B0D" w14:textId="77777777" w:rsidTr="00CA5A2A">
        <w:trPr>
          <w:cnfStyle w:val="100000000000" w:firstRow="1" w:lastRow="0" w:firstColumn="0" w:lastColumn="0" w:oddVBand="0" w:evenVBand="0" w:oddHBand="0" w:evenHBand="0" w:firstRowFirstColumn="0" w:firstRowLastColumn="0" w:lastRowFirstColumn="0" w:lastRowLastColumn="0"/>
          <w:tblHeader/>
        </w:trPr>
        <w:tc>
          <w:tcPr>
            <w:tcW w:w="932" w:type="pct"/>
          </w:tcPr>
          <w:p w14:paraId="5B1BD2FD" w14:textId="77777777" w:rsidR="00046BD5" w:rsidRPr="00DE108C" w:rsidRDefault="00046BD5">
            <w:pPr>
              <w:pStyle w:val="BodyText"/>
              <w:rPr>
                <w:rFonts w:asciiTheme="majorHAnsi" w:hAnsiTheme="majorHAnsi"/>
                <w:color w:val="FFFFFF" w:themeColor="background1"/>
                <w:sz w:val="16"/>
                <w:szCs w:val="16"/>
              </w:rPr>
            </w:pPr>
          </w:p>
        </w:tc>
        <w:tc>
          <w:tcPr>
            <w:tcW w:w="678" w:type="pct"/>
          </w:tcPr>
          <w:p w14:paraId="557A0B5A" w14:textId="77777777" w:rsidR="00046BD5" w:rsidRPr="00DE108C" w:rsidRDefault="00046BD5">
            <w:pPr>
              <w:pStyle w:val="BodyTex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2025-26</w:t>
            </w:r>
          </w:p>
        </w:tc>
        <w:tc>
          <w:tcPr>
            <w:tcW w:w="678" w:type="pct"/>
          </w:tcPr>
          <w:p w14:paraId="4612548F" w14:textId="77777777" w:rsidR="00046BD5" w:rsidRPr="00DE108C" w:rsidRDefault="00046BD5">
            <w:pPr>
              <w:pStyle w:val="BodyTex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2026-27</w:t>
            </w:r>
          </w:p>
        </w:tc>
        <w:tc>
          <w:tcPr>
            <w:tcW w:w="678" w:type="pct"/>
          </w:tcPr>
          <w:p w14:paraId="4842DC1F" w14:textId="77777777" w:rsidR="00046BD5" w:rsidRPr="00DE108C" w:rsidRDefault="00046BD5">
            <w:pPr>
              <w:pStyle w:val="BodyTex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2027-28</w:t>
            </w:r>
          </w:p>
        </w:tc>
        <w:tc>
          <w:tcPr>
            <w:tcW w:w="678" w:type="pct"/>
          </w:tcPr>
          <w:p w14:paraId="480379DD" w14:textId="77777777" w:rsidR="00046BD5" w:rsidRPr="00DE108C" w:rsidRDefault="00046BD5">
            <w:pPr>
              <w:pStyle w:val="BodyTex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2028-29</w:t>
            </w:r>
          </w:p>
        </w:tc>
        <w:tc>
          <w:tcPr>
            <w:tcW w:w="678" w:type="pct"/>
          </w:tcPr>
          <w:p w14:paraId="4866DCA4" w14:textId="77777777" w:rsidR="00046BD5" w:rsidRPr="00DE108C" w:rsidRDefault="00046BD5">
            <w:pPr>
              <w:pStyle w:val="BodyTex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2029-30</w:t>
            </w:r>
          </w:p>
        </w:tc>
        <w:tc>
          <w:tcPr>
            <w:tcW w:w="678" w:type="pct"/>
          </w:tcPr>
          <w:p w14:paraId="2D2B52C0" w14:textId="77777777" w:rsidR="00046BD5" w:rsidRPr="00DE108C" w:rsidRDefault="00046BD5">
            <w:pPr>
              <w:pStyle w:val="BodyTex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2030-31</w:t>
            </w:r>
          </w:p>
        </w:tc>
      </w:tr>
      <w:tr w:rsidR="00046BD5" w:rsidRPr="00DE108C" w14:paraId="3CCF6F9C" w14:textId="77777777" w:rsidTr="00666CC6">
        <w:tc>
          <w:tcPr>
            <w:tcW w:w="932" w:type="pct"/>
          </w:tcPr>
          <w:p w14:paraId="453BF09E" w14:textId="2522369D" w:rsidR="00046BD5" w:rsidRPr="00DE108C" w:rsidRDefault="00663B88">
            <w:pPr>
              <w:pStyle w:val="BodyText"/>
              <w:rPr>
                <w:rFonts w:asciiTheme="majorHAnsi" w:hAnsiTheme="majorHAnsi"/>
                <w:b/>
                <w:bCs/>
                <w:sz w:val="16"/>
                <w:szCs w:val="16"/>
              </w:rPr>
            </w:pPr>
            <w:r>
              <w:rPr>
                <w:rFonts w:asciiTheme="majorHAnsi" w:hAnsiTheme="majorHAnsi"/>
                <w:b/>
                <w:bCs/>
                <w:sz w:val="16"/>
                <w:szCs w:val="16"/>
              </w:rPr>
              <w:t>Develop</w:t>
            </w:r>
            <w:r w:rsidR="00045FD1">
              <w:rPr>
                <w:rFonts w:asciiTheme="majorHAnsi" w:hAnsiTheme="majorHAnsi"/>
                <w:b/>
                <w:bCs/>
                <w:sz w:val="16"/>
                <w:szCs w:val="16"/>
              </w:rPr>
              <w:t>ment</w:t>
            </w:r>
            <w:r w:rsidR="00046BD5" w:rsidRPr="00DE108C">
              <w:rPr>
                <w:rFonts w:asciiTheme="majorHAnsi" w:hAnsiTheme="majorHAnsi"/>
                <w:b/>
                <w:bCs/>
                <w:sz w:val="16"/>
                <w:szCs w:val="16"/>
              </w:rPr>
              <w:t xml:space="preserve"> </w:t>
            </w:r>
            <w:r w:rsidR="009F409A">
              <w:rPr>
                <w:rFonts w:asciiTheme="majorHAnsi" w:hAnsiTheme="majorHAnsi"/>
                <w:b/>
                <w:bCs/>
                <w:sz w:val="16"/>
                <w:szCs w:val="16"/>
              </w:rPr>
              <w:t xml:space="preserve">Services </w:t>
            </w:r>
            <w:r w:rsidR="00046BD5" w:rsidRPr="00DE108C">
              <w:rPr>
                <w:rFonts w:asciiTheme="majorHAnsi" w:hAnsiTheme="majorHAnsi"/>
                <w:b/>
                <w:bCs/>
                <w:sz w:val="16"/>
                <w:szCs w:val="16"/>
              </w:rPr>
              <w:t>Schemes (DSS)</w:t>
            </w:r>
          </w:p>
        </w:tc>
        <w:tc>
          <w:tcPr>
            <w:tcW w:w="678" w:type="pct"/>
            <w:vAlign w:val="center"/>
          </w:tcPr>
          <w:p w14:paraId="278AB0A5" w14:textId="77777777" w:rsidR="00046BD5" w:rsidRPr="00DE108C" w:rsidRDefault="00046BD5">
            <w:pPr>
              <w:pStyle w:val="BodyText"/>
              <w:rPr>
                <w:rFonts w:asciiTheme="majorHAnsi" w:hAnsiTheme="majorHAnsi"/>
                <w:color w:val="231F20"/>
                <w:sz w:val="16"/>
                <w:szCs w:val="16"/>
              </w:rPr>
            </w:pPr>
          </w:p>
        </w:tc>
        <w:tc>
          <w:tcPr>
            <w:tcW w:w="678" w:type="pct"/>
            <w:vAlign w:val="center"/>
          </w:tcPr>
          <w:p w14:paraId="0EA77C37" w14:textId="77777777" w:rsidR="00046BD5" w:rsidRPr="00DE108C" w:rsidRDefault="00046BD5">
            <w:pPr>
              <w:pStyle w:val="BodyText"/>
              <w:rPr>
                <w:rFonts w:asciiTheme="majorHAnsi" w:hAnsiTheme="majorHAnsi"/>
                <w:color w:val="231F20"/>
                <w:sz w:val="16"/>
                <w:szCs w:val="16"/>
              </w:rPr>
            </w:pPr>
          </w:p>
        </w:tc>
        <w:tc>
          <w:tcPr>
            <w:tcW w:w="678" w:type="pct"/>
            <w:vAlign w:val="center"/>
          </w:tcPr>
          <w:p w14:paraId="4A550E64" w14:textId="77777777" w:rsidR="00046BD5" w:rsidRPr="00DE108C" w:rsidRDefault="00046BD5">
            <w:pPr>
              <w:pStyle w:val="BodyText"/>
              <w:rPr>
                <w:rFonts w:asciiTheme="majorHAnsi" w:hAnsiTheme="majorHAnsi"/>
                <w:color w:val="231F20"/>
                <w:sz w:val="16"/>
                <w:szCs w:val="16"/>
              </w:rPr>
            </w:pPr>
          </w:p>
        </w:tc>
        <w:tc>
          <w:tcPr>
            <w:tcW w:w="678" w:type="pct"/>
            <w:vAlign w:val="center"/>
          </w:tcPr>
          <w:p w14:paraId="3C15E5F3" w14:textId="77777777" w:rsidR="00046BD5" w:rsidRPr="00DE108C" w:rsidRDefault="00046BD5">
            <w:pPr>
              <w:pStyle w:val="BodyText"/>
              <w:rPr>
                <w:rFonts w:asciiTheme="majorHAnsi" w:hAnsiTheme="majorHAnsi"/>
                <w:color w:val="231F20"/>
                <w:sz w:val="16"/>
                <w:szCs w:val="16"/>
              </w:rPr>
            </w:pPr>
          </w:p>
        </w:tc>
        <w:tc>
          <w:tcPr>
            <w:tcW w:w="678" w:type="pct"/>
            <w:vAlign w:val="center"/>
          </w:tcPr>
          <w:p w14:paraId="2F236A07" w14:textId="77777777" w:rsidR="00046BD5" w:rsidRPr="00DE108C" w:rsidRDefault="00046BD5">
            <w:pPr>
              <w:pStyle w:val="BodyText"/>
              <w:rPr>
                <w:rFonts w:asciiTheme="majorHAnsi" w:hAnsiTheme="majorHAnsi"/>
                <w:color w:val="231F20"/>
                <w:sz w:val="16"/>
                <w:szCs w:val="16"/>
              </w:rPr>
            </w:pPr>
          </w:p>
        </w:tc>
        <w:tc>
          <w:tcPr>
            <w:tcW w:w="678" w:type="pct"/>
            <w:vAlign w:val="center"/>
          </w:tcPr>
          <w:p w14:paraId="7CA764B5" w14:textId="77777777" w:rsidR="00046BD5" w:rsidRPr="00DE108C" w:rsidRDefault="00046BD5">
            <w:pPr>
              <w:pStyle w:val="BodyText"/>
              <w:rPr>
                <w:rFonts w:asciiTheme="majorHAnsi" w:hAnsiTheme="majorHAnsi"/>
                <w:color w:val="231F20"/>
                <w:sz w:val="16"/>
                <w:szCs w:val="16"/>
              </w:rPr>
            </w:pPr>
          </w:p>
        </w:tc>
      </w:tr>
      <w:tr w:rsidR="00556A0D" w:rsidRPr="00DE108C" w14:paraId="778A0627" w14:textId="77777777" w:rsidTr="00666CC6">
        <w:trPr>
          <w:cnfStyle w:val="000000010000" w:firstRow="0" w:lastRow="0" w:firstColumn="0" w:lastColumn="0" w:oddVBand="0" w:evenVBand="0" w:oddHBand="0" w:evenHBand="1" w:firstRowFirstColumn="0" w:firstRowLastColumn="0" w:lastRowFirstColumn="0" w:lastRowLastColumn="0"/>
        </w:trPr>
        <w:tc>
          <w:tcPr>
            <w:tcW w:w="932" w:type="pct"/>
          </w:tcPr>
          <w:p w14:paraId="7CF99740" w14:textId="77777777" w:rsidR="00046BD5" w:rsidRPr="00DE108C" w:rsidRDefault="00046BD5" w:rsidP="00ED094E">
            <w:pPr>
              <w:pStyle w:val="BodyText"/>
              <w:rPr>
                <w:rFonts w:asciiTheme="majorHAnsi" w:hAnsiTheme="majorHAnsi"/>
                <w:sz w:val="16"/>
                <w:szCs w:val="16"/>
              </w:rPr>
            </w:pPr>
            <w:r w:rsidRPr="00DE108C">
              <w:rPr>
                <w:rFonts w:asciiTheme="majorHAnsi" w:hAnsiTheme="majorHAnsi"/>
                <w:sz w:val="16"/>
                <w:szCs w:val="16"/>
              </w:rPr>
              <w:t>Developable Hectares (ha)</w:t>
            </w:r>
          </w:p>
        </w:tc>
        <w:tc>
          <w:tcPr>
            <w:tcW w:w="678" w:type="pct"/>
            <w:vAlign w:val="center"/>
          </w:tcPr>
          <w:p w14:paraId="0E2C5B74"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1,254 </w:t>
            </w:r>
          </w:p>
        </w:tc>
        <w:tc>
          <w:tcPr>
            <w:tcW w:w="678" w:type="pct"/>
            <w:vAlign w:val="center"/>
          </w:tcPr>
          <w:p w14:paraId="56BD2584"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1,194 </w:t>
            </w:r>
          </w:p>
        </w:tc>
        <w:tc>
          <w:tcPr>
            <w:tcW w:w="678" w:type="pct"/>
            <w:vAlign w:val="center"/>
          </w:tcPr>
          <w:p w14:paraId="31551185"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1,180 </w:t>
            </w:r>
          </w:p>
        </w:tc>
        <w:tc>
          <w:tcPr>
            <w:tcW w:w="678" w:type="pct"/>
            <w:vAlign w:val="center"/>
          </w:tcPr>
          <w:p w14:paraId="278DE99E"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1,167 </w:t>
            </w:r>
          </w:p>
        </w:tc>
        <w:tc>
          <w:tcPr>
            <w:tcW w:w="678" w:type="pct"/>
            <w:vAlign w:val="center"/>
          </w:tcPr>
          <w:p w14:paraId="0A48251F"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1,154 </w:t>
            </w:r>
          </w:p>
        </w:tc>
        <w:tc>
          <w:tcPr>
            <w:tcW w:w="678" w:type="pct"/>
            <w:vAlign w:val="center"/>
          </w:tcPr>
          <w:p w14:paraId="0CC4DE1F"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1,141 </w:t>
            </w:r>
          </w:p>
        </w:tc>
      </w:tr>
      <w:tr w:rsidR="00046BD5" w:rsidRPr="00DE108C" w14:paraId="647A0F6D" w14:textId="77777777" w:rsidTr="00666CC6">
        <w:tc>
          <w:tcPr>
            <w:tcW w:w="932" w:type="pct"/>
          </w:tcPr>
          <w:p w14:paraId="051AFD88" w14:textId="77777777" w:rsidR="00046BD5" w:rsidRPr="00DE108C" w:rsidRDefault="00046BD5" w:rsidP="00ED094E">
            <w:pPr>
              <w:pStyle w:val="BodyText"/>
              <w:rPr>
                <w:rFonts w:asciiTheme="majorHAnsi" w:hAnsiTheme="majorHAnsi"/>
                <w:sz w:val="16"/>
                <w:szCs w:val="16"/>
              </w:rPr>
            </w:pPr>
            <w:r w:rsidRPr="00DE108C">
              <w:rPr>
                <w:rFonts w:asciiTheme="majorHAnsi" w:hAnsiTheme="majorHAnsi"/>
                <w:sz w:val="16"/>
                <w:szCs w:val="16"/>
              </w:rPr>
              <w:lastRenderedPageBreak/>
              <w:t>Average per hectare rate ($)</w:t>
            </w:r>
          </w:p>
        </w:tc>
        <w:tc>
          <w:tcPr>
            <w:tcW w:w="678" w:type="pct"/>
            <w:vAlign w:val="center"/>
          </w:tcPr>
          <w:p w14:paraId="777D0B84"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$206,527</w:t>
            </w:r>
          </w:p>
        </w:tc>
        <w:tc>
          <w:tcPr>
            <w:tcW w:w="678" w:type="pct"/>
            <w:vAlign w:val="center"/>
          </w:tcPr>
          <w:p w14:paraId="132FC13D"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$227,816</w:t>
            </w:r>
          </w:p>
        </w:tc>
        <w:tc>
          <w:tcPr>
            <w:tcW w:w="678" w:type="pct"/>
            <w:vAlign w:val="center"/>
          </w:tcPr>
          <w:p w14:paraId="2A15056C"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$238,745</w:t>
            </w:r>
          </w:p>
        </w:tc>
        <w:tc>
          <w:tcPr>
            <w:tcW w:w="678" w:type="pct"/>
            <w:vAlign w:val="center"/>
          </w:tcPr>
          <w:p w14:paraId="037DC5EC"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$242,505</w:t>
            </w:r>
          </w:p>
        </w:tc>
        <w:tc>
          <w:tcPr>
            <w:tcW w:w="678" w:type="pct"/>
            <w:vAlign w:val="center"/>
          </w:tcPr>
          <w:p w14:paraId="0B1E9F5E"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$244,346</w:t>
            </w:r>
          </w:p>
        </w:tc>
        <w:tc>
          <w:tcPr>
            <w:tcW w:w="678" w:type="pct"/>
            <w:vAlign w:val="center"/>
          </w:tcPr>
          <w:p w14:paraId="30D48834"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$243,358</w:t>
            </w:r>
          </w:p>
        </w:tc>
      </w:tr>
      <w:tr w:rsidR="00556A0D" w:rsidRPr="00DE108C" w14:paraId="189DDEC1" w14:textId="77777777" w:rsidTr="00666CC6">
        <w:trPr>
          <w:cnfStyle w:val="000000010000" w:firstRow="0" w:lastRow="0" w:firstColumn="0" w:lastColumn="0" w:oddVBand="0" w:evenVBand="0" w:oddHBand="0" w:evenHBand="1" w:firstRowFirstColumn="0" w:firstRowLastColumn="0" w:lastRowFirstColumn="0" w:lastRowLastColumn="0"/>
        </w:trPr>
        <w:tc>
          <w:tcPr>
            <w:tcW w:w="932" w:type="pct"/>
          </w:tcPr>
          <w:p w14:paraId="39AEAEF3" w14:textId="77777777" w:rsidR="00046BD5" w:rsidRPr="00DE108C" w:rsidRDefault="00046BD5" w:rsidP="00ED094E">
            <w:pPr>
              <w:pStyle w:val="BodyText"/>
              <w:rPr>
                <w:rFonts w:asciiTheme="majorHAnsi" w:hAnsiTheme="majorHAnsi"/>
                <w:b/>
                <w:sz w:val="16"/>
                <w:szCs w:val="16"/>
              </w:rPr>
            </w:pPr>
            <w:r w:rsidRPr="00DE108C">
              <w:rPr>
                <w:rFonts w:asciiTheme="majorHAnsi" w:hAnsiTheme="majorHAnsi"/>
                <w:b/>
                <w:sz w:val="16"/>
                <w:szCs w:val="16"/>
              </w:rPr>
              <w:t xml:space="preserve">Total DSS Contribution </w:t>
            </w:r>
          </w:p>
        </w:tc>
        <w:tc>
          <w:tcPr>
            <w:tcW w:w="678" w:type="pct"/>
            <w:vAlign w:val="center"/>
          </w:tcPr>
          <w:p w14:paraId="7D7A7EC2" w14:textId="77777777" w:rsidR="00046BD5" w:rsidRPr="00DE108C" w:rsidRDefault="00046BD5" w:rsidP="00ED094E">
            <w:pPr>
              <w:pStyle w:val="BodyText"/>
              <w:rPr>
                <w:rFonts w:asciiTheme="majorHAnsi" w:hAnsiTheme="majorHAnsi"/>
                <w:b/>
                <w:bCs/>
                <w:color w:val="auto"/>
                <w:sz w:val="16"/>
                <w:szCs w:val="16"/>
              </w:rPr>
            </w:pPr>
            <w:r w:rsidRPr="00DE108C">
              <w:rPr>
                <w:rFonts w:asciiTheme="majorHAnsi" w:hAnsiTheme="majorHAnsi"/>
                <w:b/>
                <w:bCs/>
                <w:color w:val="231F20"/>
                <w:sz w:val="16"/>
                <w:szCs w:val="16"/>
              </w:rPr>
              <w:t xml:space="preserve"> 259.1 </w:t>
            </w:r>
          </w:p>
        </w:tc>
        <w:tc>
          <w:tcPr>
            <w:tcW w:w="678" w:type="pct"/>
            <w:vAlign w:val="center"/>
          </w:tcPr>
          <w:p w14:paraId="5F5DDA8D" w14:textId="77777777" w:rsidR="00046BD5" w:rsidRPr="00DE108C" w:rsidRDefault="00046BD5" w:rsidP="00ED094E">
            <w:pPr>
              <w:pStyle w:val="BodyText"/>
              <w:rPr>
                <w:rFonts w:asciiTheme="majorHAnsi" w:hAnsiTheme="majorHAnsi"/>
                <w:b/>
                <w:bCs/>
                <w:color w:val="auto"/>
                <w:sz w:val="16"/>
                <w:szCs w:val="16"/>
              </w:rPr>
            </w:pPr>
            <w:r w:rsidRPr="00DE108C">
              <w:rPr>
                <w:rFonts w:asciiTheme="majorHAnsi" w:hAnsiTheme="majorHAnsi"/>
                <w:b/>
                <w:bCs/>
                <w:color w:val="231F20"/>
                <w:sz w:val="16"/>
                <w:szCs w:val="16"/>
              </w:rPr>
              <w:t xml:space="preserve"> 272.0 </w:t>
            </w:r>
          </w:p>
        </w:tc>
        <w:tc>
          <w:tcPr>
            <w:tcW w:w="678" w:type="pct"/>
            <w:vAlign w:val="center"/>
          </w:tcPr>
          <w:p w14:paraId="2E9639A7" w14:textId="77777777" w:rsidR="00046BD5" w:rsidRPr="00DE108C" w:rsidRDefault="00046BD5" w:rsidP="00ED094E">
            <w:pPr>
              <w:pStyle w:val="BodyText"/>
              <w:rPr>
                <w:rFonts w:asciiTheme="majorHAnsi" w:hAnsiTheme="majorHAnsi"/>
                <w:b/>
                <w:bCs/>
                <w:color w:val="auto"/>
                <w:sz w:val="16"/>
                <w:szCs w:val="16"/>
              </w:rPr>
            </w:pPr>
            <w:r w:rsidRPr="00DE108C">
              <w:rPr>
                <w:rFonts w:asciiTheme="majorHAnsi" w:hAnsiTheme="majorHAnsi"/>
                <w:b/>
                <w:bCs/>
                <w:color w:val="231F20"/>
                <w:sz w:val="16"/>
                <w:szCs w:val="16"/>
              </w:rPr>
              <w:t xml:space="preserve"> 281.8 </w:t>
            </w:r>
          </w:p>
        </w:tc>
        <w:tc>
          <w:tcPr>
            <w:tcW w:w="678" w:type="pct"/>
            <w:vAlign w:val="center"/>
          </w:tcPr>
          <w:p w14:paraId="542E7AC2" w14:textId="77777777" w:rsidR="00046BD5" w:rsidRPr="00DE108C" w:rsidRDefault="00046BD5" w:rsidP="00ED094E">
            <w:pPr>
              <w:pStyle w:val="BodyText"/>
              <w:rPr>
                <w:rFonts w:asciiTheme="majorHAnsi" w:hAnsiTheme="majorHAnsi"/>
                <w:b/>
                <w:bCs/>
                <w:color w:val="auto"/>
                <w:sz w:val="16"/>
                <w:szCs w:val="16"/>
              </w:rPr>
            </w:pPr>
            <w:r w:rsidRPr="00DE108C">
              <w:rPr>
                <w:rFonts w:asciiTheme="majorHAnsi" w:hAnsiTheme="majorHAnsi"/>
                <w:b/>
                <w:bCs/>
                <w:color w:val="231F20"/>
                <w:sz w:val="16"/>
                <w:szCs w:val="16"/>
              </w:rPr>
              <w:t xml:space="preserve"> 283.0 </w:t>
            </w:r>
          </w:p>
        </w:tc>
        <w:tc>
          <w:tcPr>
            <w:tcW w:w="678" w:type="pct"/>
            <w:vAlign w:val="center"/>
          </w:tcPr>
          <w:p w14:paraId="16283C12" w14:textId="77777777" w:rsidR="00046BD5" w:rsidRPr="00DE108C" w:rsidRDefault="00046BD5" w:rsidP="00ED094E">
            <w:pPr>
              <w:pStyle w:val="BodyText"/>
              <w:rPr>
                <w:rFonts w:asciiTheme="majorHAnsi" w:hAnsiTheme="majorHAnsi"/>
                <w:b/>
                <w:bCs/>
                <w:color w:val="auto"/>
                <w:sz w:val="16"/>
                <w:szCs w:val="16"/>
              </w:rPr>
            </w:pPr>
            <w:r w:rsidRPr="00DE108C">
              <w:rPr>
                <w:rFonts w:asciiTheme="majorHAnsi" w:hAnsiTheme="majorHAnsi"/>
                <w:b/>
                <w:bCs/>
                <w:color w:val="231F20"/>
                <w:sz w:val="16"/>
                <w:szCs w:val="16"/>
              </w:rPr>
              <w:t xml:space="preserve"> 281.9 </w:t>
            </w:r>
          </w:p>
        </w:tc>
        <w:tc>
          <w:tcPr>
            <w:tcW w:w="678" w:type="pct"/>
            <w:vAlign w:val="center"/>
          </w:tcPr>
          <w:p w14:paraId="20953EFB" w14:textId="77777777" w:rsidR="00046BD5" w:rsidRPr="00DE108C" w:rsidRDefault="00046BD5" w:rsidP="00ED094E">
            <w:pPr>
              <w:pStyle w:val="BodyText"/>
              <w:rPr>
                <w:rFonts w:asciiTheme="majorHAnsi" w:hAnsiTheme="majorHAnsi"/>
                <w:b/>
                <w:bCs/>
                <w:color w:val="auto"/>
                <w:sz w:val="16"/>
                <w:szCs w:val="16"/>
              </w:rPr>
            </w:pPr>
            <w:r w:rsidRPr="00DE108C">
              <w:rPr>
                <w:rFonts w:asciiTheme="majorHAnsi" w:hAnsiTheme="majorHAnsi"/>
                <w:b/>
                <w:bCs/>
                <w:color w:val="231F20"/>
                <w:sz w:val="16"/>
                <w:szCs w:val="16"/>
              </w:rPr>
              <w:t xml:space="preserve"> 277.6 </w:t>
            </w:r>
          </w:p>
        </w:tc>
      </w:tr>
      <w:tr w:rsidR="00046BD5" w:rsidRPr="00DE108C" w14:paraId="3DC591DB" w14:textId="77777777" w:rsidTr="00666CC6">
        <w:tc>
          <w:tcPr>
            <w:tcW w:w="932" w:type="pct"/>
          </w:tcPr>
          <w:p w14:paraId="7B775519" w14:textId="77777777" w:rsidR="00046BD5" w:rsidRPr="00DE108C" w:rsidRDefault="00046BD5" w:rsidP="00ED094E">
            <w:pPr>
              <w:pStyle w:val="BodyText"/>
              <w:rPr>
                <w:rFonts w:asciiTheme="majorHAnsi" w:hAnsiTheme="majorHAnsi"/>
                <w:i/>
                <w:sz w:val="16"/>
                <w:szCs w:val="16"/>
              </w:rPr>
            </w:pPr>
            <w:r w:rsidRPr="00DE108C">
              <w:rPr>
                <w:rFonts w:asciiTheme="majorHAnsi" w:hAnsiTheme="majorHAnsi"/>
                <w:bCs/>
                <w:i/>
                <w:iCs/>
                <w:sz w:val="16"/>
                <w:szCs w:val="16"/>
              </w:rPr>
              <w:t xml:space="preserve">Offsetting RAB </w:t>
            </w:r>
          </w:p>
        </w:tc>
        <w:tc>
          <w:tcPr>
            <w:tcW w:w="678" w:type="pct"/>
            <w:vAlign w:val="center"/>
          </w:tcPr>
          <w:p w14:paraId="2C0888C2"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 242.5 </w:t>
            </w:r>
          </w:p>
        </w:tc>
        <w:tc>
          <w:tcPr>
            <w:tcW w:w="678" w:type="pct"/>
            <w:vAlign w:val="center"/>
          </w:tcPr>
          <w:p w14:paraId="5E734AE0"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 254.6 </w:t>
            </w:r>
          </w:p>
        </w:tc>
        <w:tc>
          <w:tcPr>
            <w:tcW w:w="678" w:type="pct"/>
            <w:vAlign w:val="center"/>
          </w:tcPr>
          <w:p w14:paraId="080C4965"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 263.8 </w:t>
            </w:r>
          </w:p>
        </w:tc>
        <w:tc>
          <w:tcPr>
            <w:tcW w:w="678" w:type="pct"/>
            <w:vAlign w:val="center"/>
          </w:tcPr>
          <w:p w14:paraId="5A686F3F"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 264.9 </w:t>
            </w:r>
          </w:p>
        </w:tc>
        <w:tc>
          <w:tcPr>
            <w:tcW w:w="678" w:type="pct"/>
            <w:vAlign w:val="center"/>
          </w:tcPr>
          <w:p w14:paraId="7380AFA1"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 263.9 </w:t>
            </w:r>
          </w:p>
        </w:tc>
        <w:tc>
          <w:tcPr>
            <w:tcW w:w="678" w:type="pct"/>
            <w:vAlign w:val="center"/>
          </w:tcPr>
          <w:p w14:paraId="2ADEBB56"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 259.8 </w:t>
            </w:r>
          </w:p>
        </w:tc>
      </w:tr>
      <w:tr w:rsidR="00556A0D" w:rsidRPr="00DE108C" w14:paraId="1FD88865" w14:textId="77777777" w:rsidTr="00666CC6">
        <w:trPr>
          <w:cnfStyle w:val="000000010000" w:firstRow="0" w:lastRow="0" w:firstColumn="0" w:lastColumn="0" w:oddVBand="0" w:evenVBand="0" w:oddHBand="0" w:evenHBand="1" w:firstRowFirstColumn="0" w:firstRowLastColumn="0" w:lastRowFirstColumn="0" w:lastRowLastColumn="0"/>
        </w:trPr>
        <w:tc>
          <w:tcPr>
            <w:tcW w:w="932" w:type="pct"/>
          </w:tcPr>
          <w:p w14:paraId="5F796090" w14:textId="121C293B" w:rsidR="00046BD5" w:rsidRPr="00DE108C" w:rsidRDefault="00046BD5" w:rsidP="00ED094E">
            <w:pPr>
              <w:pStyle w:val="BodyText"/>
              <w:rPr>
                <w:rFonts w:asciiTheme="majorHAnsi" w:hAnsiTheme="majorHAnsi"/>
                <w:i/>
                <w:sz w:val="16"/>
                <w:szCs w:val="16"/>
              </w:rPr>
            </w:pPr>
            <w:r w:rsidRPr="00DE108C">
              <w:rPr>
                <w:rFonts w:asciiTheme="majorHAnsi" w:hAnsiTheme="majorHAnsi"/>
                <w:bCs/>
                <w:i/>
                <w:iCs/>
                <w:sz w:val="16"/>
                <w:szCs w:val="16"/>
              </w:rPr>
              <w:t xml:space="preserve">Offsetting </w:t>
            </w:r>
            <w:r w:rsidRPr="5E4F3A99">
              <w:rPr>
                <w:rFonts w:asciiTheme="majorHAnsi" w:hAnsiTheme="majorHAnsi"/>
                <w:i/>
                <w:iCs/>
                <w:sz w:val="16"/>
                <w:szCs w:val="16"/>
              </w:rPr>
              <w:t>W</w:t>
            </w:r>
            <w:r w:rsidR="0AB4141B" w:rsidRPr="5E4F3A99">
              <w:rPr>
                <w:rFonts w:asciiTheme="majorHAnsi" w:hAnsiTheme="majorHAnsi"/>
                <w:i/>
                <w:iCs/>
                <w:sz w:val="16"/>
                <w:szCs w:val="16"/>
              </w:rPr>
              <w:t>aterways and Drainage (</w:t>
            </w:r>
            <w:r w:rsidRPr="00DE108C">
              <w:rPr>
                <w:rFonts w:asciiTheme="majorHAnsi" w:hAnsiTheme="majorHAnsi"/>
                <w:bCs/>
                <w:i/>
                <w:iCs/>
                <w:sz w:val="16"/>
                <w:szCs w:val="16"/>
              </w:rPr>
              <w:t>WWD</w:t>
            </w:r>
            <w:r w:rsidR="3A3C3B6D" w:rsidRPr="0E0A4CD4">
              <w:rPr>
                <w:rFonts w:asciiTheme="majorHAnsi" w:hAnsiTheme="majorHAnsi"/>
                <w:i/>
                <w:iCs/>
                <w:sz w:val="16"/>
                <w:szCs w:val="16"/>
              </w:rPr>
              <w:t>)</w:t>
            </w:r>
            <w:r w:rsidRPr="00DE108C">
              <w:rPr>
                <w:rFonts w:asciiTheme="majorHAnsi" w:hAnsiTheme="majorHAnsi"/>
                <w:bCs/>
                <w:i/>
                <w:iCs/>
                <w:sz w:val="16"/>
                <w:szCs w:val="16"/>
              </w:rPr>
              <w:t xml:space="preserve"> Revenue requirement </w:t>
            </w:r>
          </w:p>
        </w:tc>
        <w:tc>
          <w:tcPr>
            <w:tcW w:w="678" w:type="pct"/>
            <w:vAlign w:val="center"/>
          </w:tcPr>
          <w:p w14:paraId="4E7A64A1"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 16.6 </w:t>
            </w:r>
          </w:p>
        </w:tc>
        <w:tc>
          <w:tcPr>
            <w:tcW w:w="678" w:type="pct"/>
            <w:vAlign w:val="center"/>
          </w:tcPr>
          <w:p w14:paraId="4873590B"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 17.4 </w:t>
            </w:r>
          </w:p>
        </w:tc>
        <w:tc>
          <w:tcPr>
            <w:tcW w:w="678" w:type="pct"/>
            <w:vAlign w:val="center"/>
          </w:tcPr>
          <w:p w14:paraId="0C2BCBB3"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 18.0 </w:t>
            </w:r>
          </w:p>
        </w:tc>
        <w:tc>
          <w:tcPr>
            <w:tcW w:w="678" w:type="pct"/>
            <w:vAlign w:val="center"/>
          </w:tcPr>
          <w:p w14:paraId="07323732"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 18.1 </w:t>
            </w:r>
          </w:p>
        </w:tc>
        <w:tc>
          <w:tcPr>
            <w:tcW w:w="678" w:type="pct"/>
            <w:vAlign w:val="center"/>
          </w:tcPr>
          <w:p w14:paraId="2C7C303D"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 18.0 </w:t>
            </w:r>
          </w:p>
        </w:tc>
        <w:tc>
          <w:tcPr>
            <w:tcW w:w="678" w:type="pct"/>
            <w:vAlign w:val="center"/>
          </w:tcPr>
          <w:p w14:paraId="33535B0B" w14:textId="77777777" w:rsidR="00046BD5" w:rsidRPr="00DE108C" w:rsidRDefault="00046BD5" w:rsidP="00ED094E">
            <w:pPr>
              <w:pStyle w:val="BodyText"/>
              <w:rPr>
                <w:rFonts w:asciiTheme="majorHAnsi" w:hAnsiTheme="majorHAnsi"/>
                <w:color w:val="auto"/>
                <w:sz w:val="16"/>
                <w:szCs w:val="16"/>
              </w:rPr>
            </w:pPr>
            <w:r w:rsidRPr="00DE108C">
              <w:rPr>
                <w:rFonts w:asciiTheme="majorHAnsi" w:hAnsiTheme="majorHAnsi"/>
                <w:color w:val="231F20"/>
                <w:sz w:val="16"/>
                <w:szCs w:val="16"/>
              </w:rPr>
              <w:t xml:space="preserve"> 17.8 </w:t>
            </w:r>
          </w:p>
        </w:tc>
      </w:tr>
      <w:tr w:rsidR="00046BD5" w:rsidRPr="00DE108C" w14:paraId="1E368515" w14:textId="77777777" w:rsidTr="00666CC6">
        <w:tc>
          <w:tcPr>
            <w:tcW w:w="932" w:type="pct"/>
          </w:tcPr>
          <w:p w14:paraId="50F54489" w14:textId="53853625" w:rsidR="00046BD5" w:rsidRPr="00DE108C" w:rsidRDefault="544F10AB" w:rsidP="00ED094E">
            <w:pPr>
              <w:pStyle w:val="BodyText"/>
              <w:rPr>
                <w:rFonts w:asciiTheme="majorHAnsi" w:hAnsiTheme="majorHAnsi"/>
                <w:b/>
                <w:sz w:val="16"/>
                <w:szCs w:val="16"/>
              </w:rPr>
            </w:pPr>
            <w:r w:rsidRPr="5E4F3A99">
              <w:rPr>
                <w:rFonts w:asciiTheme="majorHAnsi" w:hAnsiTheme="majorHAnsi"/>
                <w:b/>
                <w:bCs/>
                <w:sz w:val="16"/>
                <w:szCs w:val="16"/>
              </w:rPr>
              <w:t>SWQ</w:t>
            </w:r>
          </w:p>
        </w:tc>
        <w:tc>
          <w:tcPr>
            <w:tcW w:w="678" w:type="pct"/>
            <w:vAlign w:val="center"/>
          </w:tcPr>
          <w:p w14:paraId="6C531E4C" w14:textId="77777777" w:rsidR="00046BD5" w:rsidRPr="00DE108C" w:rsidRDefault="00046BD5" w:rsidP="00ED094E">
            <w:pPr>
              <w:pStyle w:val="BodyText"/>
              <w:rPr>
                <w:rFonts w:asciiTheme="majorHAnsi" w:hAnsiTheme="majorHAnsi"/>
                <w:b/>
                <w:bCs/>
                <w:color w:val="auto"/>
                <w:sz w:val="16"/>
                <w:szCs w:val="16"/>
              </w:rPr>
            </w:pPr>
            <w:r w:rsidRPr="00DE108C">
              <w:rPr>
                <w:rFonts w:asciiTheme="majorHAnsi" w:hAnsiTheme="majorHAnsi"/>
                <w:b/>
                <w:color w:val="231F20"/>
                <w:sz w:val="16"/>
                <w:szCs w:val="16"/>
              </w:rPr>
              <w:t xml:space="preserve"> 2.2 </w:t>
            </w:r>
          </w:p>
        </w:tc>
        <w:tc>
          <w:tcPr>
            <w:tcW w:w="678" w:type="pct"/>
            <w:vAlign w:val="center"/>
          </w:tcPr>
          <w:p w14:paraId="4BBE4457" w14:textId="77777777" w:rsidR="00046BD5" w:rsidRPr="00DE108C" w:rsidRDefault="00046BD5" w:rsidP="00ED094E">
            <w:pPr>
              <w:pStyle w:val="BodyText"/>
              <w:rPr>
                <w:rFonts w:asciiTheme="majorHAnsi" w:hAnsiTheme="majorHAnsi"/>
                <w:b/>
                <w:bCs/>
                <w:color w:val="auto"/>
                <w:sz w:val="16"/>
                <w:szCs w:val="16"/>
              </w:rPr>
            </w:pPr>
            <w:r w:rsidRPr="00DE108C">
              <w:rPr>
                <w:rFonts w:asciiTheme="majorHAnsi" w:hAnsiTheme="majorHAnsi"/>
                <w:b/>
                <w:color w:val="231F20"/>
                <w:sz w:val="16"/>
                <w:szCs w:val="16"/>
              </w:rPr>
              <w:t xml:space="preserve"> 2.1 </w:t>
            </w:r>
          </w:p>
        </w:tc>
        <w:tc>
          <w:tcPr>
            <w:tcW w:w="678" w:type="pct"/>
            <w:vAlign w:val="center"/>
          </w:tcPr>
          <w:p w14:paraId="5D50ABD3" w14:textId="77777777" w:rsidR="00046BD5" w:rsidRPr="00DE108C" w:rsidRDefault="00046BD5" w:rsidP="00ED094E">
            <w:pPr>
              <w:pStyle w:val="BodyText"/>
              <w:rPr>
                <w:rFonts w:asciiTheme="majorHAnsi" w:hAnsiTheme="majorHAnsi"/>
                <w:b/>
                <w:bCs/>
                <w:color w:val="auto"/>
                <w:sz w:val="16"/>
                <w:szCs w:val="16"/>
              </w:rPr>
            </w:pPr>
            <w:r w:rsidRPr="00DE108C">
              <w:rPr>
                <w:rFonts w:asciiTheme="majorHAnsi" w:hAnsiTheme="majorHAnsi"/>
                <w:b/>
                <w:color w:val="231F20"/>
                <w:sz w:val="16"/>
                <w:szCs w:val="16"/>
              </w:rPr>
              <w:t xml:space="preserve"> 2.1 </w:t>
            </w:r>
          </w:p>
        </w:tc>
        <w:tc>
          <w:tcPr>
            <w:tcW w:w="678" w:type="pct"/>
            <w:vAlign w:val="center"/>
          </w:tcPr>
          <w:p w14:paraId="7ADC9EE8" w14:textId="77777777" w:rsidR="00046BD5" w:rsidRPr="00DE108C" w:rsidRDefault="00046BD5" w:rsidP="00ED094E">
            <w:pPr>
              <w:pStyle w:val="BodyText"/>
              <w:rPr>
                <w:rFonts w:asciiTheme="majorHAnsi" w:hAnsiTheme="majorHAnsi"/>
                <w:b/>
                <w:bCs/>
                <w:color w:val="auto"/>
                <w:sz w:val="16"/>
                <w:szCs w:val="16"/>
              </w:rPr>
            </w:pPr>
            <w:r w:rsidRPr="00DE108C">
              <w:rPr>
                <w:rFonts w:asciiTheme="majorHAnsi" w:hAnsiTheme="majorHAnsi"/>
                <w:b/>
                <w:color w:val="231F20"/>
                <w:sz w:val="16"/>
                <w:szCs w:val="16"/>
              </w:rPr>
              <w:t xml:space="preserve"> 2.0 </w:t>
            </w:r>
          </w:p>
        </w:tc>
        <w:tc>
          <w:tcPr>
            <w:tcW w:w="678" w:type="pct"/>
            <w:vAlign w:val="center"/>
          </w:tcPr>
          <w:p w14:paraId="7CC921A3" w14:textId="77777777" w:rsidR="00046BD5" w:rsidRPr="00DE108C" w:rsidRDefault="00046BD5" w:rsidP="00ED094E">
            <w:pPr>
              <w:pStyle w:val="BodyText"/>
              <w:rPr>
                <w:rFonts w:asciiTheme="majorHAnsi" w:hAnsiTheme="majorHAnsi"/>
                <w:b/>
                <w:bCs/>
                <w:color w:val="auto"/>
                <w:sz w:val="16"/>
                <w:szCs w:val="16"/>
              </w:rPr>
            </w:pPr>
            <w:r w:rsidRPr="00DE108C">
              <w:rPr>
                <w:rFonts w:asciiTheme="majorHAnsi" w:hAnsiTheme="majorHAnsi"/>
                <w:b/>
                <w:color w:val="231F20"/>
                <w:sz w:val="16"/>
                <w:szCs w:val="16"/>
              </w:rPr>
              <w:t xml:space="preserve"> 2.0 </w:t>
            </w:r>
          </w:p>
        </w:tc>
        <w:tc>
          <w:tcPr>
            <w:tcW w:w="678" w:type="pct"/>
            <w:vAlign w:val="center"/>
          </w:tcPr>
          <w:p w14:paraId="4B1C780E" w14:textId="77777777" w:rsidR="00046BD5" w:rsidRPr="00DE108C" w:rsidRDefault="00046BD5" w:rsidP="00ED094E">
            <w:pPr>
              <w:pStyle w:val="BodyText"/>
              <w:rPr>
                <w:rFonts w:asciiTheme="majorHAnsi" w:hAnsiTheme="majorHAnsi"/>
                <w:b/>
                <w:bCs/>
                <w:color w:val="auto"/>
                <w:sz w:val="16"/>
                <w:szCs w:val="16"/>
              </w:rPr>
            </w:pPr>
            <w:r w:rsidRPr="00DE108C">
              <w:rPr>
                <w:rFonts w:asciiTheme="majorHAnsi" w:hAnsiTheme="majorHAnsi"/>
                <w:b/>
                <w:color w:val="231F20"/>
                <w:sz w:val="16"/>
                <w:szCs w:val="16"/>
              </w:rPr>
              <w:t xml:space="preserve"> 1.9 </w:t>
            </w:r>
          </w:p>
        </w:tc>
      </w:tr>
      <w:tr w:rsidR="00556A0D" w:rsidRPr="00DE108C" w14:paraId="09CBB93E" w14:textId="77777777" w:rsidTr="00666CC6">
        <w:trPr>
          <w:cnfStyle w:val="000000010000" w:firstRow="0" w:lastRow="0" w:firstColumn="0" w:lastColumn="0" w:oddVBand="0" w:evenVBand="0" w:oddHBand="0" w:evenHBand="1" w:firstRowFirstColumn="0" w:firstRowLastColumn="0" w:lastRowFirstColumn="0" w:lastRowLastColumn="0"/>
        </w:trPr>
        <w:tc>
          <w:tcPr>
            <w:tcW w:w="932" w:type="pct"/>
          </w:tcPr>
          <w:p w14:paraId="2C9C41DC" w14:textId="77777777" w:rsidR="00046BD5" w:rsidRPr="00DE108C" w:rsidRDefault="00046BD5" w:rsidP="00ED094E">
            <w:pPr>
              <w:pStyle w:val="BodyText"/>
              <w:rPr>
                <w:rFonts w:asciiTheme="majorHAnsi" w:hAnsiTheme="majorHAnsi"/>
                <w:b/>
                <w:i/>
                <w:sz w:val="16"/>
                <w:szCs w:val="16"/>
              </w:rPr>
            </w:pPr>
            <w:r w:rsidRPr="00DE108C">
              <w:rPr>
                <w:rFonts w:asciiTheme="majorHAnsi" w:hAnsiTheme="majorHAnsi"/>
                <w:b/>
                <w:i/>
                <w:sz w:val="16"/>
                <w:szCs w:val="16"/>
              </w:rPr>
              <w:t xml:space="preserve">Total customer contributions offsetting RAB </w:t>
            </w:r>
          </w:p>
        </w:tc>
        <w:tc>
          <w:tcPr>
            <w:tcW w:w="678" w:type="pct"/>
            <w:vAlign w:val="center"/>
          </w:tcPr>
          <w:p w14:paraId="0197567D" w14:textId="77777777" w:rsidR="00046BD5" w:rsidRPr="00DE108C" w:rsidRDefault="00046BD5" w:rsidP="00ED094E">
            <w:pPr>
              <w:pStyle w:val="BodyText"/>
              <w:rPr>
                <w:rFonts w:asciiTheme="majorHAnsi" w:hAnsiTheme="majorHAnsi"/>
                <w:b/>
                <w:i/>
                <w:color w:val="auto"/>
                <w:sz w:val="16"/>
                <w:szCs w:val="16"/>
              </w:rPr>
            </w:pPr>
            <w:r w:rsidRPr="00DE108C">
              <w:rPr>
                <w:rFonts w:asciiTheme="majorHAnsi" w:hAnsiTheme="majorHAnsi"/>
                <w:b/>
                <w:i/>
                <w:color w:val="231F20"/>
                <w:sz w:val="16"/>
                <w:szCs w:val="16"/>
              </w:rPr>
              <w:t xml:space="preserve"> 244.7 </w:t>
            </w:r>
          </w:p>
        </w:tc>
        <w:tc>
          <w:tcPr>
            <w:tcW w:w="678" w:type="pct"/>
            <w:vAlign w:val="center"/>
          </w:tcPr>
          <w:p w14:paraId="25DDAA6A" w14:textId="77777777" w:rsidR="00046BD5" w:rsidRPr="00DE108C" w:rsidRDefault="00046BD5" w:rsidP="00ED094E">
            <w:pPr>
              <w:pStyle w:val="BodyText"/>
              <w:rPr>
                <w:rFonts w:asciiTheme="majorHAnsi" w:hAnsiTheme="majorHAnsi"/>
                <w:b/>
                <w:i/>
                <w:color w:val="auto"/>
                <w:sz w:val="16"/>
                <w:szCs w:val="16"/>
              </w:rPr>
            </w:pPr>
            <w:r w:rsidRPr="00DE108C">
              <w:rPr>
                <w:rFonts w:asciiTheme="majorHAnsi" w:hAnsiTheme="majorHAnsi"/>
                <w:b/>
                <w:i/>
                <w:color w:val="231F20"/>
                <w:sz w:val="16"/>
                <w:szCs w:val="16"/>
              </w:rPr>
              <w:t xml:space="preserve"> 256.7 </w:t>
            </w:r>
          </w:p>
        </w:tc>
        <w:tc>
          <w:tcPr>
            <w:tcW w:w="678" w:type="pct"/>
            <w:vAlign w:val="center"/>
          </w:tcPr>
          <w:p w14:paraId="43DF7668" w14:textId="77777777" w:rsidR="00046BD5" w:rsidRPr="00DE108C" w:rsidRDefault="00046BD5" w:rsidP="00ED094E">
            <w:pPr>
              <w:pStyle w:val="BodyText"/>
              <w:rPr>
                <w:rFonts w:asciiTheme="majorHAnsi" w:hAnsiTheme="majorHAnsi"/>
                <w:b/>
                <w:i/>
                <w:color w:val="auto"/>
                <w:sz w:val="16"/>
                <w:szCs w:val="16"/>
              </w:rPr>
            </w:pPr>
            <w:r w:rsidRPr="00DE108C">
              <w:rPr>
                <w:rFonts w:asciiTheme="majorHAnsi" w:hAnsiTheme="majorHAnsi"/>
                <w:b/>
                <w:i/>
                <w:color w:val="231F20"/>
                <w:sz w:val="16"/>
                <w:szCs w:val="16"/>
              </w:rPr>
              <w:t xml:space="preserve"> 265.8 </w:t>
            </w:r>
          </w:p>
        </w:tc>
        <w:tc>
          <w:tcPr>
            <w:tcW w:w="678" w:type="pct"/>
            <w:vAlign w:val="center"/>
          </w:tcPr>
          <w:p w14:paraId="6ECE4736" w14:textId="77777777" w:rsidR="00046BD5" w:rsidRPr="00DE108C" w:rsidRDefault="00046BD5" w:rsidP="00ED094E">
            <w:pPr>
              <w:pStyle w:val="BodyText"/>
              <w:rPr>
                <w:rFonts w:asciiTheme="majorHAnsi" w:hAnsiTheme="majorHAnsi"/>
                <w:b/>
                <w:i/>
                <w:color w:val="auto"/>
                <w:sz w:val="16"/>
                <w:szCs w:val="16"/>
              </w:rPr>
            </w:pPr>
            <w:r w:rsidRPr="00DE108C">
              <w:rPr>
                <w:rFonts w:asciiTheme="majorHAnsi" w:hAnsiTheme="majorHAnsi"/>
                <w:b/>
                <w:i/>
                <w:color w:val="231F20"/>
                <w:sz w:val="16"/>
                <w:szCs w:val="16"/>
              </w:rPr>
              <w:t xml:space="preserve"> 266.9 </w:t>
            </w:r>
          </w:p>
        </w:tc>
        <w:tc>
          <w:tcPr>
            <w:tcW w:w="678" w:type="pct"/>
            <w:vAlign w:val="center"/>
          </w:tcPr>
          <w:p w14:paraId="7A8ED973" w14:textId="77777777" w:rsidR="00046BD5" w:rsidRPr="00DE108C" w:rsidRDefault="00046BD5" w:rsidP="00ED094E">
            <w:pPr>
              <w:pStyle w:val="BodyText"/>
              <w:rPr>
                <w:rFonts w:asciiTheme="majorHAnsi" w:hAnsiTheme="majorHAnsi"/>
                <w:b/>
                <w:i/>
                <w:color w:val="auto"/>
                <w:sz w:val="16"/>
                <w:szCs w:val="16"/>
              </w:rPr>
            </w:pPr>
            <w:r w:rsidRPr="00DE108C">
              <w:rPr>
                <w:rFonts w:asciiTheme="majorHAnsi" w:hAnsiTheme="majorHAnsi"/>
                <w:b/>
                <w:i/>
                <w:color w:val="231F20"/>
                <w:sz w:val="16"/>
                <w:szCs w:val="16"/>
              </w:rPr>
              <w:t xml:space="preserve"> 265.8 </w:t>
            </w:r>
          </w:p>
        </w:tc>
        <w:tc>
          <w:tcPr>
            <w:tcW w:w="678" w:type="pct"/>
            <w:vAlign w:val="center"/>
          </w:tcPr>
          <w:p w14:paraId="55391447" w14:textId="77777777" w:rsidR="00046BD5" w:rsidRPr="00DE108C" w:rsidRDefault="00046BD5" w:rsidP="00ED094E">
            <w:pPr>
              <w:pStyle w:val="BodyText"/>
              <w:rPr>
                <w:rFonts w:asciiTheme="majorHAnsi" w:hAnsiTheme="majorHAnsi"/>
                <w:b/>
                <w:i/>
                <w:color w:val="auto"/>
                <w:sz w:val="16"/>
                <w:szCs w:val="16"/>
              </w:rPr>
            </w:pPr>
            <w:r w:rsidRPr="00DE108C">
              <w:rPr>
                <w:rFonts w:asciiTheme="majorHAnsi" w:hAnsiTheme="majorHAnsi"/>
                <w:b/>
                <w:i/>
                <w:color w:val="231F20"/>
                <w:sz w:val="16"/>
                <w:szCs w:val="16"/>
              </w:rPr>
              <w:t xml:space="preserve"> 261.8 </w:t>
            </w:r>
          </w:p>
        </w:tc>
      </w:tr>
    </w:tbl>
    <w:p w14:paraId="678E4401" w14:textId="77777777" w:rsidR="00046BD5" w:rsidRPr="00DE108C" w:rsidRDefault="00046BD5" w:rsidP="00ED094E">
      <w:r w:rsidRPr="00DE108C">
        <w:t xml:space="preserve">Melbourne Water will provide the ESC with an update for the forecast at draft decision time and closer to the determination if requested. </w:t>
      </w:r>
    </w:p>
    <w:p w14:paraId="57D3DB50" w14:textId="77777777" w:rsidR="00046BD5" w:rsidRPr="00DE108C" w:rsidRDefault="00046BD5">
      <w:pPr>
        <w:pStyle w:val="BodyText"/>
        <w:rPr>
          <w:sz w:val="22"/>
          <w:szCs w:val="22"/>
        </w:rPr>
      </w:pPr>
    </w:p>
    <w:p w14:paraId="75917D0D" w14:textId="77777777" w:rsidR="00046BD5" w:rsidRPr="00DE108C" w:rsidRDefault="00046BD5">
      <w:pPr>
        <w:pStyle w:val="Heading2"/>
      </w:pPr>
      <w:bookmarkStart w:id="821" w:name="_Toc207892918"/>
      <w:bookmarkStart w:id="822" w:name="_Toc207853411"/>
      <w:r w:rsidRPr="00DE108C">
        <w:t>8.3 Government contributions</w:t>
      </w:r>
      <w:bookmarkEnd w:id="821"/>
      <w:bookmarkEnd w:id="822"/>
    </w:p>
    <w:p w14:paraId="697758A0" w14:textId="77777777" w:rsidR="00046BD5" w:rsidRPr="00DE108C" w:rsidRDefault="00046BD5" w:rsidP="00ED094E">
      <w:r w:rsidRPr="00DE108C">
        <w:t>We receive government contributions for some projects that offset the investments. Our forecast for government contributions is shown in Table 8.3.</w:t>
      </w:r>
    </w:p>
    <w:p w14:paraId="228FEA89" w14:textId="77777777" w:rsidR="00046BD5" w:rsidRPr="00DE108C" w:rsidRDefault="00046BD5" w:rsidP="00ED094E">
      <w:pPr>
        <w:pStyle w:val="Caption"/>
      </w:pPr>
      <w:bookmarkStart w:id="823" w:name="_Toc207893072"/>
      <w:bookmarkStart w:id="824" w:name="_Toc208490596"/>
      <w:bookmarkStart w:id="825" w:name="_Toc208490934"/>
      <w:bookmarkStart w:id="826" w:name="_Toc208911092"/>
      <w:bookmarkStart w:id="827" w:name="_Toc210051398"/>
      <w:r w:rsidRPr="00DE108C">
        <w:t>Table 8.3: Government Contribution Forecast 2026-27 – 2030-31 ($millions, real 2025-26)</w:t>
      </w:r>
      <w:bookmarkEnd w:id="823"/>
      <w:bookmarkEnd w:id="824"/>
      <w:bookmarkEnd w:id="825"/>
      <w:bookmarkEnd w:id="826"/>
      <w:bookmarkEnd w:id="827"/>
    </w:p>
    <w:tbl>
      <w:tblPr>
        <w:tblStyle w:val="TableGrid"/>
        <w:tblW w:w="5000" w:type="pct"/>
        <w:tblLook w:val="04A0" w:firstRow="1" w:lastRow="0" w:firstColumn="1" w:lastColumn="0" w:noHBand="0" w:noVBand="1"/>
      </w:tblPr>
      <w:tblGrid>
        <w:gridCol w:w="1705"/>
        <w:gridCol w:w="1320"/>
        <w:gridCol w:w="1321"/>
        <w:gridCol w:w="1321"/>
        <w:gridCol w:w="1319"/>
        <w:gridCol w:w="1321"/>
        <w:gridCol w:w="1321"/>
      </w:tblGrid>
      <w:tr w:rsidR="00556A0D" w:rsidRPr="00442868" w14:paraId="247FB048" w14:textId="77777777" w:rsidTr="00CA5A2A">
        <w:trPr>
          <w:cnfStyle w:val="100000000000" w:firstRow="1" w:lastRow="0" w:firstColumn="0" w:lastColumn="0" w:oddVBand="0" w:evenVBand="0" w:oddHBand="0" w:evenHBand="0" w:firstRowFirstColumn="0" w:firstRowLastColumn="0" w:lastRowFirstColumn="0" w:lastRowLastColumn="0"/>
          <w:cantSplit/>
          <w:tblHeader/>
        </w:trPr>
        <w:tc>
          <w:tcPr>
            <w:tcW w:w="885" w:type="pct"/>
          </w:tcPr>
          <w:p w14:paraId="06255FA4" w14:textId="77777777" w:rsidR="00046BD5" w:rsidRPr="00442868" w:rsidRDefault="00046BD5">
            <w:pPr>
              <w:pStyle w:val="BodyText"/>
              <w:rPr>
                <w:color w:val="FFFFFF" w:themeColor="background1"/>
                <w:sz w:val="16"/>
                <w:szCs w:val="16"/>
              </w:rPr>
            </w:pPr>
          </w:p>
        </w:tc>
        <w:tc>
          <w:tcPr>
            <w:tcW w:w="685" w:type="pct"/>
          </w:tcPr>
          <w:p w14:paraId="62D2D032" w14:textId="77777777" w:rsidR="00046BD5" w:rsidRPr="00442868" w:rsidRDefault="00046BD5">
            <w:pPr>
              <w:pStyle w:val="BodyText"/>
              <w:rPr>
                <w:b/>
                <w:color w:val="FFFFFF" w:themeColor="background1"/>
                <w:sz w:val="16"/>
                <w:szCs w:val="16"/>
              </w:rPr>
            </w:pPr>
            <w:r w:rsidRPr="00442868">
              <w:rPr>
                <w:b/>
                <w:color w:val="FFFFFF" w:themeColor="background1"/>
                <w:sz w:val="16"/>
                <w:szCs w:val="16"/>
              </w:rPr>
              <w:t>2025-26</w:t>
            </w:r>
          </w:p>
        </w:tc>
        <w:tc>
          <w:tcPr>
            <w:tcW w:w="686" w:type="pct"/>
          </w:tcPr>
          <w:p w14:paraId="4C8A0227" w14:textId="77777777" w:rsidR="00046BD5" w:rsidRPr="00442868" w:rsidRDefault="00046BD5">
            <w:pPr>
              <w:pStyle w:val="BodyText"/>
              <w:rPr>
                <w:b/>
                <w:color w:val="FFFFFF" w:themeColor="background1"/>
                <w:sz w:val="16"/>
                <w:szCs w:val="16"/>
              </w:rPr>
            </w:pPr>
            <w:r w:rsidRPr="00442868">
              <w:rPr>
                <w:b/>
                <w:color w:val="FFFFFF" w:themeColor="background1"/>
                <w:sz w:val="16"/>
                <w:szCs w:val="16"/>
              </w:rPr>
              <w:t>2026-27</w:t>
            </w:r>
          </w:p>
        </w:tc>
        <w:tc>
          <w:tcPr>
            <w:tcW w:w="686" w:type="pct"/>
          </w:tcPr>
          <w:p w14:paraId="658172E6" w14:textId="77777777" w:rsidR="00046BD5" w:rsidRPr="00442868" w:rsidRDefault="00046BD5">
            <w:pPr>
              <w:pStyle w:val="BodyText"/>
              <w:rPr>
                <w:b/>
                <w:color w:val="FFFFFF" w:themeColor="background1"/>
                <w:sz w:val="16"/>
                <w:szCs w:val="16"/>
              </w:rPr>
            </w:pPr>
            <w:r w:rsidRPr="00442868">
              <w:rPr>
                <w:b/>
                <w:color w:val="FFFFFF" w:themeColor="background1"/>
                <w:sz w:val="16"/>
                <w:szCs w:val="16"/>
              </w:rPr>
              <w:t>2027-28</w:t>
            </w:r>
          </w:p>
        </w:tc>
        <w:tc>
          <w:tcPr>
            <w:tcW w:w="685" w:type="pct"/>
          </w:tcPr>
          <w:p w14:paraId="3221CE80" w14:textId="77777777" w:rsidR="00046BD5" w:rsidRPr="00442868" w:rsidRDefault="00046BD5">
            <w:pPr>
              <w:pStyle w:val="BodyText"/>
              <w:rPr>
                <w:b/>
                <w:color w:val="FFFFFF" w:themeColor="background1"/>
                <w:sz w:val="16"/>
                <w:szCs w:val="16"/>
              </w:rPr>
            </w:pPr>
            <w:r w:rsidRPr="00442868">
              <w:rPr>
                <w:b/>
                <w:color w:val="FFFFFF" w:themeColor="background1"/>
                <w:sz w:val="16"/>
                <w:szCs w:val="16"/>
              </w:rPr>
              <w:t>2028-29</w:t>
            </w:r>
          </w:p>
        </w:tc>
        <w:tc>
          <w:tcPr>
            <w:tcW w:w="686" w:type="pct"/>
          </w:tcPr>
          <w:p w14:paraId="55FBE262" w14:textId="77777777" w:rsidR="00046BD5" w:rsidRPr="00442868" w:rsidRDefault="00046BD5">
            <w:pPr>
              <w:pStyle w:val="BodyText"/>
              <w:rPr>
                <w:b/>
                <w:color w:val="FFFFFF" w:themeColor="background1"/>
                <w:sz w:val="16"/>
                <w:szCs w:val="16"/>
              </w:rPr>
            </w:pPr>
            <w:r w:rsidRPr="00442868">
              <w:rPr>
                <w:b/>
                <w:color w:val="FFFFFF" w:themeColor="background1"/>
                <w:sz w:val="16"/>
                <w:szCs w:val="16"/>
              </w:rPr>
              <w:t>2029-30</w:t>
            </w:r>
          </w:p>
        </w:tc>
        <w:tc>
          <w:tcPr>
            <w:tcW w:w="686" w:type="pct"/>
          </w:tcPr>
          <w:p w14:paraId="3B28BA4B" w14:textId="77777777" w:rsidR="00046BD5" w:rsidRPr="00442868" w:rsidRDefault="00046BD5">
            <w:pPr>
              <w:pStyle w:val="BodyText"/>
              <w:rPr>
                <w:b/>
                <w:color w:val="FFFFFF" w:themeColor="background1"/>
                <w:sz w:val="16"/>
                <w:szCs w:val="16"/>
              </w:rPr>
            </w:pPr>
            <w:r w:rsidRPr="00442868">
              <w:rPr>
                <w:b/>
                <w:color w:val="FFFFFF" w:themeColor="background1"/>
                <w:sz w:val="16"/>
                <w:szCs w:val="16"/>
              </w:rPr>
              <w:t>2030-31</w:t>
            </w:r>
          </w:p>
        </w:tc>
      </w:tr>
      <w:tr w:rsidR="00046BD5" w:rsidRPr="00442868" w14:paraId="2E7AD7DA" w14:textId="77777777" w:rsidTr="00442868">
        <w:trPr>
          <w:trHeight w:val="42"/>
        </w:trPr>
        <w:tc>
          <w:tcPr>
            <w:tcW w:w="885" w:type="pct"/>
          </w:tcPr>
          <w:p w14:paraId="519A763F" w14:textId="77777777" w:rsidR="00046BD5" w:rsidRPr="00442868" w:rsidRDefault="00046BD5">
            <w:pPr>
              <w:pStyle w:val="BodyText"/>
              <w:rPr>
                <w:sz w:val="16"/>
                <w:szCs w:val="16"/>
              </w:rPr>
            </w:pPr>
            <w:r w:rsidRPr="00442868">
              <w:rPr>
                <w:sz w:val="16"/>
                <w:szCs w:val="16"/>
              </w:rPr>
              <w:t>Water</w:t>
            </w:r>
          </w:p>
        </w:tc>
        <w:tc>
          <w:tcPr>
            <w:tcW w:w="685" w:type="pct"/>
          </w:tcPr>
          <w:p w14:paraId="2DB742A7" w14:textId="77777777" w:rsidR="00046BD5" w:rsidRPr="00442868" w:rsidRDefault="00046BD5">
            <w:pPr>
              <w:pStyle w:val="BodyText"/>
              <w:rPr>
                <w:sz w:val="16"/>
                <w:szCs w:val="16"/>
              </w:rPr>
            </w:pPr>
            <w:r w:rsidRPr="00442868">
              <w:rPr>
                <w:sz w:val="16"/>
                <w:szCs w:val="16"/>
              </w:rPr>
              <w:t>-</w:t>
            </w:r>
          </w:p>
        </w:tc>
        <w:tc>
          <w:tcPr>
            <w:tcW w:w="686" w:type="pct"/>
            <w:vAlign w:val="bottom"/>
          </w:tcPr>
          <w:p w14:paraId="6A84CC7E" w14:textId="77777777" w:rsidR="00046BD5" w:rsidRPr="00442868" w:rsidRDefault="00046BD5">
            <w:pPr>
              <w:pStyle w:val="BodyText"/>
              <w:rPr>
                <w:sz w:val="16"/>
                <w:szCs w:val="16"/>
              </w:rPr>
            </w:pPr>
            <w:r w:rsidRPr="00442868">
              <w:rPr>
                <w:sz w:val="16"/>
                <w:szCs w:val="16"/>
              </w:rPr>
              <w:t>-</w:t>
            </w:r>
          </w:p>
        </w:tc>
        <w:tc>
          <w:tcPr>
            <w:tcW w:w="686" w:type="pct"/>
            <w:vAlign w:val="bottom"/>
          </w:tcPr>
          <w:p w14:paraId="03A5F716" w14:textId="77777777" w:rsidR="00046BD5" w:rsidRPr="00442868" w:rsidRDefault="00046BD5">
            <w:pPr>
              <w:pStyle w:val="BodyText"/>
              <w:rPr>
                <w:sz w:val="16"/>
                <w:szCs w:val="16"/>
              </w:rPr>
            </w:pPr>
            <w:r w:rsidRPr="00442868">
              <w:rPr>
                <w:sz w:val="16"/>
                <w:szCs w:val="16"/>
              </w:rPr>
              <w:t>-</w:t>
            </w:r>
          </w:p>
        </w:tc>
        <w:tc>
          <w:tcPr>
            <w:tcW w:w="685" w:type="pct"/>
            <w:vAlign w:val="bottom"/>
          </w:tcPr>
          <w:p w14:paraId="1104BD65" w14:textId="77777777" w:rsidR="00046BD5" w:rsidRPr="00442868" w:rsidRDefault="00046BD5">
            <w:pPr>
              <w:pStyle w:val="BodyText"/>
              <w:rPr>
                <w:sz w:val="16"/>
                <w:szCs w:val="16"/>
              </w:rPr>
            </w:pPr>
            <w:r w:rsidRPr="00442868">
              <w:rPr>
                <w:sz w:val="16"/>
                <w:szCs w:val="16"/>
              </w:rPr>
              <w:t>-</w:t>
            </w:r>
          </w:p>
        </w:tc>
        <w:tc>
          <w:tcPr>
            <w:tcW w:w="686" w:type="pct"/>
            <w:vAlign w:val="bottom"/>
          </w:tcPr>
          <w:p w14:paraId="7DE27A38" w14:textId="77777777" w:rsidR="00046BD5" w:rsidRPr="00442868" w:rsidRDefault="00046BD5">
            <w:pPr>
              <w:pStyle w:val="BodyText"/>
              <w:rPr>
                <w:sz w:val="16"/>
                <w:szCs w:val="16"/>
              </w:rPr>
            </w:pPr>
            <w:r w:rsidRPr="00442868">
              <w:rPr>
                <w:sz w:val="16"/>
                <w:szCs w:val="16"/>
              </w:rPr>
              <w:t>-</w:t>
            </w:r>
          </w:p>
        </w:tc>
        <w:tc>
          <w:tcPr>
            <w:tcW w:w="686" w:type="pct"/>
            <w:vAlign w:val="bottom"/>
          </w:tcPr>
          <w:p w14:paraId="7477AED3" w14:textId="77777777" w:rsidR="00046BD5" w:rsidRPr="00442868" w:rsidRDefault="00046BD5">
            <w:pPr>
              <w:pStyle w:val="BodyText"/>
              <w:rPr>
                <w:sz w:val="16"/>
                <w:szCs w:val="16"/>
              </w:rPr>
            </w:pPr>
            <w:r w:rsidRPr="00442868">
              <w:rPr>
                <w:sz w:val="16"/>
                <w:szCs w:val="16"/>
              </w:rPr>
              <w:t>-</w:t>
            </w:r>
          </w:p>
        </w:tc>
      </w:tr>
      <w:tr w:rsidR="00556A0D" w:rsidRPr="00442868" w14:paraId="6B99FEFD" w14:textId="77777777" w:rsidTr="00442868">
        <w:trPr>
          <w:cnfStyle w:val="000000010000" w:firstRow="0" w:lastRow="0" w:firstColumn="0" w:lastColumn="0" w:oddVBand="0" w:evenVBand="0" w:oddHBand="0" w:evenHBand="1" w:firstRowFirstColumn="0" w:firstRowLastColumn="0" w:lastRowFirstColumn="0" w:lastRowLastColumn="0"/>
          <w:trHeight w:val="42"/>
        </w:trPr>
        <w:tc>
          <w:tcPr>
            <w:tcW w:w="885" w:type="pct"/>
          </w:tcPr>
          <w:p w14:paraId="39B7A222" w14:textId="77777777" w:rsidR="00046BD5" w:rsidRPr="00442868" w:rsidRDefault="00046BD5">
            <w:pPr>
              <w:pStyle w:val="BodyText"/>
              <w:rPr>
                <w:sz w:val="16"/>
                <w:szCs w:val="16"/>
              </w:rPr>
            </w:pPr>
            <w:r w:rsidRPr="00442868">
              <w:rPr>
                <w:sz w:val="16"/>
                <w:szCs w:val="16"/>
              </w:rPr>
              <w:t>Sewerage</w:t>
            </w:r>
          </w:p>
        </w:tc>
        <w:tc>
          <w:tcPr>
            <w:tcW w:w="685" w:type="pct"/>
          </w:tcPr>
          <w:p w14:paraId="54D3C752" w14:textId="77777777" w:rsidR="00046BD5" w:rsidRPr="00442868" w:rsidRDefault="00046BD5">
            <w:pPr>
              <w:pStyle w:val="BodyText"/>
              <w:rPr>
                <w:sz w:val="16"/>
                <w:szCs w:val="16"/>
              </w:rPr>
            </w:pPr>
            <w:r w:rsidRPr="00442868">
              <w:rPr>
                <w:sz w:val="16"/>
                <w:szCs w:val="16"/>
              </w:rPr>
              <w:t>-</w:t>
            </w:r>
          </w:p>
        </w:tc>
        <w:tc>
          <w:tcPr>
            <w:tcW w:w="686" w:type="pct"/>
            <w:vAlign w:val="bottom"/>
          </w:tcPr>
          <w:p w14:paraId="5B926DE1" w14:textId="77777777" w:rsidR="00046BD5" w:rsidRPr="00442868" w:rsidRDefault="00046BD5">
            <w:pPr>
              <w:pStyle w:val="BodyText"/>
              <w:rPr>
                <w:sz w:val="16"/>
                <w:szCs w:val="16"/>
              </w:rPr>
            </w:pPr>
            <w:r w:rsidRPr="00442868">
              <w:rPr>
                <w:sz w:val="16"/>
                <w:szCs w:val="16"/>
              </w:rPr>
              <w:t>-</w:t>
            </w:r>
          </w:p>
        </w:tc>
        <w:tc>
          <w:tcPr>
            <w:tcW w:w="686" w:type="pct"/>
            <w:vAlign w:val="bottom"/>
          </w:tcPr>
          <w:p w14:paraId="1B8E2975" w14:textId="77777777" w:rsidR="00046BD5" w:rsidRPr="00442868" w:rsidRDefault="00046BD5">
            <w:pPr>
              <w:pStyle w:val="BodyText"/>
              <w:rPr>
                <w:sz w:val="16"/>
                <w:szCs w:val="16"/>
              </w:rPr>
            </w:pPr>
            <w:r w:rsidRPr="00442868">
              <w:rPr>
                <w:sz w:val="16"/>
                <w:szCs w:val="16"/>
              </w:rPr>
              <w:t>-</w:t>
            </w:r>
          </w:p>
        </w:tc>
        <w:tc>
          <w:tcPr>
            <w:tcW w:w="685" w:type="pct"/>
            <w:vAlign w:val="bottom"/>
          </w:tcPr>
          <w:p w14:paraId="37D92361" w14:textId="77777777" w:rsidR="00046BD5" w:rsidRPr="00442868" w:rsidRDefault="00046BD5">
            <w:pPr>
              <w:pStyle w:val="BodyText"/>
              <w:rPr>
                <w:sz w:val="16"/>
                <w:szCs w:val="16"/>
              </w:rPr>
            </w:pPr>
            <w:r w:rsidRPr="00442868">
              <w:rPr>
                <w:sz w:val="16"/>
                <w:szCs w:val="16"/>
              </w:rPr>
              <w:t>-</w:t>
            </w:r>
          </w:p>
        </w:tc>
        <w:tc>
          <w:tcPr>
            <w:tcW w:w="686" w:type="pct"/>
            <w:vAlign w:val="bottom"/>
          </w:tcPr>
          <w:p w14:paraId="202F0AB8" w14:textId="77777777" w:rsidR="00046BD5" w:rsidRPr="00442868" w:rsidRDefault="00046BD5">
            <w:pPr>
              <w:pStyle w:val="BodyText"/>
              <w:rPr>
                <w:sz w:val="16"/>
                <w:szCs w:val="16"/>
              </w:rPr>
            </w:pPr>
            <w:r w:rsidRPr="00442868">
              <w:rPr>
                <w:sz w:val="16"/>
                <w:szCs w:val="16"/>
              </w:rPr>
              <w:t>-</w:t>
            </w:r>
          </w:p>
        </w:tc>
        <w:tc>
          <w:tcPr>
            <w:tcW w:w="686" w:type="pct"/>
            <w:vAlign w:val="bottom"/>
          </w:tcPr>
          <w:p w14:paraId="47BAFD73" w14:textId="77777777" w:rsidR="00046BD5" w:rsidRPr="00442868" w:rsidRDefault="00046BD5">
            <w:pPr>
              <w:pStyle w:val="BodyText"/>
              <w:rPr>
                <w:sz w:val="16"/>
                <w:szCs w:val="16"/>
              </w:rPr>
            </w:pPr>
            <w:r w:rsidRPr="00442868">
              <w:rPr>
                <w:sz w:val="16"/>
                <w:szCs w:val="16"/>
              </w:rPr>
              <w:t>-</w:t>
            </w:r>
          </w:p>
        </w:tc>
      </w:tr>
      <w:tr w:rsidR="00046BD5" w:rsidRPr="00442868" w14:paraId="248C7316" w14:textId="77777777" w:rsidTr="00A2795F">
        <w:tc>
          <w:tcPr>
            <w:tcW w:w="885" w:type="pct"/>
          </w:tcPr>
          <w:p w14:paraId="0DD8246D" w14:textId="77777777" w:rsidR="00046BD5" w:rsidRPr="00442868" w:rsidRDefault="00046BD5">
            <w:pPr>
              <w:pStyle w:val="BodyText"/>
              <w:rPr>
                <w:sz w:val="16"/>
                <w:szCs w:val="16"/>
              </w:rPr>
            </w:pPr>
            <w:r w:rsidRPr="00442868">
              <w:rPr>
                <w:sz w:val="16"/>
                <w:szCs w:val="16"/>
              </w:rPr>
              <w:t>Waterways and Drainage</w:t>
            </w:r>
          </w:p>
        </w:tc>
        <w:tc>
          <w:tcPr>
            <w:tcW w:w="685" w:type="pct"/>
          </w:tcPr>
          <w:p w14:paraId="37FA2E75" w14:textId="77777777" w:rsidR="00046BD5" w:rsidRPr="00442868" w:rsidRDefault="00046BD5">
            <w:pPr>
              <w:pStyle w:val="BodyText"/>
              <w:rPr>
                <w:sz w:val="16"/>
                <w:szCs w:val="16"/>
              </w:rPr>
            </w:pPr>
            <w:r w:rsidRPr="00442868">
              <w:rPr>
                <w:sz w:val="16"/>
                <w:szCs w:val="16"/>
              </w:rPr>
              <w:t>-</w:t>
            </w:r>
          </w:p>
        </w:tc>
        <w:tc>
          <w:tcPr>
            <w:tcW w:w="686" w:type="pct"/>
          </w:tcPr>
          <w:p w14:paraId="13D51593" w14:textId="77777777" w:rsidR="00046BD5" w:rsidRPr="00442868" w:rsidRDefault="00046BD5">
            <w:pPr>
              <w:pStyle w:val="BodyText"/>
              <w:rPr>
                <w:sz w:val="16"/>
                <w:szCs w:val="16"/>
              </w:rPr>
            </w:pPr>
            <w:r w:rsidRPr="00442868">
              <w:rPr>
                <w:sz w:val="16"/>
                <w:szCs w:val="16"/>
              </w:rPr>
              <w:t xml:space="preserve"> 9.3</w:t>
            </w:r>
          </w:p>
        </w:tc>
        <w:tc>
          <w:tcPr>
            <w:tcW w:w="686" w:type="pct"/>
          </w:tcPr>
          <w:p w14:paraId="70A95E6C" w14:textId="77777777" w:rsidR="00046BD5" w:rsidRPr="00442868" w:rsidRDefault="00046BD5">
            <w:pPr>
              <w:pStyle w:val="BodyText"/>
              <w:rPr>
                <w:sz w:val="16"/>
                <w:szCs w:val="16"/>
              </w:rPr>
            </w:pPr>
            <w:r w:rsidRPr="00442868">
              <w:rPr>
                <w:sz w:val="16"/>
                <w:szCs w:val="16"/>
              </w:rPr>
              <w:t xml:space="preserve"> 15.0</w:t>
            </w:r>
          </w:p>
        </w:tc>
        <w:tc>
          <w:tcPr>
            <w:tcW w:w="685" w:type="pct"/>
          </w:tcPr>
          <w:p w14:paraId="2C985404" w14:textId="6D4B63B2" w:rsidR="00046BD5" w:rsidRPr="00442868" w:rsidRDefault="00046BD5">
            <w:pPr>
              <w:pStyle w:val="BodyText"/>
              <w:rPr>
                <w:sz w:val="16"/>
                <w:szCs w:val="16"/>
              </w:rPr>
            </w:pPr>
            <w:r w:rsidRPr="00442868">
              <w:rPr>
                <w:sz w:val="16"/>
                <w:szCs w:val="16"/>
              </w:rPr>
              <w:t xml:space="preserve"> 0.0</w:t>
            </w:r>
          </w:p>
        </w:tc>
        <w:tc>
          <w:tcPr>
            <w:tcW w:w="686" w:type="pct"/>
          </w:tcPr>
          <w:p w14:paraId="6ADBDDD0" w14:textId="3A7245D8" w:rsidR="00046BD5" w:rsidRPr="00442868" w:rsidRDefault="00046BD5">
            <w:pPr>
              <w:pStyle w:val="BodyText"/>
              <w:rPr>
                <w:sz w:val="16"/>
                <w:szCs w:val="16"/>
              </w:rPr>
            </w:pPr>
            <w:r w:rsidRPr="00442868">
              <w:rPr>
                <w:sz w:val="16"/>
                <w:szCs w:val="16"/>
              </w:rPr>
              <w:t xml:space="preserve"> 0.0</w:t>
            </w:r>
          </w:p>
        </w:tc>
        <w:tc>
          <w:tcPr>
            <w:tcW w:w="686" w:type="pct"/>
          </w:tcPr>
          <w:p w14:paraId="0FD975E4" w14:textId="77777777" w:rsidR="00046BD5" w:rsidRPr="00442868" w:rsidRDefault="00046BD5">
            <w:pPr>
              <w:pStyle w:val="BodyText"/>
              <w:rPr>
                <w:sz w:val="16"/>
                <w:szCs w:val="16"/>
              </w:rPr>
            </w:pPr>
            <w:r w:rsidRPr="00442868">
              <w:rPr>
                <w:sz w:val="16"/>
                <w:szCs w:val="16"/>
              </w:rPr>
              <w:t xml:space="preserve"> - </w:t>
            </w:r>
          </w:p>
        </w:tc>
      </w:tr>
      <w:tr w:rsidR="00556A0D" w:rsidRPr="00442868" w14:paraId="0EA77F1C" w14:textId="77777777" w:rsidTr="00442868">
        <w:trPr>
          <w:cnfStyle w:val="000000010000" w:firstRow="0" w:lastRow="0" w:firstColumn="0" w:lastColumn="0" w:oddVBand="0" w:evenVBand="0" w:oddHBand="0" w:evenHBand="1" w:firstRowFirstColumn="0" w:firstRowLastColumn="0" w:lastRowFirstColumn="0" w:lastRowLastColumn="0"/>
          <w:trHeight w:val="42"/>
        </w:trPr>
        <w:tc>
          <w:tcPr>
            <w:tcW w:w="885" w:type="pct"/>
          </w:tcPr>
          <w:p w14:paraId="3B27E2DE" w14:textId="77777777" w:rsidR="00046BD5" w:rsidRPr="00442868" w:rsidRDefault="00046BD5">
            <w:pPr>
              <w:pStyle w:val="BodyText"/>
              <w:rPr>
                <w:sz w:val="16"/>
                <w:szCs w:val="16"/>
              </w:rPr>
            </w:pPr>
            <w:r w:rsidRPr="00442868">
              <w:rPr>
                <w:sz w:val="16"/>
                <w:szCs w:val="16"/>
              </w:rPr>
              <w:t>Recycled Water</w:t>
            </w:r>
          </w:p>
        </w:tc>
        <w:tc>
          <w:tcPr>
            <w:tcW w:w="685" w:type="pct"/>
          </w:tcPr>
          <w:p w14:paraId="04372A41" w14:textId="77777777" w:rsidR="00046BD5" w:rsidRPr="00442868" w:rsidRDefault="00046BD5">
            <w:pPr>
              <w:pStyle w:val="BodyText"/>
              <w:rPr>
                <w:sz w:val="16"/>
                <w:szCs w:val="16"/>
              </w:rPr>
            </w:pPr>
            <w:r w:rsidRPr="00442868">
              <w:rPr>
                <w:sz w:val="16"/>
                <w:szCs w:val="16"/>
              </w:rPr>
              <w:t>-</w:t>
            </w:r>
          </w:p>
        </w:tc>
        <w:tc>
          <w:tcPr>
            <w:tcW w:w="686" w:type="pct"/>
            <w:vAlign w:val="bottom"/>
          </w:tcPr>
          <w:p w14:paraId="535CBDA7" w14:textId="77777777" w:rsidR="00046BD5" w:rsidRPr="00442868" w:rsidRDefault="00046BD5">
            <w:pPr>
              <w:pStyle w:val="BodyText"/>
              <w:rPr>
                <w:sz w:val="16"/>
                <w:szCs w:val="16"/>
              </w:rPr>
            </w:pPr>
            <w:r w:rsidRPr="00442868">
              <w:rPr>
                <w:sz w:val="16"/>
                <w:szCs w:val="16"/>
              </w:rPr>
              <w:t>-</w:t>
            </w:r>
          </w:p>
        </w:tc>
        <w:tc>
          <w:tcPr>
            <w:tcW w:w="686" w:type="pct"/>
            <w:vAlign w:val="bottom"/>
          </w:tcPr>
          <w:p w14:paraId="27E498CB" w14:textId="77777777" w:rsidR="00046BD5" w:rsidRPr="00442868" w:rsidRDefault="00046BD5">
            <w:pPr>
              <w:pStyle w:val="BodyText"/>
              <w:rPr>
                <w:sz w:val="16"/>
                <w:szCs w:val="16"/>
              </w:rPr>
            </w:pPr>
            <w:r w:rsidRPr="00442868">
              <w:rPr>
                <w:sz w:val="16"/>
                <w:szCs w:val="16"/>
              </w:rPr>
              <w:t>-</w:t>
            </w:r>
          </w:p>
        </w:tc>
        <w:tc>
          <w:tcPr>
            <w:tcW w:w="685" w:type="pct"/>
            <w:vAlign w:val="bottom"/>
          </w:tcPr>
          <w:p w14:paraId="07C67785" w14:textId="77777777" w:rsidR="00046BD5" w:rsidRPr="00442868" w:rsidRDefault="00046BD5">
            <w:pPr>
              <w:pStyle w:val="BodyText"/>
              <w:rPr>
                <w:sz w:val="16"/>
                <w:szCs w:val="16"/>
              </w:rPr>
            </w:pPr>
            <w:r w:rsidRPr="00442868">
              <w:rPr>
                <w:sz w:val="16"/>
                <w:szCs w:val="16"/>
              </w:rPr>
              <w:t>-</w:t>
            </w:r>
          </w:p>
        </w:tc>
        <w:tc>
          <w:tcPr>
            <w:tcW w:w="686" w:type="pct"/>
            <w:vAlign w:val="bottom"/>
          </w:tcPr>
          <w:p w14:paraId="63E3DFA3" w14:textId="77777777" w:rsidR="00046BD5" w:rsidRPr="00442868" w:rsidRDefault="00046BD5">
            <w:pPr>
              <w:pStyle w:val="BodyText"/>
              <w:rPr>
                <w:sz w:val="16"/>
                <w:szCs w:val="16"/>
              </w:rPr>
            </w:pPr>
            <w:r w:rsidRPr="00442868">
              <w:rPr>
                <w:sz w:val="16"/>
                <w:szCs w:val="16"/>
              </w:rPr>
              <w:t>-</w:t>
            </w:r>
          </w:p>
        </w:tc>
        <w:tc>
          <w:tcPr>
            <w:tcW w:w="686" w:type="pct"/>
            <w:vAlign w:val="bottom"/>
          </w:tcPr>
          <w:p w14:paraId="38076481" w14:textId="77777777" w:rsidR="00046BD5" w:rsidRPr="00442868" w:rsidRDefault="00046BD5">
            <w:pPr>
              <w:pStyle w:val="BodyText"/>
              <w:rPr>
                <w:sz w:val="16"/>
                <w:szCs w:val="16"/>
              </w:rPr>
            </w:pPr>
            <w:r w:rsidRPr="00442868">
              <w:rPr>
                <w:sz w:val="16"/>
                <w:szCs w:val="16"/>
              </w:rPr>
              <w:t>-</w:t>
            </w:r>
          </w:p>
        </w:tc>
      </w:tr>
      <w:tr w:rsidR="00046BD5" w:rsidRPr="00442868" w14:paraId="26D4C155" w14:textId="77777777" w:rsidTr="00A2795F">
        <w:tc>
          <w:tcPr>
            <w:tcW w:w="885" w:type="pct"/>
          </w:tcPr>
          <w:p w14:paraId="4AC40B45" w14:textId="77777777" w:rsidR="00046BD5" w:rsidRPr="00442868" w:rsidRDefault="00046BD5">
            <w:pPr>
              <w:pStyle w:val="BodyText"/>
              <w:rPr>
                <w:sz w:val="16"/>
                <w:szCs w:val="16"/>
              </w:rPr>
            </w:pPr>
            <w:r w:rsidRPr="00442868">
              <w:rPr>
                <w:sz w:val="16"/>
                <w:szCs w:val="16"/>
              </w:rPr>
              <w:t>Diversions</w:t>
            </w:r>
          </w:p>
        </w:tc>
        <w:tc>
          <w:tcPr>
            <w:tcW w:w="685" w:type="pct"/>
          </w:tcPr>
          <w:p w14:paraId="5DF13573" w14:textId="77777777" w:rsidR="00046BD5" w:rsidRPr="00442868" w:rsidRDefault="00046BD5">
            <w:pPr>
              <w:pStyle w:val="BodyText"/>
              <w:rPr>
                <w:sz w:val="16"/>
                <w:szCs w:val="16"/>
              </w:rPr>
            </w:pPr>
            <w:r w:rsidRPr="00442868">
              <w:rPr>
                <w:sz w:val="16"/>
                <w:szCs w:val="16"/>
              </w:rPr>
              <w:t>-</w:t>
            </w:r>
          </w:p>
        </w:tc>
        <w:tc>
          <w:tcPr>
            <w:tcW w:w="686" w:type="pct"/>
            <w:vAlign w:val="bottom"/>
          </w:tcPr>
          <w:p w14:paraId="099C5F63" w14:textId="77777777" w:rsidR="00046BD5" w:rsidRPr="00442868" w:rsidRDefault="00046BD5">
            <w:pPr>
              <w:pStyle w:val="BodyText"/>
              <w:rPr>
                <w:sz w:val="16"/>
                <w:szCs w:val="16"/>
              </w:rPr>
            </w:pPr>
            <w:r w:rsidRPr="00442868">
              <w:rPr>
                <w:sz w:val="16"/>
                <w:szCs w:val="16"/>
              </w:rPr>
              <w:t>-</w:t>
            </w:r>
          </w:p>
        </w:tc>
        <w:tc>
          <w:tcPr>
            <w:tcW w:w="686" w:type="pct"/>
            <w:vAlign w:val="bottom"/>
          </w:tcPr>
          <w:p w14:paraId="4F040DF0" w14:textId="77777777" w:rsidR="00046BD5" w:rsidRPr="00442868" w:rsidRDefault="00046BD5">
            <w:pPr>
              <w:pStyle w:val="BodyText"/>
              <w:rPr>
                <w:sz w:val="16"/>
                <w:szCs w:val="16"/>
              </w:rPr>
            </w:pPr>
            <w:r w:rsidRPr="00442868">
              <w:rPr>
                <w:sz w:val="16"/>
                <w:szCs w:val="16"/>
              </w:rPr>
              <w:t>-</w:t>
            </w:r>
          </w:p>
        </w:tc>
        <w:tc>
          <w:tcPr>
            <w:tcW w:w="685" w:type="pct"/>
            <w:vAlign w:val="bottom"/>
          </w:tcPr>
          <w:p w14:paraId="69979A22" w14:textId="77777777" w:rsidR="00046BD5" w:rsidRPr="00442868" w:rsidRDefault="00046BD5">
            <w:pPr>
              <w:pStyle w:val="BodyText"/>
              <w:rPr>
                <w:sz w:val="16"/>
                <w:szCs w:val="16"/>
              </w:rPr>
            </w:pPr>
            <w:r w:rsidRPr="00442868">
              <w:rPr>
                <w:sz w:val="16"/>
                <w:szCs w:val="16"/>
              </w:rPr>
              <w:t>-</w:t>
            </w:r>
          </w:p>
        </w:tc>
        <w:tc>
          <w:tcPr>
            <w:tcW w:w="686" w:type="pct"/>
            <w:vAlign w:val="bottom"/>
          </w:tcPr>
          <w:p w14:paraId="78010468" w14:textId="77777777" w:rsidR="00046BD5" w:rsidRPr="00442868" w:rsidRDefault="00046BD5">
            <w:pPr>
              <w:pStyle w:val="BodyText"/>
              <w:rPr>
                <w:sz w:val="16"/>
                <w:szCs w:val="16"/>
              </w:rPr>
            </w:pPr>
            <w:r w:rsidRPr="00442868">
              <w:rPr>
                <w:sz w:val="16"/>
                <w:szCs w:val="16"/>
              </w:rPr>
              <w:t>-</w:t>
            </w:r>
          </w:p>
        </w:tc>
        <w:tc>
          <w:tcPr>
            <w:tcW w:w="686" w:type="pct"/>
            <w:vAlign w:val="bottom"/>
          </w:tcPr>
          <w:p w14:paraId="5A1305DC" w14:textId="77777777" w:rsidR="00046BD5" w:rsidRPr="00442868" w:rsidRDefault="00046BD5">
            <w:pPr>
              <w:pStyle w:val="BodyText"/>
              <w:rPr>
                <w:sz w:val="16"/>
                <w:szCs w:val="16"/>
              </w:rPr>
            </w:pPr>
            <w:r w:rsidRPr="00442868">
              <w:rPr>
                <w:sz w:val="16"/>
                <w:szCs w:val="16"/>
              </w:rPr>
              <w:t>-</w:t>
            </w:r>
          </w:p>
        </w:tc>
      </w:tr>
      <w:tr w:rsidR="00556A0D" w:rsidRPr="00442868" w14:paraId="26829A3B" w14:textId="77777777" w:rsidTr="00A2795F">
        <w:trPr>
          <w:cnfStyle w:val="000000010000" w:firstRow="0" w:lastRow="0" w:firstColumn="0" w:lastColumn="0" w:oddVBand="0" w:evenVBand="0" w:oddHBand="0" w:evenHBand="1" w:firstRowFirstColumn="0" w:firstRowLastColumn="0" w:lastRowFirstColumn="0" w:lastRowLastColumn="0"/>
        </w:trPr>
        <w:tc>
          <w:tcPr>
            <w:tcW w:w="885" w:type="pct"/>
          </w:tcPr>
          <w:p w14:paraId="4B09AFBF" w14:textId="77777777" w:rsidR="00046BD5" w:rsidRPr="00442868" w:rsidRDefault="00046BD5">
            <w:pPr>
              <w:pStyle w:val="BodyText"/>
              <w:rPr>
                <w:b/>
                <w:bCs/>
                <w:sz w:val="16"/>
                <w:szCs w:val="16"/>
              </w:rPr>
            </w:pPr>
            <w:r w:rsidRPr="00442868">
              <w:rPr>
                <w:b/>
                <w:bCs/>
                <w:sz w:val="16"/>
                <w:szCs w:val="16"/>
              </w:rPr>
              <w:lastRenderedPageBreak/>
              <w:t xml:space="preserve">Total Government Contribution </w:t>
            </w:r>
          </w:p>
        </w:tc>
        <w:tc>
          <w:tcPr>
            <w:tcW w:w="685" w:type="pct"/>
          </w:tcPr>
          <w:p w14:paraId="4DA8125F" w14:textId="77777777" w:rsidR="00046BD5" w:rsidRPr="00442868" w:rsidRDefault="00046BD5">
            <w:pPr>
              <w:pStyle w:val="BodyText"/>
              <w:rPr>
                <w:b/>
                <w:bCs/>
                <w:sz w:val="16"/>
                <w:szCs w:val="16"/>
              </w:rPr>
            </w:pPr>
            <w:r w:rsidRPr="00442868">
              <w:rPr>
                <w:b/>
                <w:bCs/>
                <w:sz w:val="16"/>
                <w:szCs w:val="16"/>
              </w:rPr>
              <w:t>-</w:t>
            </w:r>
          </w:p>
        </w:tc>
        <w:tc>
          <w:tcPr>
            <w:tcW w:w="686" w:type="pct"/>
          </w:tcPr>
          <w:p w14:paraId="43D59423" w14:textId="77777777" w:rsidR="00046BD5" w:rsidRPr="00442868" w:rsidRDefault="00046BD5">
            <w:pPr>
              <w:pStyle w:val="BodyText"/>
              <w:rPr>
                <w:b/>
                <w:bCs/>
                <w:sz w:val="16"/>
                <w:szCs w:val="16"/>
              </w:rPr>
            </w:pPr>
            <w:r w:rsidRPr="00442868">
              <w:rPr>
                <w:b/>
                <w:bCs/>
                <w:sz w:val="16"/>
                <w:szCs w:val="16"/>
              </w:rPr>
              <w:t xml:space="preserve"> 9.3</w:t>
            </w:r>
          </w:p>
        </w:tc>
        <w:tc>
          <w:tcPr>
            <w:tcW w:w="686" w:type="pct"/>
          </w:tcPr>
          <w:p w14:paraId="73A0E372" w14:textId="77777777" w:rsidR="00046BD5" w:rsidRPr="00442868" w:rsidRDefault="00046BD5">
            <w:pPr>
              <w:pStyle w:val="BodyText"/>
              <w:rPr>
                <w:b/>
                <w:bCs/>
                <w:sz w:val="16"/>
                <w:szCs w:val="16"/>
              </w:rPr>
            </w:pPr>
            <w:r w:rsidRPr="00442868">
              <w:rPr>
                <w:b/>
                <w:bCs/>
                <w:sz w:val="16"/>
                <w:szCs w:val="16"/>
              </w:rPr>
              <w:t xml:space="preserve"> 15.0</w:t>
            </w:r>
          </w:p>
        </w:tc>
        <w:tc>
          <w:tcPr>
            <w:tcW w:w="685" w:type="pct"/>
          </w:tcPr>
          <w:p w14:paraId="7E42795B" w14:textId="77777777" w:rsidR="00046BD5" w:rsidRPr="00442868" w:rsidRDefault="00046BD5">
            <w:pPr>
              <w:pStyle w:val="BodyText"/>
              <w:rPr>
                <w:b/>
                <w:bCs/>
                <w:sz w:val="16"/>
                <w:szCs w:val="16"/>
              </w:rPr>
            </w:pPr>
            <w:r w:rsidRPr="00442868">
              <w:rPr>
                <w:b/>
                <w:bCs/>
                <w:sz w:val="16"/>
                <w:szCs w:val="16"/>
              </w:rPr>
              <w:t xml:space="preserve"> 0.0</w:t>
            </w:r>
          </w:p>
        </w:tc>
        <w:tc>
          <w:tcPr>
            <w:tcW w:w="686" w:type="pct"/>
          </w:tcPr>
          <w:p w14:paraId="57369C75" w14:textId="77777777" w:rsidR="00046BD5" w:rsidRPr="00442868" w:rsidRDefault="00046BD5">
            <w:pPr>
              <w:pStyle w:val="BodyText"/>
              <w:rPr>
                <w:b/>
                <w:bCs/>
                <w:sz w:val="16"/>
                <w:szCs w:val="16"/>
              </w:rPr>
            </w:pPr>
            <w:r w:rsidRPr="00442868">
              <w:rPr>
                <w:b/>
                <w:bCs/>
                <w:sz w:val="16"/>
                <w:szCs w:val="16"/>
              </w:rPr>
              <w:t xml:space="preserve"> 0.0</w:t>
            </w:r>
          </w:p>
        </w:tc>
        <w:tc>
          <w:tcPr>
            <w:tcW w:w="686" w:type="pct"/>
          </w:tcPr>
          <w:p w14:paraId="651D0CD8" w14:textId="77777777" w:rsidR="00046BD5" w:rsidRPr="00442868" w:rsidRDefault="00046BD5">
            <w:pPr>
              <w:pStyle w:val="BodyText"/>
              <w:rPr>
                <w:b/>
                <w:bCs/>
                <w:sz w:val="16"/>
                <w:szCs w:val="16"/>
              </w:rPr>
            </w:pPr>
            <w:r w:rsidRPr="00442868">
              <w:rPr>
                <w:b/>
                <w:bCs/>
                <w:sz w:val="16"/>
                <w:szCs w:val="16"/>
              </w:rPr>
              <w:t xml:space="preserve"> - </w:t>
            </w:r>
          </w:p>
        </w:tc>
      </w:tr>
    </w:tbl>
    <w:p w14:paraId="7B638227" w14:textId="77777777" w:rsidR="00046BD5" w:rsidRPr="00DE108C" w:rsidRDefault="00046BD5" w:rsidP="00ED094E">
      <w:bookmarkStart w:id="828" w:name="_Toc190876169"/>
      <w:bookmarkStart w:id="829" w:name="_Ref192600048"/>
      <w:bookmarkStart w:id="830" w:name="_Toc196745268"/>
    </w:p>
    <w:p w14:paraId="3384FF44" w14:textId="77777777" w:rsidR="00046BD5" w:rsidRPr="00DE108C" w:rsidRDefault="00046BD5">
      <w:pPr>
        <w:pStyle w:val="Heading2"/>
      </w:pPr>
      <w:bookmarkStart w:id="831" w:name="_Toc207892919"/>
      <w:bookmarkStart w:id="832" w:name="_Toc207853412"/>
      <w:r w:rsidRPr="00DE108C">
        <w:t>8.4 Regulatory depreciation</w:t>
      </w:r>
      <w:bookmarkEnd w:id="828"/>
      <w:bookmarkEnd w:id="829"/>
      <w:bookmarkEnd w:id="830"/>
      <w:bookmarkEnd w:id="831"/>
      <w:bookmarkEnd w:id="832"/>
    </w:p>
    <w:p w14:paraId="1041992A" w14:textId="77777777" w:rsidR="00046BD5" w:rsidRPr="00DE108C" w:rsidRDefault="00046BD5" w:rsidP="00ED094E">
      <w:r w:rsidRPr="00DE108C">
        <w:t xml:space="preserve">Regulatory depreciation is an allowance to recover the initial investment in assets over the life of the asset from customers. </w:t>
      </w:r>
    </w:p>
    <w:p w14:paraId="3F9DA258" w14:textId="77777777" w:rsidR="00046BD5" w:rsidRPr="00DE108C" w:rsidRDefault="00046BD5" w:rsidP="00ED094E">
      <w:r w:rsidRPr="00DE108C">
        <w:t xml:space="preserve">We have adopted a straight-line approach to depreciation. This reflects the ESC’s preferred methodology. </w:t>
      </w:r>
    </w:p>
    <w:p w14:paraId="1D69EBC1" w14:textId="77777777" w:rsidR="00046BD5" w:rsidRPr="00DE108C" w:rsidRDefault="00046BD5">
      <w:pPr>
        <w:pStyle w:val="Heading3"/>
      </w:pPr>
      <w:bookmarkStart w:id="833" w:name="_Toc196745269"/>
      <w:r w:rsidRPr="00DE108C">
        <w:t>8.4.1 Existing assets at 1 July 2026</w:t>
      </w:r>
      <w:bookmarkEnd w:id="833"/>
    </w:p>
    <w:p w14:paraId="0386002B" w14:textId="77777777" w:rsidR="00046BD5" w:rsidRPr="00DE108C" w:rsidRDefault="00046BD5" w:rsidP="00ED094E">
      <w:r w:rsidRPr="00DE108C">
        <w:t xml:space="preserve">Our proposed regulatory depreciation allowance for existing assets has been calculated using the weighted average remaining useful for each asset category. This is consistent with the ESC guidance and approach taken in 2021. </w:t>
      </w:r>
    </w:p>
    <w:p w14:paraId="46C115D0" w14:textId="0D18877B" w:rsidR="00046BD5" w:rsidRPr="00DE108C" w:rsidRDefault="00046BD5" w:rsidP="00ED094E">
      <w:r w:rsidRPr="00DE108C">
        <w:t xml:space="preserve">We are not proposing to incorporate the regulatory depreciation on VDP. To correct for depreciation during the 2021-26 regulatory period, we are using the depreciation override to reverse the amount of regulatory depreciation relating to Water – Production and Storage. Regulatory depreciation for the 2026-31 regulatory period has been calculated on the total value of the RAB at 1 July 2026 </w:t>
      </w:r>
      <w:r w:rsidRPr="001164EE">
        <w:t>($15,73</w:t>
      </w:r>
      <w:r w:rsidR="00A87D33" w:rsidRPr="001164EE">
        <w:t>3</w:t>
      </w:r>
      <w:r w:rsidRPr="001164EE">
        <w:t> million)</w:t>
      </w:r>
      <w:r w:rsidRPr="00DE108C">
        <w:t xml:space="preserve"> less the amount of VDP capitalised since 2016 ($</w:t>
      </w:r>
      <w:r w:rsidR="00A87D33" w:rsidRPr="001164EE">
        <w:t>455</w:t>
      </w:r>
      <w:r w:rsidRPr="00DE108C">
        <w:t xml:space="preserve"> million). This proposal ensures we are not recovering the VDP amount capitalised until the end of the contract in 2039. This is consistent with the approach put forward in PS21. </w:t>
      </w:r>
    </w:p>
    <w:p w14:paraId="0B3D6FBD" w14:textId="5C99BFE9" w:rsidR="0009063A" w:rsidRPr="00DE108C" w:rsidRDefault="0009063A" w:rsidP="00ED094E">
      <w:r w:rsidRPr="00DE108C">
        <w:t xml:space="preserve">A summary of the regulatory depreciation </w:t>
      </w:r>
      <w:r w:rsidR="00034FDA" w:rsidRPr="00DE108C">
        <w:t>on existing assets</w:t>
      </w:r>
      <w:r w:rsidRPr="00DE108C">
        <w:t xml:space="preserve"> is shown in Table</w:t>
      </w:r>
      <w:r w:rsidR="00034FDA" w:rsidRPr="00DE108C">
        <w:t xml:space="preserve"> 8.4.</w:t>
      </w:r>
    </w:p>
    <w:p w14:paraId="786E9C22" w14:textId="77777777" w:rsidR="00046BD5" w:rsidRPr="00DE108C" w:rsidRDefault="00046BD5" w:rsidP="00ED094E">
      <w:pPr>
        <w:pStyle w:val="Caption"/>
      </w:pPr>
      <w:bookmarkStart w:id="834" w:name="_Toc190878417"/>
      <w:bookmarkStart w:id="835" w:name="_Toc207893073"/>
      <w:bookmarkStart w:id="836" w:name="_Toc208490597"/>
      <w:bookmarkStart w:id="837" w:name="_Toc208490935"/>
      <w:bookmarkStart w:id="838" w:name="_Toc208911093"/>
      <w:bookmarkStart w:id="839" w:name="_Toc210051399"/>
      <w:r w:rsidRPr="001164EE">
        <w:t>Table 8.4: Regulatory depreciation on existing assets from 1 July 2026</w:t>
      </w:r>
      <w:bookmarkEnd w:id="834"/>
      <w:r w:rsidRPr="001164EE">
        <w:t xml:space="preserve"> ($millions, real 2025-26)</w:t>
      </w:r>
      <w:bookmarkEnd w:id="835"/>
      <w:bookmarkEnd w:id="836"/>
      <w:bookmarkEnd w:id="837"/>
      <w:bookmarkEnd w:id="838"/>
      <w:bookmarkEnd w:id="839"/>
    </w:p>
    <w:tbl>
      <w:tblPr>
        <w:tblStyle w:val="MWTableGrid"/>
        <w:tblW w:w="5000" w:type="pct"/>
        <w:tblLook w:val="0420" w:firstRow="1" w:lastRow="0" w:firstColumn="0" w:lastColumn="0" w:noHBand="0" w:noVBand="1"/>
      </w:tblPr>
      <w:tblGrid>
        <w:gridCol w:w="1201"/>
        <w:gridCol w:w="1204"/>
        <w:gridCol w:w="1204"/>
        <w:gridCol w:w="1204"/>
        <w:gridCol w:w="1205"/>
        <w:gridCol w:w="1205"/>
        <w:gridCol w:w="1205"/>
        <w:gridCol w:w="1200"/>
      </w:tblGrid>
      <w:tr w:rsidR="00055179" w:rsidRPr="00F4229E" w14:paraId="6A7FF931" w14:textId="77777777" w:rsidTr="00060B56">
        <w:trPr>
          <w:cnfStyle w:val="100000000000" w:firstRow="1" w:lastRow="0" w:firstColumn="0" w:lastColumn="0" w:oddVBand="0" w:evenVBand="0" w:oddHBand="0" w:evenHBand="0" w:firstRowFirstColumn="0" w:firstRowLastColumn="0" w:lastRowFirstColumn="0" w:lastRowLastColumn="0"/>
          <w:cantSplit/>
        </w:trPr>
        <w:tc>
          <w:tcPr>
            <w:tcW w:w="624" w:type="pct"/>
          </w:tcPr>
          <w:p w14:paraId="4668C0CF" w14:textId="77777777" w:rsidR="00046BD5" w:rsidRPr="00F4229E" w:rsidRDefault="00046BD5">
            <w:pPr>
              <w:pStyle w:val="TableHeading"/>
              <w:rPr>
                <w:szCs w:val="16"/>
              </w:rPr>
            </w:pPr>
          </w:p>
        </w:tc>
        <w:tc>
          <w:tcPr>
            <w:tcW w:w="625" w:type="pct"/>
          </w:tcPr>
          <w:p w14:paraId="3BB993CD" w14:textId="77777777" w:rsidR="00046BD5" w:rsidRPr="00F4229E" w:rsidRDefault="00046BD5">
            <w:pPr>
              <w:pStyle w:val="TableHeading"/>
              <w:rPr>
                <w:szCs w:val="16"/>
              </w:rPr>
            </w:pPr>
            <w:r w:rsidRPr="00F4229E">
              <w:rPr>
                <w:szCs w:val="16"/>
              </w:rPr>
              <w:t>2024-25</w:t>
            </w:r>
            <w:r w:rsidRPr="00F4229E">
              <w:rPr>
                <w:szCs w:val="16"/>
                <w:vertAlign w:val="superscript"/>
              </w:rPr>
              <w:t>a</w:t>
            </w:r>
          </w:p>
        </w:tc>
        <w:tc>
          <w:tcPr>
            <w:tcW w:w="625" w:type="pct"/>
          </w:tcPr>
          <w:p w14:paraId="5967E7B4" w14:textId="77777777" w:rsidR="00046BD5" w:rsidRPr="00F4229E" w:rsidRDefault="00046BD5">
            <w:pPr>
              <w:pStyle w:val="TableHeading"/>
              <w:rPr>
                <w:szCs w:val="16"/>
              </w:rPr>
            </w:pPr>
            <w:r w:rsidRPr="00F4229E">
              <w:rPr>
                <w:szCs w:val="16"/>
              </w:rPr>
              <w:t>2025-26</w:t>
            </w:r>
            <w:r w:rsidRPr="00F4229E">
              <w:rPr>
                <w:szCs w:val="16"/>
                <w:vertAlign w:val="superscript"/>
              </w:rPr>
              <w:t xml:space="preserve"> a</w:t>
            </w:r>
          </w:p>
        </w:tc>
        <w:tc>
          <w:tcPr>
            <w:tcW w:w="625" w:type="pct"/>
          </w:tcPr>
          <w:p w14:paraId="0230C221" w14:textId="77777777" w:rsidR="00046BD5" w:rsidRPr="00F4229E" w:rsidRDefault="00046BD5">
            <w:pPr>
              <w:pStyle w:val="TableHeading"/>
              <w:rPr>
                <w:szCs w:val="16"/>
              </w:rPr>
            </w:pPr>
            <w:r w:rsidRPr="00F4229E">
              <w:rPr>
                <w:szCs w:val="16"/>
              </w:rPr>
              <w:t>2026-27</w:t>
            </w:r>
          </w:p>
        </w:tc>
        <w:tc>
          <w:tcPr>
            <w:tcW w:w="626" w:type="pct"/>
          </w:tcPr>
          <w:p w14:paraId="23942862" w14:textId="77777777" w:rsidR="00046BD5" w:rsidRPr="00F4229E" w:rsidRDefault="00046BD5">
            <w:pPr>
              <w:pStyle w:val="TableHeading"/>
              <w:rPr>
                <w:szCs w:val="16"/>
              </w:rPr>
            </w:pPr>
            <w:r w:rsidRPr="00F4229E">
              <w:rPr>
                <w:szCs w:val="16"/>
              </w:rPr>
              <w:t>2027-28</w:t>
            </w:r>
          </w:p>
        </w:tc>
        <w:tc>
          <w:tcPr>
            <w:tcW w:w="626" w:type="pct"/>
          </w:tcPr>
          <w:p w14:paraId="05DDFA85" w14:textId="77777777" w:rsidR="00046BD5" w:rsidRPr="00F4229E" w:rsidRDefault="00046BD5">
            <w:pPr>
              <w:pStyle w:val="TableHeading"/>
              <w:rPr>
                <w:szCs w:val="16"/>
              </w:rPr>
            </w:pPr>
            <w:r w:rsidRPr="00F4229E">
              <w:rPr>
                <w:szCs w:val="16"/>
              </w:rPr>
              <w:t>2028-29</w:t>
            </w:r>
          </w:p>
        </w:tc>
        <w:tc>
          <w:tcPr>
            <w:tcW w:w="626" w:type="pct"/>
          </w:tcPr>
          <w:p w14:paraId="2FE06C4D" w14:textId="77777777" w:rsidR="00046BD5" w:rsidRPr="00F4229E" w:rsidRDefault="00046BD5">
            <w:pPr>
              <w:pStyle w:val="TableHeading"/>
              <w:rPr>
                <w:szCs w:val="16"/>
              </w:rPr>
            </w:pPr>
            <w:r w:rsidRPr="00F4229E">
              <w:rPr>
                <w:szCs w:val="16"/>
              </w:rPr>
              <w:t>2029-30</w:t>
            </w:r>
          </w:p>
        </w:tc>
        <w:tc>
          <w:tcPr>
            <w:tcW w:w="623" w:type="pct"/>
          </w:tcPr>
          <w:p w14:paraId="4FA7915A" w14:textId="77777777" w:rsidR="00046BD5" w:rsidRPr="00F4229E" w:rsidRDefault="00046BD5">
            <w:pPr>
              <w:pStyle w:val="TableHeading"/>
              <w:rPr>
                <w:szCs w:val="16"/>
              </w:rPr>
            </w:pPr>
            <w:r w:rsidRPr="00F4229E">
              <w:rPr>
                <w:szCs w:val="16"/>
              </w:rPr>
              <w:t>2030-31</w:t>
            </w:r>
          </w:p>
        </w:tc>
      </w:tr>
      <w:tr w:rsidR="00F4229E" w:rsidRPr="00F4229E" w14:paraId="31810455" w14:textId="77777777" w:rsidTr="00060B56">
        <w:trPr>
          <w:cantSplit/>
        </w:trPr>
        <w:tc>
          <w:tcPr>
            <w:tcW w:w="624" w:type="pct"/>
          </w:tcPr>
          <w:p w14:paraId="4A87C24A" w14:textId="77777777" w:rsidR="00F4229E" w:rsidRPr="00F4229E" w:rsidRDefault="00F4229E" w:rsidP="00F4229E">
            <w:pPr>
              <w:pStyle w:val="TableText"/>
              <w:rPr>
                <w:szCs w:val="16"/>
              </w:rPr>
            </w:pPr>
            <w:r w:rsidRPr="00F4229E">
              <w:rPr>
                <w:szCs w:val="16"/>
              </w:rPr>
              <w:t>Water (excl. VDP)</w:t>
            </w:r>
          </w:p>
        </w:tc>
        <w:tc>
          <w:tcPr>
            <w:tcW w:w="625" w:type="pct"/>
            <w:vAlign w:val="center"/>
          </w:tcPr>
          <w:p w14:paraId="55356387" w14:textId="77777777" w:rsidR="00F4229E" w:rsidRPr="00F4229E" w:rsidRDefault="00F4229E" w:rsidP="00F4229E">
            <w:pPr>
              <w:pStyle w:val="TableText"/>
              <w:rPr>
                <w:szCs w:val="16"/>
              </w:rPr>
            </w:pPr>
            <w:r w:rsidRPr="00F4229E">
              <w:rPr>
                <w:rFonts w:ascii="Verdana" w:hAnsi="Verdana" w:cs="Tahoma"/>
                <w:szCs w:val="16"/>
              </w:rPr>
              <w:t xml:space="preserve"> 89.5 </w:t>
            </w:r>
          </w:p>
        </w:tc>
        <w:tc>
          <w:tcPr>
            <w:tcW w:w="625" w:type="pct"/>
            <w:vAlign w:val="center"/>
          </w:tcPr>
          <w:p w14:paraId="7C38194A" w14:textId="77777777" w:rsidR="00F4229E" w:rsidRPr="00F4229E" w:rsidRDefault="00F4229E" w:rsidP="00F4229E">
            <w:pPr>
              <w:pStyle w:val="TableText"/>
              <w:rPr>
                <w:szCs w:val="16"/>
              </w:rPr>
            </w:pPr>
            <w:r w:rsidRPr="00F4229E">
              <w:rPr>
                <w:rFonts w:ascii="Verdana" w:hAnsi="Verdana" w:cs="Tahoma"/>
                <w:szCs w:val="16"/>
              </w:rPr>
              <w:t xml:space="preserve"> 92.7 </w:t>
            </w:r>
          </w:p>
        </w:tc>
        <w:tc>
          <w:tcPr>
            <w:tcW w:w="625" w:type="pct"/>
            <w:vAlign w:val="center"/>
          </w:tcPr>
          <w:p w14:paraId="0F2F37A1" w14:textId="77777777" w:rsidR="00F4229E" w:rsidRPr="00F4229E" w:rsidRDefault="00F4229E" w:rsidP="00F4229E">
            <w:pPr>
              <w:pStyle w:val="TableText"/>
              <w:rPr>
                <w:szCs w:val="16"/>
              </w:rPr>
            </w:pPr>
            <w:r w:rsidRPr="00F4229E">
              <w:rPr>
                <w:rFonts w:ascii="Verdana" w:hAnsi="Verdana" w:cs="Tahoma"/>
                <w:szCs w:val="16"/>
              </w:rPr>
              <w:t xml:space="preserve"> 96.0 </w:t>
            </w:r>
          </w:p>
        </w:tc>
        <w:tc>
          <w:tcPr>
            <w:tcW w:w="626" w:type="pct"/>
            <w:vAlign w:val="center"/>
          </w:tcPr>
          <w:p w14:paraId="2175C5D3" w14:textId="77777777" w:rsidR="00F4229E" w:rsidRPr="00F4229E" w:rsidRDefault="00F4229E" w:rsidP="00F4229E">
            <w:pPr>
              <w:pStyle w:val="TableText"/>
              <w:rPr>
                <w:szCs w:val="16"/>
              </w:rPr>
            </w:pPr>
            <w:r w:rsidRPr="00F4229E">
              <w:rPr>
                <w:rFonts w:ascii="Verdana" w:hAnsi="Verdana" w:cs="Tahoma"/>
                <w:szCs w:val="16"/>
              </w:rPr>
              <w:t xml:space="preserve"> 96.0 </w:t>
            </w:r>
          </w:p>
        </w:tc>
        <w:tc>
          <w:tcPr>
            <w:tcW w:w="626" w:type="pct"/>
            <w:vAlign w:val="center"/>
          </w:tcPr>
          <w:p w14:paraId="3E32FB2E" w14:textId="3F56F454" w:rsidR="00F4229E" w:rsidRPr="00F4229E" w:rsidRDefault="00F4229E" w:rsidP="00F4229E">
            <w:pPr>
              <w:pStyle w:val="TableText"/>
              <w:rPr>
                <w:szCs w:val="16"/>
              </w:rPr>
            </w:pPr>
            <w:r w:rsidRPr="00F4229E">
              <w:rPr>
                <w:rFonts w:ascii="Verdana" w:hAnsi="Verdana" w:cs="Tahoma"/>
                <w:szCs w:val="16"/>
              </w:rPr>
              <w:t xml:space="preserve"> 90.6 </w:t>
            </w:r>
          </w:p>
        </w:tc>
        <w:tc>
          <w:tcPr>
            <w:tcW w:w="626" w:type="pct"/>
            <w:vAlign w:val="center"/>
          </w:tcPr>
          <w:p w14:paraId="44DAF126" w14:textId="77777777" w:rsidR="00F4229E" w:rsidRPr="00F4229E" w:rsidRDefault="00F4229E" w:rsidP="00F4229E">
            <w:pPr>
              <w:pStyle w:val="TableText"/>
              <w:rPr>
                <w:szCs w:val="16"/>
              </w:rPr>
            </w:pPr>
            <w:r w:rsidRPr="00F4229E">
              <w:rPr>
                <w:rFonts w:ascii="Verdana" w:hAnsi="Verdana" w:cs="Tahoma"/>
                <w:szCs w:val="16"/>
              </w:rPr>
              <w:t xml:space="preserve"> 75.2 </w:t>
            </w:r>
          </w:p>
        </w:tc>
        <w:tc>
          <w:tcPr>
            <w:tcW w:w="623" w:type="pct"/>
            <w:vAlign w:val="center"/>
          </w:tcPr>
          <w:p w14:paraId="1E6205B0" w14:textId="77777777" w:rsidR="00F4229E" w:rsidRPr="00F4229E" w:rsidRDefault="00F4229E" w:rsidP="00F4229E">
            <w:pPr>
              <w:pStyle w:val="TableText"/>
              <w:rPr>
                <w:szCs w:val="16"/>
              </w:rPr>
            </w:pPr>
            <w:r w:rsidRPr="00F4229E">
              <w:rPr>
                <w:rFonts w:ascii="Verdana" w:hAnsi="Verdana" w:cs="Tahoma"/>
                <w:szCs w:val="16"/>
              </w:rPr>
              <w:t xml:space="preserve"> 75.2 </w:t>
            </w:r>
          </w:p>
        </w:tc>
      </w:tr>
      <w:tr w:rsidR="00055179" w:rsidRPr="00F4229E" w14:paraId="35C378DA" w14:textId="77777777" w:rsidTr="00060B56">
        <w:trPr>
          <w:cnfStyle w:val="000000010000" w:firstRow="0" w:lastRow="0" w:firstColumn="0" w:lastColumn="0" w:oddVBand="0" w:evenVBand="0" w:oddHBand="0" w:evenHBand="1" w:firstRowFirstColumn="0" w:firstRowLastColumn="0" w:lastRowFirstColumn="0" w:lastRowLastColumn="0"/>
          <w:cantSplit/>
        </w:trPr>
        <w:tc>
          <w:tcPr>
            <w:tcW w:w="624" w:type="pct"/>
          </w:tcPr>
          <w:p w14:paraId="3D901116" w14:textId="77777777" w:rsidR="00F4229E" w:rsidRPr="00F4229E" w:rsidRDefault="00F4229E" w:rsidP="00F4229E">
            <w:pPr>
              <w:pStyle w:val="TableText"/>
              <w:rPr>
                <w:szCs w:val="16"/>
              </w:rPr>
            </w:pPr>
            <w:r w:rsidRPr="00F4229E">
              <w:rPr>
                <w:szCs w:val="16"/>
              </w:rPr>
              <w:t>Sewerage</w:t>
            </w:r>
          </w:p>
        </w:tc>
        <w:tc>
          <w:tcPr>
            <w:tcW w:w="625" w:type="pct"/>
            <w:vAlign w:val="center"/>
          </w:tcPr>
          <w:p w14:paraId="5AEC5B86" w14:textId="77777777" w:rsidR="00F4229E" w:rsidRPr="00F4229E" w:rsidRDefault="00F4229E" w:rsidP="00F4229E">
            <w:pPr>
              <w:pStyle w:val="TableText"/>
              <w:rPr>
                <w:szCs w:val="16"/>
              </w:rPr>
            </w:pPr>
            <w:r w:rsidRPr="00F4229E">
              <w:rPr>
                <w:rFonts w:ascii="Verdana" w:hAnsi="Verdana" w:cs="Tahoma"/>
                <w:szCs w:val="16"/>
              </w:rPr>
              <w:t xml:space="preserve"> 145.0 </w:t>
            </w:r>
          </w:p>
        </w:tc>
        <w:tc>
          <w:tcPr>
            <w:tcW w:w="625" w:type="pct"/>
            <w:vAlign w:val="center"/>
          </w:tcPr>
          <w:p w14:paraId="387FF80D" w14:textId="77777777" w:rsidR="00F4229E" w:rsidRPr="00F4229E" w:rsidRDefault="00F4229E" w:rsidP="00F4229E">
            <w:pPr>
              <w:pStyle w:val="TableText"/>
              <w:rPr>
                <w:szCs w:val="16"/>
              </w:rPr>
            </w:pPr>
            <w:r w:rsidRPr="00F4229E">
              <w:rPr>
                <w:rFonts w:ascii="Verdana" w:hAnsi="Verdana" w:cs="Tahoma"/>
                <w:szCs w:val="16"/>
              </w:rPr>
              <w:t xml:space="preserve"> 153.1 </w:t>
            </w:r>
          </w:p>
        </w:tc>
        <w:tc>
          <w:tcPr>
            <w:tcW w:w="625" w:type="pct"/>
            <w:vAlign w:val="center"/>
          </w:tcPr>
          <w:p w14:paraId="205BD26E" w14:textId="77777777" w:rsidR="00F4229E" w:rsidRPr="00F4229E" w:rsidRDefault="00F4229E" w:rsidP="00F4229E">
            <w:pPr>
              <w:pStyle w:val="TableText"/>
              <w:rPr>
                <w:szCs w:val="16"/>
              </w:rPr>
            </w:pPr>
            <w:r w:rsidRPr="00F4229E">
              <w:rPr>
                <w:rFonts w:ascii="Verdana" w:hAnsi="Verdana" w:cs="Tahoma"/>
                <w:szCs w:val="16"/>
              </w:rPr>
              <w:t xml:space="preserve"> 156.0 </w:t>
            </w:r>
          </w:p>
        </w:tc>
        <w:tc>
          <w:tcPr>
            <w:tcW w:w="626" w:type="pct"/>
            <w:vAlign w:val="center"/>
          </w:tcPr>
          <w:p w14:paraId="7DA49947" w14:textId="77777777" w:rsidR="00F4229E" w:rsidRPr="00F4229E" w:rsidRDefault="00F4229E" w:rsidP="00F4229E">
            <w:pPr>
              <w:pStyle w:val="TableText"/>
              <w:rPr>
                <w:szCs w:val="16"/>
              </w:rPr>
            </w:pPr>
            <w:r w:rsidRPr="00F4229E">
              <w:rPr>
                <w:rFonts w:ascii="Verdana" w:hAnsi="Verdana" w:cs="Tahoma"/>
                <w:szCs w:val="16"/>
              </w:rPr>
              <w:t xml:space="preserve"> 156.0 </w:t>
            </w:r>
          </w:p>
        </w:tc>
        <w:tc>
          <w:tcPr>
            <w:tcW w:w="626" w:type="pct"/>
            <w:vAlign w:val="center"/>
          </w:tcPr>
          <w:p w14:paraId="2E993866" w14:textId="77777777" w:rsidR="00F4229E" w:rsidRPr="00F4229E" w:rsidRDefault="00F4229E" w:rsidP="00F4229E">
            <w:pPr>
              <w:pStyle w:val="TableText"/>
              <w:rPr>
                <w:szCs w:val="16"/>
              </w:rPr>
            </w:pPr>
            <w:r w:rsidRPr="00F4229E">
              <w:rPr>
                <w:rFonts w:ascii="Verdana" w:hAnsi="Verdana" w:cs="Tahoma"/>
                <w:szCs w:val="16"/>
              </w:rPr>
              <w:t xml:space="preserve"> 156.0 </w:t>
            </w:r>
          </w:p>
        </w:tc>
        <w:tc>
          <w:tcPr>
            <w:tcW w:w="626" w:type="pct"/>
            <w:vAlign w:val="center"/>
          </w:tcPr>
          <w:p w14:paraId="4715616B" w14:textId="77777777" w:rsidR="00F4229E" w:rsidRPr="00F4229E" w:rsidRDefault="00F4229E" w:rsidP="00F4229E">
            <w:pPr>
              <w:pStyle w:val="TableText"/>
              <w:rPr>
                <w:szCs w:val="16"/>
              </w:rPr>
            </w:pPr>
            <w:r w:rsidRPr="00F4229E">
              <w:rPr>
                <w:rFonts w:ascii="Verdana" w:hAnsi="Verdana" w:cs="Tahoma"/>
                <w:szCs w:val="16"/>
              </w:rPr>
              <w:t xml:space="preserve"> 156.0 </w:t>
            </w:r>
          </w:p>
        </w:tc>
        <w:tc>
          <w:tcPr>
            <w:tcW w:w="623" w:type="pct"/>
            <w:vAlign w:val="center"/>
          </w:tcPr>
          <w:p w14:paraId="1A4720D6" w14:textId="377F2997" w:rsidR="00F4229E" w:rsidRPr="00F4229E" w:rsidRDefault="00F4229E" w:rsidP="00F4229E">
            <w:pPr>
              <w:pStyle w:val="TableText"/>
              <w:rPr>
                <w:szCs w:val="16"/>
              </w:rPr>
            </w:pPr>
            <w:r w:rsidRPr="00F4229E">
              <w:rPr>
                <w:rFonts w:ascii="Verdana" w:hAnsi="Verdana" w:cs="Tahoma"/>
                <w:szCs w:val="16"/>
              </w:rPr>
              <w:t xml:space="preserve"> 139.4 </w:t>
            </w:r>
          </w:p>
        </w:tc>
      </w:tr>
      <w:tr w:rsidR="00F4229E" w:rsidRPr="00F4229E" w14:paraId="6AE86D26" w14:textId="77777777" w:rsidTr="00060B56">
        <w:trPr>
          <w:cantSplit/>
        </w:trPr>
        <w:tc>
          <w:tcPr>
            <w:tcW w:w="624" w:type="pct"/>
          </w:tcPr>
          <w:p w14:paraId="27000522" w14:textId="77777777" w:rsidR="00F4229E" w:rsidRPr="00F4229E" w:rsidRDefault="00F4229E" w:rsidP="00F4229E">
            <w:pPr>
              <w:pStyle w:val="TableText"/>
              <w:rPr>
                <w:szCs w:val="16"/>
              </w:rPr>
            </w:pPr>
            <w:r w:rsidRPr="00F4229E">
              <w:rPr>
                <w:szCs w:val="16"/>
              </w:rPr>
              <w:t>Recycled Water</w:t>
            </w:r>
          </w:p>
        </w:tc>
        <w:tc>
          <w:tcPr>
            <w:tcW w:w="625" w:type="pct"/>
            <w:vAlign w:val="center"/>
          </w:tcPr>
          <w:p w14:paraId="46D1BD32" w14:textId="77777777" w:rsidR="00F4229E" w:rsidRPr="00F4229E" w:rsidRDefault="00F4229E" w:rsidP="00F4229E">
            <w:pPr>
              <w:pStyle w:val="TableText"/>
              <w:rPr>
                <w:szCs w:val="16"/>
              </w:rPr>
            </w:pPr>
            <w:r w:rsidRPr="00F4229E">
              <w:rPr>
                <w:rFonts w:ascii="Verdana" w:hAnsi="Verdana" w:cs="Tahoma"/>
                <w:szCs w:val="16"/>
              </w:rPr>
              <w:t xml:space="preserve"> 65.8 </w:t>
            </w:r>
          </w:p>
        </w:tc>
        <w:tc>
          <w:tcPr>
            <w:tcW w:w="625" w:type="pct"/>
            <w:vAlign w:val="center"/>
          </w:tcPr>
          <w:p w14:paraId="77540AD1" w14:textId="77777777" w:rsidR="00F4229E" w:rsidRPr="00F4229E" w:rsidRDefault="00F4229E" w:rsidP="00F4229E">
            <w:pPr>
              <w:pStyle w:val="TableText"/>
              <w:rPr>
                <w:szCs w:val="16"/>
              </w:rPr>
            </w:pPr>
            <w:r w:rsidRPr="00F4229E">
              <w:rPr>
                <w:rFonts w:ascii="Verdana" w:hAnsi="Verdana" w:cs="Tahoma"/>
                <w:szCs w:val="16"/>
              </w:rPr>
              <w:t xml:space="preserve"> 71.6 </w:t>
            </w:r>
          </w:p>
        </w:tc>
        <w:tc>
          <w:tcPr>
            <w:tcW w:w="625" w:type="pct"/>
            <w:vAlign w:val="center"/>
          </w:tcPr>
          <w:p w14:paraId="6E2FE417" w14:textId="77777777" w:rsidR="00F4229E" w:rsidRPr="00F4229E" w:rsidRDefault="00F4229E" w:rsidP="00F4229E">
            <w:pPr>
              <w:pStyle w:val="TableText"/>
              <w:rPr>
                <w:szCs w:val="16"/>
              </w:rPr>
            </w:pPr>
            <w:r w:rsidRPr="00F4229E">
              <w:rPr>
                <w:rFonts w:ascii="Verdana" w:hAnsi="Verdana" w:cs="Tahoma"/>
                <w:szCs w:val="16"/>
              </w:rPr>
              <w:t xml:space="preserve"> 66.1 </w:t>
            </w:r>
          </w:p>
        </w:tc>
        <w:tc>
          <w:tcPr>
            <w:tcW w:w="626" w:type="pct"/>
            <w:vAlign w:val="center"/>
          </w:tcPr>
          <w:p w14:paraId="3E4E4369" w14:textId="77777777" w:rsidR="00F4229E" w:rsidRPr="00F4229E" w:rsidRDefault="00F4229E" w:rsidP="00F4229E">
            <w:pPr>
              <w:pStyle w:val="TableText"/>
              <w:rPr>
                <w:szCs w:val="16"/>
              </w:rPr>
            </w:pPr>
            <w:r w:rsidRPr="00F4229E">
              <w:rPr>
                <w:rFonts w:ascii="Verdana" w:hAnsi="Verdana" w:cs="Tahoma"/>
                <w:szCs w:val="16"/>
              </w:rPr>
              <w:t xml:space="preserve"> 66.1 </w:t>
            </w:r>
          </w:p>
        </w:tc>
        <w:tc>
          <w:tcPr>
            <w:tcW w:w="626" w:type="pct"/>
            <w:vAlign w:val="center"/>
          </w:tcPr>
          <w:p w14:paraId="5B7CF320" w14:textId="77777777" w:rsidR="00F4229E" w:rsidRPr="00F4229E" w:rsidRDefault="00F4229E" w:rsidP="00F4229E">
            <w:pPr>
              <w:pStyle w:val="TableText"/>
              <w:rPr>
                <w:szCs w:val="16"/>
              </w:rPr>
            </w:pPr>
            <w:r w:rsidRPr="00F4229E">
              <w:rPr>
                <w:rFonts w:ascii="Verdana" w:hAnsi="Verdana" w:cs="Tahoma"/>
                <w:szCs w:val="16"/>
              </w:rPr>
              <w:t xml:space="preserve"> 66.1 </w:t>
            </w:r>
          </w:p>
        </w:tc>
        <w:tc>
          <w:tcPr>
            <w:tcW w:w="626" w:type="pct"/>
            <w:vAlign w:val="center"/>
          </w:tcPr>
          <w:p w14:paraId="6388069D" w14:textId="653F49FA" w:rsidR="00F4229E" w:rsidRPr="00F4229E" w:rsidRDefault="00F4229E" w:rsidP="00F4229E">
            <w:pPr>
              <w:pStyle w:val="TableText"/>
              <w:rPr>
                <w:szCs w:val="16"/>
              </w:rPr>
            </w:pPr>
            <w:r w:rsidRPr="00F4229E">
              <w:rPr>
                <w:rFonts w:ascii="Verdana" w:hAnsi="Verdana" w:cs="Tahoma"/>
                <w:szCs w:val="16"/>
              </w:rPr>
              <w:t xml:space="preserve"> 50.5 </w:t>
            </w:r>
          </w:p>
        </w:tc>
        <w:tc>
          <w:tcPr>
            <w:tcW w:w="623" w:type="pct"/>
            <w:vAlign w:val="center"/>
          </w:tcPr>
          <w:p w14:paraId="747295C4" w14:textId="77777777" w:rsidR="00F4229E" w:rsidRPr="00F4229E" w:rsidRDefault="00F4229E" w:rsidP="00F4229E">
            <w:pPr>
              <w:pStyle w:val="TableText"/>
              <w:rPr>
                <w:szCs w:val="16"/>
              </w:rPr>
            </w:pPr>
            <w:r w:rsidRPr="00F4229E">
              <w:rPr>
                <w:rFonts w:ascii="Verdana" w:hAnsi="Verdana" w:cs="Tahoma"/>
                <w:szCs w:val="16"/>
              </w:rPr>
              <w:t xml:space="preserve"> 45.3 </w:t>
            </w:r>
          </w:p>
        </w:tc>
      </w:tr>
      <w:tr w:rsidR="00055179" w:rsidRPr="00F4229E" w14:paraId="5F90B9F3" w14:textId="77777777" w:rsidTr="00060B56">
        <w:trPr>
          <w:cnfStyle w:val="000000010000" w:firstRow="0" w:lastRow="0" w:firstColumn="0" w:lastColumn="0" w:oddVBand="0" w:evenVBand="0" w:oddHBand="0" w:evenHBand="1" w:firstRowFirstColumn="0" w:firstRowLastColumn="0" w:lastRowFirstColumn="0" w:lastRowLastColumn="0"/>
          <w:cantSplit/>
        </w:trPr>
        <w:tc>
          <w:tcPr>
            <w:tcW w:w="624" w:type="pct"/>
          </w:tcPr>
          <w:p w14:paraId="71B028D6" w14:textId="77777777" w:rsidR="00F4229E" w:rsidRPr="00F4229E" w:rsidRDefault="00F4229E" w:rsidP="00F4229E">
            <w:pPr>
              <w:pStyle w:val="TableText"/>
              <w:rPr>
                <w:szCs w:val="16"/>
              </w:rPr>
            </w:pPr>
            <w:r w:rsidRPr="00F4229E">
              <w:rPr>
                <w:szCs w:val="16"/>
              </w:rPr>
              <w:t>Waterways and drainage</w:t>
            </w:r>
          </w:p>
        </w:tc>
        <w:tc>
          <w:tcPr>
            <w:tcW w:w="625" w:type="pct"/>
            <w:vAlign w:val="center"/>
          </w:tcPr>
          <w:p w14:paraId="0E1B9873" w14:textId="77777777" w:rsidR="00F4229E" w:rsidRPr="00F4229E" w:rsidRDefault="00F4229E" w:rsidP="00F4229E">
            <w:pPr>
              <w:pStyle w:val="TableText"/>
              <w:rPr>
                <w:szCs w:val="16"/>
              </w:rPr>
            </w:pPr>
            <w:r w:rsidRPr="00F4229E">
              <w:rPr>
                <w:rFonts w:ascii="Verdana" w:hAnsi="Verdana" w:cs="Tahoma"/>
                <w:szCs w:val="16"/>
              </w:rPr>
              <w:t xml:space="preserve"> 2.4 </w:t>
            </w:r>
          </w:p>
        </w:tc>
        <w:tc>
          <w:tcPr>
            <w:tcW w:w="625" w:type="pct"/>
            <w:vAlign w:val="center"/>
          </w:tcPr>
          <w:p w14:paraId="53B42D3F" w14:textId="77777777" w:rsidR="00F4229E" w:rsidRPr="00F4229E" w:rsidRDefault="00F4229E" w:rsidP="00F4229E">
            <w:pPr>
              <w:pStyle w:val="TableText"/>
              <w:rPr>
                <w:szCs w:val="16"/>
              </w:rPr>
            </w:pPr>
            <w:r w:rsidRPr="00F4229E">
              <w:rPr>
                <w:rFonts w:ascii="Verdana" w:hAnsi="Verdana" w:cs="Tahoma"/>
                <w:szCs w:val="16"/>
              </w:rPr>
              <w:t xml:space="preserve"> 2.4 </w:t>
            </w:r>
          </w:p>
        </w:tc>
        <w:tc>
          <w:tcPr>
            <w:tcW w:w="625" w:type="pct"/>
            <w:vAlign w:val="center"/>
          </w:tcPr>
          <w:p w14:paraId="4238AFF0" w14:textId="77777777" w:rsidR="00F4229E" w:rsidRPr="00F4229E" w:rsidRDefault="00F4229E" w:rsidP="00F4229E">
            <w:pPr>
              <w:pStyle w:val="TableText"/>
              <w:rPr>
                <w:szCs w:val="16"/>
              </w:rPr>
            </w:pPr>
            <w:r w:rsidRPr="00F4229E">
              <w:rPr>
                <w:rFonts w:ascii="Verdana" w:hAnsi="Verdana" w:cs="Tahoma"/>
                <w:szCs w:val="16"/>
              </w:rPr>
              <w:t xml:space="preserve"> 2.4 </w:t>
            </w:r>
          </w:p>
        </w:tc>
        <w:tc>
          <w:tcPr>
            <w:tcW w:w="626" w:type="pct"/>
            <w:vAlign w:val="center"/>
          </w:tcPr>
          <w:p w14:paraId="13C2732A" w14:textId="77777777" w:rsidR="00F4229E" w:rsidRPr="00F4229E" w:rsidRDefault="00F4229E" w:rsidP="00F4229E">
            <w:pPr>
              <w:pStyle w:val="TableText"/>
              <w:rPr>
                <w:szCs w:val="16"/>
              </w:rPr>
            </w:pPr>
            <w:r w:rsidRPr="00F4229E">
              <w:rPr>
                <w:rFonts w:ascii="Verdana" w:hAnsi="Verdana" w:cs="Tahoma"/>
                <w:szCs w:val="16"/>
              </w:rPr>
              <w:t xml:space="preserve"> 2.4 </w:t>
            </w:r>
          </w:p>
        </w:tc>
        <w:tc>
          <w:tcPr>
            <w:tcW w:w="626" w:type="pct"/>
            <w:vAlign w:val="center"/>
          </w:tcPr>
          <w:p w14:paraId="25C8D818" w14:textId="77777777" w:rsidR="00F4229E" w:rsidRPr="00F4229E" w:rsidRDefault="00F4229E" w:rsidP="00F4229E">
            <w:pPr>
              <w:pStyle w:val="TableText"/>
              <w:rPr>
                <w:szCs w:val="16"/>
              </w:rPr>
            </w:pPr>
            <w:r w:rsidRPr="00F4229E">
              <w:rPr>
                <w:rFonts w:ascii="Verdana" w:hAnsi="Verdana" w:cs="Tahoma"/>
                <w:szCs w:val="16"/>
              </w:rPr>
              <w:t xml:space="preserve"> 2.4 </w:t>
            </w:r>
          </w:p>
        </w:tc>
        <w:tc>
          <w:tcPr>
            <w:tcW w:w="626" w:type="pct"/>
            <w:vAlign w:val="center"/>
          </w:tcPr>
          <w:p w14:paraId="2516CF49" w14:textId="77777777" w:rsidR="00F4229E" w:rsidRPr="00F4229E" w:rsidRDefault="00F4229E" w:rsidP="00F4229E">
            <w:pPr>
              <w:pStyle w:val="TableText"/>
              <w:rPr>
                <w:szCs w:val="16"/>
              </w:rPr>
            </w:pPr>
            <w:r w:rsidRPr="00F4229E">
              <w:rPr>
                <w:rFonts w:ascii="Verdana" w:hAnsi="Verdana" w:cs="Tahoma"/>
                <w:szCs w:val="16"/>
              </w:rPr>
              <w:t xml:space="preserve"> 2.4 </w:t>
            </w:r>
          </w:p>
        </w:tc>
        <w:tc>
          <w:tcPr>
            <w:tcW w:w="623" w:type="pct"/>
            <w:vAlign w:val="center"/>
          </w:tcPr>
          <w:p w14:paraId="771AF0B1" w14:textId="77777777" w:rsidR="00F4229E" w:rsidRPr="00F4229E" w:rsidRDefault="00F4229E" w:rsidP="00F4229E">
            <w:pPr>
              <w:pStyle w:val="TableText"/>
              <w:rPr>
                <w:szCs w:val="16"/>
              </w:rPr>
            </w:pPr>
            <w:r w:rsidRPr="00F4229E">
              <w:rPr>
                <w:rFonts w:ascii="Verdana" w:hAnsi="Verdana" w:cs="Tahoma"/>
                <w:szCs w:val="16"/>
              </w:rPr>
              <w:t xml:space="preserve"> 2.4 </w:t>
            </w:r>
          </w:p>
        </w:tc>
      </w:tr>
      <w:tr w:rsidR="00F4229E" w:rsidRPr="00F4229E" w14:paraId="3F4AAD55" w14:textId="77777777" w:rsidTr="00060B56">
        <w:trPr>
          <w:cantSplit/>
        </w:trPr>
        <w:tc>
          <w:tcPr>
            <w:tcW w:w="624" w:type="pct"/>
          </w:tcPr>
          <w:p w14:paraId="4E3A7EA9" w14:textId="77777777" w:rsidR="00F4229E" w:rsidRPr="00F4229E" w:rsidRDefault="00F4229E" w:rsidP="00F4229E">
            <w:pPr>
              <w:pStyle w:val="TableText"/>
              <w:rPr>
                <w:szCs w:val="16"/>
              </w:rPr>
            </w:pPr>
            <w:r w:rsidRPr="00F4229E">
              <w:rPr>
                <w:szCs w:val="16"/>
              </w:rPr>
              <w:t>Diversions</w:t>
            </w:r>
          </w:p>
        </w:tc>
        <w:tc>
          <w:tcPr>
            <w:tcW w:w="625" w:type="pct"/>
            <w:vAlign w:val="center"/>
          </w:tcPr>
          <w:p w14:paraId="3519FC00" w14:textId="77777777" w:rsidR="00F4229E" w:rsidRPr="00F4229E" w:rsidRDefault="00F4229E" w:rsidP="00F4229E">
            <w:pPr>
              <w:pStyle w:val="TableText"/>
              <w:rPr>
                <w:szCs w:val="16"/>
              </w:rPr>
            </w:pPr>
            <w:r w:rsidRPr="00F4229E">
              <w:rPr>
                <w:rFonts w:ascii="Verdana" w:hAnsi="Verdana" w:cs="Tahoma"/>
                <w:szCs w:val="16"/>
              </w:rPr>
              <w:t xml:space="preserve"> 0.1 </w:t>
            </w:r>
          </w:p>
        </w:tc>
        <w:tc>
          <w:tcPr>
            <w:tcW w:w="625" w:type="pct"/>
            <w:vAlign w:val="center"/>
          </w:tcPr>
          <w:p w14:paraId="40E56756" w14:textId="77777777" w:rsidR="00F4229E" w:rsidRPr="00F4229E" w:rsidRDefault="00F4229E" w:rsidP="00F4229E">
            <w:pPr>
              <w:pStyle w:val="TableText"/>
              <w:rPr>
                <w:szCs w:val="16"/>
              </w:rPr>
            </w:pPr>
            <w:r w:rsidRPr="00F4229E">
              <w:rPr>
                <w:rFonts w:ascii="Verdana" w:hAnsi="Verdana" w:cs="Tahoma"/>
                <w:szCs w:val="16"/>
              </w:rPr>
              <w:t xml:space="preserve"> 0.1 </w:t>
            </w:r>
          </w:p>
        </w:tc>
        <w:tc>
          <w:tcPr>
            <w:tcW w:w="625" w:type="pct"/>
            <w:vAlign w:val="center"/>
          </w:tcPr>
          <w:p w14:paraId="3BBA3831" w14:textId="77777777" w:rsidR="00F4229E" w:rsidRPr="00F4229E" w:rsidRDefault="00F4229E" w:rsidP="00F4229E">
            <w:pPr>
              <w:pStyle w:val="TableText"/>
              <w:rPr>
                <w:szCs w:val="16"/>
              </w:rPr>
            </w:pPr>
            <w:r w:rsidRPr="00F4229E">
              <w:rPr>
                <w:rFonts w:ascii="Verdana" w:hAnsi="Verdana" w:cs="Tahoma"/>
                <w:szCs w:val="16"/>
              </w:rPr>
              <w:t xml:space="preserve"> 0.1 </w:t>
            </w:r>
          </w:p>
        </w:tc>
        <w:tc>
          <w:tcPr>
            <w:tcW w:w="626" w:type="pct"/>
            <w:vAlign w:val="center"/>
          </w:tcPr>
          <w:p w14:paraId="720A837E" w14:textId="77777777" w:rsidR="00F4229E" w:rsidRPr="00F4229E" w:rsidRDefault="00F4229E" w:rsidP="00F4229E">
            <w:pPr>
              <w:pStyle w:val="TableText"/>
              <w:rPr>
                <w:szCs w:val="16"/>
              </w:rPr>
            </w:pPr>
            <w:r w:rsidRPr="00F4229E">
              <w:rPr>
                <w:rFonts w:ascii="Verdana" w:hAnsi="Verdana" w:cs="Tahoma"/>
                <w:szCs w:val="16"/>
              </w:rPr>
              <w:t xml:space="preserve"> 0.1 </w:t>
            </w:r>
          </w:p>
        </w:tc>
        <w:tc>
          <w:tcPr>
            <w:tcW w:w="626" w:type="pct"/>
            <w:vAlign w:val="center"/>
          </w:tcPr>
          <w:p w14:paraId="186374DC" w14:textId="77777777" w:rsidR="00F4229E" w:rsidRPr="00F4229E" w:rsidRDefault="00F4229E" w:rsidP="00F4229E">
            <w:pPr>
              <w:pStyle w:val="TableText"/>
              <w:rPr>
                <w:szCs w:val="16"/>
              </w:rPr>
            </w:pPr>
            <w:r w:rsidRPr="00F4229E">
              <w:rPr>
                <w:rFonts w:ascii="Verdana" w:hAnsi="Verdana" w:cs="Tahoma"/>
                <w:szCs w:val="16"/>
              </w:rPr>
              <w:t xml:space="preserve"> 0.1 </w:t>
            </w:r>
          </w:p>
        </w:tc>
        <w:tc>
          <w:tcPr>
            <w:tcW w:w="626" w:type="pct"/>
            <w:vAlign w:val="center"/>
          </w:tcPr>
          <w:p w14:paraId="3A86C79B" w14:textId="77777777" w:rsidR="00F4229E" w:rsidRPr="00F4229E" w:rsidRDefault="00F4229E" w:rsidP="00F4229E">
            <w:pPr>
              <w:pStyle w:val="TableText"/>
              <w:rPr>
                <w:szCs w:val="16"/>
              </w:rPr>
            </w:pPr>
            <w:r w:rsidRPr="00F4229E">
              <w:rPr>
                <w:rFonts w:ascii="Verdana" w:hAnsi="Verdana" w:cs="Tahoma"/>
                <w:szCs w:val="16"/>
              </w:rPr>
              <w:t xml:space="preserve"> 0.1 </w:t>
            </w:r>
          </w:p>
        </w:tc>
        <w:tc>
          <w:tcPr>
            <w:tcW w:w="623" w:type="pct"/>
            <w:vAlign w:val="center"/>
          </w:tcPr>
          <w:p w14:paraId="5FA45B2D" w14:textId="77777777" w:rsidR="00F4229E" w:rsidRPr="00F4229E" w:rsidRDefault="00F4229E" w:rsidP="00F4229E">
            <w:pPr>
              <w:pStyle w:val="TableText"/>
              <w:rPr>
                <w:szCs w:val="16"/>
              </w:rPr>
            </w:pPr>
            <w:r w:rsidRPr="00F4229E">
              <w:rPr>
                <w:rFonts w:ascii="Verdana" w:hAnsi="Verdana" w:cs="Tahoma"/>
                <w:szCs w:val="16"/>
              </w:rPr>
              <w:t xml:space="preserve"> 0.1 </w:t>
            </w:r>
          </w:p>
        </w:tc>
      </w:tr>
      <w:tr w:rsidR="00055179" w:rsidRPr="00F4229E" w14:paraId="218A1D08" w14:textId="77777777" w:rsidTr="4F0AFA43">
        <w:trPr>
          <w:cnfStyle w:val="000000010000" w:firstRow="0" w:lastRow="0" w:firstColumn="0" w:lastColumn="0" w:oddVBand="0" w:evenVBand="0" w:oddHBand="0" w:evenHBand="1" w:firstRowFirstColumn="0" w:firstRowLastColumn="0" w:lastRowFirstColumn="0" w:lastRowLastColumn="0"/>
          <w:cantSplit/>
        </w:trPr>
        <w:tc>
          <w:tcPr>
            <w:tcW w:w="624" w:type="pct"/>
            <w:tcBorders>
              <w:bottom w:val="single" w:sz="4" w:space="0" w:color="231F20" w:themeColor="text1"/>
            </w:tcBorders>
          </w:tcPr>
          <w:p w14:paraId="2EE86382" w14:textId="77777777" w:rsidR="00F4229E" w:rsidRPr="00F4229E" w:rsidRDefault="00F4229E" w:rsidP="00F4229E">
            <w:pPr>
              <w:pStyle w:val="TableText"/>
              <w:rPr>
                <w:b/>
                <w:szCs w:val="16"/>
              </w:rPr>
            </w:pPr>
            <w:r w:rsidRPr="00F4229E">
              <w:rPr>
                <w:b/>
                <w:szCs w:val="16"/>
              </w:rPr>
              <w:t>Total</w:t>
            </w:r>
          </w:p>
        </w:tc>
        <w:tc>
          <w:tcPr>
            <w:tcW w:w="625" w:type="pct"/>
            <w:tcBorders>
              <w:bottom w:val="single" w:sz="4" w:space="0" w:color="231F20" w:themeColor="text1"/>
            </w:tcBorders>
            <w:vAlign w:val="center"/>
          </w:tcPr>
          <w:p w14:paraId="243E2C99" w14:textId="77777777" w:rsidR="00F4229E" w:rsidRPr="00F4229E" w:rsidRDefault="00F4229E" w:rsidP="00F4229E">
            <w:pPr>
              <w:pStyle w:val="TableText"/>
              <w:rPr>
                <w:rFonts w:ascii="Verdana" w:hAnsi="Verdana" w:cs="Tahoma"/>
                <w:b/>
                <w:bCs/>
                <w:szCs w:val="16"/>
              </w:rPr>
            </w:pPr>
            <w:r w:rsidRPr="00F4229E">
              <w:rPr>
                <w:rFonts w:ascii="Verdana" w:hAnsi="Verdana" w:cs="Tahoma"/>
                <w:b/>
                <w:bCs/>
                <w:szCs w:val="16"/>
              </w:rPr>
              <w:t xml:space="preserve"> 302.8 </w:t>
            </w:r>
          </w:p>
        </w:tc>
        <w:tc>
          <w:tcPr>
            <w:tcW w:w="625" w:type="pct"/>
            <w:tcBorders>
              <w:bottom w:val="single" w:sz="4" w:space="0" w:color="231F20" w:themeColor="text1"/>
            </w:tcBorders>
            <w:vAlign w:val="center"/>
          </w:tcPr>
          <w:p w14:paraId="0041B02B" w14:textId="77777777" w:rsidR="00F4229E" w:rsidRPr="00F4229E" w:rsidRDefault="00F4229E" w:rsidP="00F4229E">
            <w:pPr>
              <w:pStyle w:val="TableText"/>
              <w:rPr>
                <w:rFonts w:ascii="Verdana" w:hAnsi="Verdana" w:cs="Tahoma"/>
                <w:b/>
                <w:bCs/>
                <w:szCs w:val="16"/>
              </w:rPr>
            </w:pPr>
            <w:r w:rsidRPr="00F4229E">
              <w:rPr>
                <w:rFonts w:ascii="Verdana" w:hAnsi="Verdana" w:cs="Tahoma"/>
                <w:b/>
                <w:bCs/>
                <w:szCs w:val="16"/>
              </w:rPr>
              <w:t xml:space="preserve"> 319.8 </w:t>
            </w:r>
          </w:p>
        </w:tc>
        <w:tc>
          <w:tcPr>
            <w:tcW w:w="625" w:type="pct"/>
            <w:tcBorders>
              <w:bottom w:val="single" w:sz="4" w:space="0" w:color="231F20" w:themeColor="text1"/>
            </w:tcBorders>
            <w:vAlign w:val="center"/>
          </w:tcPr>
          <w:p w14:paraId="73101924" w14:textId="77777777" w:rsidR="00F4229E" w:rsidRPr="00F4229E" w:rsidRDefault="00F4229E" w:rsidP="00F4229E">
            <w:pPr>
              <w:pStyle w:val="TableText"/>
              <w:rPr>
                <w:rFonts w:ascii="Verdana" w:hAnsi="Verdana" w:cs="Tahoma"/>
                <w:b/>
                <w:bCs/>
                <w:szCs w:val="16"/>
              </w:rPr>
            </w:pPr>
            <w:r w:rsidRPr="00F4229E">
              <w:rPr>
                <w:rFonts w:ascii="Verdana" w:hAnsi="Verdana" w:cs="Tahoma"/>
                <w:b/>
                <w:bCs/>
                <w:szCs w:val="16"/>
              </w:rPr>
              <w:t xml:space="preserve"> 320.6 </w:t>
            </w:r>
          </w:p>
        </w:tc>
        <w:tc>
          <w:tcPr>
            <w:tcW w:w="626" w:type="pct"/>
            <w:tcBorders>
              <w:bottom w:val="single" w:sz="4" w:space="0" w:color="231F20" w:themeColor="text1"/>
            </w:tcBorders>
            <w:vAlign w:val="center"/>
          </w:tcPr>
          <w:p w14:paraId="4BA16AC5" w14:textId="77777777" w:rsidR="00F4229E" w:rsidRPr="00F4229E" w:rsidRDefault="00F4229E" w:rsidP="00F4229E">
            <w:pPr>
              <w:pStyle w:val="TableText"/>
              <w:rPr>
                <w:rFonts w:ascii="Verdana" w:hAnsi="Verdana" w:cs="Tahoma"/>
                <w:b/>
                <w:bCs/>
                <w:szCs w:val="16"/>
              </w:rPr>
            </w:pPr>
            <w:r w:rsidRPr="00F4229E">
              <w:rPr>
                <w:rFonts w:ascii="Verdana" w:hAnsi="Verdana" w:cs="Tahoma"/>
                <w:b/>
                <w:bCs/>
                <w:szCs w:val="16"/>
              </w:rPr>
              <w:t xml:space="preserve"> 320.6 </w:t>
            </w:r>
          </w:p>
        </w:tc>
        <w:tc>
          <w:tcPr>
            <w:tcW w:w="626" w:type="pct"/>
            <w:tcBorders>
              <w:bottom w:val="single" w:sz="4" w:space="0" w:color="231F20" w:themeColor="text1"/>
            </w:tcBorders>
            <w:vAlign w:val="center"/>
          </w:tcPr>
          <w:p w14:paraId="0A89F6FD" w14:textId="0034610F" w:rsidR="00F4229E" w:rsidRPr="00F4229E" w:rsidRDefault="00F4229E" w:rsidP="00F4229E">
            <w:pPr>
              <w:pStyle w:val="TableText"/>
              <w:rPr>
                <w:rFonts w:ascii="Verdana" w:hAnsi="Verdana" w:cs="Tahoma"/>
                <w:b/>
                <w:bCs/>
                <w:szCs w:val="16"/>
              </w:rPr>
            </w:pPr>
            <w:r w:rsidRPr="00F4229E">
              <w:rPr>
                <w:rFonts w:ascii="Verdana" w:hAnsi="Verdana" w:cs="Tahoma"/>
                <w:b/>
                <w:bCs/>
                <w:szCs w:val="16"/>
              </w:rPr>
              <w:t xml:space="preserve"> 315.2 </w:t>
            </w:r>
          </w:p>
        </w:tc>
        <w:tc>
          <w:tcPr>
            <w:tcW w:w="626" w:type="pct"/>
            <w:tcBorders>
              <w:bottom w:val="single" w:sz="4" w:space="0" w:color="231F20" w:themeColor="text1"/>
            </w:tcBorders>
            <w:vAlign w:val="center"/>
          </w:tcPr>
          <w:p w14:paraId="69D4FF34" w14:textId="5A6A211A" w:rsidR="00F4229E" w:rsidRPr="00F4229E" w:rsidRDefault="00F4229E" w:rsidP="00F4229E">
            <w:pPr>
              <w:pStyle w:val="TableText"/>
              <w:rPr>
                <w:rFonts w:ascii="Verdana" w:hAnsi="Verdana" w:cs="Tahoma"/>
                <w:b/>
                <w:bCs/>
                <w:szCs w:val="16"/>
              </w:rPr>
            </w:pPr>
            <w:r w:rsidRPr="00F4229E">
              <w:rPr>
                <w:rFonts w:ascii="Verdana" w:hAnsi="Verdana" w:cs="Tahoma"/>
                <w:b/>
                <w:bCs/>
                <w:szCs w:val="16"/>
              </w:rPr>
              <w:t xml:space="preserve"> 284.2 </w:t>
            </w:r>
          </w:p>
        </w:tc>
        <w:tc>
          <w:tcPr>
            <w:tcW w:w="623" w:type="pct"/>
            <w:tcBorders>
              <w:bottom w:val="single" w:sz="4" w:space="0" w:color="231F20" w:themeColor="text1"/>
            </w:tcBorders>
            <w:vAlign w:val="center"/>
          </w:tcPr>
          <w:p w14:paraId="2B4F700B" w14:textId="6326CEF7" w:rsidR="00F4229E" w:rsidRPr="00F4229E" w:rsidRDefault="00F4229E" w:rsidP="00F4229E">
            <w:pPr>
              <w:pStyle w:val="TableText"/>
              <w:rPr>
                <w:rFonts w:ascii="Verdana" w:hAnsi="Verdana" w:cs="Tahoma"/>
                <w:b/>
                <w:bCs/>
                <w:szCs w:val="16"/>
              </w:rPr>
            </w:pPr>
            <w:r w:rsidRPr="00F4229E">
              <w:rPr>
                <w:rFonts w:ascii="Verdana" w:hAnsi="Verdana" w:cs="Tahoma"/>
                <w:b/>
                <w:bCs/>
                <w:szCs w:val="16"/>
              </w:rPr>
              <w:t xml:space="preserve"> 262.4 </w:t>
            </w:r>
          </w:p>
        </w:tc>
      </w:tr>
      <w:tr w:rsidR="00046BD5" w:rsidRPr="00F4229E" w14:paraId="70454757" w14:textId="77777777" w:rsidTr="00060B56">
        <w:trPr>
          <w:cantSplit/>
        </w:trPr>
        <w:tc>
          <w:tcPr>
            <w:tcW w:w="5000" w:type="pct"/>
            <w:gridSpan w:val="8"/>
            <w:tcBorders>
              <w:left w:val="single" w:sz="4" w:space="0" w:color="FFFFFF" w:themeColor="background1"/>
              <w:bottom w:val="single" w:sz="4" w:space="0" w:color="FFFFFF" w:themeColor="background1"/>
              <w:right w:val="single" w:sz="4" w:space="0" w:color="FFFFFF" w:themeColor="background1"/>
            </w:tcBorders>
          </w:tcPr>
          <w:p w14:paraId="4A8876E0" w14:textId="3ED87123" w:rsidR="00046BD5" w:rsidRPr="00F4229E" w:rsidRDefault="00046BD5">
            <w:pPr>
              <w:pStyle w:val="TableText"/>
              <w:rPr>
                <w:rFonts w:ascii="Verdana" w:hAnsi="Verdana" w:cs="Tahoma"/>
                <w:b/>
              </w:rPr>
            </w:pPr>
            <w:r w:rsidRPr="4F0AFA43">
              <w:rPr>
                <w:vertAlign w:val="superscript"/>
              </w:rPr>
              <w:t>a</w:t>
            </w:r>
            <w:r>
              <w:t xml:space="preserve"> For comparison purposes</w:t>
            </w:r>
            <w:r w:rsidR="10FFDB82">
              <w:t>,</w:t>
            </w:r>
            <w:r>
              <w:t xml:space="preserve"> 2024-25 and 2025-26 are both existing and new assets for that regulatory period.</w:t>
            </w:r>
          </w:p>
        </w:tc>
      </w:tr>
    </w:tbl>
    <w:p w14:paraId="2CCEB7E3" w14:textId="77777777" w:rsidR="00046BD5" w:rsidRPr="00DE108C" w:rsidRDefault="00046BD5">
      <w:pPr>
        <w:pStyle w:val="Heading3"/>
      </w:pPr>
      <w:bookmarkStart w:id="840" w:name="_Toc196745270"/>
      <w:r w:rsidRPr="00DE108C">
        <w:lastRenderedPageBreak/>
        <w:t>8.4.2 New assets from 1 July 2026</w:t>
      </w:r>
      <w:bookmarkEnd w:id="840"/>
    </w:p>
    <w:p w14:paraId="11714CDE" w14:textId="77777777" w:rsidR="00046BD5" w:rsidRPr="00DE108C" w:rsidRDefault="00046BD5" w:rsidP="00ED094E">
      <w:r w:rsidRPr="00DE108C">
        <w:t>Once commissioned, new assets are depreciated as per the expected useful life of the asset. This is in accordance with the ESC’s Guidance Paper and financial template. The depreciation is calculated using the individual projects for the Top 15 major projects. All other projects have been aggregated to the program level.</w:t>
      </w:r>
    </w:p>
    <w:p w14:paraId="5C4B9744" w14:textId="6B60B8E8" w:rsidR="00046BD5" w:rsidRPr="00DE108C" w:rsidRDefault="00046BD5" w:rsidP="00ED094E">
      <w:r w:rsidRPr="00DE108C">
        <w:t xml:space="preserve">A summary of the regulatory depreciation by product is shown in Table 8.5. </w:t>
      </w:r>
    </w:p>
    <w:p w14:paraId="5AF6E877" w14:textId="77777777" w:rsidR="00046BD5" w:rsidRPr="00DE108C" w:rsidRDefault="00046BD5" w:rsidP="00ED094E">
      <w:pPr>
        <w:pStyle w:val="Caption"/>
      </w:pPr>
      <w:bookmarkStart w:id="841" w:name="_Toc190878418"/>
      <w:bookmarkStart w:id="842" w:name="_Toc207893074"/>
      <w:bookmarkStart w:id="843" w:name="_Toc208490598"/>
      <w:bookmarkStart w:id="844" w:name="_Toc208490936"/>
      <w:bookmarkStart w:id="845" w:name="_Toc208911094"/>
      <w:bookmarkStart w:id="846" w:name="_Toc210051400"/>
      <w:r w:rsidRPr="00DE108C">
        <w:t>Table 8.5: Regulatory depreciation on new assets from 1 July 2026</w:t>
      </w:r>
      <w:bookmarkEnd w:id="841"/>
      <w:r w:rsidRPr="00DE108C">
        <w:t xml:space="preserve"> ($millions, real 2025-26)</w:t>
      </w:r>
      <w:bookmarkEnd w:id="842"/>
      <w:bookmarkEnd w:id="843"/>
      <w:bookmarkEnd w:id="844"/>
      <w:bookmarkEnd w:id="845"/>
      <w:bookmarkEnd w:id="846"/>
    </w:p>
    <w:tbl>
      <w:tblPr>
        <w:tblStyle w:val="MWTableGrid"/>
        <w:tblW w:w="5000" w:type="pct"/>
        <w:tblLook w:val="0420" w:firstRow="1" w:lastRow="0" w:firstColumn="0" w:lastColumn="0" w:noHBand="0" w:noVBand="1"/>
      </w:tblPr>
      <w:tblGrid>
        <w:gridCol w:w="1495"/>
        <w:gridCol w:w="1627"/>
        <w:gridCol w:w="1627"/>
        <w:gridCol w:w="1627"/>
        <w:gridCol w:w="1627"/>
        <w:gridCol w:w="1625"/>
      </w:tblGrid>
      <w:tr w:rsidR="00556A0D" w:rsidRPr="00442868" w14:paraId="78EA3ECE" w14:textId="77777777" w:rsidTr="00442868">
        <w:trPr>
          <w:cnfStyle w:val="100000000000" w:firstRow="1" w:lastRow="0" w:firstColumn="0" w:lastColumn="0" w:oddVBand="0" w:evenVBand="0" w:oddHBand="0" w:evenHBand="0" w:firstRowFirstColumn="0" w:firstRowLastColumn="0" w:lastRowFirstColumn="0" w:lastRowLastColumn="0"/>
          <w:cantSplit/>
        </w:trPr>
        <w:tc>
          <w:tcPr>
            <w:tcW w:w="776" w:type="pct"/>
          </w:tcPr>
          <w:p w14:paraId="4D40F220" w14:textId="77777777" w:rsidR="00046BD5" w:rsidRPr="00442868" w:rsidRDefault="00046BD5">
            <w:pPr>
              <w:pStyle w:val="TableHeading"/>
              <w:rPr>
                <w:szCs w:val="16"/>
              </w:rPr>
            </w:pPr>
          </w:p>
        </w:tc>
        <w:tc>
          <w:tcPr>
            <w:tcW w:w="845" w:type="pct"/>
          </w:tcPr>
          <w:p w14:paraId="4F9587BF" w14:textId="77777777" w:rsidR="00046BD5" w:rsidRPr="00442868" w:rsidRDefault="00046BD5">
            <w:pPr>
              <w:pStyle w:val="TableHeading"/>
              <w:rPr>
                <w:szCs w:val="16"/>
              </w:rPr>
            </w:pPr>
            <w:r w:rsidRPr="00442868">
              <w:rPr>
                <w:szCs w:val="16"/>
              </w:rPr>
              <w:t>2026-27</w:t>
            </w:r>
          </w:p>
        </w:tc>
        <w:tc>
          <w:tcPr>
            <w:tcW w:w="845" w:type="pct"/>
          </w:tcPr>
          <w:p w14:paraId="36858739" w14:textId="77777777" w:rsidR="00046BD5" w:rsidRPr="00442868" w:rsidRDefault="00046BD5">
            <w:pPr>
              <w:pStyle w:val="TableHeading"/>
              <w:rPr>
                <w:szCs w:val="16"/>
              </w:rPr>
            </w:pPr>
            <w:r w:rsidRPr="00442868">
              <w:rPr>
                <w:szCs w:val="16"/>
              </w:rPr>
              <w:t>2027-28</w:t>
            </w:r>
          </w:p>
        </w:tc>
        <w:tc>
          <w:tcPr>
            <w:tcW w:w="845" w:type="pct"/>
          </w:tcPr>
          <w:p w14:paraId="3BA17192" w14:textId="77777777" w:rsidR="00046BD5" w:rsidRPr="00442868" w:rsidRDefault="00046BD5">
            <w:pPr>
              <w:pStyle w:val="TableHeading"/>
              <w:rPr>
                <w:szCs w:val="16"/>
              </w:rPr>
            </w:pPr>
            <w:r w:rsidRPr="00442868">
              <w:rPr>
                <w:szCs w:val="16"/>
              </w:rPr>
              <w:t>2028-29</w:t>
            </w:r>
          </w:p>
        </w:tc>
        <w:tc>
          <w:tcPr>
            <w:tcW w:w="845" w:type="pct"/>
          </w:tcPr>
          <w:p w14:paraId="3B8EBC0A" w14:textId="77777777" w:rsidR="00046BD5" w:rsidRPr="00442868" w:rsidRDefault="00046BD5">
            <w:pPr>
              <w:pStyle w:val="TableHeading"/>
              <w:rPr>
                <w:szCs w:val="16"/>
              </w:rPr>
            </w:pPr>
            <w:r w:rsidRPr="00442868">
              <w:rPr>
                <w:szCs w:val="16"/>
              </w:rPr>
              <w:t>2029-30</w:t>
            </w:r>
          </w:p>
        </w:tc>
        <w:tc>
          <w:tcPr>
            <w:tcW w:w="844" w:type="pct"/>
          </w:tcPr>
          <w:p w14:paraId="6DD0A8D7" w14:textId="77777777" w:rsidR="00046BD5" w:rsidRPr="00442868" w:rsidRDefault="00046BD5">
            <w:pPr>
              <w:pStyle w:val="TableHeading"/>
              <w:rPr>
                <w:szCs w:val="16"/>
              </w:rPr>
            </w:pPr>
            <w:r w:rsidRPr="00442868">
              <w:rPr>
                <w:szCs w:val="16"/>
              </w:rPr>
              <w:t>2030-31</w:t>
            </w:r>
          </w:p>
        </w:tc>
      </w:tr>
      <w:tr w:rsidR="00442868" w:rsidRPr="00442868" w14:paraId="43C1558F" w14:textId="77777777" w:rsidTr="00442868">
        <w:trPr>
          <w:cantSplit/>
        </w:trPr>
        <w:tc>
          <w:tcPr>
            <w:tcW w:w="776" w:type="pct"/>
          </w:tcPr>
          <w:p w14:paraId="4D786B08" w14:textId="77777777" w:rsidR="00442868" w:rsidRPr="00442868" w:rsidRDefault="00442868" w:rsidP="00442868">
            <w:pPr>
              <w:pStyle w:val="TableText"/>
              <w:rPr>
                <w:szCs w:val="16"/>
              </w:rPr>
            </w:pPr>
            <w:r w:rsidRPr="00442868">
              <w:rPr>
                <w:szCs w:val="16"/>
              </w:rPr>
              <w:t>Water</w:t>
            </w:r>
          </w:p>
        </w:tc>
        <w:tc>
          <w:tcPr>
            <w:tcW w:w="845" w:type="pct"/>
            <w:tcBorders>
              <w:top w:val="single" w:sz="4" w:space="0" w:color="auto"/>
              <w:left w:val="single" w:sz="4" w:space="0" w:color="auto"/>
              <w:bottom w:val="single" w:sz="4" w:space="0" w:color="auto"/>
              <w:right w:val="single" w:sz="4" w:space="0" w:color="auto"/>
            </w:tcBorders>
            <w:vAlign w:val="center"/>
          </w:tcPr>
          <w:p w14:paraId="1FAEF809" w14:textId="77777777" w:rsidR="00442868" w:rsidRPr="00442868" w:rsidRDefault="00442868" w:rsidP="00442868">
            <w:pPr>
              <w:pStyle w:val="TableText"/>
              <w:rPr>
                <w:szCs w:val="16"/>
              </w:rPr>
            </w:pPr>
            <w:r w:rsidRPr="00442868">
              <w:rPr>
                <w:rFonts w:ascii="Verdana" w:hAnsi="Verdana" w:cs="Tahoma"/>
                <w:szCs w:val="16"/>
              </w:rPr>
              <w:t xml:space="preserve"> 3.3 </w:t>
            </w:r>
          </w:p>
        </w:tc>
        <w:tc>
          <w:tcPr>
            <w:tcW w:w="845" w:type="pct"/>
            <w:tcBorders>
              <w:top w:val="single" w:sz="4" w:space="0" w:color="auto"/>
              <w:left w:val="nil"/>
              <w:bottom w:val="single" w:sz="4" w:space="0" w:color="auto"/>
              <w:right w:val="single" w:sz="4" w:space="0" w:color="auto"/>
            </w:tcBorders>
            <w:vAlign w:val="center"/>
          </w:tcPr>
          <w:p w14:paraId="166E3ADA" w14:textId="77777777" w:rsidR="00442868" w:rsidRPr="00442868" w:rsidRDefault="00442868" w:rsidP="00442868">
            <w:pPr>
              <w:pStyle w:val="TableText"/>
              <w:rPr>
                <w:szCs w:val="16"/>
              </w:rPr>
            </w:pPr>
            <w:r w:rsidRPr="00442868">
              <w:rPr>
                <w:rFonts w:ascii="Verdana" w:hAnsi="Verdana" w:cs="Tahoma"/>
                <w:szCs w:val="16"/>
              </w:rPr>
              <w:t xml:space="preserve"> 11.5 </w:t>
            </w:r>
          </w:p>
        </w:tc>
        <w:tc>
          <w:tcPr>
            <w:tcW w:w="845" w:type="pct"/>
            <w:tcBorders>
              <w:top w:val="single" w:sz="4" w:space="0" w:color="auto"/>
              <w:left w:val="nil"/>
              <w:bottom w:val="single" w:sz="4" w:space="0" w:color="auto"/>
              <w:right w:val="single" w:sz="4" w:space="0" w:color="auto"/>
            </w:tcBorders>
            <w:vAlign w:val="center"/>
          </w:tcPr>
          <w:p w14:paraId="1DD47EE9" w14:textId="77777777" w:rsidR="00442868" w:rsidRPr="00442868" w:rsidRDefault="00442868" w:rsidP="00442868">
            <w:pPr>
              <w:pStyle w:val="TableText"/>
              <w:rPr>
                <w:szCs w:val="16"/>
              </w:rPr>
            </w:pPr>
            <w:r w:rsidRPr="00442868">
              <w:rPr>
                <w:rFonts w:ascii="Verdana" w:hAnsi="Verdana" w:cs="Tahoma"/>
                <w:szCs w:val="16"/>
              </w:rPr>
              <w:t xml:space="preserve"> 21.6 </w:t>
            </w:r>
          </w:p>
        </w:tc>
        <w:tc>
          <w:tcPr>
            <w:tcW w:w="845" w:type="pct"/>
            <w:tcBorders>
              <w:top w:val="single" w:sz="4" w:space="0" w:color="auto"/>
              <w:left w:val="nil"/>
              <w:bottom w:val="single" w:sz="4" w:space="0" w:color="auto"/>
              <w:right w:val="single" w:sz="4" w:space="0" w:color="auto"/>
            </w:tcBorders>
            <w:vAlign w:val="center"/>
          </w:tcPr>
          <w:p w14:paraId="7C156F95" w14:textId="77777777" w:rsidR="00442868" w:rsidRPr="00442868" w:rsidRDefault="00442868" w:rsidP="00442868">
            <w:pPr>
              <w:pStyle w:val="TableText"/>
              <w:rPr>
                <w:szCs w:val="16"/>
              </w:rPr>
            </w:pPr>
            <w:r w:rsidRPr="00442868">
              <w:rPr>
                <w:rFonts w:ascii="Verdana" w:hAnsi="Verdana" w:cs="Tahoma"/>
                <w:szCs w:val="16"/>
              </w:rPr>
              <w:t xml:space="preserve"> 31.0 </w:t>
            </w:r>
          </w:p>
        </w:tc>
        <w:tc>
          <w:tcPr>
            <w:tcW w:w="844" w:type="pct"/>
            <w:tcBorders>
              <w:top w:val="single" w:sz="4" w:space="0" w:color="auto"/>
              <w:left w:val="nil"/>
              <w:bottom w:val="single" w:sz="4" w:space="0" w:color="auto"/>
              <w:right w:val="single" w:sz="4" w:space="0" w:color="auto"/>
            </w:tcBorders>
            <w:vAlign w:val="center"/>
          </w:tcPr>
          <w:p w14:paraId="5D669725" w14:textId="77777777" w:rsidR="00442868" w:rsidRPr="00442868" w:rsidRDefault="00442868" w:rsidP="00442868">
            <w:pPr>
              <w:pStyle w:val="TableText"/>
              <w:rPr>
                <w:szCs w:val="16"/>
              </w:rPr>
            </w:pPr>
            <w:r w:rsidRPr="00442868">
              <w:rPr>
                <w:rFonts w:ascii="Verdana" w:hAnsi="Verdana" w:cs="Tahoma"/>
                <w:szCs w:val="16"/>
              </w:rPr>
              <w:t xml:space="preserve"> 42.1 </w:t>
            </w:r>
          </w:p>
        </w:tc>
      </w:tr>
      <w:tr w:rsidR="0069661E" w:rsidRPr="00442868" w14:paraId="03A838B8" w14:textId="77777777" w:rsidTr="00442868">
        <w:trPr>
          <w:cnfStyle w:val="000000010000" w:firstRow="0" w:lastRow="0" w:firstColumn="0" w:lastColumn="0" w:oddVBand="0" w:evenVBand="0" w:oddHBand="0" w:evenHBand="1" w:firstRowFirstColumn="0" w:firstRowLastColumn="0" w:lastRowFirstColumn="0" w:lastRowLastColumn="0"/>
          <w:cantSplit/>
        </w:trPr>
        <w:tc>
          <w:tcPr>
            <w:tcW w:w="776" w:type="pct"/>
          </w:tcPr>
          <w:p w14:paraId="6AFC3719" w14:textId="77777777" w:rsidR="00442868" w:rsidRPr="00442868" w:rsidRDefault="00442868" w:rsidP="00442868">
            <w:pPr>
              <w:pStyle w:val="TableText"/>
              <w:rPr>
                <w:szCs w:val="16"/>
              </w:rPr>
            </w:pPr>
            <w:r w:rsidRPr="00442868">
              <w:rPr>
                <w:szCs w:val="16"/>
              </w:rPr>
              <w:t>Sewerage</w:t>
            </w:r>
          </w:p>
        </w:tc>
        <w:tc>
          <w:tcPr>
            <w:tcW w:w="845" w:type="pct"/>
            <w:tcBorders>
              <w:top w:val="nil"/>
              <w:left w:val="single" w:sz="4" w:space="0" w:color="auto"/>
              <w:bottom w:val="single" w:sz="4" w:space="0" w:color="auto"/>
              <w:right w:val="single" w:sz="4" w:space="0" w:color="auto"/>
            </w:tcBorders>
            <w:vAlign w:val="center"/>
          </w:tcPr>
          <w:p w14:paraId="68DAA65A" w14:textId="77777777" w:rsidR="00442868" w:rsidRPr="00442868" w:rsidRDefault="00442868" w:rsidP="00442868">
            <w:pPr>
              <w:pStyle w:val="TableText"/>
              <w:rPr>
                <w:szCs w:val="16"/>
              </w:rPr>
            </w:pPr>
            <w:r w:rsidRPr="00442868">
              <w:rPr>
                <w:rFonts w:ascii="Verdana" w:hAnsi="Verdana" w:cs="Tahoma"/>
                <w:szCs w:val="16"/>
              </w:rPr>
              <w:t xml:space="preserve"> 5.3 </w:t>
            </w:r>
          </w:p>
        </w:tc>
        <w:tc>
          <w:tcPr>
            <w:tcW w:w="845" w:type="pct"/>
            <w:tcBorders>
              <w:top w:val="nil"/>
              <w:left w:val="nil"/>
              <w:bottom w:val="single" w:sz="4" w:space="0" w:color="auto"/>
              <w:right w:val="single" w:sz="4" w:space="0" w:color="auto"/>
            </w:tcBorders>
            <w:vAlign w:val="center"/>
          </w:tcPr>
          <w:p w14:paraId="272CB6AB" w14:textId="77777777" w:rsidR="00442868" w:rsidRPr="00442868" w:rsidRDefault="00442868" w:rsidP="00442868">
            <w:pPr>
              <w:pStyle w:val="TableText"/>
              <w:rPr>
                <w:szCs w:val="16"/>
              </w:rPr>
            </w:pPr>
            <w:r w:rsidRPr="00442868">
              <w:rPr>
                <w:rFonts w:ascii="Verdana" w:hAnsi="Verdana" w:cs="Tahoma"/>
                <w:szCs w:val="16"/>
              </w:rPr>
              <w:t xml:space="preserve"> 15.3 </w:t>
            </w:r>
          </w:p>
        </w:tc>
        <w:tc>
          <w:tcPr>
            <w:tcW w:w="845" w:type="pct"/>
            <w:tcBorders>
              <w:top w:val="nil"/>
              <w:left w:val="nil"/>
              <w:bottom w:val="single" w:sz="4" w:space="0" w:color="auto"/>
              <w:right w:val="single" w:sz="4" w:space="0" w:color="auto"/>
            </w:tcBorders>
            <w:vAlign w:val="center"/>
          </w:tcPr>
          <w:p w14:paraId="79688E24" w14:textId="77777777" w:rsidR="00442868" w:rsidRPr="00442868" w:rsidRDefault="00442868" w:rsidP="00442868">
            <w:pPr>
              <w:pStyle w:val="TableText"/>
              <w:rPr>
                <w:szCs w:val="16"/>
              </w:rPr>
            </w:pPr>
            <w:r w:rsidRPr="00442868">
              <w:rPr>
                <w:rFonts w:ascii="Verdana" w:hAnsi="Verdana" w:cs="Tahoma"/>
                <w:szCs w:val="16"/>
              </w:rPr>
              <w:t xml:space="preserve"> 26.6 </w:t>
            </w:r>
          </w:p>
        </w:tc>
        <w:tc>
          <w:tcPr>
            <w:tcW w:w="845" w:type="pct"/>
            <w:tcBorders>
              <w:top w:val="nil"/>
              <w:left w:val="nil"/>
              <w:bottom w:val="single" w:sz="4" w:space="0" w:color="auto"/>
              <w:right w:val="single" w:sz="4" w:space="0" w:color="auto"/>
            </w:tcBorders>
            <w:vAlign w:val="center"/>
          </w:tcPr>
          <w:p w14:paraId="3B21FAFB" w14:textId="77777777" w:rsidR="00442868" w:rsidRPr="00442868" w:rsidRDefault="00442868" w:rsidP="00442868">
            <w:pPr>
              <w:pStyle w:val="TableText"/>
              <w:rPr>
                <w:szCs w:val="16"/>
              </w:rPr>
            </w:pPr>
            <w:r w:rsidRPr="00442868">
              <w:rPr>
                <w:rFonts w:ascii="Verdana" w:hAnsi="Verdana" w:cs="Tahoma"/>
                <w:szCs w:val="16"/>
              </w:rPr>
              <w:t xml:space="preserve"> 43.3 </w:t>
            </w:r>
          </w:p>
        </w:tc>
        <w:tc>
          <w:tcPr>
            <w:tcW w:w="844" w:type="pct"/>
            <w:tcBorders>
              <w:top w:val="nil"/>
              <w:left w:val="nil"/>
              <w:bottom w:val="single" w:sz="4" w:space="0" w:color="auto"/>
              <w:right w:val="single" w:sz="4" w:space="0" w:color="auto"/>
            </w:tcBorders>
            <w:vAlign w:val="center"/>
          </w:tcPr>
          <w:p w14:paraId="21A64B6C" w14:textId="77777777" w:rsidR="00442868" w:rsidRPr="00442868" w:rsidRDefault="00442868" w:rsidP="00442868">
            <w:pPr>
              <w:pStyle w:val="TableText"/>
              <w:rPr>
                <w:szCs w:val="16"/>
              </w:rPr>
            </w:pPr>
            <w:r w:rsidRPr="00442868">
              <w:rPr>
                <w:rFonts w:ascii="Verdana" w:hAnsi="Verdana" w:cs="Tahoma"/>
                <w:szCs w:val="16"/>
              </w:rPr>
              <w:t xml:space="preserve"> 58.6 </w:t>
            </w:r>
          </w:p>
        </w:tc>
      </w:tr>
      <w:tr w:rsidR="00442868" w:rsidRPr="00442868" w14:paraId="0DEE7ABB" w14:textId="77777777" w:rsidTr="00442868">
        <w:trPr>
          <w:cantSplit/>
        </w:trPr>
        <w:tc>
          <w:tcPr>
            <w:tcW w:w="776" w:type="pct"/>
          </w:tcPr>
          <w:p w14:paraId="67948D15" w14:textId="77777777" w:rsidR="00442868" w:rsidRPr="00442868" w:rsidRDefault="00442868" w:rsidP="00442868">
            <w:pPr>
              <w:pStyle w:val="TableText"/>
              <w:rPr>
                <w:szCs w:val="16"/>
              </w:rPr>
            </w:pPr>
            <w:r w:rsidRPr="00442868">
              <w:rPr>
                <w:szCs w:val="16"/>
              </w:rPr>
              <w:t>Recycled Water</w:t>
            </w:r>
          </w:p>
        </w:tc>
        <w:tc>
          <w:tcPr>
            <w:tcW w:w="845" w:type="pct"/>
            <w:tcBorders>
              <w:top w:val="nil"/>
              <w:left w:val="single" w:sz="4" w:space="0" w:color="auto"/>
              <w:bottom w:val="single" w:sz="4" w:space="0" w:color="auto"/>
              <w:right w:val="single" w:sz="4" w:space="0" w:color="auto"/>
            </w:tcBorders>
            <w:vAlign w:val="center"/>
          </w:tcPr>
          <w:p w14:paraId="48F55F35" w14:textId="77777777" w:rsidR="00442868" w:rsidRPr="00442868" w:rsidRDefault="00442868" w:rsidP="00442868">
            <w:pPr>
              <w:pStyle w:val="TableText"/>
              <w:rPr>
                <w:szCs w:val="16"/>
              </w:rPr>
            </w:pPr>
            <w:r w:rsidRPr="00442868">
              <w:rPr>
                <w:rFonts w:ascii="Verdana" w:hAnsi="Verdana" w:cs="Tahoma"/>
                <w:szCs w:val="16"/>
              </w:rPr>
              <w:t xml:space="preserve"> 3.2 </w:t>
            </w:r>
          </w:p>
        </w:tc>
        <w:tc>
          <w:tcPr>
            <w:tcW w:w="845" w:type="pct"/>
            <w:tcBorders>
              <w:top w:val="nil"/>
              <w:left w:val="nil"/>
              <w:bottom w:val="single" w:sz="4" w:space="0" w:color="auto"/>
              <w:right w:val="single" w:sz="4" w:space="0" w:color="auto"/>
            </w:tcBorders>
            <w:vAlign w:val="center"/>
          </w:tcPr>
          <w:p w14:paraId="08524268" w14:textId="77777777" w:rsidR="00442868" w:rsidRPr="00442868" w:rsidRDefault="00442868" w:rsidP="00442868">
            <w:pPr>
              <w:pStyle w:val="TableText"/>
              <w:rPr>
                <w:szCs w:val="16"/>
              </w:rPr>
            </w:pPr>
            <w:r w:rsidRPr="00442868">
              <w:rPr>
                <w:rFonts w:ascii="Verdana" w:hAnsi="Verdana" w:cs="Tahoma"/>
                <w:szCs w:val="16"/>
              </w:rPr>
              <w:t xml:space="preserve"> 8.8 </w:t>
            </w:r>
          </w:p>
        </w:tc>
        <w:tc>
          <w:tcPr>
            <w:tcW w:w="845" w:type="pct"/>
            <w:tcBorders>
              <w:top w:val="nil"/>
              <w:left w:val="nil"/>
              <w:bottom w:val="single" w:sz="4" w:space="0" w:color="auto"/>
              <w:right w:val="single" w:sz="4" w:space="0" w:color="auto"/>
            </w:tcBorders>
            <w:vAlign w:val="center"/>
          </w:tcPr>
          <w:p w14:paraId="56CA5490" w14:textId="77777777" w:rsidR="00442868" w:rsidRPr="00442868" w:rsidRDefault="00442868" w:rsidP="00442868">
            <w:pPr>
              <w:pStyle w:val="TableText"/>
              <w:rPr>
                <w:szCs w:val="16"/>
              </w:rPr>
            </w:pPr>
            <w:r w:rsidRPr="00442868">
              <w:rPr>
                <w:rFonts w:ascii="Verdana" w:hAnsi="Verdana" w:cs="Tahoma"/>
                <w:szCs w:val="16"/>
              </w:rPr>
              <w:t xml:space="preserve"> 13.4 </w:t>
            </w:r>
          </w:p>
        </w:tc>
        <w:tc>
          <w:tcPr>
            <w:tcW w:w="845" w:type="pct"/>
            <w:tcBorders>
              <w:top w:val="nil"/>
              <w:left w:val="nil"/>
              <w:bottom w:val="single" w:sz="4" w:space="0" w:color="auto"/>
              <w:right w:val="single" w:sz="4" w:space="0" w:color="auto"/>
            </w:tcBorders>
            <w:vAlign w:val="center"/>
          </w:tcPr>
          <w:p w14:paraId="2B1B0EC7" w14:textId="77777777" w:rsidR="00442868" w:rsidRPr="00442868" w:rsidRDefault="00442868" w:rsidP="00442868">
            <w:pPr>
              <w:pStyle w:val="TableText"/>
              <w:rPr>
                <w:szCs w:val="16"/>
              </w:rPr>
            </w:pPr>
            <w:r w:rsidRPr="00442868">
              <w:rPr>
                <w:rFonts w:ascii="Verdana" w:hAnsi="Verdana" w:cs="Tahoma"/>
                <w:szCs w:val="16"/>
              </w:rPr>
              <w:t xml:space="preserve"> 17.9 </w:t>
            </w:r>
          </w:p>
        </w:tc>
        <w:tc>
          <w:tcPr>
            <w:tcW w:w="844" w:type="pct"/>
            <w:tcBorders>
              <w:top w:val="nil"/>
              <w:left w:val="nil"/>
              <w:bottom w:val="single" w:sz="4" w:space="0" w:color="auto"/>
              <w:right w:val="single" w:sz="4" w:space="0" w:color="auto"/>
            </w:tcBorders>
            <w:vAlign w:val="center"/>
          </w:tcPr>
          <w:p w14:paraId="4812A270" w14:textId="77777777" w:rsidR="00442868" w:rsidRPr="00442868" w:rsidRDefault="00442868" w:rsidP="00442868">
            <w:pPr>
              <w:pStyle w:val="TableText"/>
              <w:rPr>
                <w:szCs w:val="16"/>
              </w:rPr>
            </w:pPr>
            <w:r w:rsidRPr="00442868">
              <w:rPr>
                <w:rFonts w:ascii="Verdana" w:hAnsi="Verdana" w:cs="Tahoma"/>
                <w:szCs w:val="16"/>
              </w:rPr>
              <w:t xml:space="preserve"> 21.5 </w:t>
            </w:r>
          </w:p>
        </w:tc>
      </w:tr>
      <w:tr w:rsidR="0069661E" w:rsidRPr="00442868" w14:paraId="6FF5D753" w14:textId="77777777" w:rsidTr="00442868">
        <w:trPr>
          <w:cnfStyle w:val="000000010000" w:firstRow="0" w:lastRow="0" w:firstColumn="0" w:lastColumn="0" w:oddVBand="0" w:evenVBand="0" w:oddHBand="0" w:evenHBand="1" w:firstRowFirstColumn="0" w:firstRowLastColumn="0" w:lastRowFirstColumn="0" w:lastRowLastColumn="0"/>
          <w:cantSplit/>
        </w:trPr>
        <w:tc>
          <w:tcPr>
            <w:tcW w:w="776" w:type="pct"/>
          </w:tcPr>
          <w:p w14:paraId="10E71BD2" w14:textId="77777777" w:rsidR="00442868" w:rsidRPr="00442868" w:rsidRDefault="00442868" w:rsidP="00442868">
            <w:pPr>
              <w:pStyle w:val="TableText"/>
              <w:rPr>
                <w:szCs w:val="16"/>
              </w:rPr>
            </w:pPr>
            <w:r w:rsidRPr="00442868">
              <w:rPr>
                <w:szCs w:val="16"/>
              </w:rPr>
              <w:t>Waterways and drainage</w:t>
            </w:r>
          </w:p>
        </w:tc>
        <w:tc>
          <w:tcPr>
            <w:tcW w:w="845" w:type="pct"/>
            <w:tcBorders>
              <w:top w:val="nil"/>
              <w:left w:val="single" w:sz="4" w:space="0" w:color="auto"/>
              <w:bottom w:val="single" w:sz="4" w:space="0" w:color="auto"/>
              <w:right w:val="single" w:sz="4" w:space="0" w:color="auto"/>
            </w:tcBorders>
            <w:vAlign w:val="center"/>
          </w:tcPr>
          <w:p w14:paraId="0D23107F" w14:textId="77777777" w:rsidR="00442868" w:rsidRPr="00442868" w:rsidRDefault="00442868" w:rsidP="00442868">
            <w:pPr>
              <w:pStyle w:val="TableText"/>
              <w:rPr>
                <w:szCs w:val="16"/>
              </w:rPr>
            </w:pPr>
            <w:r w:rsidRPr="00442868">
              <w:rPr>
                <w:rFonts w:ascii="Verdana" w:hAnsi="Verdana" w:cs="Tahoma"/>
                <w:szCs w:val="16"/>
              </w:rPr>
              <w:t xml:space="preserve"> 0.0 </w:t>
            </w:r>
          </w:p>
        </w:tc>
        <w:tc>
          <w:tcPr>
            <w:tcW w:w="845" w:type="pct"/>
            <w:tcBorders>
              <w:top w:val="nil"/>
              <w:left w:val="nil"/>
              <w:bottom w:val="single" w:sz="4" w:space="0" w:color="auto"/>
              <w:right w:val="single" w:sz="4" w:space="0" w:color="auto"/>
            </w:tcBorders>
            <w:vAlign w:val="center"/>
          </w:tcPr>
          <w:p w14:paraId="153C9D60" w14:textId="77777777" w:rsidR="00442868" w:rsidRPr="00442868" w:rsidRDefault="00442868" w:rsidP="00442868">
            <w:pPr>
              <w:pStyle w:val="TableText"/>
              <w:rPr>
                <w:szCs w:val="16"/>
              </w:rPr>
            </w:pPr>
            <w:r w:rsidRPr="00442868">
              <w:rPr>
                <w:rFonts w:ascii="Verdana" w:hAnsi="Verdana" w:cs="Tahoma"/>
                <w:szCs w:val="16"/>
              </w:rPr>
              <w:t xml:space="preserve"> 0.1 </w:t>
            </w:r>
          </w:p>
        </w:tc>
        <w:tc>
          <w:tcPr>
            <w:tcW w:w="845" w:type="pct"/>
            <w:tcBorders>
              <w:top w:val="nil"/>
              <w:left w:val="nil"/>
              <w:bottom w:val="single" w:sz="4" w:space="0" w:color="auto"/>
              <w:right w:val="single" w:sz="4" w:space="0" w:color="auto"/>
            </w:tcBorders>
            <w:vAlign w:val="center"/>
          </w:tcPr>
          <w:p w14:paraId="516E190E" w14:textId="77777777" w:rsidR="00442868" w:rsidRPr="00442868" w:rsidRDefault="00442868" w:rsidP="00442868">
            <w:pPr>
              <w:pStyle w:val="TableText"/>
              <w:rPr>
                <w:szCs w:val="16"/>
              </w:rPr>
            </w:pPr>
            <w:r w:rsidRPr="00442868">
              <w:rPr>
                <w:rFonts w:ascii="Verdana" w:hAnsi="Verdana" w:cs="Tahoma"/>
                <w:szCs w:val="16"/>
              </w:rPr>
              <w:t xml:space="preserve"> 0.2 </w:t>
            </w:r>
          </w:p>
        </w:tc>
        <w:tc>
          <w:tcPr>
            <w:tcW w:w="845" w:type="pct"/>
            <w:tcBorders>
              <w:top w:val="nil"/>
              <w:left w:val="nil"/>
              <w:bottom w:val="single" w:sz="4" w:space="0" w:color="auto"/>
              <w:right w:val="single" w:sz="4" w:space="0" w:color="auto"/>
            </w:tcBorders>
            <w:vAlign w:val="center"/>
          </w:tcPr>
          <w:p w14:paraId="07C41C3C" w14:textId="77777777" w:rsidR="00442868" w:rsidRPr="00442868" w:rsidRDefault="00442868" w:rsidP="00442868">
            <w:pPr>
              <w:pStyle w:val="TableText"/>
              <w:rPr>
                <w:szCs w:val="16"/>
              </w:rPr>
            </w:pPr>
            <w:r w:rsidRPr="00442868">
              <w:rPr>
                <w:rFonts w:ascii="Verdana" w:hAnsi="Verdana" w:cs="Tahoma"/>
                <w:szCs w:val="16"/>
              </w:rPr>
              <w:t xml:space="preserve"> 0.4 </w:t>
            </w:r>
          </w:p>
        </w:tc>
        <w:tc>
          <w:tcPr>
            <w:tcW w:w="844" w:type="pct"/>
            <w:tcBorders>
              <w:top w:val="nil"/>
              <w:left w:val="nil"/>
              <w:bottom w:val="single" w:sz="4" w:space="0" w:color="auto"/>
              <w:right w:val="single" w:sz="4" w:space="0" w:color="auto"/>
            </w:tcBorders>
            <w:vAlign w:val="center"/>
          </w:tcPr>
          <w:p w14:paraId="097BDDBA" w14:textId="77777777" w:rsidR="00442868" w:rsidRPr="00442868" w:rsidRDefault="00442868" w:rsidP="00442868">
            <w:pPr>
              <w:pStyle w:val="TableText"/>
              <w:rPr>
                <w:szCs w:val="16"/>
              </w:rPr>
            </w:pPr>
            <w:r w:rsidRPr="00442868">
              <w:rPr>
                <w:rFonts w:ascii="Verdana" w:hAnsi="Verdana" w:cs="Tahoma"/>
                <w:szCs w:val="16"/>
              </w:rPr>
              <w:t xml:space="preserve"> 0.5 </w:t>
            </w:r>
          </w:p>
        </w:tc>
      </w:tr>
      <w:tr w:rsidR="00442868" w:rsidRPr="00442868" w14:paraId="298DA325" w14:textId="77777777" w:rsidTr="00442868">
        <w:trPr>
          <w:cantSplit/>
        </w:trPr>
        <w:tc>
          <w:tcPr>
            <w:tcW w:w="776" w:type="pct"/>
          </w:tcPr>
          <w:p w14:paraId="4552722E" w14:textId="77777777" w:rsidR="00442868" w:rsidRPr="00442868" w:rsidRDefault="00442868" w:rsidP="00442868">
            <w:pPr>
              <w:pStyle w:val="TableText"/>
              <w:rPr>
                <w:szCs w:val="16"/>
              </w:rPr>
            </w:pPr>
            <w:r w:rsidRPr="00442868">
              <w:rPr>
                <w:szCs w:val="16"/>
              </w:rPr>
              <w:t>Diversions</w:t>
            </w:r>
          </w:p>
        </w:tc>
        <w:tc>
          <w:tcPr>
            <w:tcW w:w="845" w:type="pct"/>
            <w:tcBorders>
              <w:top w:val="nil"/>
              <w:left w:val="single" w:sz="4" w:space="0" w:color="auto"/>
              <w:bottom w:val="single" w:sz="4" w:space="0" w:color="auto"/>
              <w:right w:val="single" w:sz="4" w:space="0" w:color="auto"/>
            </w:tcBorders>
            <w:vAlign w:val="center"/>
          </w:tcPr>
          <w:p w14:paraId="06F31F43" w14:textId="77777777" w:rsidR="00442868" w:rsidRPr="00442868" w:rsidRDefault="00442868" w:rsidP="00442868">
            <w:pPr>
              <w:pStyle w:val="TableText"/>
              <w:rPr>
                <w:szCs w:val="16"/>
              </w:rPr>
            </w:pPr>
            <w:r w:rsidRPr="00442868">
              <w:rPr>
                <w:rFonts w:ascii="Verdana" w:hAnsi="Verdana" w:cs="Tahoma"/>
                <w:szCs w:val="16"/>
              </w:rPr>
              <w:t xml:space="preserve"> 0.0 </w:t>
            </w:r>
          </w:p>
        </w:tc>
        <w:tc>
          <w:tcPr>
            <w:tcW w:w="845" w:type="pct"/>
            <w:tcBorders>
              <w:top w:val="nil"/>
              <w:left w:val="nil"/>
              <w:bottom w:val="single" w:sz="4" w:space="0" w:color="auto"/>
              <w:right w:val="single" w:sz="4" w:space="0" w:color="auto"/>
            </w:tcBorders>
            <w:vAlign w:val="center"/>
          </w:tcPr>
          <w:p w14:paraId="38030AEF" w14:textId="77777777" w:rsidR="00442868" w:rsidRPr="00442868" w:rsidRDefault="00442868" w:rsidP="00442868">
            <w:pPr>
              <w:pStyle w:val="TableText"/>
              <w:rPr>
                <w:szCs w:val="16"/>
              </w:rPr>
            </w:pPr>
            <w:r w:rsidRPr="00442868">
              <w:rPr>
                <w:rFonts w:ascii="Verdana" w:hAnsi="Verdana" w:cs="Tahoma"/>
                <w:szCs w:val="16"/>
              </w:rPr>
              <w:t xml:space="preserve"> 0.0 </w:t>
            </w:r>
          </w:p>
        </w:tc>
        <w:tc>
          <w:tcPr>
            <w:tcW w:w="845" w:type="pct"/>
            <w:tcBorders>
              <w:top w:val="nil"/>
              <w:left w:val="nil"/>
              <w:bottom w:val="single" w:sz="4" w:space="0" w:color="auto"/>
              <w:right w:val="single" w:sz="4" w:space="0" w:color="auto"/>
            </w:tcBorders>
            <w:vAlign w:val="center"/>
          </w:tcPr>
          <w:p w14:paraId="67C73223" w14:textId="77777777" w:rsidR="00442868" w:rsidRPr="00442868" w:rsidRDefault="00442868" w:rsidP="00442868">
            <w:pPr>
              <w:pStyle w:val="TableText"/>
              <w:rPr>
                <w:szCs w:val="16"/>
              </w:rPr>
            </w:pPr>
            <w:r w:rsidRPr="00442868">
              <w:rPr>
                <w:rFonts w:ascii="Verdana" w:hAnsi="Verdana" w:cs="Tahoma"/>
                <w:szCs w:val="16"/>
              </w:rPr>
              <w:t xml:space="preserve"> 0.0 </w:t>
            </w:r>
          </w:p>
        </w:tc>
        <w:tc>
          <w:tcPr>
            <w:tcW w:w="845" w:type="pct"/>
            <w:tcBorders>
              <w:top w:val="nil"/>
              <w:left w:val="nil"/>
              <w:bottom w:val="single" w:sz="4" w:space="0" w:color="auto"/>
              <w:right w:val="single" w:sz="4" w:space="0" w:color="auto"/>
            </w:tcBorders>
            <w:vAlign w:val="center"/>
          </w:tcPr>
          <w:p w14:paraId="5FDB5536" w14:textId="77777777" w:rsidR="00442868" w:rsidRPr="00442868" w:rsidRDefault="00442868" w:rsidP="00442868">
            <w:pPr>
              <w:pStyle w:val="TableText"/>
              <w:rPr>
                <w:szCs w:val="16"/>
              </w:rPr>
            </w:pPr>
            <w:r w:rsidRPr="00442868">
              <w:rPr>
                <w:rFonts w:ascii="Verdana" w:hAnsi="Verdana" w:cs="Tahoma"/>
                <w:szCs w:val="16"/>
              </w:rPr>
              <w:t xml:space="preserve"> 0.1 </w:t>
            </w:r>
          </w:p>
        </w:tc>
        <w:tc>
          <w:tcPr>
            <w:tcW w:w="844" w:type="pct"/>
            <w:tcBorders>
              <w:top w:val="nil"/>
              <w:left w:val="nil"/>
              <w:bottom w:val="single" w:sz="4" w:space="0" w:color="auto"/>
              <w:right w:val="single" w:sz="4" w:space="0" w:color="auto"/>
            </w:tcBorders>
            <w:vAlign w:val="center"/>
          </w:tcPr>
          <w:p w14:paraId="7C60D30D" w14:textId="77777777" w:rsidR="00442868" w:rsidRPr="00442868" w:rsidRDefault="00442868" w:rsidP="00442868">
            <w:pPr>
              <w:pStyle w:val="TableText"/>
              <w:rPr>
                <w:szCs w:val="16"/>
              </w:rPr>
            </w:pPr>
            <w:r w:rsidRPr="00442868">
              <w:rPr>
                <w:rFonts w:ascii="Verdana" w:hAnsi="Verdana" w:cs="Tahoma"/>
                <w:szCs w:val="16"/>
              </w:rPr>
              <w:t xml:space="preserve"> 0.1 </w:t>
            </w:r>
          </w:p>
        </w:tc>
      </w:tr>
      <w:tr w:rsidR="0069661E" w:rsidRPr="00442868" w14:paraId="6A8BD6F9" w14:textId="77777777" w:rsidTr="00442868">
        <w:trPr>
          <w:cnfStyle w:val="000000010000" w:firstRow="0" w:lastRow="0" w:firstColumn="0" w:lastColumn="0" w:oddVBand="0" w:evenVBand="0" w:oddHBand="0" w:evenHBand="1" w:firstRowFirstColumn="0" w:firstRowLastColumn="0" w:lastRowFirstColumn="0" w:lastRowLastColumn="0"/>
          <w:cantSplit/>
        </w:trPr>
        <w:tc>
          <w:tcPr>
            <w:tcW w:w="776" w:type="pct"/>
          </w:tcPr>
          <w:p w14:paraId="39B87B03" w14:textId="77777777" w:rsidR="00442868" w:rsidRPr="00442868" w:rsidRDefault="00442868" w:rsidP="00442868">
            <w:pPr>
              <w:pStyle w:val="TableText"/>
              <w:rPr>
                <w:b/>
                <w:bCs/>
                <w:szCs w:val="16"/>
              </w:rPr>
            </w:pPr>
            <w:r w:rsidRPr="00442868">
              <w:rPr>
                <w:b/>
                <w:bCs/>
                <w:szCs w:val="16"/>
              </w:rPr>
              <w:t>Total</w:t>
            </w:r>
          </w:p>
        </w:tc>
        <w:tc>
          <w:tcPr>
            <w:tcW w:w="845" w:type="pct"/>
            <w:tcBorders>
              <w:top w:val="nil"/>
              <w:left w:val="single" w:sz="4" w:space="0" w:color="auto"/>
              <w:bottom w:val="single" w:sz="4" w:space="0" w:color="auto"/>
              <w:right w:val="single" w:sz="4" w:space="0" w:color="auto"/>
            </w:tcBorders>
            <w:vAlign w:val="center"/>
          </w:tcPr>
          <w:p w14:paraId="7554013F" w14:textId="77777777" w:rsidR="00442868" w:rsidRPr="00442868" w:rsidRDefault="00442868" w:rsidP="00442868">
            <w:pPr>
              <w:pStyle w:val="TableText"/>
              <w:rPr>
                <w:b/>
                <w:bCs/>
                <w:szCs w:val="16"/>
              </w:rPr>
            </w:pPr>
            <w:r w:rsidRPr="00442868">
              <w:rPr>
                <w:rFonts w:ascii="Verdana" w:hAnsi="Verdana" w:cs="Tahoma"/>
                <w:b/>
                <w:bCs/>
                <w:szCs w:val="16"/>
              </w:rPr>
              <w:t xml:space="preserve"> 11.8 </w:t>
            </w:r>
          </w:p>
        </w:tc>
        <w:tc>
          <w:tcPr>
            <w:tcW w:w="845" w:type="pct"/>
            <w:tcBorders>
              <w:top w:val="nil"/>
              <w:left w:val="nil"/>
              <w:bottom w:val="single" w:sz="4" w:space="0" w:color="auto"/>
              <w:right w:val="single" w:sz="4" w:space="0" w:color="auto"/>
            </w:tcBorders>
            <w:vAlign w:val="center"/>
          </w:tcPr>
          <w:p w14:paraId="32C0C1F4" w14:textId="77777777" w:rsidR="00442868" w:rsidRPr="00442868" w:rsidRDefault="00442868" w:rsidP="00442868">
            <w:pPr>
              <w:pStyle w:val="TableText"/>
              <w:rPr>
                <w:b/>
                <w:bCs/>
                <w:szCs w:val="16"/>
              </w:rPr>
            </w:pPr>
            <w:r w:rsidRPr="00442868">
              <w:rPr>
                <w:rFonts w:ascii="Verdana" w:hAnsi="Verdana" w:cs="Tahoma"/>
                <w:b/>
                <w:bCs/>
                <w:szCs w:val="16"/>
              </w:rPr>
              <w:t xml:space="preserve"> 35.7 </w:t>
            </w:r>
          </w:p>
        </w:tc>
        <w:tc>
          <w:tcPr>
            <w:tcW w:w="845" w:type="pct"/>
            <w:tcBorders>
              <w:top w:val="nil"/>
              <w:left w:val="nil"/>
              <w:bottom w:val="single" w:sz="4" w:space="0" w:color="auto"/>
              <w:right w:val="single" w:sz="4" w:space="0" w:color="auto"/>
            </w:tcBorders>
            <w:vAlign w:val="center"/>
          </w:tcPr>
          <w:p w14:paraId="27DD6F0E" w14:textId="77777777" w:rsidR="00442868" w:rsidRPr="00442868" w:rsidRDefault="00442868" w:rsidP="00442868">
            <w:pPr>
              <w:pStyle w:val="TableText"/>
              <w:rPr>
                <w:b/>
                <w:bCs/>
                <w:szCs w:val="16"/>
              </w:rPr>
            </w:pPr>
            <w:r w:rsidRPr="00442868">
              <w:rPr>
                <w:rFonts w:ascii="Verdana" w:hAnsi="Verdana" w:cs="Tahoma"/>
                <w:b/>
                <w:bCs/>
                <w:szCs w:val="16"/>
              </w:rPr>
              <w:t xml:space="preserve"> 61.9 </w:t>
            </w:r>
          </w:p>
        </w:tc>
        <w:tc>
          <w:tcPr>
            <w:tcW w:w="845" w:type="pct"/>
            <w:tcBorders>
              <w:top w:val="nil"/>
              <w:left w:val="nil"/>
              <w:bottom w:val="single" w:sz="4" w:space="0" w:color="auto"/>
              <w:right w:val="single" w:sz="4" w:space="0" w:color="auto"/>
            </w:tcBorders>
            <w:vAlign w:val="center"/>
          </w:tcPr>
          <w:p w14:paraId="74FA3583" w14:textId="77777777" w:rsidR="00442868" w:rsidRPr="00442868" w:rsidRDefault="00442868" w:rsidP="00442868">
            <w:pPr>
              <w:pStyle w:val="TableText"/>
              <w:rPr>
                <w:b/>
                <w:bCs/>
                <w:szCs w:val="16"/>
              </w:rPr>
            </w:pPr>
            <w:r w:rsidRPr="00442868">
              <w:rPr>
                <w:rFonts w:ascii="Verdana" w:hAnsi="Verdana" w:cs="Tahoma"/>
                <w:b/>
                <w:bCs/>
                <w:szCs w:val="16"/>
              </w:rPr>
              <w:t xml:space="preserve"> 92.6 </w:t>
            </w:r>
          </w:p>
        </w:tc>
        <w:tc>
          <w:tcPr>
            <w:tcW w:w="844" w:type="pct"/>
            <w:tcBorders>
              <w:top w:val="nil"/>
              <w:left w:val="nil"/>
              <w:bottom w:val="single" w:sz="4" w:space="0" w:color="auto"/>
              <w:right w:val="single" w:sz="4" w:space="0" w:color="auto"/>
            </w:tcBorders>
            <w:vAlign w:val="center"/>
          </w:tcPr>
          <w:p w14:paraId="3DE3E318" w14:textId="77777777" w:rsidR="00442868" w:rsidRPr="00442868" w:rsidRDefault="00442868" w:rsidP="00442868">
            <w:pPr>
              <w:pStyle w:val="TableText"/>
              <w:rPr>
                <w:b/>
                <w:bCs/>
                <w:szCs w:val="16"/>
              </w:rPr>
            </w:pPr>
            <w:r w:rsidRPr="00442868">
              <w:rPr>
                <w:rFonts w:ascii="Verdana" w:hAnsi="Verdana" w:cs="Tahoma"/>
                <w:b/>
                <w:bCs/>
                <w:szCs w:val="16"/>
              </w:rPr>
              <w:t xml:space="preserve"> 122.8 </w:t>
            </w:r>
          </w:p>
        </w:tc>
      </w:tr>
    </w:tbl>
    <w:p w14:paraId="11C304B2" w14:textId="77777777" w:rsidR="00046BD5" w:rsidRPr="00DE108C" w:rsidRDefault="00046BD5">
      <w:pPr>
        <w:pStyle w:val="BodyText"/>
      </w:pPr>
    </w:p>
    <w:p w14:paraId="0197EC45" w14:textId="77777777" w:rsidR="00046BD5" w:rsidRPr="00DE108C" w:rsidRDefault="00046BD5">
      <w:pPr>
        <w:pStyle w:val="Heading2"/>
      </w:pPr>
      <w:bookmarkStart w:id="847" w:name="_Toc190876171"/>
      <w:bookmarkStart w:id="848" w:name="_Ref192600018"/>
      <w:bookmarkStart w:id="849" w:name="_Toc196745271"/>
      <w:bookmarkStart w:id="850" w:name="_Toc207892920"/>
      <w:bookmarkStart w:id="851" w:name="_Toc207853413"/>
      <w:r w:rsidRPr="00DE108C">
        <w:t>8.5 Forecast proceeds from disposal</w:t>
      </w:r>
      <w:bookmarkEnd w:id="847"/>
      <w:bookmarkEnd w:id="848"/>
      <w:bookmarkEnd w:id="849"/>
      <w:bookmarkEnd w:id="850"/>
      <w:bookmarkEnd w:id="851"/>
    </w:p>
    <w:p w14:paraId="3C4FD11C" w14:textId="0071BB80" w:rsidR="00046BD5" w:rsidRPr="00DE108C" w:rsidRDefault="00046BD5" w:rsidP="00ED094E">
      <w:r w:rsidRPr="00DE108C">
        <w:t xml:space="preserve">We are forecasting $29.3 million in disposals over the 2026-31 regulatory period. </w:t>
      </w:r>
      <w:r w:rsidR="00E43B03" w:rsidRPr="00DE108C">
        <w:t>Proceeds</w:t>
      </w:r>
      <w:r w:rsidR="00FC4A15" w:rsidRPr="00DE108C">
        <w:t xml:space="preserve"> from </w:t>
      </w:r>
      <w:r w:rsidR="00E458B7" w:rsidRPr="00DE108C">
        <w:t xml:space="preserve">asset disposal </w:t>
      </w:r>
      <w:r w:rsidR="00A56B42" w:rsidRPr="00DE108C">
        <w:t xml:space="preserve">outlined </w:t>
      </w:r>
      <w:r w:rsidR="00E458B7" w:rsidRPr="00DE108C">
        <w:t xml:space="preserve">annually </w:t>
      </w:r>
      <w:r w:rsidR="00A56B42" w:rsidRPr="00DE108C">
        <w:t>in Table 8.6</w:t>
      </w:r>
      <w:r w:rsidRPr="00DE108C">
        <w:t xml:space="preserve">. Consistent with the ESC guidance, these will be deducted from the RAB and will no longer be recovered from customers once disposed of. </w:t>
      </w:r>
    </w:p>
    <w:p w14:paraId="5D15E1EF" w14:textId="75668710" w:rsidR="00046BD5" w:rsidRPr="00DE108C" w:rsidRDefault="00046BD5" w:rsidP="00ED094E">
      <w:pPr>
        <w:pStyle w:val="Caption"/>
      </w:pPr>
      <w:bookmarkStart w:id="852" w:name="_Toc190878419"/>
      <w:bookmarkStart w:id="853" w:name="_Toc207893075"/>
      <w:bookmarkStart w:id="854" w:name="_Toc208490599"/>
      <w:bookmarkStart w:id="855" w:name="_Toc208490937"/>
      <w:bookmarkStart w:id="856" w:name="_Toc208911095"/>
      <w:bookmarkStart w:id="857" w:name="_Toc210051401"/>
      <w:r w:rsidRPr="00DE108C">
        <w:t>Table 8.6: Proceeds from asset disposal from 2025-26</w:t>
      </w:r>
      <w:bookmarkEnd w:id="852"/>
      <w:r w:rsidRPr="00DE108C">
        <w:t xml:space="preserve"> ($millions, real</w:t>
      </w:r>
      <w:r w:rsidR="00254B43">
        <w:t xml:space="preserve"> </w:t>
      </w:r>
      <w:r w:rsidRPr="00DE108C">
        <w:t>2025-26)</w:t>
      </w:r>
      <w:bookmarkEnd w:id="853"/>
      <w:bookmarkEnd w:id="854"/>
      <w:bookmarkEnd w:id="855"/>
      <w:bookmarkEnd w:id="856"/>
      <w:bookmarkEnd w:id="857"/>
    </w:p>
    <w:tbl>
      <w:tblPr>
        <w:tblStyle w:val="MWTableGrid"/>
        <w:tblW w:w="5000" w:type="pct"/>
        <w:tblLook w:val="0420" w:firstRow="1" w:lastRow="0" w:firstColumn="0" w:lastColumn="0" w:noHBand="0" w:noVBand="1"/>
      </w:tblPr>
      <w:tblGrid>
        <w:gridCol w:w="1374"/>
        <w:gridCol w:w="1375"/>
        <w:gridCol w:w="1375"/>
        <w:gridCol w:w="1377"/>
        <w:gridCol w:w="1377"/>
        <w:gridCol w:w="1377"/>
        <w:gridCol w:w="1373"/>
      </w:tblGrid>
      <w:tr w:rsidR="00556A0D" w:rsidRPr="00442868" w14:paraId="7E9BC6D0" w14:textId="77777777" w:rsidTr="00060B56">
        <w:trPr>
          <w:cnfStyle w:val="100000000000" w:firstRow="1" w:lastRow="0" w:firstColumn="0" w:lastColumn="0" w:oddVBand="0" w:evenVBand="0" w:oddHBand="0" w:evenHBand="0" w:firstRowFirstColumn="0" w:firstRowLastColumn="0" w:lastRowFirstColumn="0" w:lastRowLastColumn="0"/>
          <w:cantSplit/>
        </w:trPr>
        <w:tc>
          <w:tcPr>
            <w:tcW w:w="714" w:type="pct"/>
          </w:tcPr>
          <w:p w14:paraId="2B896D0F" w14:textId="77777777" w:rsidR="00046BD5" w:rsidRPr="00442868" w:rsidRDefault="00046BD5">
            <w:pPr>
              <w:pStyle w:val="TableHeading"/>
              <w:rPr>
                <w:szCs w:val="16"/>
              </w:rPr>
            </w:pPr>
          </w:p>
        </w:tc>
        <w:tc>
          <w:tcPr>
            <w:tcW w:w="714" w:type="pct"/>
          </w:tcPr>
          <w:p w14:paraId="5229AD1E" w14:textId="77777777" w:rsidR="00046BD5" w:rsidRPr="00442868" w:rsidRDefault="00046BD5">
            <w:pPr>
              <w:pStyle w:val="TableHeading"/>
              <w:rPr>
                <w:szCs w:val="16"/>
              </w:rPr>
            </w:pPr>
            <w:r w:rsidRPr="00442868">
              <w:rPr>
                <w:szCs w:val="16"/>
              </w:rPr>
              <w:t>2025-26</w:t>
            </w:r>
          </w:p>
        </w:tc>
        <w:tc>
          <w:tcPr>
            <w:tcW w:w="714" w:type="pct"/>
          </w:tcPr>
          <w:p w14:paraId="23E33B7B" w14:textId="77777777" w:rsidR="00046BD5" w:rsidRPr="00442868" w:rsidRDefault="00046BD5">
            <w:pPr>
              <w:pStyle w:val="TableHeading"/>
              <w:rPr>
                <w:szCs w:val="16"/>
              </w:rPr>
            </w:pPr>
            <w:r w:rsidRPr="00442868">
              <w:rPr>
                <w:szCs w:val="16"/>
              </w:rPr>
              <w:t>2026-27</w:t>
            </w:r>
          </w:p>
        </w:tc>
        <w:tc>
          <w:tcPr>
            <w:tcW w:w="715" w:type="pct"/>
          </w:tcPr>
          <w:p w14:paraId="5F6DA085" w14:textId="77777777" w:rsidR="00046BD5" w:rsidRPr="00442868" w:rsidRDefault="00046BD5">
            <w:pPr>
              <w:pStyle w:val="TableHeading"/>
              <w:rPr>
                <w:szCs w:val="16"/>
              </w:rPr>
            </w:pPr>
            <w:r w:rsidRPr="00442868">
              <w:rPr>
                <w:szCs w:val="16"/>
              </w:rPr>
              <w:t>2027-28</w:t>
            </w:r>
          </w:p>
        </w:tc>
        <w:tc>
          <w:tcPr>
            <w:tcW w:w="715" w:type="pct"/>
          </w:tcPr>
          <w:p w14:paraId="0BB3E90F" w14:textId="77777777" w:rsidR="00046BD5" w:rsidRPr="00442868" w:rsidRDefault="00046BD5">
            <w:pPr>
              <w:pStyle w:val="TableHeading"/>
              <w:rPr>
                <w:szCs w:val="16"/>
              </w:rPr>
            </w:pPr>
            <w:r w:rsidRPr="00442868">
              <w:rPr>
                <w:szCs w:val="16"/>
              </w:rPr>
              <w:t>2028-29</w:t>
            </w:r>
          </w:p>
        </w:tc>
        <w:tc>
          <w:tcPr>
            <w:tcW w:w="715" w:type="pct"/>
          </w:tcPr>
          <w:p w14:paraId="100096A8" w14:textId="77777777" w:rsidR="00046BD5" w:rsidRPr="00442868" w:rsidRDefault="00046BD5">
            <w:pPr>
              <w:pStyle w:val="TableHeading"/>
              <w:rPr>
                <w:szCs w:val="16"/>
              </w:rPr>
            </w:pPr>
            <w:r w:rsidRPr="00442868">
              <w:rPr>
                <w:szCs w:val="16"/>
              </w:rPr>
              <w:t>2029-30</w:t>
            </w:r>
          </w:p>
        </w:tc>
        <w:tc>
          <w:tcPr>
            <w:tcW w:w="713" w:type="pct"/>
          </w:tcPr>
          <w:p w14:paraId="01A052F9" w14:textId="77777777" w:rsidR="00046BD5" w:rsidRPr="00442868" w:rsidRDefault="00046BD5">
            <w:pPr>
              <w:pStyle w:val="TableHeading"/>
              <w:rPr>
                <w:szCs w:val="16"/>
              </w:rPr>
            </w:pPr>
            <w:r w:rsidRPr="00442868">
              <w:rPr>
                <w:szCs w:val="16"/>
              </w:rPr>
              <w:t>2030-31</w:t>
            </w:r>
          </w:p>
        </w:tc>
      </w:tr>
      <w:tr w:rsidR="00F95609" w:rsidRPr="00442868" w14:paraId="07F700E2" w14:textId="77777777" w:rsidTr="00060B56">
        <w:trPr>
          <w:cantSplit/>
        </w:trPr>
        <w:tc>
          <w:tcPr>
            <w:tcW w:w="714" w:type="pct"/>
          </w:tcPr>
          <w:p w14:paraId="392707C9" w14:textId="77777777" w:rsidR="00F95609" w:rsidRPr="00442868" w:rsidRDefault="00F95609" w:rsidP="00F95609">
            <w:pPr>
              <w:pStyle w:val="TableText"/>
              <w:rPr>
                <w:szCs w:val="16"/>
              </w:rPr>
            </w:pPr>
            <w:r w:rsidRPr="00442868">
              <w:rPr>
                <w:szCs w:val="16"/>
              </w:rPr>
              <w:t>Water</w:t>
            </w:r>
          </w:p>
        </w:tc>
        <w:tc>
          <w:tcPr>
            <w:tcW w:w="714" w:type="pct"/>
            <w:tcBorders>
              <w:top w:val="single" w:sz="4" w:space="0" w:color="auto"/>
              <w:left w:val="single" w:sz="4" w:space="0" w:color="auto"/>
              <w:bottom w:val="single" w:sz="4" w:space="0" w:color="auto"/>
              <w:right w:val="single" w:sz="4" w:space="0" w:color="auto"/>
            </w:tcBorders>
            <w:vAlign w:val="center"/>
          </w:tcPr>
          <w:p w14:paraId="29627087" w14:textId="77777777" w:rsidR="00F95609" w:rsidRPr="00F95609" w:rsidRDefault="00F95609" w:rsidP="00F95609">
            <w:pPr>
              <w:pStyle w:val="TableText"/>
              <w:rPr>
                <w:szCs w:val="16"/>
              </w:rPr>
            </w:pPr>
            <w:r w:rsidRPr="00F95609">
              <w:rPr>
                <w:rFonts w:ascii="Verdana" w:hAnsi="Verdana" w:cs="Tahoma"/>
                <w:szCs w:val="16"/>
              </w:rPr>
              <w:t xml:space="preserve"> 1.7 </w:t>
            </w:r>
          </w:p>
        </w:tc>
        <w:tc>
          <w:tcPr>
            <w:tcW w:w="714" w:type="pct"/>
            <w:tcBorders>
              <w:top w:val="single" w:sz="4" w:space="0" w:color="auto"/>
              <w:left w:val="nil"/>
              <w:bottom w:val="single" w:sz="4" w:space="0" w:color="auto"/>
              <w:right w:val="single" w:sz="4" w:space="0" w:color="auto"/>
            </w:tcBorders>
            <w:vAlign w:val="center"/>
          </w:tcPr>
          <w:p w14:paraId="4083C1F6" w14:textId="77777777" w:rsidR="00F95609" w:rsidRPr="00F95609" w:rsidRDefault="00F95609" w:rsidP="00F95609">
            <w:pPr>
              <w:pStyle w:val="TableText"/>
              <w:rPr>
                <w:szCs w:val="16"/>
              </w:rPr>
            </w:pPr>
            <w:r w:rsidRPr="00F95609">
              <w:rPr>
                <w:rFonts w:ascii="Verdana" w:hAnsi="Verdana" w:cs="Tahoma"/>
                <w:szCs w:val="16"/>
              </w:rPr>
              <w:t xml:space="preserve"> 4.4 </w:t>
            </w:r>
          </w:p>
        </w:tc>
        <w:tc>
          <w:tcPr>
            <w:tcW w:w="715" w:type="pct"/>
            <w:tcBorders>
              <w:top w:val="single" w:sz="4" w:space="0" w:color="auto"/>
              <w:left w:val="nil"/>
              <w:bottom w:val="single" w:sz="4" w:space="0" w:color="auto"/>
              <w:right w:val="single" w:sz="4" w:space="0" w:color="auto"/>
            </w:tcBorders>
            <w:vAlign w:val="center"/>
          </w:tcPr>
          <w:p w14:paraId="19B4C8D2" w14:textId="77777777" w:rsidR="00F95609" w:rsidRPr="00F95609" w:rsidRDefault="00F95609" w:rsidP="00F95609">
            <w:pPr>
              <w:pStyle w:val="TableText"/>
              <w:rPr>
                <w:szCs w:val="16"/>
              </w:rPr>
            </w:pPr>
            <w:r w:rsidRPr="00F95609">
              <w:rPr>
                <w:rFonts w:ascii="Verdana" w:hAnsi="Verdana" w:cs="Tahoma"/>
                <w:szCs w:val="16"/>
              </w:rPr>
              <w:t xml:space="preserve"> 5.4 </w:t>
            </w:r>
          </w:p>
        </w:tc>
        <w:tc>
          <w:tcPr>
            <w:tcW w:w="715" w:type="pct"/>
            <w:tcBorders>
              <w:top w:val="single" w:sz="4" w:space="0" w:color="auto"/>
              <w:left w:val="nil"/>
              <w:bottom w:val="single" w:sz="4" w:space="0" w:color="auto"/>
              <w:right w:val="single" w:sz="4" w:space="0" w:color="auto"/>
            </w:tcBorders>
            <w:vAlign w:val="center"/>
          </w:tcPr>
          <w:p w14:paraId="4788DA95" w14:textId="77777777" w:rsidR="00F95609" w:rsidRPr="00F95609" w:rsidRDefault="00F95609" w:rsidP="00F95609">
            <w:pPr>
              <w:pStyle w:val="TableText"/>
              <w:rPr>
                <w:szCs w:val="16"/>
              </w:rPr>
            </w:pPr>
            <w:r w:rsidRPr="00F95609">
              <w:rPr>
                <w:rFonts w:ascii="Verdana" w:hAnsi="Verdana" w:cs="Tahoma"/>
                <w:szCs w:val="16"/>
              </w:rPr>
              <w:t xml:space="preserve"> 2.5 </w:t>
            </w:r>
          </w:p>
        </w:tc>
        <w:tc>
          <w:tcPr>
            <w:tcW w:w="715" w:type="pct"/>
            <w:tcBorders>
              <w:top w:val="single" w:sz="4" w:space="0" w:color="auto"/>
              <w:left w:val="nil"/>
              <w:bottom w:val="single" w:sz="4" w:space="0" w:color="auto"/>
              <w:right w:val="single" w:sz="4" w:space="0" w:color="auto"/>
            </w:tcBorders>
            <w:vAlign w:val="center"/>
          </w:tcPr>
          <w:p w14:paraId="68366C1B" w14:textId="77777777" w:rsidR="00F95609" w:rsidRPr="00F95609" w:rsidRDefault="00F95609" w:rsidP="00F95609">
            <w:pPr>
              <w:pStyle w:val="TableText"/>
              <w:rPr>
                <w:szCs w:val="16"/>
              </w:rPr>
            </w:pPr>
            <w:r w:rsidRPr="00F95609">
              <w:rPr>
                <w:rFonts w:ascii="Verdana" w:hAnsi="Verdana" w:cs="Tahoma"/>
                <w:szCs w:val="16"/>
              </w:rPr>
              <w:t xml:space="preserve"> 2.5 </w:t>
            </w:r>
          </w:p>
        </w:tc>
        <w:tc>
          <w:tcPr>
            <w:tcW w:w="713" w:type="pct"/>
            <w:tcBorders>
              <w:top w:val="single" w:sz="4" w:space="0" w:color="auto"/>
              <w:left w:val="nil"/>
              <w:bottom w:val="single" w:sz="4" w:space="0" w:color="auto"/>
              <w:right w:val="single" w:sz="4" w:space="0" w:color="auto"/>
            </w:tcBorders>
            <w:vAlign w:val="center"/>
          </w:tcPr>
          <w:p w14:paraId="0ADE29D2" w14:textId="77777777" w:rsidR="00F95609" w:rsidRPr="00F95609" w:rsidRDefault="00F95609" w:rsidP="00F95609">
            <w:pPr>
              <w:pStyle w:val="TableText"/>
              <w:rPr>
                <w:szCs w:val="16"/>
              </w:rPr>
            </w:pPr>
            <w:r w:rsidRPr="00F95609">
              <w:rPr>
                <w:rFonts w:ascii="Verdana" w:hAnsi="Verdana" w:cs="Tahoma"/>
                <w:szCs w:val="16"/>
              </w:rPr>
              <w:t xml:space="preserve"> 2.1 </w:t>
            </w:r>
          </w:p>
        </w:tc>
      </w:tr>
      <w:tr w:rsidR="001A6F4C" w:rsidRPr="00442868" w14:paraId="3E4B90CD" w14:textId="77777777" w:rsidTr="00060B56">
        <w:trPr>
          <w:cnfStyle w:val="000000010000" w:firstRow="0" w:lastRow="0" w:firstColumn="0" w:lastColumn="0" w:oddVBand="0" w:evenVBand="0" w:oddHBand="0" w:evenHBand="1" w:firstRowFirstColumn="0" w:firstRowLastColumn="0" w:lastRowFirstColumn="0" w:lastRowLastColumn="0"/>
          <w:cantSplit/>
        </w:trPr>
        <w:tc>
          <w:tcPr>
            <w:tcW w:w="714" w:type="pct"/>
          </w:tcPr>
          <w:p w14:paraId="29E99C4B" w14:textId="77777777" w:rsidR="00F95609" w:rsidRPr="00442868" w:rsidRDefault="00F95609" w:rsidP="00F95609">
            <w:pPr>
              <w:pStyle w:val="TableText"/>
              <w:rPr>
                <w:szCs w:val="16"/>
              </w:rPr>
            </w:pPr>
            <w:r w:rsidRPr="00442868">
              <w:rPr>
                <w:szCs w:val="16"/>
              </w:rPr>
              <w:t>Sewerage</w:t>
            </w:r>
          </w:p>
        </w:tc>
        <w:tc>
          <w:tcPr>
            <w:tcW w:w="714" w:type="pct"/>
            <w:tcBorders>
              <w:top w:val="nil"/>
              <w:left w:val="single" w:sz="4" w:space="0" w:color="auto"/>
              <w:bottom w:val="single" w:sz="4" w:space="0" w:color="auto"/>
              <w:right w:val="single" w:sz="4" w:space="0" w:color="auto"/>
            </w:tcBorders>
            <w:shd w:val="clear" w:color="auto" w:fill="EFF5FB" w:themeFill="background2"/>
            <w:vAlign w:val="center"/>
          </w:tcPr>
          <w:p w14:paraId="021DB9F3" w14:textId="77777777" w:rsidR="00F95609" w:rsidRPr="00F95609" w:rsidRDefault="00F95609" w:rsidP="00F95609">
            <w:pPr>
              <w:pStyle w:val="TableText"/>
              <w:rPr>
                <w:szCs w:val="16"/>
              </w:rPr>
            </w:pPr>
            <w:r w:rsidRPr="00F95609">
              <w:rPr>
                <w:rFonts w:ascii="Verdana" w:hAnsi="Verdana" w:cs="Tahoma"/>
                <w:szCs w:val="16"/>
              </w:rPr>
              <w:t xml:space="preserve"> 0.4 </w:t>
            </w:r>
          </w:p>
        </w:tc>
        <w:tc>
          <w:tcPr>
            <w:tcW w:w="714" w:type="pct"/>
            <w:tcBorders>
              <w:top w:val="nil"/>
              <w:left w:val="nil"/>
              <w:bottom w:val="single" w:sz="4" w:space="0" w:color="auto"/>
              <w:right w:val="single" w:sz="4" w:space="0" w:color="auto"/>
            </w:tcBorders>
            <w:shd w:val="clear" w:color="auto" w:fill="EFF5FB" w:themeFill="background2"/>
            <w:vAlign w:val="center"/>
          </w:tcPr>
          <w:p w14:paraId="49734471" w14:textId="77777777" w:rsidR="00F95609" w:rsidRPr="00F95609" w:rsidRDefault="00F95609" w:rsidP="00F95609">
            <w:pPr>
              <w:pStyle w:val="TableText"/>
              <w:rPr>
                <w:szCs w:val="16"/>
              </w:rPr>
            </w:pPr>
            <w:r w:rsidRPr="00F95609">
              <w:rPr>
                <w:rFonts w:ascii="Verdana" w:hAnsi="Verdana" w:cs="Tahoma"/>
                <w:szCs w:val="16"/>
              </w:rPr>
              <w:t xml:space="preserve"> 2.8 </w:t>
            </w:r>
          </w:p>
        </w:tc>
        <w:tc>
          <w:tcPr>
            <w:tcW w:w="715" w:type="pct"/>
            <w:tcBorders>
              <w:top w:val="nil"/>
              <w:left w:val="nil"/>
              <w:bottom w:val="single" w:sz="4" w:space="0" w:color="auto"/>
              <w:right w:val="single" w:sz="4" w:space="0" w:color="auto"/>
            </w:tcBorders>
            <w:shd w:val="clear" w:color="auto" w:fill="EFF5FB" w:themeFill="background2"/>
            <w:vAlign w:val="center"/>
          </w:tcPr>
          <w:p w14:paraId="6615807D" w14:textId="77777777" w:rsidR="00F95609" w:rsidRPr="00F95609" w:rsidRDefault="00F95609" w:rsidP="00F95609">
            <w:pPr>
              <w:pStyle w:val="TableText"/>
              <w:rPr>
                <w:szCs w:val="16"/>
              </w:rPr>
            </w:pPr>
            <w:r w:rsidRPr="00F95609">
              <w:rPr>
                <w:rFonts w:ascii="Verdana" w:hAnsi="Verdana" w:cs="Tahoma"/>
                <w:szCs w:val="16"/>
              </w:rPr>
              <w:t xml:space="preserve"> 0.4 </w:t>
            </w:r>
          </w:p>
        </w:tc>
        <w:tc>
          <w:tcPr>
            <w:tcW w:w="715" w:type="pct"/>
            <w:tcBorders>
              <w:top w:val="nil"/>
              <w:left w:val="nil"/>
              <w:bottom w:val="single" w:sz="4" w:space="0" w:color="auto"/>
              <w:right w:val="single" w:sz="4" w:space="0" w:color="auto"/>
            </w:tcBorders>
            <w:shd w:val="clear" w:color="auto" w:fill="EFF5FB" w:themeFill="background2"/>
            <w:vAlign w:val="center"/>
          </w:tcPr>
          <w:p w14:paraId="61EF194B" w14:textId="77777777" w:rsidR="00F95609" w:rsidRPr="00F95609" w:rsidRDefault="00F95609" w:rsidP="00F95609">
            <w:pPr>
              <w:pStyle w:val="TableText"/>
              <w:rPr>
                <w:szCs w:val="16"/>
              </w:rPr>
            </w:pPr>
            <w:r w:rsidRPr="00F95609">
              <w:rPr>
                <w:rFonts w:ascii="Verdana" w:hAnsi="Verdana" w:cs="Tahoma"/>
                <w:szCs w:val="16"/>
              </w:rPr>
              <w:t xml:space="preserve"> 2.7 </w:t>
            </w:r>
          </w:p>
        </w:tc>
        <w:tc>
          <w:tcPr>
            <w:tcW w:w="715" w:type="pct"/>
            <w:tcBorders>
              <w:top w:val="nil"/>
              <w:left w:val="nil"/>
              <w:bottom w:val="single" w:sz="4" w:space="0" w:color="auto"/>
              <w:right w:val="single" w:sz="4" w:space="0" w:color="auto"/>
            </w:tcBorders>
            <w:shd w:val="clear" w:color="auto" w:fill="EFF5FB" w:themeFill="background2"/>
            <w:vAlign w:val="center"/>
          </w:tcPr>
          <w:p w14:paraId="2CAA42F1" w14:textId="77777777" w:rsidR="00F95609" w:rsidRPr="00F95609" w:rsidRDefault="00F95609" w:rsidP="00F95609">
            <w:pPr>
              <w:pStyle w:val="TableText"/>
              <w:rPr>
                <w:szCs w:val="16"/>
              </w:rPr>
            </w:pPr>
            <w:r w:rsidRPr="00F95609">
              <w:rPr>
                <w:rFonts w:ascii="Verdana" w:hAnsi="Verdana" w:cs="Tahoma"/>
                <w:szCs w:val="16"/>
              </w:rPr>
              <w:t xml:space="preserve"> 2.7 </w:t>
            </w:r>
          </w:p>
        </w:tc>
        <w:tc>
          <w:tcPr>
            <w:tcW w:w="713" w:type="pct"/>
            <w:tcBorders>
              <w:top w:val="nil"/>
              <w:left w:val="nil"/>
              <w:bottom w:val="single" w:sz="4" w:space="0" w:color="auto"/>
              <w:right w:val="single" w:sz="4" w:space="0" w:color="auto"/>
            </w:tcBorders>
            <w:shd w:val="clear" w:color="auto" w:fill="EFF5FB" w:themeFill="background2"/>
            <w:vAlign w:val="center"/>
          </w:tcPr>
          <w:p w14:paraId="1AD6D239" w14:textId="77777777" w:rsidR="00F95609" w:rsidRPr="00F95609" w:rsidRDefault="00F95609" w:rsidP="00F95609">
            <w:pPr>
              <w:pStyle w:val="TableText"/>
              <w:rPr>
                <w:szCs w:val="16"/>
              </w:rPr>
            </w:pPr>
            <w:r w:rsidRPr="00F95609">
              <w:rPr>
                <w:rFonts w:ascii="Verdana" w:hAnsi="Verdana" w:cs="Tahoma"/>
                <w:szCs w:val="16"/>
              </w:rPr>
              <w:t xml:space="preserve"> 1.6 </w:t>
            </w:r>
          </w:p>
        </w:tc>
      </w:tr>
      <w:tr w:rsidR="00F95609" w:rsidRPr="00442868" w14:paraId="581DED23" w14:textId="77777777" w:rsidTr="00060B56">
        <w:trPr>
          <w:cantSplit/>
        </w:trPr>
        <w:tc>
          <w:tcPr>
            <w:tcW w:w="714" w:type="pct"/>
          </w:tcPr>
          <w:p w14:paraId="73FED5DF" w14:textId="77777777" w:rsidR="00F95609" w:rsidRPr="00442868" w:rsidRDefault="00F95609" w:rsidP="00F95609">
            <w:pPr>
              <w:pStyle w:val="TableText"/>
              <w:rPr>
                <w:szCs w:val="16"/>
              </w:rPr>
            </w:pPr>
            <w:r w:rsidRPr="00442868">
              <w:rPr>
                <w:szCs w:val="16"/>
              </w:rPr>
              <w:t>Recycled Water</w:t>
            </w:r>
          </w:p>
        </w:tc>
        <w:tc>
          <w:tcPr>
            <w:tcW w:w="714" w:type="pct"/>
            <w:tcBorders>
              <w:top w:val="nil"/>
              <w:left w:val="single" w:sz="4" w:space="0" w:color="auto"/>
              <w:bottom w:val="single" w:sz="4" w:space="0" w:color="auto"/>
              <w:right w:val="single" w:sz="4" w:space="0" w:color="auto"/>
            </w:tcBorders>
            <w:vAlign w:val="center"/>
          </w:tcPr>
          <w:p w14:paraId="125FBE35" w14:textId="77777777" w:rsidR="00F95609" w:rsidRPr="00F95609" w:rsidRDefault="00F95609" w:rsidP="00F95609">
            <w:pPr>
              <w:pStyle w:val="TableText"/>
              <w:rPr>
                <w:szCs w:val="16"/>
              </w:rPr>
            </w:pPr>
            <w:r w:rsidRPr="00F95609">
              <w:rPr>
                <w:rFonts w:ascii="Verdana" w:hAnsi="Verdana" w:cs="Tahoma"/>
                <w:szCs w:val="16"/>
              </w:rPr>
              <w:t xml:space="preserve"> 0.4 </w:t>
            </w:r>
          </w:p>
        </w:tc>
        <w:tc>
          <w:tcPr>
            <w:tcW w:w="714" w:type="pct"/>
            <w:tcBorders>
              <w:top w:val="nil"/>
              <w:left w:val="nil"/>
              <w:bottom w:val="single" w:sz="4" w:space="0" w:color="auto"/>
              <w:right w:val="single" w:sz="4" w:space="0" w:color="auto"/>
            </w:tcBorders>
            <w:vAlign w:val="center"/>
          </w:tcPr>
          <w:p w14:paraId="7E10A3D5" w14:textId="77777777" w:rsidR="00F95609" w:rsidRPr="00F95609" w:rsidRDefault="00F95609" w:rsidP="00F95609">
            <w:pPr>
              <w:pStyle w:val="TableText"/>
              <w:rPr>
                <w:szCs w:val="16"/>
              </w:rPr>
            </w:pPr>
            <w:r w:rsidRPr="00F95609">
              <w:rPr>
                <w:rFonts w:ascii="Verdana" w:hAnsi="Verdana" w:cs="Tahoma"/>
                <w:szCs w:val="16"/>
              </w:rPr>
              <w:t xml:space="preserve"> 0.4 </w:t>
            </w:r>
          </w:p>
        </w:tc>
        <w:tc>
          <w:tcPr>
            <w:tcW w:w="715" w:type="pct"/>
            <w:tcBorders>
              <w:top w:val="nil"/>
              <w:left w:val="nil"/>
              <w:bottom w:val="single" w:sz="4" w:space="0" w:color="auto"/>
              <w:right w:val="single" w:sz="4" w:space="0" w:color="auto"/>
            </w:tcBorders>
            <w:vAlign w:val="center"/>
          </w:tcPr>
          <w:p w14:paraId="5F6A2580" w14:textId="77777777" w:rsidR="00F95609" w:rsidRPr="00F95609" w:rsidRDefault="00F95609" w:rsidP="00F95609">
            <w:pPr>
              <w:pStyle w:val="TableText"/>
              <w:rPr>
                <w:szCs w:val="16"/>
              </w:rPr>
            </w:pPr>
            <w:r w:rsidRPr="00F95609">
              <w:rPr>
                <w:rFonts w:ascii="Verdana" w:hAnsi="Verdana" w:cs="Tahoma"/>
                <w:szCs w:val="16"/>
              </w:rPr>
              <w:t xml:space="preserve"> 0.4 </w:t>
            </w:r>
          </w:p>
        </w:tc>
        <w:tc>
          <w:tcPr>
            <w:tcW w:w="715" w:type="pct"/>
            <w:tcBorders>
              <w:top w:val="nil"/>
              <w:left w:val="nil"/>
              <w:bottom w:val="single" w:sz="4" w:space="0" w:color="auto"/>
              <w:right w:val="single" w:sz="4" w:space="0" w:color="auto"/>
            </w:tcBorders>
            <w:vAlign w:val="center"/>
          </w:tcPr>
          <w:p w14:paraId="062D9AE9" w14:textId="77777777" w:rsidR="00F95609" w:rsidRPr="00F95609" w:rsidRDefault="00F95609" w:rsidP="00F95609">
            <w:pPr>
              <w:pStyle w:val="TableText"/>
              <w:rPr>
                <w:szCs w:val="16"/>
              </w:rPr>
            </w:pPr>
            <w:r w:rsidRPr="00F95609">
              <w:rPr>
                <w:rFonts w:ascii="Verdana" w:hAnsi="Verdana" w:cs="Tahoma"/>
                <w:szCs w:val="16"/>
              </w:rPr>
              <w:t xml:space="preserve"> 0.4 </w:t>
            </w:r>
          </w:p>
        </w:tc>
        <w:tc>
          <w:tcPr>
            <w:tcW w:w="715" w:type="pct"/>
            <w:tcBorders>
              <w:top w:val="nil"/>
              <w:left w:val="nil"/>
              <w:bottom w:val="single" w:sz="4" w:space="0" w:color="auto"/>
              <w:right w:val="single" w:sz="4" w:space="0" w:color="auto"/>
            </w:tcBorders>
            <w:vAlign w:val="center"/>
          </w:tcPr>
          <w:p w14:paraId="1E9C9657" w14:textId="77777777" w:rsidR="00F95609" w:rsidRPr="00F95609" w:rsidRDefault="00F95609" w:rsidP="00F95609">
            <w:pPr>
              <w:pStyle w:val="TableText"/>
              <w:rPr>
                <w:szCs w:val="16"/>
              </w:rPr>
            </w:pPr>
            <w:r w:rsidRPr="00F95609">
              <w:rPr>
                <w:rFonts w:ascii="Verdana" w:hAnsi="Verdana" w:cs="Tahoma"/>
                <w:szCs w:val="16"/>
              </w:rPr>
              <w:t xml:space="preserve"> 0.4 </w:t>
            </w:r>
          </w:p>
        </w:tc>
        <w:tc>
          <w:tcPr>
            <w:tcW w:w="713" w:type="pct"/>
            <w:tcBorders>
              <w:top w:val="nil"/>
              <w:left w:val="nil"/>
              <w:bottom w:val="single" w:sz="4" w:space="0" w:color="auto"/>
              <w:right w:val="single" w:sz="4" w:space="0" w:color="auto"/>
            </w:tcBorders>
            <w:vAlign w:val="center"/>
          </w:tcPr>
          <w:p w14:paraId="78405C32" w14:textId="77777777" w:rsidR="00F95609" w:rsidRPr="00F95609" w:rsidRDefault="00F95609" w:rsidP="00F95609">
            <w:pPr>
              <w:pStyle w:val="TableText"/>
              <w:rPr>
                <w:szCs w:val="16"/>
              </w:rPr>
            </w:pPr>
            <w:r w:rsidRPr="00F95609">
              <w:rPr>
                <w:rFonts w:ascii="Verdana" w:hAnsi="Verdana" w:cs="Tahoma"/>
                <w:szCs w:val="16"/>
              </w:rPr>
              <w:t xml:space="preserve"> 0.5 </w:t>
            </w:r>
          </w:p>
        </w:tc>
      </w:tr>
      <w:tr w:rsidR="001A6F4C" w:rsidRPr="00442868" w14:paraId="78B5B00F" w14:textId="77777777" w:rsidTr="00060B56">
        <w:trPr>
          <w:cnfStyle w:val="000000010000" w:firstRow="0" w:lastRow="0" w:firstColumn="0" w:lastColumn="0" w:oddVBand="0" w:evenVBand="0" w:oddHBand="0" w:evenHBand="1" w:firstRowFirstColumn="0" w:firstRowLastColumn="0" w:lastRowFirstColumn="0" w:lastRowLastColumn="0"/>
          <w:cantSplit/>
        </w:trPr>
        <w:tc>
          <w:tcPr>
            <w:tcW w:w="714" w:type="pct"/>
          </w:tcPr>
          <w:p w14:paraId="0F1F450A" w14:textId="77777777" w:rsidR="00F95609" w:rsidRPr="00442868" w:rsidRDefault="00F95609" w:rsidP="00F95609">
            <w:pPr>
              <w:pStyle w:val="TableText"/>
              <w:rPr>
                <w:szCs w:val="16"/>
              </w:rPr>
            </w:pPr>
            <w:r w:rsidRPr="00442868">
              <w:rPr>
                <w:szCs w:val="16"/>
              </w:rPr>
              <w:t>Waterways and drainage</w:t>
            </w:r>
          </w:p>
        </w:tc>
        <w:tc>
          <w:tcPr>
            <w:tcW w:w="714" w:type="pct"/>
            <w:tcBorders>
              <w:top w:val="nil"/>
              <w:left w:val="single" w:sz="4" w:space="0" w:color="auto"/>
              <w:bottom w:val="single" w:sz="4" w:space="0" w:color="auto"/>
              <w:right w:val="single" w:sz="4" w:space="0" w:color="auto"/>
            </w:tcBorders>
            <w:shd w:val="clear" w:color="auto" w:fill="EFF5FB" w:themeFill="background2"/>
            <w:vAlign w:val="center"/>
          </w:tcPr>
          <w:p w14:paraId="3DA844A2" w14:textId="77777777" w:rsidR="00F95609" w:rsidRPr="00F95609" w:rsidRDefault="00F95609" w:rsidP="00F95609">
            <w:pPr>
              <w:pStyle w:val="TableText"/>
              <w:rPr>
                <w:szCs w:val="16"/>
              </w:rPr>
            </w:pPr>
            <w:r w:rsidRPr="00F95609">
              <w:rPr>
                <w:rFonts w:ascii="Verdana" w:hAnsi="Verdana" w:cs="Tahoma"/>
                <w:szCs w:val="16"/>
              </w:rPr>
              <w:t xml:space="preserve"> - </w:t>
            </w:r>
          </w:p>
        </w:tc>
        <w:tc>
          <w:tcPr>
            <w:tcW w:w="714" w:type="pct"/>
            <w:tcBorders>
              <w:top w:val="nil"/>
              <w:left w:val="nil"/>
              <w:bottom w:val="single" w:sz="4" w:space="0" w:color="auto"/>
              <w:right w:val="single" w:sz="4" w:space="0" w:color="auto"/>
            </w:tcBorders>
            <w:shd w:val="clear" w:color="auto" w:fill="EFF5FB" w:themeFill="background2"/>
            <w:vAlign w:val="center"/>
          </w:tcPr>
          <w:p w14:paraId="7B5DD6EF" w14:textId="77777777" w:rsidR="00F95609" w:rsidRPr="00F95609" w:rsidRDefault="00F95609" w:rsidP="00F95609">
            <w:pPr>
              <w:pStyle w:val="TableText"/>
              <w:rPr>
                <w:szCs w:val="16"/>
              </w:rPr>
            </w:pPr>
            <w:r w:rsidRPr="00F95609">
              <w:rPr>
                <w:rFonts w:ascii="Verdana" w:hAnsi="Verdana" w:cs="Tahoma"/>
                <w:szCs w:val="16"/>
              </w:rPr>
              <w:t xml:space="preserve"> - </w:t>
            </w:r>
          </w:p>
        </w:tc>
        <w:tc>
          <w:tcPr>
            <w:tcW w:w="715" w:type="pct"/>
            <w:tcBorders>
              <w:top w:val="nil"/>
              <w:left w:val="nil"/>
              <w:bottom w:val="single" w:sz="4" w:space="0" w:color="auto"/>
              <w:right w:val="single" w:sz="4" w:space="0" w:color="auto"/>
            </w:tcBorders>
            <w:shd w:val="clear" w:color="auto" w:fill="EFF5FB" w:themeFill="background2"/>
            <w:vAlign w:val="center"/>
          </w:tcPr>
          <w:p w14:paraId="5A0B9817" w14:textId="77777777" w:rsidR="00F95609" w:rsidRPr="00F95609" w:rsidRDefault="00F95609" w:rsidP="00F95609">
            <w:pPr>
              <w:pStyle w:val="TableText"/>
              <w:rPr>
                <w:szCs w:val="16"/>
              </w:rPr>
            </w:pPr>
            <w:r w:rsidRPr="00F95609">
              <w:rPr>
                <w:rFonts w:ascii="Verdana" w:hAnsi="Verdana" w:cs="Tahoma"/>
                <w:szCs w:val="16"/>
              </w:rPr>
              <w:t xml:space="preserve"> - </w:t>
            </w:r>
          </w:p>
        </w:tc>
        <w:tc>
          <w:tcPr>
            <w:tcW w:w="715" w:type="pct"/>
            <w:tcBorders>
              <w:top w:val="nil"/>
              <w:left w:val="nil"/>
              <w:bottom w:val="single" w:sz="4" w:space="0" w:color="auto"/>
              <w:right w:val="single" w:sz="4" w:space="0" w:color="auto"/>
            </w:tcBorders>
            <w:shd w:val="clear" w:color="auto" w:fill="EFF5FB" w:themeFill="background2"/>
            <w:vAlign w:val="center"/>
          </w:tcPr>
          <w:p w14:paraId="09D6A192" w14:textId="77777777" w:rsidR="00F95609" w:rsidRPr="00F95609" w:rsidRDefault="00F95609" w:rsidP="00F95609">
            <w:pPr>
              <w:pStyle w:val="TableText"/>
              <w:rPr>
                <w:szCs w:val="16"/>
              </w:rPr>
            </w:pPr>
            <w:r w:rsidRPr="00F95609">
              <w:rPr>
                <w:rFonts w:ascii="Verdana" w:hAnsi="Verdana" w:cs="Tahoma"/>
                <w:szCs w:val="16"/>
              </w:rPr>
              <w:t xml:space="preserve"> - </w:t>
            </w:r>
          </w:p>
        </w:tc>
        <w:tc>
          <w:tcPr>
            <w:tcW w:w="715" w:type="pct"/>
            <w:tcBorders>
              <w:top w:val="nil"/>
              <w:left w:val="nil"/>
              <w:bottom w:val="single" w:sz="4" w:space="0" w:color="auto"/>
              <w:right w:val="single" w:sz="4" w:space="0" w:color="auto"/>
            </w:tcBorders>
            <w:shd w:val="clear" w:color="auto" w:fill="EFF5FB" w:themeFill="background2"/>
            <w:vAlign w:val="center"/>
          </w:tcPr>
          <w:p w14:paraId="0A011125" w14:textId="77777777" w:rsidR="00F95609" w:rsidRPr="00F95609" w:rsidRDefault="00F95609" w:rsidP="00F95609">
            <w:pPr>
              <w:pStyle w:val="TableText"/>
              <w:rPr>
                <w:szCs w:val="16"/>
              </w:rPr>
            </w:pPr>
            <w:r w:rsidRPr="00F95609">
              <w:rPr>
                <w:rFonts w:ascii="Verdana" w:hAnsi="Verdana" w:cs="Tahoma"/>
                <w:szCs w:val="16"/>
              </w:rPr>
              <w:t xml:space="preserve"> - </w:t>
            </w:r>
          </w:p>
        </w:tc>
        <w:tc>
          <w:tcPr>
            <w:tcW w:w="713" w:type="pct"/>
            <w:tcBorders>
              <w:top w:val="nil"/>
              <w:left w:val="nil"/>
              <w:bottom w:val="single" w:sz="4" w:space="0" w:color="auto"/>
              <w:right w:val="single" w:sz="4" w:space="0" w:color="auto"/>
            </w:tcBorders>
            <w:shd w:val="clear" w:color="auto" w:fill="EFF5FB" w:themeFill="background2"/>
            <w:vAlign w:val="center"/>
          </w:tcPr>
          <w:p w14:paraId="65FB6745" w14:textId="77777777" w:rsidR="00F95609" w:rsidRPr="00F95609" w:rsidRDefault="00F95609" w:rsidP="00F95609">
            <w:pPr>
              <w:pStyle w:val="TableText"/>
              <w:rPr>
                <w:szCs w:val="16"/>
              </w:rPr>
            </w:pPr>
            <w:r w:rsidRPr="00F95609">
              <w:rPr>
                <w:rFonts w:ascii="Verdana" w:hAnsi="Verdana" w:cs="Tahoma"/>
                <w:szCs w:val="16"/>
              </w:rPr>
              <w:t xml:space="preserve"> - </w:t>
            </w:r>
          </w:p>
        </w:tc>
      </w:tr>
      <w:tr w:rsidR="00F95609" w:rsidRPr="00442868" w14:paraId="4326AC6A" w14:textId="77777777" w:rsidTr="00060B56">
        <w:trPr>
          <w:cantSplit/>
        </w:trPr>
        <w:tc>
          <w:tcPr>
            <w:tcW w:w="714" w:type="pct"/>
          </w:tcPr>
          <w:p w14:paraId="6D302229" w14:textId="77777777" w:rsidR="00F95609" w:rsidRPr="00442868" w:rsidRDefault="00F95609" w:rsidP="00F95609">
            <w:pPr>
              <w:pStyle w:val="TableText"/>
              <w:rPr>
                <w:szCs w:val="16"/>
              </w:rPr>
            </w:pPr>
            <w:r w:rsidRPr="00442868">
              <w:rPr>
                <w:szCs w:val="16"/>
              </w:rPr>
              <w:t>Diversions</w:t>
            </w:r>
          </w:p>
        </w:tc>
        <w:tc>
          <w:tcPr>
            <w:tcW w:w="714" w:type="pct"/>
            <w:tcBorders>
              <w:top w:val="nil"/>
              <w:left w:val="single" w:sz="4" w:space="0" w:color="auto"/>
              <w:bottom w:val="single" w:sz="4" w:space="0" w:color="auto"/>
              <w:right w:val="single" w:sz="4" w:space="0" w:color="auto"/>
            </w:tcBorders>
            <w:vAlign w:val="center"/>
          </w:tcPr>
          <w:p w14:paraId="6A9B82B1" w14:textId="77777777" w:rsidR="00F95609" w:rsidRPr="00F95609" w:rsidRDefault="00F95609" w:rsidP="00F95609">
            <w:pPr>
              <w:pStyle w:val="TableText"/>
              <w:rPr>
                <w:szCs w:val="16"/>
              </w:rPr>
            </w:pPr>
            <w:r w:rsidRPr="00F95609">
              <w:rPr>
                <w:rFonts w:ascii="Verdana" w:hAnsi="Verdana" w:cs="Tahoma"/>
                <w:szCs w:val="16"/>
              </w:rPr>
              <w:t xml:space="preserve"> - </w:t>
            </w:r>
          </w:p>
        </w:tc>
        <w:tc>
          <w:tcPr>
            <w:tcW w:w="714" w:type="pct"/>
            <w:tcBorders>
              <w:top w:val="nil"/>
              <w:left w:val="nil"/>
              <w:bottom w:val="single" w:sz="4" w:space="0" w:color="auto"/>
              <w:right w:val="single" w:sz="4" w:space="0" w:color="auto"/>
            </w:tcBorders>
            <w:vAlign w:val="center"/>
          </w:tcPr>
          <w:p w14:paraId="6AF1AD9E" w14:textId="77777777" w:rsidR="00F95609" w:rsidRPr="00F95609" w:rsidRDefault="00F95609" w:rsidP="00F95609">
            <w:pPr>
              <w:pStyle w:val="TableText"/>
              <w:rPr>
                <w:szCs w:val="16"/>
              </w:rPr>
            </w:pPr>
            <w:r w:rsidRPr="00F95609">
              <w:rPr>
                <w:rFonts w:ascii="Verdana" w:hAnsi="Verdana" w:cs="Tahoma"/>
                <w:szCs w:val="16"/>
              </w:rPr>
              <w:t xml:space="preserve"> - </w:t>
            </w:r>
          </w:p>
        </w:tc>
        <w:tc>
          <w:tcPr>
            <w:tcW w:w="715" w:type="pct"/>
            <w:tcBorders>
              <w:top w:val="nil"/>
              <w:left w:val="nil"/>
              <w:bottom w:val="single" w:sz="4" w:space="0" w:color="auto"/>
              <w:right w:val="single" w:sz="4" w:space="0" w:color="auto"/>
            </w:tcBorders>
            <w:vAlign w:val="center"/>
          </w:tcPr>
          <w:p w14:paraId="549E8720" w14:textId="77777777" w:rsidR="00F95609" w:rsidRPr="00F95609" w:rsidRDefault="00F95609" w:rsidP="00F95609">
            <w:pPr>
              <w:pStyle w:val="TableText"/>
              <w:rPr>
                <w:szCs w:val="16"/>
              </w:rPr>
            </w:pPr>
            <w:r w:rsidRPr="00F95609">
              <w:rPr>
                <w:rFonts w:ascii="Verdana" w:hAnsi="Verdana" w:cs="Tahoma"/>
                <w:szCs w:val="16"/>
              </w:rPr>
              <w:t xml:space="preserve"> - </w:t>
            </w:r>
          </w:p>
        </w:tc>
        <w:tc>
          <w:tcPr>
            <w:tcW w:w="715" w:type="pct"/>
            <w:tcBorders>
              <w:top w:val="nil"/>
              <w:left w:val="nil"/>
              <w:bottom w:val="single" w:sz="4" w:space="0" w:color="auto"/>
              <w:right w:val="single" w:sz="4" w:space="0" w:color="auto"/>
            </w:tcBorders>
            <w:vAlign w:val="center"/>
          </w:tcPr>
          <w:p w14:paraId="60B2B2DC" w14:textId="77777777" w:rsidR="00F95609" w:rsidRPr="00F95609" w:rsidRDefault="00F95609" w:rsidP="00F95609">
            <w:pPr>
              <w:pStyle w:val="TableText"/>
              <w:rPr>
                <w:szCs w:val="16"/>
              </w:rPr>
            </w:pPr>
            <w:r w:rsidRPr="00F95609">
              <w:rPr>
                <w:rFonts w:ascii="Verdana" w:hAnsi="Verdana" w:cs="Tahoma"/>
                <w:szCs w:val="16"/>
              </w:rPr>
              <w:t xml:space="preserve"> - </w:t>
            </w:r>
          </w:p>
        </w:tc>
        <w:tc>
          <w:tcPr>
            <w:tcW w:w="715" w:type="pct"/>
            <w:tcBorders>
              <w:top w:val="nil"/>
              <w:left w:val="nil"/>
              <w:bottom w:val="single" w:sz="4" w:space="0" w:color="auto"/>
              <w:right w:val="single" w:sz="4" w:space="0" w:color="auto"/>
            </w:tcBorders>
            <w:vAlign w:val="center"/>
          </w:tcPr>
          <w:p w14:paraId="428492C4" w14:textId="77777777" w:rsidR="00F95609" w:rsidRPr="00F95609" w:rsidRDefault="00F95609" w:rsidP="00F95609">
            <w:pPr>
              <w:pStyle w:val="TableText"/>
              <w:rPr>
                <w:szCs w:val="16"/>
              </w:rPr>
            </w:pPr>
            <w:r w:rsidRPr="00F95609">
              <w:rPr>
                <w:rFonts w:ascii="Verdana" w:hAnsi="Verdana" w:cs="Tahoma"/>
                <w:szCs w:val="16"/>
              </w:rPr>
              <w:t xml:space="preserve"> - </w:t>
            </w:r>
          </w:p>
        </w:tc>
        <w:tc>
          <w:tcPr>
            <w:tcW w:w="713" w:type="pct"/>
            <w:tcBorders>
              <w:top w:val="nil"/>
              <w:left w:val="nil"/>
              <w:bottom w:val="single" w:sz="4" w:space="0" w:color="auto"/>
              <w:right w:val="single" w:sz="4" w:space="0" w:color="auto"/>
            </w:tcBorders>
            <w:vAlign w:val="center"/>
          </w:tcPr>
          <w:p w14:paraId="72FF31CE" w14:textId="77777777" w:rsidR="00F95609" w:rsidRPr="00F95609" w:rsidRDefault="00F95609" w:rsidP="00F95609">
            <w:pPr>
              <w:pStyle w:val="TableText"/>
              <w:rPr>
                <w:szCs w:val="16"/>
              </w:rPr>
            </w:pPr>
            <w:r w:rsidRPr="00F95609">
              <w:rPr>
                <w:rFonts w:ascii="Verdana" w:hAnsi="Verdana" w:cs="Tahoma"/>
                <w:szCs w:val="16"/>
              </w:rPr>
              <w:t xml:space="preserve"> - </w:t>
            </w:r>
          </w:p>
        </w:tc>
      </w:tr>
      <w:tr w:rsidR="001A6F4C" w:rsidRPr="00442868" w14:paraId="49CFE3B4" w14:textId="77777777" w:rsidTr="00060B56">
        <w:trPr>
          <w:cnfStyle w:val="000000010000" w:firstRow="0" w:lastRow="0" w:firstColumn="0" w:lastColumn="0" w:oddVBand="0" w:evenVBand="0" w:oddHBand="0" w:evenHBand="1" w:firstRowFirstColumn="0" w:firstRowLastColumn="0" w:lastRowFirstColumn="0" w:lastRowLastColumn="0"/>
          <w:cantSplit/>
        </w:trPr>
        <w:tc>
          <w:tcPr>
            <w:tcW w:w="714" w:type="pct"/>
          </w:tcPr>
          <w:p w14:paraId="3DB12CA9" w14:textId="77777777" w:rsidR="00F95609" w:rsidRPr="00442868" w:rsidRDefault="00F95609" w:rsidP="00F95609">
            <w:pPr>
              <w:pStyle w:val="TableText"/>
              <w:rPr>
                <w:szCs w:val="16"/>
              </w:rPr>
            </w:pPr>
            <w:r w:rsidRPr="00442868">
              <w:rPr>
                <w:szCs w:val="16"/>
              </w:rPr>
              <w:t>Total</w:t>
            </w:r>
          </w:p>
        </w:tc>
        <w:tc>
          <w:tcPr>
            <w:tcW w:w="714" w:type="pct"/>
            <w:tcBorders>
              <w:top w:val="nil"/>
              <w:left w:val="single" w:sz="4" w:space="0" w:color="auto"/>
              <w:bottom w:val="single" w:sz="4" w:space="0" w:color="auto"/>
              <w:right w:val="single" w:sz="4" w:space="0" w:color="auto"/>
            </w:tcBorders>
            <w:shd w:val="clear" w:color="auto" w:fill="EFF5FB" w:themeFill="background2"/>
            <w:vAlign w:val="center"/>
          </w:tcPr>
          <w:p w14:paraId="510B142E" w14:textId="77777777" w:rsidR="00F95609" w:rsidRPr="00F95609" w:rsidRDefault="00F95609" w:rsidP="00F95609">
            <w:pPr>
              <w:pStyle w:val="TableText"/>
              <w:rPr>
                <w:b/>
                <w:bCs/>
                <w:szCs w:val="16"/>
              </w:rPr>
            </w:pPr>
            <w:r w:rsidRPr="00F95609">
              <w:rPr>
                <w:rFonts w:ascii="Verdana" w:hAnsi="Verdana" w:cs="Tahoma"/>
                <w:b/>
                <w:bCs/>
                <w:szCs w:val="16"/>
              </w:rPr>
              <w:t xml:space="preserve"> 2.5 </w:t>
            </w:r>
          </w:p>
        </w:tc>
        <w:tc>
          <w:tcPr>
            <w:tcW w:w="714" w:type="pct"/>
            <w:tcBorders>
              <w:top w:val="nil"/>
              <w:left w:val="nil"/>
              <w:bottom w:val="single" w:sz="4" w:space="0" w:color="auto"/>
              <w:right w:val="single" w:sz="4" w:space="0" w:color="auto"/>
            </w:tcBorders>
            <w:shd w:val="clear" w:color="auto" w:fill="EFF5FB" w:themeFill="background2"/>
            <w:vAlign w:val="center"/>
          </w:tcPr>
          <w:p w14:paraId="3111F8CF" w14:textId="77777777" w:rsidR="00F95609" w:rsidRPr="00F95609" w:rsidRDefault="00F95609" w:rsidP="00F95609">
            <w:pPr>
              <w:pStyle w:val="TableText"/>
              <w:rPr>
                <w:b/>
                <w:bCs/>
                <w:szCs w:val="16"/>
              </w:rPr>
            </w:pPr>
            <w:r w:rsidRPr="00F95609">
              <w:rPr>
                <w:rFonts w:ascii="Verdana" w:hAnsi="Verdana" w:cs="Tahoma"/>
                <w:b/>
                <w:bCs/>
                <w:szCs w:val="16"/>
              </w:rPr>
              <w:t xml:space="preserve"> 7.6 </w:t>
            </w:r>
          </w:p>
        </w:tc>
        <w:tc>
          <w:tcPr>
            <w:tcW w:w="715" w:type="pct"/>
            <w:tcBorders>
              <w:top w:val="nil"/>
              <w:left w:val="nil"/>
              <w:bottom w:val="single" w:sz="4" w:space="0" w:color="auto"/>
              <w:right w:val="single" w:sz="4" w:space="0" w:color="auto"/>
            </w:tcBorders>
            <w:shd w:val="clear" w:color="auto" w:fill="EFF5FB" w:themeFill="background2"/>
            <w:vAlign w:val="center"/>
          </w:tcPr>
          <w:p w14:paraId="1982FDB6" w14:textId="77777777" w:rsidR="00F95609" w:rsidRPr="00F95609" w:rsidRDefault="00F95609" w:rsidP="00F95609">
            <w:pPr>
              <w:pStyle w:val="TableText"/>
              <w:rPr>
                <w:b/>
                <w:bCs/>
                <w:szCs w:val="16"/>
              </w:rPr>
            </w:pPr>
            <w:r w:rsidRPr="00F95609">
              <w:rPr>
                <w:rFonts w:ascii="Verdana" w:hAnsi="Verdana" w:cs="Tahoma"/>
                <w:b/>
                <w:bCs/>
                <w:szCs w:val="16"/>
              </w:rPr>
              <w:t xml:space="preserve"> 6.2 </w:t>
            </w:r>
          </w:p>
        </w:tc>
        <w:tc>
          <w:tcPr>
            <w:tcW w:w="715" w:type="pct"/>
            <w:tcBorders>
              <w:top w:val="nil"/>
              <w:left w:val="nil"/>
              <w:bottom w:val="single" w:sz="4" w:space="0" w:color="auto"/>
              <w:right w:val="single" w:sz="4" w:space="0" w:color="auto"/>
            </w:tcBorders>
            <w:shd w:val="clear" w:color="auto" w:fill="EFF5FB" w:themeFill="background2"/>
            <w:vAlign w:val="center"/>
          </w:tcPr>
          <w:p w14:paraId="514BE0CB" w14:textId="77777777" w:rsidR="00F95609" w:rsidRPr="00F95609" w:rsidRDefault="00F95609" w:rsidP="00F95609">
            <w:pPr>
              <w:pStyle w:val="TableText"/>
              <w:rPr>
                <w:b/>
                <w:bCs/>
                <w:szCs w:val="16"/>
              </w:rPr>
            </w:pPr>
            <w:r w:rsidRPr="00F95609">
              <w:rPr>
                <w:rFonts w:ascii="Verdana" w:hAnsi="Verdana" w:cs="Tahoma"/>
                <w:b/>
                <w:bCs/>
                <w:szCs w:val="16"/>
              </w:rPr>
              <w:t xml:space="preserve"> 5.6 </w:t>
            </w:r>
          </w:p>
        </w:tc>
        <w:tc>
          <w:tcPr>
            <w:tcW w:w="715" w:type="pct"/>
            <w:tcBorders>
              <w:top w:val="nil"/>
              <w:left w:val="nil"/>
              <w:bottom w:val="single" w:sz="4" w:space="0" w:color="auto"/>
              <w:right w:val="single" w:sz="4" w:space="0" w:color="auto"/>
            </w:tcBorders>
            <w:shd w:val="clear" w:color="auto" w:fill="EFF5FB" w:themeFill="background2"/>
            <w:vAlign w:val="center"/>
          </w:tcPr>
          <w:p w14:paraId="66FBB5FE" w14:textId="77777777" w:rsidR="00F95609" w:rsidRPr="00F95609" w:rsidRDefault="00F95609" w:rsidP="00F95609">
            <w:pPr>
              <w:pStyle w:val="TableText"/>
              <w:rPr>
                <w:b/>
                <w:bCs/>
                <w:szCs w:val="16"/>
              </w:rPr>
            </w:pPr>
            <w:r w:rsidRPr="00F95609">
              <w:rPr>
                <w:rFonts w:ascii="Verdana" w:hAnsi="Verdana" w:cs="Tahoma"/>
                <w:b/>
                <w:bCs/>
                <w:szCs w:val="16"/>
              </w:rPr>
              <w:t xml:space="preserve"> 5.6 </w:t>
            </w:r>
          </w:p>
        </w:tc>
        <w:tc>
          <w:tcPr>
            <w:tcW w:w="713" w:type="pct"/>
            <w:tcBorders>
              <w:top w:val="nil"/>
              <w:left w:val="nil"/>
              <w:bottom w:val="single" w:sz="4" w:space="0" w:color="auto"/>
              <w:right w:val="single" w:sz="4" w:space="0" w:color="auto"/>
            </w:tcBorders>
            <w:shd w:val="clear" w:color="auto" w:fill="EFF5FB" w:themeFill="background2"/>
            <w:vAlign w:val="center"/>
          </w:tcPr>
          <w:p w14:paraId="6181C0D7" w14:textId="77777777" w:rsidR="00F95609" w:rsidRPr="00F95609" w:rsidRDefault="00F95609" w:rsidP="00F95609">
            <w:pPr>
              <w:pStyle w:val="TableText"/>
              <w:rPr>
                <w:b/>
                <w:bCs/>
                <w:szCs w:val="16"/>
              </w:rPr>
            </w:pPr>
            <w:r w:rsidRPr="00F95609">
              <w:rPr>
                <w:rFonts w:ascii="Verdana" w:hAnsi="Verdana" w:cs="Tahoma"/>
                <w:b/>
                <w:bCs/>
                <w:szCs w:val="16"/>
              </w:rPr>
              <w:t xml:space="preserve"> 4.2 </w:t>
            </w:r>
          </w:p>
        </w:tc>
      </w:tr>
    </w:tbl>
    <w:p w14:paraId="475F43F0" w14:textId="77777777" w:rsidR="00046BD5" w:rsidRPr="00DE108C" w:rsidRDefault="00046BD5" w:rsidP="00ED094E">
      <w:bookmarkStart w:id="858" w:name="_Toc190876172"/>
      <w:bookmarkStart w:id="859" w:name="_Toc196745272"/>
    </w:p>
    <w:p w14:paraId="2CBE15F8" w14:textId="36B7C206" w:rsidR="00046BD5" w:rsidRPr="00DE108C" w:rsidRDefault="00046BD5">
      <w:pPr>
        <w:pStyle w:val="Heading2"/>
      </w:pPr>
      <w:bookmarkStart w:id="860" w:name="_Toc207892921"/>
      <w:bookmarkStart w:id="861" w:name="_Toc207853414"/>
      <w:r w:rsidRPr="00DE108C">
        <w:t>8.6 Forecast rolled forward RAB</w:t>
      </w:r>
      <w:bookmarkEnd w:id="858"/>
      <w:bookmarkEnd w:id="859"/>
      <w:bookmarkEnd w:id="860"/>
      <w:bookmarkEnd w:id="861"/>
    </w:p>
    <w:p w14:paraId="135DA563" w14:textId="77777777" w:rsidR="00046BD5" w:rsidRPr="00DE108C" w:rsidRDefault="00046BD5" w:rsidP="00ED094E">
      <w:r w:rsidRPr="00DE108C">
        <w:t>The forecast rolled forward RAB for the 2026-31 regulatory period is shown in Table 8.7 along with the following regulatory period forecast. This reflects:</w:t>
      </w:r>
    </w:p>
    <w:p w14:paraId="0A9E75B9" w14:textId="2EBD60E6" w:rsidR="00046BD5" w:rsidRPr="00DE108C" w:rsidRDefault="00046BD5" w:rsidP="00CA5A2A">
      <w:pPr>
        <w:pStyle w:val="ListBullet"/>
      </w:pPr>
      <w:r w:rsidRPr="00DE108C">
        <w:t xml:space="preserve">the capital program as shown in Chapter 6 </w:t>
      </w:r>
      <w:r w:rsidR="528A5C44">
        <w:t>(</w:t>
      </w:r>
      <w:r w:rsidRPr="00DE108C">
        <w:t>Capital Expenditure</w:t>
      </w:r>
      <w:r w:rsidR="40BFD6E6">
        <w:t>)</w:t>
      </w:r>
    </w:p>
    <w:p w14:paraId="7C16FADE" w14:textId="456F0BB2" w:rsidR="00046BD5" w:rsidRPr="00DE108C" w:rsidRDefault="00046BD5" w:rsidP="00CA5A2A">
      <w:pPr>
        <w:pStyle w:val="ListBullet"/>
      </w:pPr>
      <w:r w:rsidRPr="00DE108C">
        <w:lastRenderedPageBreak/>
        <w:t>VDP capitalisation as per the principal repayment, this was described in Section 6.3</w:t>
      </w:r>
      <w:r w:rsidR="459AC6AC">
        <w:t xml:space="preserve"> (Capitalisation of desalination security payments and selected o</w:t>
      </w:r>
      <w:r w:rsidR="003027B4">
        <w:t>perating expenditure</w:t>
      </w:r>
      <w:r w:rsidR="459AC6AC">
        <w:t>)</w:t>
      </w:r>
    </w:p>
    <w:p w14:paraId="18A30D7D" w14:textId="1C7252BC" w:rsidR="00046BD5" w:rsidRPr="00DE108C" w:rsidRDefault="00046BD5" w:rsidP="00CA5A2A">
      <w:pPr>
        <w:pStyle w:val="ListBullet"/>
      </w:pPr>
      <w:r w:rsidRPr="00DE108C">
        <w:t xml:space="preserve">forecast customer contributions based on best available information on developable hectares and the average price of </w:t>
      </w:r>
      <w:r w:rsidR="5C755C74">
        <w:t>DSS</w:t>
      </w:r>
      <w:r w:rsidRPr="00DE108C">
        <w:t xml:space="preserve"> as per Section </w:t>
      </w:r>
      <w:r w:rsidR="00BA324D">
        <w:t>8.2</w:t>
      </w:r>
      <w:r w:rsidR="360E773F">
        <w:t xml:space="preserve"> (Developer contributions)</w:t>
      </w:r>
      <w:r>
        <w:t>.</w:t>
      </w:r>
      <w:r w:rsidRPr="00DE108C">
        <w:t xml:space="preserve"> This applies to waterways and drainage only </w:t>
      </w:r>
    </w:p>
    <w:p w14:paraId="42492B2F" w14:textId="76A308FE" w:rsidR="00046BD5" w:rsidRPr="00DE108C" w:rsidRDefault="00046BD5" w:rsidP="00CA5A2A">
      <w:pPr>
        <w:pStyle w:val="ListBullet"/>
      </w:pPr>
      <w:r w:rsidRPr="00DE108C">
        <w:t xml:space="preserve">forecast government contributions as per Section 8.3 </w:t>
      </w:r>
      <w:r w:rsidR="77B2C8D7">
        <w:t>(</w:t>
      </w:r>
      <w:r w:rsidRPr="00DE108C">
        <w:t>Government contributions</w:t>
      </w:r>
      <w:r w:rsidR="5004C6F6">
        <w:t>)</w:t>
      </w:r>
      <w:r w:rsidRPr="00DE108C">
        <w:t xml:space="preserve"> </w:t>
      </w:r>
    </w:p>
    <w:p w14:paraId="0C0A7B73" w14:textId="42BA0397" w:rsidR="00046BD5" w:rsidRPr="00DE108C" w:rsidRDefault="00046BD5" w:rsidP="00CA5A2A">
      <w:pPr>
        <w:pStyle w:val="ListBullet"/>
      </w:pPr>
      <w:r w:rsidRPr="00DE108C">
        <w:t xml:space="preserve">less a forecast of proceeds from disposals as per </w:t>
      </w:r>
      <w:r w:rsidR="2F6C2618" w:rsidRPr="00DE108C">
        <w:t>S</w:t>
      </w:r>
      <w:r w:rsidRPr="00DE108C">
        <w:t>ection 8.5</w:t>
      </w:r>
      <w:r w:rsidR="75220424">
        <w:t xml:space="preserve"> (Forecast proceeds from disposals)</w:t>
      </w:r>
    </w:p>
    <w:p w14:paraId="092EA84C" w14:textId="24A1CB7C" w:rsidR="00046BD5" w:rsidRPr="00DE108C" w:rsidRDefault="00046BD5" w:rsidP="00CA5A2A">
      <w:pPr>
        <w:pStyle w:val="ListBullet"/>
      </w:pPr>
      <w:r w:rsidRPr="00DE108C">
        <w:t xml:space="preserve">regulatory depreciation </w:t>
      </w:r>
      <w:r w:rsidR="00954C54">
        <w:t>of</w:t>
      </w:r>
      <w:r w:rsidRPr="00DE108C">
        <w:t xml:space="preserve"> existing and new assets as per Section 8.4</w:t>
      </w:r>
      <w:r w:rsidR="00E317D9">
        <w:t xml:space="preserve"> </w:t>
      </w:r>
      <w:r w:rsidR="7D1E6D5F">
        <w:t>(</w:t>
      </w:r>
      <w:r w:rsidR="00954C54">
        <w:t>Regulatory</w:t>
      </w:r>
      <w:r w:rsidR="00E317D9">
        <w:t xml:space="preserve"> depreciation</w:t>
      </w:r>
      <w:r w:rsidR="7D1E6D5F">
        <w:t>)</w:t>
      </w:r>
      <w:r>
        <w:t>.</w:t>
      </w:r>
      <w:r w:rsidRPr="00DE108C">
        <w:t xml:space="preserve"> </w:t>
      </w:r>
    </w:p>
    <w:p w14:paraId="5DFB23F4" w14:textId="77777777" w:rsidR="00046BD5" w:rsidRPr="00DE108C" w:rsidRDefault="00046BD5">
      <w:pPr>
        <w:spacing w:before="0" w:after="0"/>
        <w:sectPr w:rsidR="00046BD5" w:rsidRPr="00DE108C" w:rsidSect="00046BD5">
          <w:headerReference w:type="default" r:id="rId104"/>
          <w:footerReference w:type="default" r:id="rId105"/>
          <w:pgSz w:w="11906" w:h="16838" w:code="9"/>
          <w:pgMar w:top="1134" w:right="1134" w:bottom="1134" w:left="1134" w:header="567" w:footer="680" w:gutter="0"/>
          <w:cols w:space="708"/>
          <w:docGrid w:linePitch="360"/>
        </w:sectPr>
      </w:pPr>
    </w:p>
    <w:p w14:paraId="069F3843" w14:textId="679CEDAF" w:rsidR="00046BD5" w:rsidRPr="009C23D4" w:rsidRDefault="00046BD5" w:rsidP="00ED094E">
      <w:pPr>
        <w:pStyle w:val="Caption"/>
      </w:pPr>
      <w:bookmarkStart w:id="862" w:name="_Toc207893076"/>
      <w:bookmarkStart w:id="863" w:name="_Toc208490600"/>
      <w:bookmarkStart w:id="864" w:name="_Toc208490938"/>
      <w:bookmarkStart w:id="865" w:name="_Toc208911096"/>
      <w:bookmarkStart w:id="866" w:name="_Toc210051402"/>
      <w:r w:rsidRPr="001164EE">
        <w:lastRenderedPageBreak/>
        <w:t xml:space="preserve">Table 8.7: Forecast </w:t>
      </w:r>
      <w:r w:rsidR="4293C27B" w:rsidRPr="001164EE">
        <w:t>RAB</w:t>
      </w:r>
      <w:r w:rsidRPr="001164EE">
        <w:t xml:space="preserve"> over the next 10 years($millions, real 2025-26)</w:t>
      </w:r>
      <w:bookmarkEnd w:id="862"/>
      <w:bookmarkEnd w:id="863"/>
      <w:bookmarkEnd w:id="864"/>
      <w:bookmarkEnd w:id="865"/>
      <w:bookmarkEnd w:id="866"/>
    </w:p>
    <w:tbl>
      <w:tblPr>
        <w:tblStyle w:val="MWTableGrid"/>
        <w:tblW w:w="5000" w:type="pct"/>
        <w:tblLayout w:type="fixed"/>
        <w:tblLook w:val="0420" w:firstRow="1" w:lastRow="0" w:firstColumn="0" w:lastColumn="0" w:noHBand="0" w:noVBand="1"/>
      </w:tblPr>
      <w:tblGrid>
        <w:gridCol w:w="1838"/>
        <w:gridCol w:w="1156"/>
        <w:gridCol w:w="1156"/>
        <w:gridCol w:w="1156"/>
        <w:gridCol w:w="1156"/>
        <w:gridCol w:w="1156"/>
        <w:gridCol w:w="1162"/>
        <w:gridCol w:w="1156"/>
        <w:gridCol w:w="1156"/>
        <w:gridCol w:w="1156"/>
        <w:gridCol w:w="1156"/>
        <w:gridCol w:w="1156"/>
      </w:tblGrid>
      <w:tr w:rsidR="0069661E" w:rsidRPr="006736AE" w14:paraId="513262C6" w14:textId="77777777" w:rsidTr="00B46F82">
        <w:trPr>
          <w:cnfStyle w:val="100000000000" w:firstRow="1" w:lastRow="0" w:firstColumn="0" w:lastColumn="0" w:oddVBand="0" w:evenVBand="0" w:oddHBand="0" w:evenHBand="0" w:firstRowFirstColumn="0" w:firstRowLastColumn="0" w:lastRowFirstColumn="0" w:lastRowLastColumn="0"/>
          <w:cantSplit/>
        </w:trPr>
        <w:tc>
          <w:tcPr>
            <w:tcW w:w="631" w:type="pct"/>
            <w:vAlign w:val="center"/>
          </w:tcPr>
          <w:p w14:paraId="253E160B" w14:textId="77777777" w:rsidR="00046BD5" w:rsidRPr="006736AE" w:rsidRDefault="00046BD5" w:rsidP="00ED094E">
            <w:pPr>
              <w:pStyle w:val="TableHeading"/>
              <w:rPr>
                <w:rFonts w:asciiTheme="majorHAnsi" w:hAnsiTheme="majorHAnsi"/>
                <w:szCs w:val="16"/>
              </w:rPr>
            </w:pPr>
            <w:bookmarkStart w:id="867" w:name="_Toc196745273"/>
            <w:bookmarkStart w:id="868" w:name="_Toc190876173"/>
            <w:r w:rsidRPr="006736AE">
              <w:rPr>
                <w:rFonts w:asciiTheme="majorHAnsi" w:hAnsiTheme="majorHAnsi"/>
                <w:szCs w:val="16"/>
              </w:rPr>
              <w:t> </w:t>
            </w:r>
          </w:p>
        </w:tc>
        <w:tc>
          <w:tcPr>
            <w:tcW w:w="397" w:type="pct"/>
            <w:vAlign w:val="center"/>
          </w:tcPr>
          <w:p w14:paraId="59E06435" w14:textId="77777777" w:rsidR="00046BD5" w:rsidRPr="006736AE" w:rsidRDefault="00046BD5" w:rsidP="00ED094E">
            <w:pPr>
              <w:pStyle w:val="TableHeading"/>
              <w:jc w:val="center"/>
              <w:rPr>
                <w:rFonts w:asciiTheme="majorHAnsi" w:hAnsiTheme="majorHAnsi"/>
                <w:szCs w:val="16"/>
              </w:rPr>
            </w:pPr>
            <w:r w:rsidRPr="006736AE">
              <w:rPr>
                <w:rFonts w:asciiTheme="majorHAnsi" w:hAnsiTheme="majorHAnsi"/>
                <w:szCs w:val="16"/>
              </w:rPr>
              <w:t>2025-26</w:t>
            </w:r>
          </w:p>
        </w:tc>
        <w:tc>
          <w:tcPr>
            <w:tcW w:w="397" w:type="pct"/>
            <w:vAlign w:val="center"/>
          </w:tcPr>
          <w:p w14:paraId="107138A6" w14:textId="77777777" w:rsidR="00046BD5" w:rsidRPr="006736AE" w:rsidRDefault="00046BD5" w:rsidP="00ED094E">
            <w:pPr>
              <w:pStyle w:val="TableHeading"/>
              <w:jc w:val="center"/>
              <w:rPr>
                <w:rFonts w:asciiTheme="majorHAnsi" w:hAnsiTheme="majorHAnsi"/>
                <w:szCs w:val="16"/>
              </w:rPr>
            </w:pPr>
            <w:r w:rsidRPr="006736AE">
              <w:rPr>
                <w:rFonts w:asciiTheme="majorHAnsi" w:hAnsiTheme="majorHAnsi"/>
                <w:szCs w:val="16"/>
              </w:rPr>
              <w:t>2026-27</w:t>
            </w:r>
          </w:p>
        </w:tc>
        <w:tc>
          <w:tcPr>
            <w:tcW w:w="397" w:type="pct"/>
            <w:vAlign w:val="center"/>
          </w:tcPr>
          <w:p w14:paraId="6296E14A" w14:textId="77777777" w:rsidR="00046BD5" w:rsidRPr="006736AE" w:rsidRDefault="00046BD5" w:rsidP="00ED094E">
            <w:pPr>
              <w:pStyle w:val="TableHeading"/>
              <w:jc w:val="center"/>
              <w:rPr>
                <w:rFonts w:asciiTheme="majorHAnsi" w:hAnsiTheme="majorHAnsi"/>
                <w:szCs w:val="16"/>
              </w:rPr>
            </w:pPr>
            <w:r w:rsidRPr="006736AE">
              <w:rPr>
                <w:rFonts w:asciiTheme="majorHAnsi" w:hAnsiTheme="majorHAnsi"/>
                <w:szCs w:val="16"/>
              </w:rPr>
              <w:t>2027-28</w:t>
            </w:r>
          </w:p>
        </w:tc>
        <w:tc>
          <w:tcPr>
            <w:tcW w:w="397" w:type="pct"/>
            <w:vAlign w:val="center"/>
          </w:tcPr>
          <w:p w14:paraId="514DBB6F" w14:textId="77777777" w:rsidR="00046BD5" w:rsidRPr="006736AE" w:rsidRDefault="00046BD5" w:rsidP="00ED094E">
            <w:pPr>
              <w:pStyle w:val="TableHeading"/>
              <w:jc w:val="center"/>
              <w:rPr>
                <w:rFonts w:asciiTheme="majorHAnsi" w:hAnsiTheme="majorHAnsi"/>
                <w:szCs w:val="16"/>
              </w:rPr>
            </w:pPr>
            <w:r w:rsidRPr="006736AE">
              <w:rPr>
                <w:rFonts w:asciiTheme="majorHAnsi" w:hAnsiTheme="majorHAnsi"/>
                <w:szCs w:val="16"/>
              </w:rPr>
              <w:t>2028-29</w:t>
            </w:r>
          </w:p>
        </w:tc>
        <w:tc>
          <w:tcPr>
            <w:tcW w:w="397" w:type="pct"/>
            <w:vAlign w:val="center"/>
          </w:tcPr>
          <w:p w14:paraId="2E1C6C37" w14:textId="77777777" w:rsidR="00046BD5" w:rsidRPr="006736AE" w:rsidRDefault="00046BD5" w:rsidP="00ED094E">
            <w:pPr>
              <w:pStyle w:val="TableHeading"/>
              <w:jc w:val="center"/>
              <w:rPr>
                <w:rFonts w:asciiTheme="majorHAnsi" w:hAnsiTheme="majorHAnsi"/>
                <w:szCs w:val="16"/>
              </w:rPr>
            </w:pPr>
            <w:r w:rsidRPr="006736AE">
              <w:rPr>
                <w:rFonts w:asciiTheme="majorHAnsi" w:hAnsiTheme="majorHAnsi"/>
                <w:szCs w:val="16"/>
              </w:rPr>
              <w:t>2029-30</w:t>
            </w:r>
          </w:p>
        </w:tc>
        <w:tc>
          <w:tcPr>
            <w:tcW w:w="399" w:type="pct"/>
            <w:vAlign w:val="center"/>
          </w:tcPr>
          <w:p w14:paraId="13703A1F" w14:textId="77777777" w:rsidR="00046BD5" w:rsidRPr="006736AE" w:rsidRDefault="00046BD5" w:rsidP="00ED094E">
            <w:pPr>
              <w:pStyle w:val="TableHeading"/>
              <w:jc w:val="center"/>
              <w:rPr>
                <w:rFonts w:asciiTheme="majorHAnsi" w:hAnsiTheme="majorHAnsi"/>
                <w:szCs w:val="16"/>
              </w:rPr>
            </w:pPr>
            <w:r w:rsidRPr="006736AE">
              <w:rPr>
                <w:rFonts w:asciiTheme="majorHAnsi" w:hAnsiTheme="majorHAnsi"/>
                <w:szCs w:val="16"/>
              </w:rPr>
              <w:t>2030-31</w:t>
            </w:r>
          </w:p>
        </w:tc>
        <w:tc>
          <w:tcPr>
            <w:tcW w:w="397" w:type="pct"/>
          </w:tcPr>
          <w:p w14:paraId="53727D52" w14:textId="77777777" w:rsidR="00046BD5" w:rsidRPr="006736AE" w:rsidRDefault="00046BD5" w:rsidP="00ED094E">
            <w:pPr>
              <w:pStyle w:val="TableHeading"/>
              <w:jc w:val="center"/>
              <w:rPr>
                <w:rFonts w:asciiTheme="majorHAnsi" w:hAnsiTheme="majorHAnsi"/>
                <w:szCs w:val="16"/>
              </w:rPr>
            </w:pPr>
            <w:r w:rsidRPr="006736AE">
              <w:rPr>
                <w:rFonts w:asciiTheme="majorHAnsi" w:hAnsiTheme="majorHAnsi"/>
                <w:szCs w:val="16"/>
              </w:rPr>
              <w:t>2031-32</w:t>
            </w:r>
          </w:p>
        </w:tc>
        <w:tc>
          <w:tcPr>
            <w:tcW w:w="397" w:type="pct"/>
          </w:tcPr>
          <w:p w14:paraId="6A3E8642" w14:textId="77777777" w:rsidR="00046BD5" w:rsidRPr="006736AE" w:rsidRDefault="00046BD5" w:rsidP="00ED094E">
            <w:pPr>
              <w:pStyle w:val="TableHeading"/>
              <w:jc w:val="center"/>
              <w:rPr>
                <w:rFonts w:asciiTheme="majorHAnsi" w:hAnsiTheme="majorHAnsi"/>
                <w:szCs w:val="16"/>
              </w:rPr>
            </w:pPr>
            <w:r w:rsidRPr="006736AE">
              <w:rPr>
                <w:rFonts w:asciiTheme="majorHAnsi" w:hAnsiTheme="majorHAnsi"/>
                <w:szCs w:val="16"/>
              </w:rPr>
              <w:t>2032-33</w:t>
            </w:r>
          </w:p>
        </w:tc>
        <w:tc>
          <w:tcPr>
            <w:tcW w:w="397" w:type="pct"/>
          </w:tcPr>
          <w:p w14:paraId="7BB17926" w14:textId="77777777" w:rsidR="00046BD5" w:rsidRPr="006736AE" w:rsidRDefault="00046BD5" w:rsidP="00ED094E">
            <w:pPr>
              <w:pStyle w:val="TableHeading"/>
              <w:jc w:val="center"/>
              <w:rPr>
                <w:rFonts w:asciiTheme="majorHAnsi" w:hAnsiTheme="majorHAnsi"/>
                <w:szCs w:val="16"/>
              </w:rPr>
            </w:pPr>
            <w:r w:rsidRPr="006736AE">
              <w:rPr>
                <w:rFonts w:asciiTheme="majorHAnsi" w:hAnsiTheme="majorHAnsi"/>
                <w:szCs w:val="16"/>
              </w:rPr>
              <w:t>2033-34</w:t>
            </w:r>
          </w:p>
        </w:tc>
        <w:tc>
          <w:tcPr>
            <w:tcW w:w="397" w:type="pct"/>
          </w:tcPr>
          <w:p w14:paraId="6281AB93" w14:textId="77777777" w:rsidR="00046BD5" w:rsidRPr="006736AE" w:rsidRDefault="00046BD5" w:rsidP="00ED094E">
            <w:pPr>
              <w:pStyle w:val="TableHeading"/>
              <w:jc w:val="center"/>
              <w:rPr>
                <w:rFonts w:asciiTheme="majorHAnsi" w:hAnsiTheme="majorHAnsi"/>
                <w:szCs w:val="16"/>
              </w:rPr>
            </w:pPr>
            <w:r w:rsidRPr="006736AE">
              <w:rPr>
                <w:rFonts w:asciiTheme="majorHAnsi" w:hAnsiTheme="majorHAnsi"/>
                <w:szCs w:val="16"/>
              </w:rPr>
              <w:t>2034-35</w:t>
            </w:r>
          </w:p>
        </w:tc>
        <w:tc>
          <w:tcPr>
            <w:tcW w:w="397" w:type="pct"/>
          </w:tcPr>
          <w:p w14:paraId="23A02183" w14:textId="77777777" w:rsidR="00046BD5" w:rsidRPr="006736AE" w:rsidRDefault="00046BD5" w:rsidP="00ED094E">
            <w:pPr>
              <w:pStyle w:val="TableHeading"/>
              <w:jc w:val="center"/>
              <w:rPr>
                <w:rFonts w:asciiTheme="majorHAnsi" w:hAnsiTheme="majorHAnsi"/>
                <w:szCs w:val="16"/>
              </w:rPr>
            </w:pPr>
            <w:r w:rsidRPr="006736AE">
              <w:rPr>
                <w:rFonts w:asciiTheme="majorHAnsi" w:hAnsiTheme="majorHAnsi"/>
                <w:szCs w:val="16"/>
              </w:rPr>
              <w:t>2035-36</w:t>
            </w:r>
          </w:p>
        </w:tc>
      </w:tr>
      <w:tr w:rsidR="006736AE" w:rsidRPr="006736AE" w14:paraId="716D9A92" w14:textId="77777777" w:rsidTr="00ED094E">
        <w:trPr>
          <w:cantSplit/>
        </w:trPr>
        <w:tc>
          <w:tcPr>
            <w:tcW w:w="631" w:type="pct"/>
            <w:vAlign w:val="center"/>
          </w:tcPr>
          <w:p w14:paraId="15042B03" w14:textId="77777777" w:rsidR="006736AE" w:rsidRPr="006736AE" w:rsidRDefault="006736AE" w:rsidP="006736AE">
            <w:pPr>
              <w:pStyle w:val="TableText"/>
              <w:rPr>
                <w:rFonts w:asciiTheme="majorHAnsi" w:hAnsiTheme="majorHAnsi"/>
                <w:b/>
                <w:szCs w:val="16"/>
              </w:rPr>
            </w:pPr>
            <w:r w:rsidRPr="006736AE">
              <w:rPr>
                <w:rFonts w:asciiTheme="majorHAnsi" w:hAnsiTheme="majorHAnsi"/>
                <w:b/>
                <w:szCs w:val="16"/>
              </w:rPr>
              <w:t>Opening value </w:t>
            </w:r>
          </w:p>
        </w:tc>
        <w:tc>
          <w:tcPr>
            <w:tcW w:w="397" w:type="pct"/>
            <w:vAlign w:val="center"/>
          </w:tcPr>
          <w:p w14:paraId="5BF2C6D7" w14:textId="4B109C7C" w:rsidR="006736AE" w:rsidRPr="006736AE" w:rsidRDefault="006736AE" w:rsidP="006736AE">
            <w:pPr>
              <w:pStyle w:val="TableText"/>
              <w:rPr>
                <w:rFonts w:asciiTheme="majorHAnsi" w:hAnsiTheme="majorHAnsi"/>
                <w:b/>
                <w:szCs w:val="16"/>
              </w:rPr>
            </w:pPr>
            <w:r w:rsidRPr="006736AE">
              <w:rPr>
                <w:rFonts w:ascii="Verdana" w:hAnsi="Verdana" w:cs="Tahoma"/>
                <w:b/>
                <w:szCs w:val="16"/>
              </w:rPr>
              <w:t xml:space="preserve"> 15,621.2 </w:t>
            </w:r>
          </w:p>
        </w:tc>
        <w:tc>
          <w:tcPr>
            <w:tcW w:w="397" w:type="pct"/>
            <w:vAlign w:val="center"/>
          </w:tcPr>
          <w:p w14:paraId="0BC2FB27" w14:textId="382F9C1C" w:rsidR="006736AE" w:rsidRPr="006736AE" w:rsidRDefault="006736AE" w:rsidP="006736AE">
            <w:pPr>
              <w:pStyle w:val="TableText"/>
              <w:rPr>
                <w:rFonts w:asciiTheme="majorHAnsi" w:hAnsiTheme="majorHAnsi"/>
                <w:b/>
                <w:szCs w:val="16"/>
              </w:rPr>
            </w:pPr>
            <w:r w:rsidRPr="006736AE">
              <w:rPr>
                <w:rFonts w:ascii="Verdana" w:hAnsi="Verdana" w:cs="Tahoma"/>
                <w:b/>
                <w:szCs w:val="16"/>
              </w:rPr>
              <w:t xml:space="preserve"> 15,733.0 </w:t>
            </w:r>
          </w:p>
        </w:tc>
        <w:tc>
          <w:tcPr>
            <w:tcW w:w="397" w:type="pct"/>
            <w:vAlign w:val="center"/>
          </w:tcPr>
          <w:p w14:paraId="5229C0DD" w14:textId="1F913CE5" w:rsidR="006736AE" w:rsidRPr="006736AE" w:rsidRDefault="006736AE" w:rsidP="006736AE">
            <w:pPr>
              <w:pStyle w:val="TableText"/>
              <w:rPr>
                <w:rFonts w:asciiTheme="majorHAnsi" w:hAnsiTheme="majorHAnsi"/>
                <w:b/>
                <w:szCs w:val="16"/>
              </w:rPr>
            </w:pPr>
            <w:r w:rsidRPr="006736AE">
              <w:rPr>
                <w:rFonts w:ascii="Verdana" w:hAnsi="Verdana" w:cs="Tahoma"/>
                <w:b/>
                <w:szCs w:val="16"/>
              </w:rPr>
              <w:t xml:space="preserve"> 16,554.9 </w:t>
            </w:r>
          </w:p>
        </w:tc>
        <w:tc>
          <w:tcPr>
            <w:tcW w:w="397" w:type="pct"/>
            <w:vAlign w:val="center"/>
          </w:tcPr>
          <w:p w14:paraId="26D8B2E2" w14:textId="3CB3DB75" w:rsidR="006736AE" w:rsidRPr="006736AE" w:rsidRDefault="006736AE" w:rsidP="006736AE">
            <w:pPr>
              <w:pStyle w:val="TableText"/>
              <w:rPr>
                <w:rFonts w:asciiTheme="majorHAnsi" w:hAnsiTheme="majorHAnsi"/>
                <w:b/>
                <w:szCs w:val="16"/>
              </w:rPr>
            </w:pPr>
            <w:r w:rsidRPr="006736AE">
              <w:rPr>
                <w:rFonts w:ascii="Verdana" w:hAnsi="Verdana" w:cs="Tahoma"/>
                <w:b/>
                <w:szCs w:val="16"/>
              </w:rPr>
              <w:t xml:space="preserve"> 17,481.7 </w:t>
            </w:r>
          </w:p>
        </w:tc>
        <w:tc>
          <w:tcPr>
            <w:tcW w:w="397" w:type="pct"/>
            <w:vAlign w:val="center"/>
          </w:tcPr>
          <w:p w14:paraId="62533E59" w14:textId="4D0040E0" w:rsidR="006736AE" w:rsidRPr="006736AE" w:rsidRDefault="006736AE" w:rsidP="006736AE">
            <w:pPr>
              <w:pStyle w:val="TableText"/>
              <w:rPr>
                <w:rFonts w:asciiTheme="majorHAnsi" w:hAnsiTheme="majorHAnsi"/>
                <w:b/>
                <w:szCs w:val="16"/>
              </w:rPr>
            </w:pPr>
            <w:r w:rsidRPr="006736AE">
              <w:rPr>
                <w:rFonts w:ascii="Verdana" w:hAnsi="Verdana" w:cs="Tahoma"/>
                <w:b/>
                <w:szCs w:val="16"/>
              </w:rPr>
              <w:t xml:space="preserve"> 18,439.6 </w:t>
            </w:r>
          </w:p>
        </w:tc>
        <w:tc>
          <w:tcPr>
            <w:tcW w:w="399" w:type="pct"/>
            <w:vAlign w:val="center"/>
          </w:tcPr>
          <w:p w14:paraId="2E8BC9A7" w14:textId="440C85BB" w:rsidR="006736AE" w:rsidRPr="006736AE" w:rsidRDefault="006736AE" w:rsidP="006736AE">
            <w:pPr>
              <w:pStyle w:val="TableText"/>
              <w:rPr>
                <w:rFonts w:asciiTheme="majorHAnsi" w:hAnsiTheme="majorHAnsi"/>
                <w:b/>
                <w:szCs w:val="16"/>
              </w:rPr>
            </w:pPr>
            <w:r w:rsidRPr="006736AE">
              <w:rPr>
                <w:rFonts w:ascii="Verdana" w:hAnsi="Verdana" w:cs="Tahoma"/>
                <w:b/>
                <w:szCs w:val="16"/>
              </w:rPr>
              <w:t xml:space="preserve"> 19,441.8 </w:t>
            </w:r>
          </w:p>
        </w:tc>
        <w:tc>
          <w:tcPr>
            <w:tcW w:w="397" w:type="pct"/>
            <w:vAlign w:val="center"/>
          </w:tcPr>
          <w:p w14:paraId="43C3E608" w14:textId="6EB329AA" w:rsidR="006736AE" w:rsidRPr="006736AE" w:rsidRDefault="006736AE" w:rsidP="006736AE">
            <w:pPr>
              <w:pStyle w:val="TableText"/>
              <w:rPr>
                <w:rFonts w:asciiTheme="majorHAnsi" w:hAnsiTheme="majorHAnsi"/>
                <w:b/>
                <w:szCs w:val="16"/>
              </w:rPr>
            </w:pPr>
            <w:r w:rsidRPr="006736AE">
              <w:rPr>
                <w:rFonts w:ascii="Verdana" w:hAnsi="Verdana" w:cs="Tahoma"/>
                <w:b/>
                <w:szCs w:val="16"/>
              </w:rPr>
              <w:t xml:space="preserve"> 20,390.9 </w:t>
            </w:r>
          </w:p>
        </w:tc>
        <w:tc>
          <w:tcPr>
            <w:tcW w:w="397" w:type="pct"/>
            <w:vAlign w:val="center"/>
          </w:tcPr>
          <w:p w14:paraId="4D5C9CFE" w14:textId="7109E377" w:rsidR="006736AE" w:rsidRPr="006736AE" w:rsidRDefault="006736AE" w:rsidP="006736AE">
            <w:pPr>
              <w:pStyle w:val="TableText"/>
              <w:rPr>
                <w:rFonts w:asciiTheme="majorHAnsi" w:hAnsiTheme="majorHAnsi"/>
                <w:b/>
                <w:szCs w:val="16"/>
              </w:rPr>
            </w:pPr>
            <w:r w:rsidRPr="006736AE">
              <w:rPr>
                <w:rFonts w:ascii="Verdana" w:hAnsi="Verdana" w:cs="Tahoma"/>
                <w:b/>
                <w:szCs w:val="16"/>
              </w:rPr>
              <w:t xml:space="preserve"> 21,537.4 </w:t>
            </w:r>
          </w:p>
        </w:tc>
        <w:tc>
          <w:tcPr>
            <w:tcW w:w="397" w:type="pct"/>
            <w:vAlign w:val="center"/>
          </w:tcPr>
          <w:p w14:paraId="74FF9F2D" w14:textId="70B6CDC2" w:rsidR="006736AE" w:rsidRPr="006736AE" w:rsidRDefault="006736AE" w:rsidP="006736AE">
            <w:pPr>
              <w:pStyle w:val="TableText"/>
              <w:rPr>
                <w:rFonts w:asciiTheme="majorHAnsi" w:hAnsiTheme="majorHAnsi"/>
                <w:b/>
                <w:szCs w:val="16"/>
              </w:rPr>
            </w:pPr>
            <w:r w:rsidRPr="006736AE">
              <w:rPr>
                <w:rFonts w:ascii="Verdana" w:hAnsi="Verdana" w:cs="Tahoma"/>
                <w:b/>
                <w:szCs w:val="16"/>
              </w:rPr>
              <w:t xml:space="preserve"> 22,727.9 </w:t>
            </w:r>
          </w:p>
        </w:tc>
        <w:tc>
          <w:tcPr>
            <w:tcW w:w="397" w:type="pct"/>
            <w:vAlign w:val="center"/>
          </w:tcPr>
          <w:p w14:paraId="0D8A7890" w14:textId="1FB38745" w:rsidR="006736AE" w:rsidRPr="006736AE" w:rsidRDefault="006736AE" w:rsidP="006736AE">
            <w:pPr>
              <w:pStyle w:val="TableText"/>
              <w:rPr>
                <w:rFonts w:asciiTheme="majorHAnsi" w:hAnsiTheme="majorHAnsi"/>
                <w:b/>
                <w:szCs w:val="16"/>
              </w:rPr>
            </w:pPr>
            <w:r w:rsidRPr="006736AE">
              <w:rPr>
                <w:rFonts w:ascii="Verdana" w:hAnsi="Verdana" w:cs="Tahoma"/>
                <w:b/>
                <w:szCs w:val="16"/>
              </w:rPr>
              <w:t xml:space="preserve"> 23,725.6 </w:t>
            </w:r>
          </w:p>
        </w:tc>
        <w:tc>
          <w:tcPr>
            <w:tcW w:w="397" w:type="pct"/>
            <w:vAlign w:val="center"/>
          </w:tcPr>
          <w:p w14:paraId="143FDF7E" w14:textId="05D2E4B7" w:rsidR="006736AE" w:rsidRPr="006736AE" w:rsidRDefault="006736AE" w:rsidP="006736AE">
            <w:pPr>
              <w:pStyle w:val="TableText"/>
              <w:rPr>
                <w:rFonts w:asciiTheme="majorHAnsi" w:hAnsiTheme="majorHAnsi"/>
                <w:b/>
                <w:szCs w:val="16"/>
              </w:rPr>
            </w:pPr>
            <w:r w:rsidRPr="006736AE">
              <w:rPr>
                <w:rFonts w:ascii="Verdana" w:hAnsi="Verdana" w:cs="Tahoma"/>
                <w:b/>
                <w:szCs w:val="16"/>
              </w:rPr>
              <w:t xml:space="preserve"> 24,939.4 </w:t>
            </w:r>
          </w:p>
        </w:tc>
      </w:tr>
      <w:tr w:rsidR="0069661E" w:rsidRPr="006736AE" w14:paraId="72477A03"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631" w:type="pct"/>
            <w:vAlign w:val="center"/>
          </w:tcPr>
          <w:p w14:paraId="14CFBCEA" w14:textId="77777777" w:rsidR="006736AE" w:rsidRPr="006736AE" w:rsidRDefault="006736AE" w:rsidP="006736AE">
            <w:pPr>
              <w:pStyle w:val="TableText"/>
              <w:rPr>
                <w:rFonts w:asciiTheme="majorHAnsi" w:hAnsiTheme="majorHAnsi"/>
                <w:szCs w:val="16"/>
              </w:rPr>
            </w:pPr>
            <w:r w:rsidRPr="006736AE">
              <w:rPr>
                <w:rFonts w:asciiTheme="majorHAnsi" w:hAnsiTheme="majorHAnsi"/>
                <w:szCs w:val="16"/>
              </w:rPr>
              <w:t>Plus gross capex </w:t>
            </w:r>
          </w:p>
        </w:tc>
        <w:tc>
          <w:tcPr>
            <w:tcW w:w="397" w:type="pct"/>
            <w:vAlign w:val="center"/>
          </w:tcPr>
          <w:p w14:paraId="008F29D0"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602.9 </w:t>
            </w:r>
          </w:p>
        </w:tc>
        <w:tc>
          <w:tcPr>
            <w:tcW w:w="397" w:type="pct"/>
            <w:vAlign w:val="center"/>
          </w:tcPr>
          <w:p w14:paraId="0F43CB03"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1,347.2 </w:t>
            </w:r>
          </w:p>
        </w:tc>
        <w:tc>
          <w:tcPr>
            <w:tcW w:w="397" w:type="pct"/>
            <w:vAlign w:val="center"/>
          </w:tcPr>
          <w:p w14:paraId="36CFD948"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1,457.8 </w:t>
            </w:r>
          </w:p>
        </w:tc>
        <w:tc>
          <w:tcPr>
            <w:tcW w:w="397" w:type="pct"/>
            <w:vAlign w:val="center"/>
          </w:tcPr>
          <w:p w14:paraId="5ECF5E0F"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1,477.4 </w:t>
            </w:r>
          </w:p>
        </w:tc>
        <w:tc>
          <w:tcPr>
            <w:tcW w:w="397" w:type="pct"/>
            <w:vAlign w:val="center"/>
          </w:tcPr>
          <w:p w14:paraId="54583EC3"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1,510.2 </w:t>
            </w:r>
          </w:p>
        </w:tc>
        <w:tc>
          <w:tcPr>
            <w:tcW w:w="399" w:type="pct"/>
            <w:vAlign w:val="center"/>
          </w:tcPr>
          <w:p w14:paraId="586CAC75"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1,442.2 </w:t>
            </w:r>
          </w:p>
        </w:tc>
        <w:tc>
          <w:tcPr>
            <w:tcW w:w="397" w:type="pct"/>
            <w:vAlign w:val="center"/>
          </w:tcPr>
          <w:p w14:paraId="5C20FABD"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1,646.5 </w:t>
            </w:r>
          </w:p>
        </w:tc>
        <w:tc>
          <w:tcPr>
            <w:tcW w:w="397" w:type="pct"/>
            <w:vAlign w:val="center"/>
          </w:tcPr>
          <w:p w14:paraId="7840169F"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1,699.1 </w:t>
            </w:r>
          </w:p>
        </w:tc>
        <w:tc>
          <w:tcPr>
            <w:tcW w:w="397" w:type="pct"/>
            <w:vAlign w:val="center"/>
          </w:tcPr>
          <w:p w14:paraId="4DB0DC87"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1,514.6 </w:t>
            </w:r>
          </w:p>
        </w:tc>
        <w:tc>
          <w:tcPr>
            <w:tcW w:w="397" w:type="pct"/>
            <w:vAlign w:val="center"/>
          </w:tcPr>
          <w:p w14:paraId="1509102C"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1,736.5 </w:t>
            </w:r>
          </w:p>
        </w:tc>
        <w:tc>
          <w:tcPr>
            <w:tcW w:w="397" w:type="pct"/>
            <w:vAlign w:val="center"/>
          </w:tcPr>
          <w:p w14:paraId="17BE1565"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1,839.5 </w:t>
            </w:r>
          </w:p>
        </w:tc>
      </w:tr>
      <w:tr w:rsidR="006736AE" w:rsidRPr="006736AE" w14:paraId="5DD23B55" w14:textId="77777777" w:rsidTr="00ED094E">
        <w:trPr>
          <w:cantSplit/>
        </w:trPr>
        <w:tc>
          <w:tcPr>
            <w:tcW w:w="631" w:type="pct"/>
            <w:vAlign w:val="center"/>
          </w:tcPr>
          <w:p w14:paraId="3B20B961" w14:textId="77777777" w:rsidR="006736AE" w:rsidRPr="006736AE" w:rsidRDefault="006736AE" w:rsidP="006736AE">
            <w:pPr>
              <w:pStyle w:val="TableText"/>
              <w:rPr>
                <w:rFonts w:asciiTheme="majorHAnsi" w:hAnsiTheme="majorHAnsi"/>
                <w:szCs w:val="16"/>
              </w:rPr>
            </w:pPr>
            <w:r w:rsidRPr="006736AE">
              <w:rPr>
                <w:rFonts w:asciiTheme="majorHAnsi" w:hAnsiTheme="majorHAnsi"/>
                <w:szCs w:val="16"/>
              </w:rPr>
              <w:t>Plus VDP capitalisation </w:t>
            </w:r>
          </w:p>
        </w:tc>
        <w:tc>
          <w:tcPr>
            <w:tcW w:w="397" w:type="pct"/>
            <w:vAlign w:val="center"/>
          </w:tcPr>
          <w:p w14:paraId="7174947A"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75.9 </w:t>
            </w:r>
          </w:p>
        </w:tc>
        <w:tc>
          <w:tcPr>
            <w:tcW w:w="397" w:type="pct"/>
            <w:vAlign w:val="center"/>
          </w:tcPr>
          <w:p w14:paraId="20710F26"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80.6 </w:t>
            </w:r>
          </w:p>
        </w:tc>
        <w:tc>
          <w:tcPr>
            <w:tcW w:w="397" w:type="pct"/>
            <w:vAlign w:val="center"/>
          </w:tcPr>
          <w:p w14:paraId="2C5EDDFA"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112.3 </w:t>
            </w:r>
          </w:p>
        </w:tc>
        <w:tc>
          <w:tcPr>
            <w:tcW w:w="397" w:type="pct"/>
            <w:vAlign w:val="center"/>
          </w:tcPr>
          <w:p w14:paraId="4E768A00"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130.0 </w:t>
            </w:r>
          </w:p>
        </w:tc>
        <w:tc>
          <w:tcPr>
            <w:tcW w:w="397" w:type="pct"/>
            <w:vAlign w:val="center"/>
          </w:tcPr>
          <w:p w14:paraId="3498F519"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140.3 </w:t>
            </w:r>
          </w:p>
        </w:tc>
        <w:tc>
          <w:tcPr>
            <w:tcW w:w="399" w:type="pct"/>
            <w:vAlign w:val="center"/>
          </w:tcPr>
          <w:p w14:paraId="6AFF846A"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157.9 </w:t>
            </w:r>
          </w:p>
        </w:tc>
        <w:tc>
          <w:tcPr>
            <w:tcW w:w="397" w:type="pct"/>
            <w:vAlign w:val="center"/>
          </w:tcPr>
          <w:p w14:paraId="6787C985"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175.9 </w:t>
            </w:r>
          </w:p>
        </w:tc>
        <w:tc>
          <w:tcPr>
            <w:tcW w:w="397" w:type="pct"/>
            <w:vAlign w:val="center"/>
          </w:tcPr>
          <w:p w14:paraId="5F4AECA0"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195.5 </w:t>
            </w:r>
          </w:p>
        </w:tc>
        <w:tc>
          <w:tcPr>
            <w:tcW w:w="397" w:type="pct"/>
            <w:vAlign w:val="center"/>
          </w:tcPr>
          <w:p w14:paraId="586492E3"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215.2 </w:t>
            </w:r>
          </w:p>
        </w:tc>
        <w:tc>
          <w:tcPr>
            <w:tcW w:w="397" w:type="pct"/>
            <w:vAlign w:val="center"/>
          </w:tcPr>
          <w:p w14:paraId="2563E35C"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234.9 </w:t>
            </w:r>
          </w:p>
        </w:tc>
        <w:tc>
          <w:tcPr>
            <w:tcW w:w="397" w:type="pct"/>
            <w:vAlign w:val="center"/>
          </w:tcPr>
          <w:p w14:paraId="0416128C"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255.5 </w:t>
            </w:r>
          </w:p>
        </w:tc>
      </w:tr>
      <w:tr w:rsidR="0069661E" w:rsidRPr="006736AE" w14:paraId="3AD2CB3D"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631" w:type="pct"/>
            <w:vAlign w:val="center"/>
          </w:tcPr>
          <w:p w14:paraId="653B07BD" w14:textId="0A5744B2" w:rsidR="006736AE" w:rsidRPr="006736AE" w:rsidRDefault="006736AE" w:rsidP="006736AE">
            <w:pPr>
              <w:pStyle w:val="TableText"/>
              <w:rPr>
                <w:rFonts w:asciiTheme="majorHAnsi" w:hAnsiTheme="majorHAnsi"/>
              </w:rPr>
            </w:pPr>
            <w:r w:rsidRPr="4A292EEB">
              <w:rPr>
                <w:rFonts w:asciiTheme="majorHAnsi" w:hAnsiTheme="majorHAnsi"/>
              </w:rPr>
              <w:t xml:space="preserve">Less </w:t>
            </w:r>
            <w:r w:rsidR="24C24057" w:rsidRPr="0BD074C6">
              <w:rPr>
                <w:rFonts w:asciiTheme="majorHAnsi" w:hAnsiTheme="majorHAnsi"/>
              </w:rPr>
              <w:t>g</w:t>
            </w:r>
            <w:r w:rsidRPr="4A292EEB">
              <w:rPr>
                <w:rFonts w:asciiTheme="majorHAnsi" w:hAnsiTheme="majorHAnsi"/>
              </w:rPr>
              <w:t>overnment contribution </w:t>
            </w:r>
          </w:p>
        </w:tc>
        <w:tc>
          <w:tcPr>
            <w:tcW w:w="397" w:type="pct"/>
            <w:vAlign w:val="center"/>
          </w:tcPr>
          <w:p w14:paraId="24A4D207"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 </w:t>
            </w:r>
          </w:p>
        </w:tc>
        <w:tc>
          <w:tcPr>
            <w:tcW w:w="397" w:type="pct"/>
            <w:vAlign w:val="center"/>
          </w:tcPr>
          <w:p w14:paraId="621A0D64"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9.3 </w:t>
            </w:r>
          </w:p>
        </w:tc>
        <w:tc>
          <w:tcPr>
            <w:tcW w:w="397" w:type="pct"/>
            <w:vAlign w:val="center"/>
          </w:tcPr>
          <w:p w14:paraId="1C808DAC"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15.0 </w:t>
            </w:r>
          </w:p>
        </w:tc>
        <w:tc>
          <w:tcPr>
            <w:tcW w:w="397" w:type="pct"/>
            <w:vAlign w:val="center"/>
          </w:tcPr>
          <w:p w14:paraId="0AC7B8E2"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0.0 </w:t>
            </w:r>
          </w:p>
        </w:tc>
        <w:tc>
          <w:tcPr>
            <w:tcW w:w="397" w:type="pct"/>
            <w:vAlign w:val="center"/>
          </w:tcPr>
          <w:p w14:paraId="2B0C6ED3"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0.0 </w:t>
            </w:r>
          </w:p>
        </w:tc>
        <w:tc>
          <w:tcPr>
            <w:tcW w:w="399" w:type="pct"/>
            <w:vAlign w:val="center"/>
          </w:tcPr>
          <w:p w14:paraId="17045B63"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 </w:t>
            </w:r>
          </w:p>
        </w:tc>
        <w:tc>
          <w:tcPr>
            <w:tcW w:w="397" w:type="pct"/>
            <w:vAlign w:val="center"/>
          </w:tcPr>
          <w:p w14:paraId="1D32AA6D"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 </w:t>
            </w:r>
          </w:p>
        </w:tc>
        <w:tc>
          <w:tcPr>
            <w:tcW w:w="397" w:type="pct"/>
            <w:vAlign w:val="center"/>
          </w:tcPr>
          <w:p w14:paraId="3BC0D9AF"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 </w:t>
            </w:r>
          </w:p>
        </w:tc>
        <w:tc>
          <w:tcPr>
            <w:tcW w:w="397" w:type="pct"/>
            <w:vAlign w:val="center"/>
          </w:tcPr>
          <w:p w14:paraId="706BF05A"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 </w:t>
            </w:r>
          </w:p>
        </w:tc>
        <w:tc>
          <w:tcPr>
            <w:tcW w:w="397" w:type="pct"/>
            <w:vAlign w:val="center"/>
          </w:tcPr>
          <w:p w14:paraId="77F0AE78"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 </w:t>
            </w:r>
          </w:p>
        </w:tc>
        <w:tc>
          <w:tcPr>
            <w:tcW w:w="397" w:type="pct"/>
            <w:vAlign w:val="center"/>
          </w:tcPr>
          <w:p w14:paraId="67622282"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 </w:t>
            </w:r>
          </w:p>
        </w:tc>
      </w:tr>
      <w:tr w:rsidR="006736AE" w:rsidRPr="006736AE" w14:paraId="7D3CD039" w14:textId="77777777" w:rsidTr="00ED094E">
        <w:trPr>
          <w:cantSplit/>
        </w:trPr>
        <w:tc>
          <w:tcPr>
            <w:tcW w:w="631" w:type="pct"/>
            <w:vAlign w:val="center"/>
          </w:tcPr>
          <w:p w14:paraId="43CBC039" w14:textId="77777777" w:rsidR="006736AE" w:rsidRPr="006736AE" w:rsidRDefault="006736AE" w:rsidP="006736AE">
            <w:pPr>
              <w:pStyle w:val="TableText"/>
              <w:rPr>
                <w:rFonts w:asciiTheme="majorHAnsi" w:hAnsiTheme="majorHAnsi"/>
                <w:szCs w:val="16"/>
              </w:rPr>
            </w:pPr>
            <w:r w:rsidRPr="006736AE">
              <w:rPr>
                <w:rFonts w:asciiTheme="majorHAnsi" w:hAnsiTheme="majorHAnsi"/>
                <w:szCs w:val="16"/>
              </w:rPr>
              <w:t>Less customer contribution </w:t>
            </w:r>
          </w:p>
        </w:tc>
        <w:tc>
          <w:tcPr>
            <w:tcW w:w="397" w:type="pct"/>
            <w:vAlign w:val="center"/>
          </w:tcPr>
          <w:p w14:paraId="7A9A151C"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244.7 </w:t>
            </w:r>
          </w:p>
        </w:tc>
        <w:tc>
          <w:tcPr>
            <w:tcW w:w="397" w:type="pct"/>
            <w:vAlign w:val="center"/>
          </w:tcPr>
          <w:p w14:paraId="0428BB2D"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256.7 </w:t>
            </w:r>
          </w:p>
        </w:tc>
        <w:tc>
          <w:tcPr>
            <w:tcW w:w="397" w:type="pct"/>
            <w:vAlign w:val="center"/>
          </w:tcPr>
          <w:p w14:paraId="29A16552"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265.8 </w:t>
            </w:r>
          </w:p>
        </w:tc>
        <w:tc>
          <w:tcPr>
            <w:tcW w:w="397" w:type="pct"/>
            <w:vAlign w:val="center"/>
          </w:tcPr>
          <w:p w14:paraId="2FB8C891"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266.9 </w:t>
            </w:r>
          </w:p>
        </w:tc>
        <w:tc>
          <w:tcPr>
            <w:tcW w:w="397" w:type="pct"/>
            <w:vAlign w:val="center"/>
          </w:tcPr>
          <w:p w14:paraId="5EF32AFB"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265.8 </w:t>
            </w:r>
          </w:p>
        </w:tc>
        <w:tc>
          <w:tcPr>
            <w:tcW w:w="399" w:type="pct"/>
            <w:vAlign w:val="center"/>
          </w:tcPr>
          <w:p w14:paraId="31C4C3E3"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261.8 </w:t>
            </w:r>
          </w:p>
        </w:tc>
        <w:tc>
          <w:tcPr>
            <w:tcW w:w="397" w:type="pct"/>
            <w:vAlign w:val="center"/>
          </w:tcPr>
          <w:p w14:paraId="649BBA19"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266.3 </w:t>
            </w:r>
          </w:p>
        </w:tc>
        <w:tc>
          <w:tcPr>
            <w:tcW w:w="397" w:type="pct"/>
            <w:vAlign w:val="center"/>
          </w:tcPr>
          <w:p w14:paraId="453F3ABB"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259.1 </w:t>
            </w:r>
          </w:p>
        </w:tc>
        <w:tc>
          <w:tcPr>
            <w:tcW w:w="397" w:type="pct"/>
            <w:vAlign w:val="center"/>
          </w:tcPr>
          <w:p w14:paraId="25BCF61F"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250.0 </w:t>
            </w:r>
          </w:p>
        </w:tc>
        <w:tc>
          <w:tcPr>
            <w:tcW w:w="397" w:type="pct"/>
            <w:vAlign w:val="center"/>
          </w:tcPr>
          <w:p w14:paraId="5D3AC319"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241.3 </w:t>
            </w:r>
          </w:p>
        </w:tc>
        <w:tc>
          <w:tcPr>
            <w:tcW w:w="397" w:type="pct"/>
            <w:vAlign w:val="center"/>
          </w:tcPr>
          <w:p w14:paraId="325B8CFF"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232.8 </w:t>
            </w:r>
          </w:p>
        </w:tc>
      </w:tr>
      <w:tr w:rsidR="0069661E" w:rsidRPr="006736AE" w14:paraId="7B138D6B"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631" w:type="pct"/>
            <w:vAlign w:val="center"/>
          </w:tcPr>
          <w:p w14:paraId="210D26C0" w14:textId="50F30647" w:rsidR="006736AE" w:rsidRPr="006736AE" w:rsidRDefault="006736AE" w:rsidP="006736AE">
            <w:pPr>
              <w:pStyle w:val="TableText"/>
              <w:rPr>
                <w:rFonts w:asciiTheme="majorHAnsi" w:hAnsiTheme="majorHAnsi"/>
              </w:rPr>
            </w:pPr>
            <w:r w:rsidRPr="0BD074C6">
              <w:rPr>
                <w:rFonts w:asciiTheme="majorHAnsi" w:hAnsiTheme="majorHAnsi"/>
              </w:rPr>
              <w:t xml:space="preserve">Less </w:t>
            </w:r>
            <w:r w:rsidR="6C1CEC86" w:rsidRPr="0BD074C6">
              <w:rPr>
                <w:rFonts w:asciiTheme="majorHAnsi" w:hAnsiTheme="majorHAnsi"/>
              </w:rPr>
              <w:t>p</w:t>
            </w:r>
            <w:r w:rsidRPr="0BD074C6">
              <w:rPr>
                <w:rFonts w:asciiTheme="majorHAnsi" w:hAnsiTheme="majorHAnsi"/>
              </w:rPr>
              <w:t>roceeds from disposal </w:t>
            </w:r>
          </w:p>
        </w:tc>
        <w:tc>
          <w:tcPr>
            <w:tcW w:w="397" w:type="pct"/>
            <w:vAlign w:val="center"/>
          </w:tcPr>
          <w:p w14:paraId="109459F6"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2.5 </w:t>
            </w:r>
          </w:p>
        </w:tc>
        <w:tc>
          <w:tcPr>
            <w:tcW w:w="397" w:type="pct"/>
            <w:vAlign w:val="center"/>
          </w:tcPr>
          <w:p w14:paraId="264BED6A"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7.6 </w:t>
            </w:r>
          </w:p>
        </w:tc>
        <w:tc>
          <w:tcPr>
            <w:tcW w:w="397" w:type="pct"/>
            <w:vAlign w:val="center"/>
          </w:tcPr>
          <w:p w14:paraId="49DFB414"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6.2 </w:t>
            </w:r>
          </w:p>
        </w:tc>
        <w:tc>
          <w:tcPr>
            <w:tcW w:w="397" w:type="pct"/>
            <w:vAlign w:val="center"/>
          </w:tcPr>
          <w:p w14:paraId="260C426D"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5.6 </w:t>
            </w:r>
          </w:p>
        </w:tc>
        <w:tc>
          <w:tcPr>
            <w:tcW w:w="397" w:type="pct"/>
            <w:vAlign w:val="center"/>
          </w:tcPr>
          <w:p w14:paraId="3F5D1D4C"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5.6 </w:t>
            </w:r>
          </w:p>
        </w:tc>
        <w:tc>
          <w:tcPr>
            <w:tcW w:w="399" w:type="pct"/>
            <w:vAlign w:val="center"/>
          </w:tcPr>
          <w:p w14:paraId="7239D44F"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4.2 </w:t>
            </w:r>
          </w:p>
        </w:tc>
        <w:tc>
          <w:tcPr>
            <w:tcW w:w="397" w:type="pct"/>
            <w:vAlign w:val="center"/>
          </w:tcPr>
          <w:p w14:paraId="2F92C386"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4.2 </w:t>
            </w:r>
          </w:p>
        </w:tc>
        <w:tc>
          <w:tcPr>
            <w:tcW w:w="397" w:type="pct"/>
            <w:vAlign w:val="center"/>
          </w:tcPr>
          <w:p w14:paraId="2C63CA04"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4.2 </w:t>
            </w:r>
          </w:p>
        </w:tc>
        <w:tc>
          <w:tcPr>
            <w:tcW w:w="397" w:type="pct"/>
            <w:vAlign w:val="center"/>
          </w:tcPr>
          <w:p w14:paraId="0B49C93B"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4.2 </w:t>
            </w:r>
          </w:p>
        </w:tc>
        <w:tc>
          <w:tcPr>
            <w:tcW w:w="397" w:type="pct"/>
            <w:vAlign w:val="center"/>
          </w:tcPr>
          <w:p w14:paraId="28B9A4BE"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4.2 </w:t>
            </w:r>
          </w:p>
        </w:tc>
        <w:tc>
          <w:tcPr>
            <w:tcW w:w="397" w:type="pct"/>
            <w:vAlign w:val="center"/>
          </w:tcPr>
          <w:p w14:paraId="74F1CB5C"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4.2 </w:t>
            </w:r>
          </w:p>
        </w:tc>
      </w:tr>
      <w:tr w:rsidR="006736AE" w:rsidRPr="006736AE" w14:paraId="7ABF621C" w14:textId="77777777" w:rsidTr="00ED094E">
        <w:trPr>
          <w:cantSplit/>
        </w:trPr>
        <w:tc>
          <w:tcPr>
            <w:tcW w:w="631" w:type="pct"/>
            <w:vAlign w:val="center"/>
          </w:tcPr>
          <w:p w14:paraId="38252B99" w14:textId="77777777" w:rsidR="006736AE" w:rsidRPr="006736AE" w:rsidRDefault="006736AE" w:rsidP="006736AE">
            <w:pPr>
              <w:pStyle w:val="TableText"/>
              <w:rPr>
                <w:rFonts w:asciiTheme="majorHAnsi" w:hAnsiTheme="majorHAnsi"/>
                <w:szCs w:val="16"/>
              </w:rPr>
            </w:pPr>
            <w:r w:rsidRPr="006736AE">
              <w:rPr>
                <w:rFonts w:asciiTheme="majorHAnsi" w:hAnsiTheme="majorHAnsi"/>
                <w:szCs w:val="16"/>
              </w:rPr>
              <w:t>Less regulatory depreciation on existing </w:t>
            </w:r>
          </w:p>
        </w:tc>
        <w:tc>
          <w:tcPr>
            <w:tcW w:w="397" w:type="pct"/>
            <w:vAlign w:val="center"/>
          </w:tcPr>
          <w:p w14:paraId="05064B73"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219.0 </w:t>
            </w:r>
          </w:p>
        </w:tc>
        <w:tc>
          <w:tcPr>
            <w:tcW w:w="397" w:type="pct"/>
            <w:vAlign w:val="center"/>
          </w:tcPr>
          <w:p w14:paraId="5D893D76"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320.6 </w:t>
            </w:r>
          </w:p>
        </w:tc>
        <w:tc>
          <w:tcPr>
            <w:tcW w:w="397" w:type="pct"/>
            <w:vAlign w:val="center"/>
          </w:tcPr>
          <w:p w14:paraId="7507CB07"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320.6 </w:t>
            </w:r>
          </w:p>
        </w:tc>
        <w:tc>
          <w:tcPr>
            <w:tcW w:w="397" w:type="pct"/>
            <w:vAlign w:val="center"/>
          </w:tcPr>
          <w:p w14:paraId="4704D2B7" w14:textId="6F65D260"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315.2 </w:t>
            </w:r>
          </w:p>
        </w:tc>
        <w:tc>
          <w:tcPr>
            <w:tcW w:w="397" w:type="pct"/>
            <w:vAlign w:val="center"/>
          </w:tcPr>
          <w:p w14:paraId="1F148409" w14:textId="511EBE93"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284.2 </w:t>
            </w:r>
          </w:p>
        </w:tc>
        <w:tc>
          <w:tcPr>
            <w:tcW w:w="399" w:type="pct"/>
            <w:vAlign w:val="center"/>
          </w:tcPr>
          <w:p w14:paraId="711A00AB" w14:textId="47E4BA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262.4 </w:t>
            </w:r>
          </w:p>
        </w:tc>
        <w:tc>
          <w:tcPr>
            <w:tcW w:w="397" w:type="pct"/>
            <w:vAlign w:val="center"/>
          </w:tcPr>
          <w:p w14:paraId="0D989131"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252.0 </w:t>
            </w:r>
          </w:p>
        </w:tc>
        <w:tc>
          <w:tcPr>
            <w:tcW w:w="397" w:type="pct"/>
            <w:vAlign w:val="center"/>
          </w:tcPr>
          <w:p w14:paraId="3106BC06"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252.0 </w:t>
            </w:r>
          </w:p>
        </w:tc>
        <w:tc>
          <w:tcPr>
            <w:tcW w:w="397" w:type="pct"/>
            <w:vAlign w:val="center"/>
          </w:tcPr>
          <w:p w14:paraId="6A6806FF"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252.0 </w:t>
            </w:r>
          </w:p>
        </w:tc>
        <w:tc>
          <w:tcPr>
            <w:tcW w:w="397" w:type="pct"/>
            <w:vAlign w:val="center"/>
          </w:tcPr>
          <w:p w14:paraId="33E15627"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252.0 </w:t>
            </w:r>
          </w:p>
        </w:tc>
        <w:tc>
          <w:tcPr>
            <w:tcW w:w="397" w:type="pct"/>
            <w:vAlign w:val="center"/>
          </w:tcPr>
          <w:p w14:paraId="66B2F720"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252.0 </w:t>
            </w:r>
          </w:p>
        </w:tc>
      </w:tr>
      <w:tr w:rsidR="0069661E" w:rsidRPr="006736AE" w14:paraId="260DE035"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631" w:type="pct"/>
            <w:vAlign w:val="center"/>
          </w:tcPr>
          <w:p w14:paraId="1B23C40F" w14:textId="77777777" w:rsidR="006736AE" w:rsidRPr="006736AE" w:rsidRDefault="006736AE" w:rsidP="006736AE">
            <w:pPr>
              <w:pStyle w:val="TableText"/>
              <w:rPr>
                <w:rFonts w:asciiTheme="majorHAnsi" w:hAnsiTheme="majorHAnsi"/>
                <w:szCs w:val="16"/>
              </w:rPr>
            </w:pPr>
            <w:r w:rsidRPr="006736AE">
              <w:rPr>
                <w:rFonts w:asciiTheme="majorHAnsi" w:hAnsiTheme="majorHAnsi"/>
                <w:szCs w:val="16"/>
              </w:rPr>
              <w:t>Less regulatory depreciation on new asset </w:t>
            </w:r>
          </w:p>
        </w:tc>
        <w:tc>
          <w:tcPr>
            <w:tcW w:w="397" w:type="pct"/>
            <w:vAlign w:val="center"/>
          </w:tcPr>
          <w:p w14:paraId="46253EE7"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100.8 </w:t>
            </w:r>
          </w:p>
        </w:tc>
        <w:tc>
          <w:tcPr>
            <w:tcW w:w="397" w:type="pct"/>
            <w:vAlign w:val="center"/>
          </w:tcPr>
          <w:p w14:paraId="1DEAFA63"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11.8 </w:t>
            </w:r>
          </w:p>
        </w:tc>
        <w:tc>
          <w:tcPr>
            <w:tcW w:w="397" w:type="pct"/>
            <w:vAlign w:val="center"/>
          </w:tcPr>
          <w:p w14:paraId="5A9472F7"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35.7 </w:t>
            </w:r>
          </w:p>
        </w:tc>
        <w:tc>
          <w:tcPr>
            <w:tcW w:w="397" w:type="pct"/>
            <w:vAlign w:val="center"/>
          </w:tcPr>
          <w:p w14:paraId="0C0B671E"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61.9 </w:t>
            </w:r>
          </w:p>
        </w:tc>
        <w:tc>
          <w:tcPr>
            <w:tcW w:w="397" w:type="pct"/>
            <w:vAlign w:val="center"/>
          </w:tcPr>
          <w:p w14:paraId="2C7FA744"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92.6 </w:t>
            </w:r>
          </w:p>
        </w:tc>
        <w:tc>
          <w:tcPr>
            <w:tcW w:w="399" w:type="pct"/>
            <w:vAlign w:val="center"/>
          </w:tcPr>
          <w:p w14:paraId="3840AC7A"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122.8 </w:t>
            </w:r>
          </w:p>
        </w:tc>
        <w:tc>
          <w:tcPr>
            <w:tcW w:w="397" w:type="pct"/>
            <w:vAlign w:val="center"/>
          </w:tcPr>
          <w:p w14:paraId="242596D2"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153.5 </w:t>
            </w:r>
          </w:p>
        </w:tc>
        <w:tc>
          <w:tcPr>
            <w:tcW w:w="397" w:type="pct"/>
            <w:vAlign w:val="center"/>
          </w:tcPr>
          <w:p w14:paraId="5117A93D"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188.8 </w:t>
            </w:r>
          </w:p>
        </w:tc>
        <w:tc>
          <w:tcPr>
            <w:tcW w:w="397" w:type="pct"/>
            <w:vAlign w:val="center"/>
          </w:tcPr>
          <w:p w14:paraId="13C476C9"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226.0 </w:t>
            </w:r>
          </w:p>
        </w:tc>
        <w:tc>
          <w:tcPr>
            <w:tcW w:w="397" w:type="pct"/>
            <w:vAlign w:val="center"/>
          </w:tcPr>
          <w:p w14:paraId="730DA687"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260.3 </w:t>
            </w:r>
          </w:p>
        </w:tc>
        <w:tc>
          <w:tcPr>
            <w:tcW w:w="397" w:type="pct"/>
            <w:vAlign w:val="center"/>
          </w:tcPr>
          <w:p w14:paraId="6DBA7B02" w14:textId="77777777" w:rsidR="006736AE" w:rsidRPr="006736AE" w:rsidRDefault="006736AE" w:rsidP="006736AE">
            <w:pPr>
              <w:pStyle w:val="TableText"/>
              <w:rPr>
                <w:rFonts w:asciiTheme="majorHAnsi" w:hAnsiTheme="majorHAnsi"/>
                <w:szCs w:val="16"/>
              </w:rPr>
            </w:pPr>
            <w:r w:rsidRPr="006736AE">
              <w:rPr>
                <w:rFonts w:ascii="Verdana" w:hAnsi="Verdana" w:cs="Tahoma"/>
                <w:szCs w:val="16"/>
              </w:rPr>
              <w:t xml:space="preserve"> 294.1 </w:t>
            </w:r>
          </w:p>
        </w:tc>
      </w:tr>
      <w:tr w:rsidR="006736AE" w:rsidRPr="006736AE" w14:paraId="5AFCBE00" w14:textId="77777777" w:rsidTr="00ED094E">
        <w:trPr>
          <w:cantSplit/>
        </w:trPr>
        <w:tc>
          <w:tcPr>
            <w:tcW w:w="631" w:type="pct"/>
            <w:vAlign w:val="center"/>
          </w:tcPr>
          <w:p w14:paraId="7D5F1B0E" w14:textId="77777777" w:rsidR="006736AE" w:rsidRPr="006736AE" w:rsidRDefault="006736AE" w:rsidP="006736AE">
            <w:pPr>
              <w:pStyle w:val="TableText"/>
              <w:rPr>
                <w:rFonts w:asciiTheme="majorHAnsi" w:hAnsiTheme="majorHAnsi"/>
                <w:b/>
                <w:szCs w:val="16"/>
              </w:rPr>
            </w:pPr>
            <w:r w:rsidRPr="006736AE">
              <w:rPr>
                <w:rFonts w:asciiTheme="majorHAnsi" w:hAnsiTheme="majorHAnsi"/>
                <w:b/>
                <w:szCs w:val="16"/>
              </w:rPr>
              <w:t>Closing value </w:t>
            </w:r>
          </w:p>
        </w:tc>
        <w:tc>
          <w:tcPr>
            <w:tcW w:w="397" w:type="pct"/>
            <w:vAlign w:val="center"/>
          </w:tcPr>
          <w:p w14:paraId="449DE511" w14:textId="303B2512" w:rsidR="006736AE" w:rsidRPr="006736AE" w:rsidRDefault="006736AE" w:rsidP="006736AE">
            <w:pPr>
              <w:pStyle w:val="TableText"/>
              <w:rPr>
                <w:rFonts w:asciiTheme="majorHAnsi" w:hAnsiTheme="majorHAnsi"/>
                <w:b/>
                <w:szCs w:val="16"/>
              </w:rPr>
            </w:pPr>
            <w:r w:rsidRPr="006736AE">
              <w:rPr>
                <w:rFonts w:ascii="Verdana" w:hAnsi="Verdana" w:cs="Tahoma"/>
                <w:b/>
                <w:bCs/>
                <w:szCs w:val="16"/>
              </w:rPr>
              <w:t xml:space="preserve"> 15,733.0 </w:t>
            </w:r>
          </w:p>
        </w:tc>
        <w:tc>
          <w:tcPr>
            <w:tcW w:w="397" w:type="pct"/>
            <w:vAlign w:val="center"/>
          </w:tcPr>
          <w:p w14:paraId="7869961D" w14:textId="5DFA7592" w:rsidR="006736AE" w:rsidRPr="006736AE" w:rsidRDefault="006736AE" w:rsidP="006736AE">
            <w:pPr>
              <w:pStyle w:val="TableText"/>
              <w:rPr>
                <w:rFonts w:asciiTheme="majorHAnsi" w:hAnsiTheme="majorHAnsi"/>
                <w:b/>
                <w:szCs w:val="16"/>
              </w:rPr>
            </w:pPr>
            <w:r w:rsidRPr="006736AE">
              <w:rPr>
                <w:rFonts w:ascii="Verdana" w:hAnsi="Verdana" w:cs="Tahoma"/>
                <w:b/>
                <w:bCs/>
                <w:szCs w:val="16"/>
              </w:rPr>
              <w:t xml:space="preserve"> 16,554.9 </w:t>
            </w:r>
          </w:p>
        </w:tc>
        <w:tc>
          <w:tcPr>
            <w:tcW w:w="397" w:type="pct"/>
            <w:vAlign w:val="center"/>
          </w:tcPr>
          <w:p w14:paraId="05B0C7AE" w14:textId="1CCDA8A3" w:rsidR="006736AE" w:rsidRPr="006736AE" w:rsidRDefault="006736AE" w:rsidP="006736AE">
            <w:pPr>
              <w:pStyle w:val="TableText"/>
              <w:rPr>
                <w:rFonts w:asciiTheme="majorHAnsi" w:hAnsiTheme="majorHAnsi"/>
                <w:b/>
                <w:szCs w:val="16"/>
              </w:rPr>
            </w:pPr>
            <w:r w:rsidRPr="006736AE">
              <w:rPr>
                <w:rFonts w:ascii="Verdana" w:hAnsi="Verdana" w:cs="Tahoma"/>
                <w:b/>
                <w:bCs/>
                <w:szCs w:val="16"/>
              </w:rPr>
              <w:t xml:space="preserve"> 17,481.7 </w:t>
            </w:r>
          </w:p>
        </w:tc>
        <w:tc>
          <w:tcPr>
            <w:tcW w:w="397" w:type="pct"/>
            <w:vAlign w:val="center"/>
          </w:tcPr>
          <w:p w14:paraId="69E91C79" w14:textId="443867BB" w:rsidR="006736AE" w:rsidRPr="006736AE" w:rsidRDefault="006736AE" w:rsidP="006736AE">
            <w:pPr>
              <w:pStyle w:val="TableText"/>
              <w:rPr>
                <w:rFonts w:asciiTheme="majorHAnsi" w:hAnsiTheme="majorHAnsi"/>
                <w:b/>
                <w:szCs w:val="16"/>
              </w:rPr>
            </w:pPr>
            <w:r w:rsidRPr="006736AE">
              <w:rPr>
                <w:rFonts w:ascii="Verdana" w:hAnsi="Verdana" w:cs="Tahoma"/>
                <w:b/>
                <w:bCs/>
                <w:szCs w:val="16"/>
              </w:rPr>
              <w:t xml:space="preserve"> 18,439.6 </w:t>
            </w:r>
          </w:p>
        </w:tc>
        <w:tc>
          <w:tcPr>
            <w:tcW w:w="397" w:type="pct"/>
            <w:vAlign w:val="center"/>
          </w:tcPr>
          <w:p w14:paraId="2EF64BFD" w14:textId="19EF82E5" w:rsidR="006736AE" w:rsidRPr="006736AE" w:rsidRDefault="006736AE" w:rsidP="006736AE">
            <w:pPr>
              <w:pStyle w:val="TableText"/>
              <w:rPr>
                <w:rFonts w:asciiTheme="majorHAnsi" w:hAnsiTheme="majorHAnsi"/>
                <w:b/>
                <w:szCs w:val="16"/>
              </w:rPr>
            </w:pPr>
            <w:r w:rsidRPr="006736AE">
              <w:rPr>
                <w:rFonts w:ascii="Verdana" w:hAnsi="Verdana" w:cs="Tahoma"/>
                <w:b/>
                <w:bCs/>
                <w:szCs w:val="16"/>
              </w:rPr>
              <w:t xml:space="preserve"> 19,441.8 </w:t>
            </w:r>
          </w:p>
        </w:tc>
        <w:tc>
          <w:tcPr>
            <w:tcW w:w="399" w:type="pct"/>
            <w:vAlign w:val="center"/>
          </w:tcPr>
          <w:p w14:paraId="39CDF051" w14:textId="24A8EE7C" w:rsidR="006736AE" w:rsidRPr="006736AE" w:rsidRDefault="006736AE" w:rsidP="006736AE">
            <w:pPr>
              <w:pStyle w:val="TableText"/>
              <w:rPr>
                <w:rFonts w:asciiTheme="majorHAnsi" w:hAnsiTheme="majorHAnsi"/>
                <w:b/>
                <w:szCs w:val="16"/>
              </w:rPr>
            </w:pPr>
            <w:r w:rsidRPr="006736AE">
              <w:rPr>
                <w:rFonts w:ascii="Verdana" w:hAnsi="Verdana" w:cs="Tahoma"/>
                <w:b/>
                <w:bCs/>
                <w:szCs w:val="16"/>
              </w:rPr>
              <w:t xml:space="preserve"> 20,390.9 </w:t>
            </w:r>
          </w:p>
        </w:tc>
        <w:tc>
          <w:tcPr>
            <w:tcW w:w="397" w:type="pct"/>
            <w:vAlign w:val="center"/>
          </w:tcPr>
          <w:p w14:paraId="2C89313D" w14:textId="2DFC9B8A" w:rsidR="006736AE" w:rsidRPr="006736AE" w:rsidRDefault="006736AE" w:rsidP="006736AE">
            <w:pPr>
              <w:pStyle w:val="TableText"/>
              <w:rPr>
                <w:rFonts w:asciiTheme="majorHAnsi" w:hAnsiTheme="majorHAnsi"/>
                <w:b/>
                <w:szCs w:val="16"/>
              </w:rPr>
            </w:pPr>
            <w:r w:rsidRPr="006736AE">
              <w:rPr>
                <w:rFonts w:ascii="Verdana" w:hAnsi="Verdana" w:cs="Tahoma"/>
                <w:b/>
                <w:bCs/>
                <w:szCs w:val="16"/>
              </w:rPr>
              <w:t xml:space="preserve"> 21,537.4 </w:t>
            </w:r>
          </w:p>
        </w:tc>
        <w:tc>
          <w:tcPr>
            <w:tcW w:w="397" w:type="pct"/>
            <w:vAlign w:val="center"/>
          </w:tcPr>
          <w:p w14:paraId="2632B486" w14:textId="2F515E94" w:rsidR="006736AE" w:rsidRPr="006736AE" w:rsidRDefault="006736AE" w:rsidP="006736AE">
            <w:pPr>
              <w:pStyle w:val="TableText"/>
              <w:rPr>
                <w:rFonts w:asciiTheme="majorHAnsi" w:hAnsiTheme="majorHAnsi"/>
                <w:b/>
                <w:szCs w:val="16"/>
              </w:rPr>
            </w:pPr>
            <w:r w:rsidRPr="006736AE">
              <w:rPr>
                <w:rFonts w:ascii="Verdana" w:hAnsi="Verdana" w:cs="Tahoma"/>
                <w:b/>
                <w:bCs/>
                <w:szCs w:val="16"/>
              </w:rPr>
              <w:t xml:space="preserve"> 22,727.9 </w:t>
            </w:r>
          </w:p>
        </w:tc>
        <w:tc>
          <w:tcPr>
            <w:tcW w:w="397" w:type="pct"/>
            <w:vAlign w:val="center"/>
          </w:tcPr>
          <w:p w14:paraId="02443779" w14:textId="0375B8E7" w:rsidR="006736AE" w:rsidRPr="006736AE" w:rsidRDefault="006736AE" w:rsidP="006736AE">
            <w:pPr>
              <w:pStyle w:val="TableText"/>
              <w:rPr>
                <w:rFonts w:asciiTheme="majorHAnsi" w:hAnsiTheme="majorHAnsi"/>
                <w:b/>
                <w:szCs w:val="16"/>
              </w:rPr>
            </w:pPr>
            <w:r w:rsidRPr="006736AE">
              <w:rPr>
                <w:rFonts w:ascii="Verdana" w:hAnsi="Verdana" w:cs="Tahoma"/>
                <w:b/>
                <w:bCs/>
                <w:szCs w:val="16"/>
              </w:rPr>
              <w:t xml:space="preserve"> 23,725.6 </w:t>
            </w:r>
          </w:p>
        </w:tc>
        <w:tc>
          <w:tcPr>
            <w:tcW w:w="397" w:type="pct"/>
            <w:vAlign w:val="center"/>
          </w:tcPr>
          <w:p w14:paraId="0E10D8AE" w14:textId="66E5F866" w:rsidR="006736AE" w:rsidRPr="006736AE" w:rsidRDefault="006736AE" w:rsidP="006736AE">
            <w:pPr>
              <w:pStyle w:val="TableText"/>
              <w:rPr>
                <w:rFonts w:asciiTheme="majorHAnsi" w:hAnsiTheme="majorHAnsi"/>
                <w:b/>
                <w:szCs w:val="16"/>
              </w:rPr>
            </w:pPr>
            <w:r w:rsidRPr="006736AE">
              <w:rPr>
                <w:rFonts w:ascii="Verdana" w:hAnsi="Verdana" w:cs="Tahoma"/>
                <w:b/>
                <w:bCs/>
                <w:szCs w:val="16"/>
              </w:rPr>
              <w:t xml:space="preserve"> 24,939.4 </w:t>
            </w:r>
          </w:p>
        </w:tc>
        <w:tc>
          <w:tcPr>
            <w:tcW w:w="397" w:type="pct"/>
            <w:vAlign w:val="center"/>
          </w:tcPr>
          <w:p w14:paraId="375535C6" w14:textId="4087C1E9" w:rsidR="006736AE" w:rsidRPr="006736AE" w:rsidRDefault="006736AE" w:rsidP="006736AE">
            <w:pPr>
              <w:pStyle w:val="TableText"/>
              <w:rPr>
                <w:rFonts w:asciiTheme="majorHAnsi" w:hAnsiTheme="majorHAnsi"/>
                <w:b/>
                <w:szCs w:val="16"/>
              </w:rPr>
            </w:pPr>
            <w:r w:rsidRPr="006736AE">
              <w:rPr>
                <w:rFonts w:ascii="Verdana" w:hAnsi="Verdana" w:cs="Tahoma"/>
                <w:b/>
                <w:bCs/>
                <w:szCs w:val="16"/>
              </w:rPr>
              <w:t xml:space="preserve"> 26,251.3 </w:t>
            </w:r>
          </w:p>
        </w:tc>
      </w:tr>
    </w:tbl>
    <w:p w14:paraId="2D11F45F" w14:textId="77777777" w:rsidR="00046BD5" w:rsidRPr="00DE108C" w:rsidRDefault="00046BD5" w:rsidP="00ED094E">
      <w:pPr>
        <w:pStyle w:val="BodyText"/>
        <w:rPr>
          <w:lang w:eastAsia="fr-CA"/>
        </w:rPr>
      </w:pPr>
    </w:p>
    <w:p w14:paraId="37BFA10F" w14:textId="77777777" w:rsidR="001200EC" w:rsidRPr="00DE108C" w:rsidRDefault="001200EC">
      <w:pPr>
        <w:spacing w:before="0" w:after="0" w:line="320" w:lineRule="atLeast"/>
        <w:rPr>
          <w:rFonts w:asciiTheme="majorHAnsi" w:eastAsiaTheme="majorEastAsia" w:hAnsiTheme="majorHAnsi" w:cstheme="majorBidi"/>
          <w:b/>
          <w:bCs/>
          <w:sz w:val="24"/>
        </w:rPr>
      </w:pPr>
      <w:r w:rsidRPr="00DE108C">
        <w:br w:type="page"/>
      </w:r>
    </w:p>
    <w:p w14:paraId="26E55DBA" w14:textId="77777777" w:rsidR="00046BD5" w:rsidRPr="00DE108C" w:rsidRDefault="00046BD5">
      <w:pPr>
        <w:pStyle w:val="Heading3"/>
      </w:pPr>
      <w:r w:rsidRPr="00DE108C">
        <w:lastRenderedPageBreak/>
        <w:t>8.6.1 Water regulatory asset base</w:t>
      </w:r>
      <w:bookmarkEnd w:id="867"/>
    </w:p>
    <w:p w14:paraId="48496A5B" w14:textId="7B0EA48D" w:rsidR="00046BD5" w:rsidRPr="00DE108C" w:rsidRDefault="00046BD5" w:rsidP="00ED094E">
      <w:r w:rsidRPr="00DE108C">
        <w:t xml:space="preserve">Table 8.8 shows the water </w:t>
      </w:r>
      <w:r w:rsidR="58DE3D26">
        <w:t>RAB</w:t>
      </w:r>
      <w:r w:rsidRPr="00DE108C">
        <w:t xml:space="preserve"> forecast for the next 10 years. </w:t>
      </w:r>
    </w:p>
    <w:p w14:paraId="43821155" w14:textId="64876B5D" w:rsidR="00046BD5" w:rsidRPr="00DE108C" w:rsidRDefault="00046BD5" w:rsidP="00ED094E">
      <w:pPr>
        <w:pStyle w:val="Caption"/>
      </w:pPr>
      <w:bookmarkStart w:id="869" w:name="_Toc207893077"/>
      <w:bookmarkStart w:id="870" w:name="_Toc208490601"/>
      <w:bookmarkStart w:id="871" w:name="_Toc208490939"/>
      <w:bookmarkStart w:id="872" w:name="_Toc208911097"/>
      <w:bookmarkStart w:id="873" w:name="_Toc210051403"/>
      <w:r w:rsidRPr="001164EE">
        <w:t xml:space="preserve">Table 8.8: Forecast </w:t>
      </w:r>
      <w:r w:rsidR="618CAA4C" w:rsidRPr="001164EE">
        <w:t>RAB</w:t>
      </w:r>
      <w:r w:rsidRPr="001164EE">
        <w:t xml:space="preserve"> for water ($millions, real 2025-26)</w:t>
      </w:r>
      <w:bookmarkEnd w:id="869"/>
      <w:bookmarkEnd w:id="870"/>
      <w:bookmarkEnd w:id="871"/>
      <w:bookmarkEnd w:id="872"/>
      <w:bookmarkEnd w:id="873"/>
      <w:r w:rsidRPr="00DE108C">
        <w:t xml:space="preserve"> </w:t>
      </w:r>
    </w:p>
    <w:tbl>
      <w:tblPr>
        <w:tblStyle w:val="MWTableGrid"/>
        <w:tblW w:w="5000" w:type="pct"/>
        <w:tblLook w:val="0420" w:firstRow="1" w:lastRow="0" w:firstColumn="0" w:lastColumn="0" w:noHBand="0" w:noVBand="1"/>
      </w:tblPr>
      <w:tblGrid>
        <w:gridCol w:w="1833"/>
        <w:gridCol w:w="1157"/>
        <w:gridCol w:w="1157"/>
        <w:gridCol w:w="1157"/>
        <w:gridCol w:w="1157"/>
        <w:gridCol w:w="1157"/>
        <w:gridCol w:w="1157"/>
        <w:gridCol w:w="1157"/>
        <w:gridCol w:w="1157"/>
        <w:gridCol w:w="1156"/>
        <w:gridCol w:w="1156"/>
        <w:gridCol w:w="1159"/>
      </w:tblGrid>
      <w:tr w:rsidR="0069661E" w:rsidRPr="006715E4" w14:paraId="5D7814C8" w14:textId="77777777" w:rsidTr="00B46F82">
        <w:trPr>
          <w:cnfStyle w:val="100000000000" w:firstRow="1" w:lastRow="0" w:firstColumn="0" w:lastColumn="0" w:oddVBand="0" w:evenVBand="0" w:oddHBand="0" w:evenHBand="0" w:firstRowFirstColumn="0" w:firstRowLastColumn="0" w:lastRowFirstColumn="0" w:lastRowLastColumn="0"/>
        </w:trPr>
        <w:tc>
          <w:tcPr>
            <w:tcW w:w="629" w:type="pct"/>
          </w:tcPr>
          <w:p w14:paraId="6FDFAF69" w14:textId="77777777" w:rsidR="00046BD5" w:rsidRPr="006715E4" w:rsidRDefault="00046BD5" w:rsidP="00ED094E">
            <w:pPr>
              <w:pStyle w:val="TableHeading"/>
              <w:rPr>
                <w:szCs w:val="16"/>
              </w:rPr>
            </w:pPr>
          </w:p>
        </w:tc>
        <w:tc>
          <w:tcPr>
            <w:tcW w:w="397" w:type="pct"/>
          </w:tcPr>
          <w:p w14:paraId="73593E8F" w14:textId="77777777" w:rsidR="00046BD5" w:rsidRPr="006715E4" w:rsidRDefault="00046BD5" w:rsidP="00ED094E">
            <w:pPr>
              <w:pStyle w:val="TableHeading"/>
              <w:rPr>
                <w:szCs w:val="16"/>
              </w:rPr>
            </w:pPr>
            <w:r w:rsidRPr="006715E4">
              <w:rPr>
                <w:szCs w:val="16"/>
              </w:rPr>
              <w:t>2025-26</w:t>
            </w:r>
          </w:p>
        </w:tc>
        <w:tc>
          <w:tcPr>
            <w:tcW w:w="397" w:type="pct"/>
          </w:tcPr>
          <w:p w14:paraId="41C1F80C" w14:textId="77777777" w:rsidR="00046BD5" w:rsidRPr="006715E4" w:rsidRDefault="00046BD5" w:rsidP="00ED094E">
            <w:pPr>
              <w:pStyle w:val="TableHeading"/>
              <w:rPr>
                <w:szCs w:val="16"/>
              </w:rPr>
            </w:pPr>
            <w:r w:rsidRPr="006715E4">
              <w:rPr>
                <w:szCs w:val="16"/>
              </w:rPr>
              <w:t>2026-27</w:t>
            </w:r>
          </w:p>
        </w:tc>
        <w:tc>
          <w:tcPr>
            <w:tcW w:w="397" w:type="pct"/>
          </w:tcPr>
          <w:p w14:paraId="4955C731" w14:textId="77777777" w:rsidR="00046BD5" w:rsidRPr="006715E4" w:rsidRDefault="00046BD5" w:rsidP="00ED094E">
            <w:pPr>
              <w:pStyle w:val="TableHeading"/>
              <w:rPr>
                <w:szCs w:val="16"/>
              </w:rPr>
            </w:pPr>
            <w:r w:rsidRPr="006715E4">
              <w:rPr>
                <w:szCs w:val="16"/>
              </w:rPr>
              <w:t>2027-28</w:t>
            </w:r>
          </w:p>
        </w:tc>
        <w:tc>
          <w:tcPr>
            <w:tcW w:w="397" w:type="pct"/>
          </w:tcPr>
          <w:p w14:paraId="7AC76CAD" w14:textId="77777777" w:rsidR="00046BD5" w:rsidRPr="006715E4" w:rsidRDefault="00046BD5" w:rsidP="00ED094E">
            <w:pPr>
              <w:pStyle w:val="TableHeading"/>
              <w:rPr>
                <w:szCs w:val="16"/>
              </w:rPr>
            </w:pPr>
            <w:r w:rsidRPr="006715E4">
              <w:rPr>
                <w:szCs w:val="16"/>
              </w:rPr>
              <w:t>2028-29</w:t>
            </w:r>
          </w:p>
        </w:tc>
        <w:tc>
          <w:tcPr>
            <w:tcW w:w="397" w:type="pct"/>
          </w:tcPr>
          <w:p w14:paraId="4FA12CCC" w14:textId="77777777" w:rsidR="00046BD5" w:rsidRPr="006715E4" w:rsidRDefault="00046BD5" w:rsidP="00ED094E">
            <w:pPr>
              <w:pStyle w:val="TableHeading"/>
              <w:rPr>
                <w:szCs w:val="16"/>
              </w:rPr>
            </w:pPr>
            <w:r w:rsidRPr="006715E4">
              <w:rPr>
                <w:szCs w:val="16"/>
              </w:rPr>
              <w:t>2029-30</w:t>
            </w:r>
          </w:p>
        </w:tc>
        <w:tc>
          <w:tcPr>
            <w:tcW w:w="397" w:type="pct"/>
          </w:tcPr>
          <w:p w14:paraId="75406300" w14:textId="77777777" w:rsidR="00046BD5" w:rsidRPr="006715E4" w:rsidRDefault="00046BD5" w:rsidP="00ED094E">
            <w:pPr>
              <w:pStyle w:val="TableHeading"/>
              <w:rPr>
                <w:szCs w:val="16"/>
              </w:rPr>
            </w:pPr>
            <w:r w:rsidRPr="006715E4">
              <w:rPr>
                <w:szCs w:val="16"/>
              </w:rPr>
              <w:t>2030-31</w:t>
            </w:r>
          </w:p>
        </w:tc>
        <w:tc>
          <w:tcPr>
            <w:tcW w:w="397" w:type="pct"/>
          </w:tcPr>
          <w:p w14:paraId="4222EF7C" w14:textId="77777777" w:rsidR="00046BD5" w:rsidRPr="006715E4" w:rsidRDefault="00046BD5" w:rsidP="00ED094E">
            <w:pPr>
              <w:pStyle w:val="TableHeading"/>
              <w:rPr>
                <w:szCs w:val="16"/>
              </w:rPr>
            </w:pPr>
            <w:r w:rsidRPr="006715E4">
              <w:rPr>
                <w:szCs w:val="16"/>
              </w:rPr>
              <w:t>2031-32</w:t>
            </w:r>
          </w:p>
        </w:tc>
        <w:tc>
          <w:tcPr>
            <w:tcW w:w="397" w:type="pct"/>
          </w:tcPr>
          <w:p w14:paraId="514A44E2" w14:textId="77777777" w:rsidR="00046BD5" w:rsidRPr="006715E4" w:rsidRDefault="00046BD5" w:rsidP="00ED094E">
            <w:pPr>
              <w:pStyle w:val="TableHeading"/>
              <w:rPr>
                <w:szCs w:val="16"/>
              </w:rPr>
            </w:pPr>
            <w:r w:rsidRPr="006715E4">
              <w:rPr>
                <w:szCs w:val="16"/>
              </w:rPr>
              <w:t>2032-33</w:t>
            </w:r>
          </w:p>
        </w:tc>
        <w:tc>
          <w:tcPr>
            <w:tcW w:w="397" w:type="pct"/>
          </w:tcPr>
          <w:p w14:paraId="29416DF7" w14:textId="77777777" w:rsidR="00046BD5" w:rsidRPr="006715E4" w:rsidRDefault="00046BD5" w:rsidP="00ED094E">
            <w:pPr>
              <w:pStyle w:val="TableHeading"/>
              <w:rPr>
                <w:szCs w:val="16"/>
              </w:rPr>
            </w:pPr>
            <w:r w:rsidRPr="006715E4">
              <w:rPr>
                <w:szCs w:val="16"/>
              </w:rPr>
              <w:t>2033-34</w:t>
            </w:r>
          </w:p>
        </w:tc>
        <w:tc>
          <w:tcPr>
            <w:tcW w:w="397" w:type="pct"/>
          </w:tcPr>
          <w:p w14:paraId="4E246ABB" w14:textId="77777777" w:rsidR="00046BD5" w:rsidRPr="006715E4" w:rsidRDefault="00046BD5" w:rsidP="00ED094E">
            <w:pPr>
              <w:pStyle w:val="TableHeading"/>
              <w:rPr>
                <w:szCs w:val="16"/>
              </w:rPr>
            </w:pPr>
            <w:r w:rsidRPr="006715E4">
              <w:rPr>
                <w:szCs w:val="16"/>
              </w:rPr>
              <w:t>2034-35</w:t>
            </w:r>
          </w:p>
        </w:tc>
        <w:tc>
          <w:tcPr>
            <w:tcW w:w="398" w:type="pct"/>
          </w:tcPr>
          <w:p w14:paraId="661F6524" w14:textId="77777777" w:rsidR="00046BD5" w:rsidRPr="006715E4" w:rsidRDefault="00046BD5" w:rsidP="00ED094E">
            <w:pPr>
              <w:pStyle w:val="TableHeading"/>
              <w:rPr>
                <w:szCs w:val="16"/>
              </w:rPr>
            </w:pPr>
            <w:r w:rsidRPr="006715E4">
              <w:rPr>
                <w:szCs w:val="16"/>
              </w:rPr>
              <w:t>2035-36</w:t>
            </w:r>
          </w:p>
        </w:tc>
      </w:tr>
      <w:tr w:rsidR="006715E4" w:rsidRPr="006715E4" w14:paraId="4F121538" w14:textId="77777777" w:rsidTr="00ED094E">
        <w:tc>
          <w:tcPr>
            <w:tcW w:w="629" w:type="pct"/>
          </w:tcPr>
          <w:p w14:paraId="62C21C6A" w14:textId="77777777" w:rsidR="006715E4" w:rsidRPr="006715E4" w:rsidRDefault="006715E4" w:rsidP="006715E4">
            <w:pPr>
              <w:pStyle w:val="TableText"/>
              <w:rPr>
                <w:b/>
                <w:szCs w:val="16"/>
              </w:rPr>
            </w:pPr>
            <w:r w:rsidRPr="006715E4">
              <w:rPr>
                <w:b/>
                <w:szCs w:val="16"/>
              </w:rPr>
              <w:t>Opening value</w:t>
            </w:r>
          </w:p>
        </w:tc>
        <w:tc>
          <w:tcPr>
            <w:tcW w:w="397" w:type="pct"/>
            <w:vAlign w:val="center"/>
          </w:tcPr>
          <w:p w14:paraId="4BC8ED97" w14:textId="76B412AB" w:rsidR="006715E4" w:rsidRPr="006715E4" w:rsidRDefault="006715E4" w:rsidP="006715E4">
            <w:pPr>
              <w:pStyle w:val="TableText"/>
              <w:rPr>
                <w:b/>
                <w:bCs/>
                <w:szCs w:val="16"/>
              </w:rPr>
            </w:pPr>
            <w:r w:rsidRPr="006715E4">
              <w:rPr>
                <w:rFonts w:cs="Tahoma"/>
                <w:b/>
                <w:bCs/>
                <w:szCs w:val="16"/>
              </w:rPr>
              <w:t xml:space="preserve"> 6,347.9 </w:t>
            </w:r>
          </w:p>
        </w:tc>
        <w:tc>
          <w:tcPr>
            <w:tcW w:w="397" w:type="pct"/>
            <w:vAlign w:val="center"/>
          </w:tcPr>
          <w:p w14:paraId="764FA6F3" w14:textId="43E450DC" w:rsidR="006715E4" w:rsidRPr="006715E4" w:rsidRDefault="006715E4" w:rsidP="006715E4">
            <w:pPr>
              <w:pStyle w:val="TableText"/>
              <w:rPr>
                <w:b/>
                <w:bCs/>
                <w:szCs w:val="16"/>
              </w:rPr>
            </w:pPr>
            <w:r w:rsidRPr="006715E4">
              <w:rPr>
                <w:rFonts w:cs="Tahoma"/>
                <w:b/>
                <w:bCs/>
                <w:szCs w:val="16"/>
              </w:rPr>
              <w:t xml:space="preserve"> 6,485.0 </w:t>
            </w:r>
          </w:p>
        </w:tc>
        <w:tc>
          <w:tcPr>
            <w:tcW w:w="397" w:type="pct"/>
            <w:vAlign w:val="center"/>
          </w:tcPr>
          <w:p w14:paraId="68C4A419" w14:textId="5704F20B" w:rsidR="006715E4" w:rsidRPr="006715E4" w:rsidRDefault="006715E4" w:rsidP="006715E4">
            <w:pPr>
              <w:pStyle w:val="TableText"/>
              <w:rPr>
                <w:b/>
                <w:bCs/>
                <w:szCs w:val="16"/>
              </w:rPr>
            </w:pPr>
            <w:r w:rsidRPr="006715E4">
              <w:rPr>
                <w:rFonts w:cs="Tahoma"/>
                <w:b/>
                <w:bCs/>
                <w:szCs w:val="16"/>
              </w:rPr>
              <w:t xml:space="preserve"> 6,700.3 </w:t>
            </w:r>
          </w:p>
        </w:tc>
        <w:tc>
          <w:tcPr>
            <w:tcW w:w="397" w:type="pct"/>
            <w:vAlign w:val="center"/>
          </w:tcPr>
          <w:p w14:paraId="5AD83B9B" w14:textId="1EBCFE12" w:rsidR="006715E4" w:rsidRPr="006715E4" w:rsidRDefault="006715E4" w:rsidP="006715E4">
            <w:pPr>
              <w:pStyle w:val="TableText"/>
              <w:rPr>
                <w:b/>
                <w:bCs/>
                <w:szCs w:val="16"/>
              </w:rPr>
            </w:pPr>
            <w:r w:rsidRPr="006715E4">
              <w:rPr>
                <w:rFonts w:cs="Tahoma"/>
                <w:b/>
                <w:bCs/>
                <w:szCs w:val="16"/>
              </w:rPr>
              <w:t xml:space="preserve"> 7,127.6 </w:t>
            </w:r>
          </w:p>
        </w:tc>
        <w:tc>
          <w:tcPr>
            <w:tcW w:w="397" w:type="pct"/>
            <w:vAlign w:val="center"/>
          </w:tcPr>
          <w:p w14:paraId="3473920F" w14:textId="66FD4CBE" w:rsidR="006715E4" w:rsidRPr="006715E4" w:rsidRDefault="006715E4" w:rsidP="006715E4">
            <w:pPr>
              <w:pStyle w:val="TableText"/>
              <w:rPr>
                <w:b/>
                <w:bCs/>
                <w:szCs w:val="16"/>
              </w:rPr>
            </w:pPr>
            <w:r w:rsidRPr="006715E4">
              <w:rPr>
                <w:rFonts w:cs="Tahoma"/>
                <w:b/>
                <w:bCs/>
                <w:szCs w:val="16"/>
              </w:rPr>
              <w:t xml:space="preserve"> 7,687.8 </w:t>
            </w:r>
          </w:p>
        </w:tc>
        <w:tc>
          <w:tcPr>
            <w:tcW w:w="397" w:type="pct"/>
            <w:vAlign w:val="center"/>
          </w:tcPr>
          <w:p w14:paraId="50B720BD" w14:textId="2DC6A10B" w:rsidR="006715E4" w:rsidRPr="006715E4" w:rsidRDefault="006715E4" w:rsidP="006715E4">
            <w:pPr>
              <w:pStyle w:val="TableText"/>
              <w:rPr>
                <w:b/>
                <w:bCs/>
                <w:szCs w:val="16"/>
              </w:rPr>
            </w:pPr>
            <w:r w:rsidRPr="006715E4">
              <w:rPr>
                <w:rFonts w:cs="Tahoma"/>
                <w:b/>
                <w:bCs/>
                <w:szCs w:val="16"/>
              </w:rPr>
              <w:t xml:space="preserve"> 8,227.7 </w:t>
            </w:r>
          </w:p>
        </w:tc>
        <w:tc>
          <w:tcPr>
            <w:tcW w:w="397" w:type="pct"/>
            <w:vAlign w:val="center"/>
          </w:tcPr>
          <w:p w14:paraId="1C6FE3F4" w14:textId="4A92759F" w:rsidR="006715E4" w:rsidRPr="006715E4" w:rsidRDefault="006715E4" w:rsidP="006715E4">
            <w:pPr>
              <w:pStyle w:val="TableText"/>
              <w:rPr>
                <w:rFonts w:cs="Tahoma"/>
                <w:b/>
                <w:bCs/>
                <w:szCs w:val="16"/>
              </w:rPr>
            </w:pPr>
            <w:r w:rsidRPr="006715E4">
              <w:rPr>
                <w:rFonts w:cs="Tahoma"/>
                <w:b/>
                <w:bCs/>
                <w:szCs w:val="16"/>
              </w:rPr>
              <w:t xml:space="preserve"> 8,819.8 </w:t>
            </w:r>
          </w:p>
        </w:tc>
        <w:tc>
          <w:tcPr>
            <w:tcW w:w="397" w:type="pct"/>
            <w:vAlign w:val="center"/>
          </w:tcPr>
          <w:p w14:paraId="0B88D3B2" w14:textId="6258520C" w:rsidR="006715E4" w:rsidRPr="006715E4" w:rsidRDefault="006715E4" w:rsidP="006715E4">
            <w:pPr>
              <w:pStyle w:val="TableText"/>
              <w:rPr>
                <w:rFonts w:cs="Tahoma"/>
                <w:b/>
                <w:bCs/>
                <w:szCs w:val="16"/>
              </w:rPr>
            </w:pPr>
            <w:r w:rsidRPr="006715E4">
              <w:rPr>
                <w:rFonts w:cs="Tahoma"/>
                <w:b/>
                <w:bCs/>
                <w:szCs w:val="16"/>
              </w:rPr>
              <w:t xml:space="preserve"> 9,420.9 </w:t>
            </w:r>
          </w:p>
        </w:tc>
        <w:tc>
          <w:tcPr>
            <w:tcW w:w="397" w:type="pct"/>
            <w:vAlign w:val="center"/>
          </w:tcPr>
          <w:p w14:paraId="1B2E1527" w14:textId="3626A39D" w:rsidR="006715E4" w:rsidRPr="006715E4" w:rsidRDefault="006715E4" w:rsidP="006715E4">
            <w:pPr>
              <w:pStyle w:val="TableText"/>
              <w:rPr>
                <w:rFonts w:cs="Tahoma"/>
                <w:b/>
                <w:bCs/>
                <w:szCs w:val="16"/>
              </w:rPr>
            </w:pPr>
            <w:r w:rsidRPr="006715E4">
              <w:rPr>
                <w:rFonts w:cs="Tahoma"/>
                <w:b/>
                <w:bCs/>
                <w:szCs w:val="16"/>
              </w:rPr>
              <w:t xml:space="preserve"> 10,233.9 </w:t>
            </w:r>
          </w:p>
        </w:tc>
        <w:tc>
          <w:tcPr>
            <w:tcW w:w="397" w:type="pct"/>
            <w:vAlign w:val="center"/>
          </w:tcPr>
          <w:p w14:paraId="51EE4991" w14:textId="046C4866" w:rsidR="006715E4" w:rsidRPr="006715E4" w:rsidRDefault="006715E4" w:rsidP="006715E4">
            <w:pPr>
              <w:pStyle w:val="TableText"/>
              <w:rPr>
                <w:rFonts w:cs="Tahoma"/>
                <w:b/>
                <w:bCs/>
                <w:szCs w:val="16"/>
              </w:rPr>
            </w:pPr>
            <w:r w:rsidRPr="006715E4">
              <w:rPr>
                <w:rFonts w:cs="Tahoma"/>
                <w:b/>
                <w:bCs/>
                <w:szCs w:val="16"/>
              </w:rPr>
              <w:t xml:space="preserve"> 11,120.8 </w:t>
            </w:r>
          </w:p>
        </w:tc>
        <w:tc>
          <w:tcPr>
            <w:tcW w:w="398" w:type="pct"/>
            <w:vAlign w:val="center"/>
          </w:tcPr>
          <w:p w14:paraId="3D8915B2" w14:textId="3B7922C1" w:rsidR="006715E4" w:rsidRPr="006715E4" w:rsidRDefault="006715E4" w:rsidP="006715E4">
            <w:pPr>
              <w:pStyle w:val="TableText"/>
              <w:rPr>
                <w:rFonts w:cs="Tahoma"/>
                <w:b/>
                <w:bCs/>
                <w:szCs w:val="16"/>
              </w:rPr>
            </w:pPr>
            <w:r w:rsidRPr="006715E4">
              <w:rPr>
                <w:rFonts w:cs="Tahoma"/>
                <w:b/>
                <w:bCs/>
                <w:szCs w:val="16"/>
              </w:rPr>
              <w:t xml:space="preserve"> 12,044.2 </w:t>
            </w:r>
          </w:p>
        </w:tc>
      </w:tr>
      <w:tr w:rsidR="0069661E" w:rsidRPr="006715E4" w14:paraId="61B71E24"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03C4F118" w14:textId="77777777" w:rsidR="006715E4" w:rsidRPr="006715E4" w:rsidRDefault="006715E4" w:rsidP="006715E4">
            <w:pPr>
              <w:pStyle w:val="TableText"/>
              <w:rPr>
                <w:szCs w:val="16"/>
              </w:rPr>
            </w:pPr>
            <w:r w:rsidRPr="006715E4">
              <w:rPr>
                <w:szCs w:val="16"/>
              </w:rPr>
              <w:t>Plus gross capex</w:t>
            </w:r>
          </w:p>
        </w:tc>
        <w:tc>
          <w:tcPr>
            <w:tcW w:w="397" w:type="pct"/>
            <w:vAlign w:val="center"/>
          </w:tcPr>
          <w:p w14:paraId="3561E0D7" w14:textId="77777777" w:rsidR="006715E4" w:rsidRPr="006715E4" w:rsidRDefault="006715E4" w:rsidP="006715E4">
            <w:pPr>
              <w:pStyle w:val="TableText"/>
              <w:rPr>
                <w:szCs w:val="16"/>
              </w:rPr>
            </w:pPr>
            <w:r w:rsidRPr="006715E4">
              <w:rPr>
                <w:rFonts w:cs="Tahoma"/>
                <w:szCs w:val="16"/>
              </w:rPr>
              <w:t xml:space="preserve"> 155.6 </w:t>
            </w:r>
          </w:p>
        </w:tc>
        <w:tc>
          <w:tcPr>
            <w:tcW w:w="397" w:type="pct"/>
            <w:vAlign w:val="center"/>
          </w:tcPr>
          <w:p w14:paraId="06FB57A6" w14:textId="77777777" w:rsidR="006715E4" w:rsidRPr="006715E4" w:rsidRDefault="006715E4" w:rsidP="006715E4">
            <w:pPr>
              <w:pStyle w:val="TableText"/>
              <w:rPr>
                <w:szCs w:val="16"/>
              </w:rPr>
            </w:pPr>
            <w:r w:rsidRPr="006715E4">
              <w:rPr>
                <w:rFonts w:cs="Tahoma"/>
                <w:szCs w:val="16"/>
              </w:rPr>
              <w:t xml:space="preserve"> 238.4 </w:t>
            </w:r>
          </w:p>
        </w:tc>
        <w:tc>
          <w:tcPr>
            <w:tcW w:w="397" w:type="pct"/>
            <w:vAlign w:val="center"/>
          </w:tcPr>
          <w:p w14:paraId="735E2FFA" w14:textId="77777777" w:rsidR="006715E4" w:rsidRPr="006715E4" w:rsidRDefault="006715E4" w:rsidP="006715E4">
            <w:pPr>
              <w:pStyle w:val="TableText"/>
              <w:rPr>
                <w:szCs w:val="16"/>
              </w:rPr>
            </w:pPr>
            <w:r w:rsidRPr="006715E4">
              <w:rPr>
                <w:rFonts w:cs="Tahoma"/>
                <w:szCs w:val="16"/>
              </w:rPr>
              <w:t xml:space="preserve"> 427.9 </w:t>
            </w:r>
          </w:p>
        </w:tc>
        <w:tc>
          <w:tcPr>
            <w:tcW w:w="397" w:type="pct"/>
            <w:vAlign w:val="center"/>
          </w:tcPr>
          <w:p w14:paraId="7F637E41" w14:textId="77777777" w:rsidR="006715E4" w:rsidRPr="006715E4" w:rsidRDefault="006715E4" w:rsidP="006715E4">
            <w:pPr>
              <w:pStyle w:val="TableText"/>
              <w:rPr>
                <w:szCs w:val="16"/>
              </w:rPr>
            </w:pPr>
            <w:r w:rsidRPr="006715E4">
              <w:rPr>
                <w:rFonts w:cs="Tahoma"/>
                <w:szCs w:val="16"/>
              </w:rPr>
              <w:t xml:space="preserve"> 544.9 </w:t>
            </w:r>
          </w:p>
        </w:tc>
        <w:tc>
          <w:tcPr>
            <w:tcW w:w="397" w:type="pct"/>
            <w:vAlign w:val="center"/>
          </w:tcPr>
          <w:p w14:paraId="26EF8E4F" w14:textId="77777777" w:rsidR="006715E4" w:rsidRPr="006715E4" w:rsidRDefault="006715E4" w:rsidP="006715E4">
            <w:pPr>
              <w:pStyle w:val="TableText"/>
              <w:rPr>
                <w:szCs w:val="16"/>
              </w:rPr>
            </w:pPr>
            <w:r w:rsidRPr="006715E4">
              <w:rPr>
                <w:rFonts w:cs="Tahoma"/>
                <w:szCs w:val="16"/>
              </w:rPr>
              <w:t xml:space="preserve"> 508.3 </w:t>
            </w:r>
          </w:p>
        </w:tc>
        <w:tc>
          <w:tcPr>
            <w:tcW w:w="397" w:type="pct"/>
            <w:vAlign w:val="center"/>
          </w:tcPr>
          <w:p w14:paraId="4F332891" w14:textId="77777777" w:rsidR="006715E4" w:rsidRPr="006715E4" w:rsidRDefault="006715E4" w:rsidP="006715E4">
            <w:pPr>
              <w:pStyle w:val="TableText"/>
              <w:rPr>
                <w:szCs w:val="16"/>
              </w:rPr>
            </w:pPr>
            <w:r w:rsidRPr="006715E4">
              <w:rPr>
                <w:rFonts w:cs="Tahoma"/>
                <w:szCs w:val="16"/>
              </w:rPr>
              <w:t xml:space="preserve"> 553.5 </w:t>
            </w:r>
          </w:p>
        </w:tc>
        <w:tc>
          <w:tcPr>
            <w:tcW w:w="397" w:type="pct"/>
            <w:vAlign w:val="center"/>
          </w:tcPr>
          <w:p w14:paraId="78A82188" w14:textId="77777777" w:rsidR="006715E4" w:rsidRPr="006715E4" w:rsidRDefault="006715E4" w:rsidP="006715E4">
            <w:pPr>
              <w:pStyle w:val="TableText"/>
              <w:rPr>
                <w:rFonts w:cs="Tahoma"/>
                <w:szCs w:val="16"/>
              </w:rPr>
            </w:pPr>
            <w:r w:rsidRPr="006715E4">
              <w:rPr>
                <w:rFonts w:cs="Tahoma"/>
                <w:szCs w:val="16"/>
              </w:rPr>
              <w:t xml:space="preserve"> 557.3 </w:t>
            </w:r>
          </w:p>
        </w:tc>
        <w:tc>
          <w:tcPr>
            <w:tcW w:w="397" w:type="pct"/>
            <w:vAlign w:val="center"/>
          </w:tcPr>
          <w:p w14:paraId="651B5CF5" w14:textId="77777777" w:rsidR="006715E4" w:rsidRPr="006715E4" w:rsidRDefault="006715E4" w:rsidP="006715E4">
            <w:pPr>
              <w:pStyle w:val="TableText"/>
              <w:rPr>
                <w:rFonts w:cs="Tahoma"/>
                <w:szCs w:val="16"/>
              </w:rPr>
            </w:pPr>
            <w:r w:rsidRPr="006715E4">
              <w:rPr>
                <w:rFonts w:cs="Tahoma"/>
                <w:szCs w:val="16"/>
              </w:rPr>
              <w:t xml:space="preserve"> 766.0 </w:t>
            </w:r>
          </w:p>
        </w:tc>
        <w:tc>
          <w:tcPr>
            <w:tcW w:w="397" w:type="pct"/>
            <w:vAlign w:val="center"/>
          </w:tcPr>
          <w:p w14:paraId="65CA1B43" w14:textId="77777777" w:rsidR="006715E4" w:rsidRPr="006715E4" w:rsidRDefault="006715E4" w:rsidP="006715E4">
            <w:pPr>
              <w:pStyle w:val="TableText"/>
              <w:rPr>
                <w:rFonts w:cs="Tahoma"/>
                <w:szCs w:val="16"/>
              </w:rPr>
            </w:pPr>
            <w:r w:rsidRPr="006715E4">
              <w:rPr>
                <w:rFonts w:cs="Tahoma"/>
                <w:szCs w:val="16"/>
              </w:rPr>
              <w:t xml:space="preserve"> 839.7 </w:t>
            </w:r>
          </w:p>
        </w:tc>
        <w:tc>
          <w:tcPr>
            <w:tcW w:w="397" w:type="pct"/>
            <w:vAlign w:val="center"/>
          </w:tcPr>
          <w:p w14:paraId="1584C7A3" w14:textId="77777777" w:rsidR="006715E4" w:rsidRPr="006715E4" w:rsidRDefault="006715E4" w:rsidP="006715E4">
            <w:pPr>
              <w:pStyle w:val="TableText"/>
              <w:rPr>
                <w:rFonts w:cs="Tahoma"/>
                <w:szCs w:val="16"/>
              </w:rPr>
            </w:pPr>
            <w:r w:rsidRPr="006715E4">
              <w:rPr>
                <w:rFonts w:cs="Tahoma"/>
                <w:szCs w:val="16"/>
              </w:rPr>
              <w:t xml:space="preserve"> 873.5 </w:t>
            </w:r>
          </w:p>
        </w:tc>
        <w:tc>
          <w:tcPr>
            <w:tcW w:w="398" w:type="pct"/>
            <w:vAlign w:val="center"/>
          </w:tcPr>
          <w:p w14:paraId="21EB7A14" w14:textId="77777777" w:rsidR="006715E4" w:rsidRPr="006715E4" w:rsidRDefault="006715E4" w:rsidP="006715E4">
            <w:pPr>
              <w:pStyle w:val="TableText"/>
              <w:rPr>
                <w:rFonts w:cs="Tahoma"/>
                <w:szCs w:val="16"/>
              </w:rPr>
            </w:pPr>
            <w:r w:rsidRPr="006715E4">
              <w:rPr>
                <w:rFonts w:cs="Tahoma"/>
                <w:szCs w:val="16"/>
              </w:rPr>
              <w:t xml:space="preserve"> 735.7 </w:t>
            </w:r>
          </w:p>
        </w:tc>
      </w:tr>
      <w:tr w:rsidR="006715E4" w:rsidRPr="006715E4" w14:paraId="13595917" w14:textId="77777777" w:rsidTr="00ED094E">
        <w:tc>
          <w:tcPr>
            <w:tcW w:w="629" w:type="pct"/>
          </w:tcPr>
          <w:p w14:paraId="490C32DB" w14:textId="77777777" w:rsidR="006715E4" w:rsidRPr="006715E4" w:rsidRDefault="006715E4" w:rsidP="006715E4">
            <w:pPr>
              <w:pStyle w:val="TableText"/>
              <w:rPr>
                <w:szCs w:val="16"/>
              </w:rPr>
            </w:pPr>
            <w:r w:rsidRPr="006715E4">
              <w:rPr>
                <w:szCs w:val="16"/>
              </w:rPr>
              <w:t>Plus VDP capitalisation</w:t>
            </w:r>
          </w:p>
        </w:tc>
        <w:tc>
          <w:tcPr>
            <w:tcW w:w="397" w:type="pct"/>
            <w:vAlign w:val="center"/>
          </w:tcPr>
          <w:p w14:paraId="7407C4FC" w14:textId="77777777" w:rsidR="006715E4" w:rsidRPr="006715E4" w:rsidRDefault="006715E4" w:rsidP="006715E4">
            <w:pPr>
              <w:pStyle w:val="TableText"/>
              <w:rPr>
                <w:szCs w:val="16"/>
              </w:rPr>
            </w:pPr>
            <w:r w:rsidRPr="006715E4">
              <w:rPr>
                <w:rFonts w:cs="Tahoma"/>
                <w:szCs w:val="16"/>
              </w:rPr>
              <w:t xml:space="preserve"> 75.9 </w:t>
            </w:r>
          </w:p>
        </w:tc>
        <w:tc>
          <w:tcPr>
            <w:tcW w:w="397" w:type="pct"/>
            <w:vAlign w:val="center"/>
          </w:tcPr>
          <w:p w14:paraId="691CF80C" w14:textId="77777777" w:rsidR="006715E4" w:rsidRPr="006715E4" w:rsidRDefault="006715E4" w:rsidP="006715E4">
            <w:pPr>
              <w:pStyle w:val="TableText"/>
              <w:rPr>
                <w:szCs w:val="16"/>
              </w:rPr>
            </w:pPr>
            <w:r w:rsidRPr="006715E4">
              <w:rPr>
                <w:rFonts w:cs="Tahoma"/>
                <w:szCs w:val="16"/>
              </w:rPr>
              <w:t xml:space="preserve"> 80.6 </w:t>
            </w:r>
          </w:p>
        </w:tc>
        <w:tc>
          <w:tcPr>
            <w:tcW w:w="397" w:type="pct"/>
            <w:vAlign w:val="center"/>
          </w:tcPr>
          <w:p w14:paraId="1764D1FB" w14:textId="77777777" w:rsidR="006715E4" w:rsidRPr="006715E4" w:rsidRDefault="006715E4" w:rsidP="006715E4">
            <w:pPr>
              <w:pStyle w:val="TableText"/>
              <w:rPr>
                <w:szCs w:val="16"/>
              </w:rPr>
            </w:pPr>
            <w:r w:rsidRPr="006715E4">
              <w:rPr>
                <w:rFonts w:cs="Tahoma"/>
                <w:szCs w:val="16"/>
              </w:rPr>
              <w:t xml:space="preserve"> 112.3 </w:t>
            </w:r>
          </w:p>
        </w:tc>
        <w:tc>
          <w:tcPr>
            <w:tcW w:w="397" w:type="pct"/>
            <w:vAlign w:val="center"/>
          </w:tcPr>
          <w:p w14:paraId="11D85A0F" w14:textId="77777777" w:rsidR="006715E4" w:rsidRPr="006715E4" w:rsidRDefault="006715E4" w:rsidP="006715E4">
            <w:pPr>
              <w:pStyle w:val="TableText"/>
              <w:rPr>
                <w:szCs w:val="16"/>
              </w:rPr>
            </w:pPr>
            <w:r w:rsidRPr="006715E4">
              <w:rPr>
                <w:rFonts w:cs="Tahoma"/>
                <w:szCs w:val="16"/>
              </w:rPr>
              <w:t xml:space="preserve"> 130.0 </w:t>
            </w:r>
          </w:p>
        </w:tc>
        <w:tc>
          <w:tcPr>
            <w:tcW w:w="397" w:type="pct"/>
            <w:vAlign w:val="center"/>
          </w:tcPr>
          <w:p w14:paraId="3403BD0E" w14:textId="77777777" w:rsidR="006715E4" w:rsidRPr="006715E4" w:rsidRDefault="006715E4" w:rsidP="006715E4">
            <w:pPr>
              <w:pStyle w:val="TableText"/>
              <w:rPr>
                <w:szCs w:val="16"/>
              </w:rPr>
            </w:pPr>
            <w:r w:rsidRPr="006715E4">
              <w:rPr>
                <w:rFonts w:cs="Tahoma"/>
                <w:szCs w:val="16"/>
              </w:rPr>
              <w:t xml:space="preserve"> 140.3 </w:t>
            </w:r>
          </w:p>
        </w:tc>
        <w:tc>
          <w:tcPr>
            <w:tcW w:w="397" w:type="pct"/>
            <w:vAlign w:val="center"/>
          </w:tcPr>
          <w:p w14:paraId="0E788021" w14:textId="77777777" w:rsidR="006715E4" w:rsidRPr="006715E4" w:rsidRDefault="006715E4" w:rsidP="006715E4">
            <w:pPr>
              <w:pStyle w:val="TableText"/>
              <w:rPr>
                <w:szCs w:val="16"/>
              </w:rPr>
            </w:pPr>
            <w:r w:rsidRPr="006715E4">
              <w:rPr>
                <w:rFonts w:cs="Tahoma"/>
                <w:szCs w:val="16"/>
              </w:rPr>
              <w:t xml:space="preserve"> 157.9 </w:t>
            </w:r>
          </w:p>
        </w:tc>
        <w:tc>
          <w:tcPr>
            <w:tcW w:w="397" w:type="pct"/>
            <w:vAlign w:val="center"/>
          </w:tcPr>
          <w:p w14:paraId="3FD834C0" w14:textId="77777777" w:rsidR="006715E4" w:rsidRPr="006715E4" w:rsidRDefault="006715E4" w:rsidP="006715E4">
            <w:pPr>
              <w:pStyle w:val="TableText"/>
              <w:rPr>
                <w:rFonts w:cs="Tahoma"/>
                <w:szCs w:val="16"/>
              </w:rPr>
            </w:pPr>
            <w:r w:rsidRPr="006715E4">
              <w:rPr>
                <w:rFonts w:cs="Tahoma"/>
                <w:szCs w:val="16"/>
              </w:rPr>
              <w:t xml:space="preserve"> 175.9 </w:t>
            </w:r>
          </w:p>
        </w:tc>
        <w:tc>
          <w:tcPr>
            <w:tcW w:w="397" w:type="pct"/>
            <w:vAlign w:val="center"/>
          </w:tcPr>
          <w:p w14:paraId="646C7D85" w14:textId="77777777" w:rsidR="006715E4" w:rsidRPr="006715E4" w:rsidRDefault="006715E4" w:rsidP="006715E4">
            <w:pPr>
              <w:pStyle w:val="TableText"/>
              <w:rPr>
                <w:rFonts w:cs="Tahoma"/>
                <w:szCs w:val="16"/>
              </w:rPr>
            </w:pPr>
            <w:r w:rsidRPr="006715E4">
              <w:rPr>
                <w:rFonts w:cs="Tahoma"/>
                <w:szCs w:val="16"/>
              </w:rPr>
              <w:t xml:space="preserve"> 195.5 </w:t>
            </w:r>
          </w:p>
        </w:tc>
        <w:tc>
          <w:tcPr>
            <w:tcW w:w="397" w:type="pct"/>
            <w:vAlign w:val="center"/>
          </w:tcPr>
          <w:p w14:paraId="31183401" w14:textId="77777777" w:rsidR="006715E4" w:rsidRPr="006715E4" w:rsidRDefault="006715E4" w:rsidP="006715E4">
            <w:pPr>
              <w:pStyle w:val="TableText"/>
              <w:rPr>
                <w:rFonts w:cs="Tahoma"/>
                <w:szCs w:val="16"/>
              </w:rPr>
            </w:pPr>
            <w:r w:rsidRPr="006715E4">
              <w:rPr>
                <w:rFonts w:cs="Tahoma"/>
                <w:szCs w:val="16"/>
              </w:rPr>
              <w:t xml:space="preserve"> 215.2 </w:t>
            </w:r>
          </w:p>
        </w:tc>
        <w:tc>
          <w:tcPr>
            <w:tcW w:w="397" w:type="pct"/>
            <w:vAlign w:val="center"/>
          </w:tcPr>
          <w:p w14:paraId="088FD84B" w14:textId="77777777" w:rsidR="006715E4" w:rsidRPr="006715E4" w:rsidRDefault="006715E4" w:rsidP="006715E4">
            <w:pPr>
              <w:pStyle w:val="TableText"/>
              <w:rPr>
                <w:rFonts w:cs="Tahoma"/>
                <w:szCs w:val="16"/>
              </w:rPr>
            </w:pPr>
            <w:r w:rsidRPr="006715E4">
              <w:rPr>
                <w:rFonts w:cs="Tahoma"/>
                <w:szCs w:val="16"/>
              </w:rPr>
              <w:t xml:space="preserve"> 234.9 </w:t>
            </w:r>
          </w:p>
        </w:tc>
        <w:tc>
          <w:tcPr>
            <w:tcW w:w="398" w:type="pct"/>
            <w:vAlign w:val="center"/>
          </w:tcPr>
          <w:p w14:paraId="11696521" w14:textId="77777777" w:rsidR="006715E4" w:rsidRPr="006715E4" w:rsidRDefault="006715E4" w:rsidP="006715E4">
            <w:pPr>
              <w:pStyle w:val="TableText"/>
              <w:rPr>
                <w:rFonts w:cs="Tahoma"/>
                <w:szCs w:val="16"/>
              </w:rPr>
            </w:pPr>
            <w:r w:rsidRPr="006715E4">
              <w:rPr>
                <w:rFonts w:cs="Tahoma"/>
                <w:szCs w:val="16"/>
              </w:rPr>
              <w:t xml:space="preserve"> 255.5 </w:t>
            </w:r>
          </w:p>
        </w:tc>
      </w:tr>
      <w:tr w:rsidR="0069661E" w:rsidRPr="006715E4" w14:paraId="287555D8"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65BB8060" w14:textId="53C1B0A4" w:rsidR="006715E4" w:rsidRPr="006715E4" w:rsidRDefault="006715E4" w:rsidP="006715E4">
            <w:pPr>
              <w:pStyle w:val="TableText"/>
              <w:rPr>
                <w:szCs w:val="16"/>
              </w:rPr>
            </w:pPr>
            <w:r w:rsidRPr="006715E4">
              <w:rPr>
                <w:szCs w:val="16"/>
              </w:rPr>
              <w:t xml:space="preserve">Less </w:t>
            </w:r>
            <w:r w:rsidR="2F81836F">
              <w:t>g</w:t>
            </w:r>
            <w:r>
              <w:t>overnment</w:t>
            </w:r>
            <w:r w:rsidRPr="006715E4">
              <w:rPr>
                <w:szCs w:val="16"/>
              </w:rPr>
              <w:t xml:space="preserve"> contribution </w:t>
            </w:r>
          </w:p>
        </w:tc>
        <w:tc>
          <w:tcPr>
            <w:tcW w:w="397" w:type="pct"/>
            <w:vAlign w:val="center"/>
          </w:tcPr>
          <w:p w14:paraId="6538C57B" w14:textId="77777777" w:rsidR="006715E4" w:rsidRPr="006715E4" w:rsidRDefault="006715E4" w:rsidP="006715E4">
            <w:pPr>
              <w:pStyle w:val="TableText"/>
              <w:rPr>
                <w:szCs w:val="16"/>
              </w:rPr>
            </w:pPr>
            <w:r w:rsidRPr="006715E4">
              <w:rPr>
                <w:rFonts w:cs="Tahoma"/>
                <w:szCs w:val="16"/>
              </w:rPr>
              <w:t xml:space="preserve"> - </w:t>
            </w:r>
          </w:p>
        </w:tc>
        <w:tc>
          <w:tcPr>
            <w:tcW w:w="397" w:type="pct"/>
            <w:vAlign w:val="center"/>
          </w:tcPr>
          <w:p w14:paraId="4DFCDB05" w14:textId="77777777" w:rsidR="006715E4" w:rsidRPr="006715E4" w:rsidRDefault="006715E4" w:rsidP="006715E4">
            <w:pPr>
              <w:pStyle w:val="TableText"/>
              <w:rPr>
                <w:szCs w:val="16"/>
              </w:rPr>
            </w:pPr>
            <w:r w:rsidRPr="006715E4">
              <w:rPr>
                <w:rFonts w:cs="Tahoma"/>
                <w:szCs w:val="16"/>
              </w:rPr>
              <w:t xml:space="preserve"> - </w:t>
            </w:r>
          </w:p>
        </w:tc>
        <w:tc>
          <w:tcPr>
            <w:tcW w:w="397" w:type="pct"/>
            <w:vAlign w:val="center"/>
          </w:tcPr>
          <w:p w14:paraId="786B38C3" w14:textId="77777777" w:rsidR="006715E4" w:rsidRPr="006715E4" w:rsidRDefault="006715E4" w:rsidP="006715E4">
            <w:pPr>
              <w:pStyle w:val="TableText"/>
              <w:rPr>
                <w:szCs w:val="16"/>
              </w:rPr>
            </w:pPr>
            <w:r w:rsidRPr="006715E4">
              <w:rPr>
                <w:rFonts w:cs="Tahoma"/>
                <w:szCs w:val="16"/>
              </w:rPr>
              <w:t xml:space="preserve"> - </w:t>
            </w:r>
          </w:p>
        </w:tc>
        <w:tc>
          <w:tcPr>
            <w:tcW w:w="397" w:type="pct"/>
            <w:vAlign w:val="center"/>
          </w:tcPr>
          <w:p w14:paraId="446D8AE6" w14:textId="77777777" w:rsidR="006715E4" w:rsidRPr="006715E4" w:rsidRDefault="006715E4" w:rsidP="006715E4">
            <w:pPr>
              <w:pStyle w:val="TableText"/>
              <w:rPr>
                <w:szCs w:val="16"/>
              </w:rPr>
            </w:pPr>
            <w:r w:rsidRPr="006715E4">
              <w:rPr>
                <w:rFonts w:cs="Tahoma"/>
                <w:szCs w:val="16"/>
              </w:rPr>
              <w:t xml:space="preserve"> - </w:t>
            </w:r>
          </w:p>
        </w:tc>
        <w:tc>
          <w:tcPr>
            <w:tcW w:w="397" w:type="pct"/>
            <w:vAlign w:val="center"/>
          </w:tcPr>
          <w:p w14:paraId="39766F59" w14:textId="77777777" w:rsidR="006715E4" w:rsidRPr="006715E4" w:rsidRDefault="006715E4" w:rsidP="006715E4">
            <w:pPr>
              <w:pStyle w:val="TableText"/>
              <w:rPr>
                <w:szCs w:val="16"/>
              </w:rPr>
            </w:pPr>
            <w:r w:rsidRPr="006715E4">
              <w:rPr>
                <w:rFonts w:cs="Tahoma"/>
                <w:szCs w:val="16"/>
              </w:rPr>
              <w:t xml:space="preserve"> - </w:t>
            </w:r>
          </w:p>
        </w:tc>
        <w:tc>
          <w:tcPr>
            <w:tcW w:w="397" w:type="pct"/>
            <w:vAlign w:val="center"/>
          </w:tcPr>
          <w:p w14:paraId="0F9A825A" w14:textId="77777777" w:rsidR="006715E4" w:rsidRPr="006715E4" w:rsidRDefault="006715E4" w:rsidP="006715E4">
            <w:pPr>
              <w:pStyle w:val="TableText"/>
              <w:rPr>
                <w:szCs w:val="16"/>
              </w:rPr>
            </w:pPr>
            <w:r w:rsidRPr="006715E4">
              <w:rPr>
                <w:rFonts w:cs="Tahoma"/>
                <w:szCs w:val="16"/>
              </w:rPr>
              <w:t xml:space="preserve"> - </w:t>
            </w:r>
          </w:p>
        </w:tc>
        <w:tc>
          <w:tcPr>
            <w:tcW w:w="397" w:type="pct"/>
            <w:vAlign w:val="center"/>
          </w:tcPr>
          <w:p w14:paraId="35876214" w14:textId="77777777" w:rsidR="006715E4" w:rsidRPr="006715E4" w:rsidRDefault="006715E4" w:rsidP="006715E4">
            <w:pPr>
              <w:pStyle w:val="TableText"/>
              <w:rPr>
                <w:rFonts w:cs="Tahoma"/>
                <w:szCs w:val="16"/>
              </w:rPr>
            </w:pPr>
            <w:r w:rsidRPr="006715E4">
              <w:rPr>
                <w:rFonts w:cs="Tahoma"/>
                <w:szCs w:val="16"/>
              </w:rPr>
              <w:t xml:space="preserve"> - </w:t>
            </w:r>
          </w:p>
        </w:tc>
        <w:tc>
          <w:tcPr>
            <w:tcW w:w="397" w:type="pct"/>
            <w:vAlign w:val="center"/>
          </w:tcPr>
          <w:p w14:paraId="25CA79A0" w14:textId="77777777" w:rsidR="006715E4" w:rsidRPr="006715E4" w:rsidRDefault="006715E4" w:rsidP="006715E4">
            <w:pPr>
              <w:pStyle w:val="TableText"/>
              <w:rPr>
                <w:rFonts w:cs="Tahoma"/>
                <w:szCs w:val="16"/>
              </w:rPr>
            </w:pPr>
            <w:r w:rsidRPr="006715E4">
              <w:rPr>
                <w:rFonts w:cs="Tahoma"/>
                <w:szCs w:val="16"/>
              </w:rPr>
              <w:t xml:space="preserve"> - </w:t>
            </w:r>
          </w:p>
        </w:tc>
        <w:tc>
          <w:tcPr>
            <w:tcW w:w="397" w:type="pct"/>
            <w:vAlign w:val="center"/>
          </w:tcPr>
          <w:p w14:paraId="63A8B93A" w14:textId="77777777" w:rsidR="006715E4" w:rsidRPr="006715E4" w:rsidRDefault="006715E4" w:rsidP="006715E4">
            <w:pPr>
              <w:pStyle w:val="TableText"/>
              <w:rPr>
                <w:rFonts w:cs="Tahoma"/>
                <w:szCs w:val="16"/>
              </w:rPr>
            </w:pPr>
            <w:r w:rsidRPr="006715E4">
              <w:rPr>
                <w:rFonts w:cs="Tahoma"/>
                <w:szCs w:val="16"/>
              </w:rPr>
              <w:t xml:space="preserve"> - </w:t>
            </w:r>
          </w:p>
        </w:tc>
        <w:tc>
          <w:tcPr>
            <w:tcW w:w="397" w:type="pct"/>
            <w:vAlign w:val="center"/>
          </w:tcPr>
          <w:p w14:paraId="5AD6D88F" w14:textId="77777777" w:rsidR="006715E4" w:rsidRPr="006715E4" w:rsidRDefault="006715E4" w:rsidP="006715E4">
            <w:pPr>
              <w:pStyle w:val="TableText"/>
              <w:rPr>
                <w:rFonts w:cs="Tahoma"/>
                <w:szCs w:val="16"/>
              </w:rPr>
            </w:pPr>
            <w:r w:rsidRPr="006715E4">
              <w:rPr>
                <w:rFonts w:cs="Tahoma"/>
                <w:szCs w:val="16"/>
              </w:rPr>
              <w:t xml:space="preserve"> - </w:t>
            </w:r>
          </w:p>
        </w:tc>
        <w:tc>
          <w:tcPr>
            <w:tcW w:w="398" w:type="pct"/>
            <w:vAlign w:val="center"/>
          </w:tcPr>
          <w:p w14:paraId="7F3ED4C4" w14:textId="77777777" w:rsidR="006715E4" w:rsidRPr="006715E4" w:rsidRDefault="006715E4" w:rsidP="006715E4">
            <w:pPr>
              <w:pStyle w:val="TableText"/>
              <w:rPr>
                <w:rFonts w:cs="Tahoma"/>
                <w:szCs w:val="16"/>
              </w:rPr>
            </w:pPr>
            <w:r w:rsidRPr="006715E4">
              <w:rPr>
                <w:rFonts w:cs="Tahoma"/>
                <w:szCs w:val="16"/>
              </w:rPr>
              <w:t xml:space="preserve"> - </w:t>
            </w:r>
          </w:p>
        </w:tc>
      </w:tr>
      <w:tr w:rsidR="006715E4" w:rsidRPr="006715E4" w14:paraId="1D5ACA22" w14:textId="77777777" w:rsidTr="00ED094E">
        <w:tc>
          <w:tcPr>
            <w:tcW w:w="629" w:type="pct"/>
          </w:tcPr>
          <w:p w14:paraId="386B1603" w14:textId="77777777" w:rsidR="006715E4" w:rsidRPr="006715E4" w:rsidRDefault="006715E4" w:rsidP="006715E4">
            <w:pPr>
              <w:pStyle w:val="TableText"/>
              <w:rPr>
                <w:szCs w:val="16"/>
              </w:rPr>
            </w:pPr>
            <w:r w:rsidRPr="006715E4">
              <w:rPr>
                <w:szCs w:val="16"/>
              </w:rPr>
              <w:t>Less customer contribution </w:t>
            </w:r>
          </w:p>
        </w:tc>
        <w:tc>
          <w:tcPr>
            <w:tcW w:w="397" w:type="pct"/>
            <w:vAlign w:val="center"/>
          </w:tcPr>
          <w:p w14:paraId="7F38430F" w14:textId="77777777" w:rsidR="006715E4" w:rsidRPr="006715E4" w:rsidRDefault="006715E4" w:rsidP="006715E4">
            <w:pPr>
              <w:pStyle w:val="TableText"/>
              <w:rPr>
                <w:szCs w:val="16"/>
              </w:rPr>
            </w:pPr>
            <w:r w:rsidRPr="006715E4">
              <w:rPr>
                <w:rFonts w:cs="Tahoma"/>
                <w:szCs w:val="16"/>
              </w:rPr>
              <w:t xml:space="preserve"> - </w:t>
            </w:r>
          </w:p>
        </w:tc>
        <w:tc>
          <w:tcPr>
            <w:tcW w:w="397" w:type="pct"/>
            <w:vAlign w:val="center"/>
          </w:tcPr>
          <w:p w14:paraId="2C718BB7" w14:textId="77777777" w:rsidR="006715E4" w:rsidRPr="006715E4" w:rsidRDefault="006715E4" w:rsidP="006715E4">
            <w:pPr>
              <w:pStyle w:val="TableText"/>
              <w:rPr>
                <w:szCs w:val="16"/>
              </w:rPr>
            </w:pPr>
            <w:r w:rsidRPr="006715E4">
              <w:rPr>
                <w:rFonts w:cs="Tahoma"/>
                <w:szCs w:val="16"/>
              </w:rPr>
              <w:t xml:space="preserve"> - </w:t>
            </w:r>
          </w:p>
        </w:tc>
        <w:tc>
          <w:tcPr>
            <w:tcW w:w="397" w:type="pct"/>
            <w:vAlign w:val="center"/>
          </w:tcPr>
          <w:p w14:paraId="1B09A94D" w14:textId="77777777" w:rsidR="006715E4" w:rsidRPr="006715E4" w:rsidRDefault="006715E4" w:rsidP="006715E4">
            <w:pPr>
              <w:pStyle w:val="TableText"/>
              <w:rPr>
                <w:szCs w:val="16"/>
              </w:rPr>
            </w:pPr>
            <w:r w:rsidRPr="006715E4">
              <w:rPr>
                <w:rFonts w:cs="Tahoma"/>
                <w:szCs w:val="16"/>
              </w:rPr>
              <w:t xml:space="preserve"> - </w:t>
            </w:r>
          </w:p>
        </w:tc>
        <w:tc>
          <w:tcPr>
            <w:tcW w:w="397" w:type="pct"/>
            <w:vAlign w:val="center"/>
          </w:tcPr>
          <w:p w14:paraId="5CB09CD4" w14:textId="77777777" w:rsidR="006715E4" w:rsidRPr="006715E4" w:rsidRDefault="006715E4" w:rsidP="006715E4">
            <w:pPr>
              <w:pStyle w:val="TableText"/>
              <w:rPr>
                <w:szCs w:val="16"/>
              </w:rPr>
            </w:pPr>
            <w:r w:rsidRPr="006715E4">
              <w:rPr>
                <w:rFonts w:cs="Tahoma"/>
                <w:szCs w:val="16"/>
              </w:rPr>
              <w:t xml:space="preserve"> - </w:t>
            </w:r>
          </w:p>
        </w:tc>
        <w:tc>
          <w:tcPr>
            <w:tcW w:w="397" w:type="pct"/>
            <w:vAlign w:val="center"/>
          </w:tcPr>
          <w:p w14:paraId="7E7D5125" w14:textId="77777777" w:rsidR="006715E4" w:rsidRPr="006715E4" w:rsidRDefault="006715E4" w:rsidP="006715E4">
            <w:pPr>
              <w:pStyle w:val="TableText"/>
              <w:rPr>
                <w:szCs w:val="16"/>
              </w:rPr>
            </w:pPr>
            <w:r w:rsidRPr="006715E4">
              <w:rPr>
                <w:rFonts w:cs="Tahoma"/>
                <w:szCs w:val="16"/>
              </w:rPr>
              <w:t xml:space="preserve"> - </w:t>
            </w:r>
          </w:p>
        </w:tc>
        <w:tc>
          <w:tcPr>
            <w:tcW w:w="397" w:type="pct"/>
            <w:vAlign w:val="center"/>
          </w:tcPr>
          <w:p w14:paraId="289EFA5E" w14:textId="77777777" w:rsidR="006715E4" w:rsidRPr="006715E4" w:rsidRDefault="006715E4" w:rsidP="006715E4">
            <w:pPr>
              <w:pStyle w:val="TableText"/>
              <w:rPr>
                <w:szCs w:val="16"/>
              </w:rPr>
            </w:pPr>
            <w:r w:rsidRPr="006715E4">
              <w:rPr>
                <w:rFonts w:cs="Tahoma"/>
                <w:szCs w:val="16"/>
              </w:rPr>
              <w:t xml:space="preserve"> - </w:t>
            </w:r>
          </w:p>
        </w:tc>
        <w:tc>
          <w:tcPr>
            <w:tcW w:w="397" w:type="pct"/>
            <w:vAlign w:val="center"/>
          </w:tcPr>
          <w:p w14:paraId="75F7C0C9" w14:textId="77777777" w:rsidR="006715E4" w:rsidRPr="006715E4" w:rsidRDefault="006715E4" w:rsidP="006715E4">
            <w:pPr>
              <w:pStyle w:val="TableText"/>
              <w:rPr>
                <w:rFonts w:cs="Tahoma"/>
                <w:szCs w:val="16"/>
              </w:rPr>
            </w:pPr>
            <w:r w:rsidRPr="006715E4">
              <w:rPr>
                <w:rFonts w:cs="Tahoma"/>
                <w:szCs w:val="16"/>
              </w:rPr>
              <w:t xml:space="preserve"> - </w:t>
            </w:r>
          </w:p>
        </w:tc>
        <w:tc>
          <w:tcPr>
            <w:tcW w:w="397" w:type="pct"/>
            <w:vAlign w:val="center"/>
          </w:tcPr>
          <w:p w14:paraId="3CABDAA7" w14:textId="77777777" w:rsidR="006715E4" w:rsidRPr="006715E4" w:rsidRDefault="006715E4" w:rsidP="006715E4">
            <w:pPr>
              <w:pStyle w:val="TableText"/>
              <w:rPr>
                <w:rFonts w:cs="Tahoma"/>
                <w:szCs w:val="16"/>
              </w:rPr>
            </w:pPr>
            <w:r w:rsidRPr="006715E4">
              <w:rPr>
                <w:rFonts w:cs="Tahoma"/>
                <w:szCs w:val="16"/>
              </w:rPr>
              <w:t xml:space="preserve"> - </w:t>
            </w:r>
          </w:p>
        </w:tc>
        <w:tc>
          <w:tcPr>
            <w:tcW w:w="397" w:type="pct"/>
            <w:vAlign w:val="center"/>
          </w:tcPr>
          <w:p w14:paraId="27F0076B" w14:textId="77777777" w:rsidR="006715E4" w:rsidRPr="006715E4" w:rsidRDefault="006715E4" w:rsidP="006715E4">
            <w:pPr>
              <w:pStyle w:val="TableText"/>
              <w:rPr>
                <w:rFonts w:cs="Tahoma"/>
                <w:szCs w:val="16"/>
              </w:rPr>
            </w:pPr>
            <w:r w:rsidRPr="006715E4">
              <w:rPr>
                <w:rFonts w:cs="Tahoma"/>
                <w:szCs w:val="16"/>
              </w:rPr>
              <w:t xml:space="preserve"> - </w:t>
            </w:r>
          </w:p>
        </w:tc>
        <w:tc>
          <w:tcPr>
            <w:tcW w:w="397" w:type="pct"/>
            <w:vAlign w:val="center"/>
          </w:tcPr>
          <w:p w14:paraId="3E596A0A" w14:textId="77777777" w:rsidR="006715E4" w:rsidRPr="006715E4" w:rsidRDefault="006715E4" w:rsidP="006715E4">
            <w:pPr>
              <w:pStyle w:val="TableText"/>
              <w:rPr>
                <w:rFonts w:cs="Tahoma"/>
                <w:szCs w:val="16"/>
              </w:rPr>
            </w:pPr>
            <w:r w:rsidRPr="006715E4">
              <w:rPr>
                <w:rFonts w:cs="Tahoma"/>
                <w:szCs w:val="16"/>
              </w:rPr>
              <w:t xml:space="preserve"> - </w:t>
            </w:r>
          </w:p>
        </w:tc>
        <w:tc>
          <w:tcPr>
            <w:tcW w:w="398" w:type="pct"/>
            <w:vAlign w:val="center"/>
          </w:tcPr>
          <w:p w14:paraId="0745D721" w14:textId="77777777" w:rsidR="006715E4" w:rsidRPr="006715E4" w:rsidRDefault="006715E4" w:rsidP="006715E4">
            <w:pPr>
              <w:pStyle w:val="TableText"/>
              <w:rPr>
                <w:rFonts w:cs="Tahoma"/>
                <w:szCs w:val="16"/>
              </w:rPr>
            </w:pPr>
            <w:r w:rsidRPr="006715E4">
              <w:rPr>
                <w:rFonts w:cs="Tahoma"/>
                <w:szCs w:val="16"/>
              </w:rPr>
              <w:t xml:space="preserve"> - </w:t>
            </w:r>
          </w:p>
        </w:tc>
      </w:tr>
      <w:tr w:rsidR="0069661E" w:rsidRPr="006715E4" w14:paraId="412F3B67"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3F093638" w14:textId="48A26330" w:rsidR="006715E4" w:rsidRPr="006715E4" w:rsidRDefault="006715E4" w:rsidP="006715E4">
            <w:pPr>
              <w:pStyle w:val="TableText"/>
              <w:rPr>
                <w:szCs w:val="16"/>
              </w:rPr>
            </w:pPr>
            <w:r w:rsidRPr="006715E4">
              <w:rPr>
                <w:szCs w:val="16"/>
              </w:rPr>
              <w:t xml:space="preserve">Less </w:t>
            </w:r>
            <w:r w:rsidR="288E51A5">
              <w:t>p</w:t>
            </w:r>
            <w:r>
              <w:t>roceeds</w:t>
            </w:r>
            <w:r w:rsidRPr="006715E4">
              <w:rPr>
                <w:szCs w:val="16"/>
              </w:rPr>
              <w:t xml:space="preserve"> from disposal</w:t>
            </w:r>
          </w:p>
        </w:tc>
        <w:tc>
          <w:tcPr>
            <w:tcW w:w="397" w:type="pct"/>
            <w:vAlign w:val="center"/>
          </w:tcPr>
          <w:p w14:paraId="5F71E134" w14:textId="77777777" w:rsidR="006715E4" w:rsidRPr="006715E4" w:rsidRDefault="006715E4" w:rsidP="006715E4">
            <w:pPr>
              <w:pStyle w:val="TableText"/>
              <w:rPr>
                <w:szCs w:val="16"/>
              </w:rPr>
            </w:pPr>
            <w:r w:rsidRPr="006715E4">
              <w:rPr>
                <w:rFonts w:cs="Tahoma"/>
                <w:szCs w:val="16"/>
              </w:rPr>
              <w:t xml:space="preserve"> 1.7 </w:t>
            </w:r>
          </w:p>
        </w:tc>
        <w:tc>
          <w:tcPr>
            <w:tcW w:w="397" w:type="pct"/>
            <w:vAlign w:val="center"/>
          </w:tcPr>
          <w:p w14:paraId="2ED96015" w14:textId="77777777" w:rsidR="006715E4" w:rsidRPr="006715E4" w:rsidRDefault="006715E4" w:rsidP="006715E4">
            <w:pPr>
              <w:pStyle w:val="TableText"/>
              <w:rPr>
                <w:szCs w:val="16"/>
              </w:rPr>
            </w:pPr>
            <w:r w:rsidRPr="006715E4">
              <w:rPr>
                <w:rFonts w:cs="Tahoma"/>
                <w:szCs w:val="16"/>
              </w:rPr>
              <w:t xml:space="preserve"> 4.4 </w:t>
            </w:r>
          </w:p>
        </w:tc>
        <w:tc>
          <w:tcPr>
            <w:tcW w:w="397" w:type="pct"/>
            <w:vAlign w:val="center"/>
          </w:tcPr>
          <w:p w14:paraId="6447D773" w14:textId="77777777" w:rsidR="006715E4" w:rsidRPr="006715E4" w:rsidRDefault="006715E4" w:rsidP="006715E4">
            <w:pPr>
              <w:pStyle w:val="TableText"/>
              <w:rPr>
                <w:szCs w:val="16"/>
              </w:rPr>
            </w:pPr>
            <w:r w:rsidRPr="006715E4">
              <w:rPr>
                <w:rFonts w:cs="Tahoma"/>
                <w:szCs w:val="16"/>
              </w:rPr>
              <w:t xml:space="preserve"> 5.4 </w:t>
            </w:r>
          </w:p>
        </w:tc>
        <w:tc>
          <w:tcPr>
            <w:tcW w:w="397" w:type="pct"/>
            <w:vAlign w:val="center"/>
          </w:tcPr>
          <w:p w14:paraId="33213E1B" w14:textId="77777777" w:rsidR="006715E4" w:rsidRPr="006715E4" w:rsidRDefault="006715E4" w:rsidP="006715E4">
            <w:pPr>
              <w:pStyle w:val="TableText"/>
              <w:rPr>
                <w:szCs w:val="16"/>
              </w:rPr>
            </w:pPr>
            <w:r w:rsidRPr="006715E4">
              <w:rPr>
                <w:rFonts w:cs="Tahoma"/>
                <w:szCs w:val="16"/>
              </w:rPr>
              <w:t xml:space="preserve"> 2.5 </w:t>
            </w:r>
          </w:p>
        </w:tc>
        <w:tc>
          <w:tcPr>
            <w:tcW w:w="397" w:type="pct"/>
            <w:vAlign w:val="center"/>
          </w:tcPr>
          <w:p w14:paraId="1D5857CB" w14:textId="77777777" w:rsidR="006715E4" w:rsidRPr="006715E4" w:rsidRDefault="006715E4" w:rsidP="006715E4">
            <w:pPr>
              <w:pStyle w:val="TableText"/>
              <w:rPr>
                <w:szCs w:val="16"/>
              </w:rPr>
            </w:pPr>
            <w:r w:rsidRPr="006715E4">
              <w:rPr>
                <w:rFonts w:cs="Tahoma"/>
                <w:szCs w:val="16"/>
              </w:rPr>
              <w:t xml:space="preserve"> 2.5 </w:t>
            </w:r>
          </w:p>
        </w:tc>
        <w:tc>
          <w:tcPr>
            <w:tcW w:w="397" w:type="pct"/>
            <w:vAlign w:val="center"/>
          </w:tcPr>
          <w:p w14:paraId="612CD33F" w14:textId="77777777" w:rsidR="006715E4" w:rsidRPr="006715E4" w:rsidRDefault="006715E4" w:rsidP="006715E4">
            <w:pPr>
              <w:pStyle w:val="TableText"/>
              <w:rPr>
                <w:szCs w:val="16"/>
              </w:rPr>
            </w:pPr>
            <w:r w:rsidRPr="006715E4">
              <w:rPr>
                <w:rFonts w:cs="Tahoma"/>
                <w:szCs w:val="16"/>
              </w:rPr>
              <w:t xml:space="preserve"> 2.1 </w:t>
            </w:r>
          </w:p>
        </w:tc>
        <w:tc>
          <w:tcPr>
            <w:tcW w:w="397" w:type="pct"/>
            <w:vAlign w:val="center"/>
          </w:tcPr>
          <w:p w14:paraId="0FB10330" w14:textId="77777777" w:rsidR="006715E4" w:rsidRPr="006715E4" w:rsidRDefault="006715E4" w:rsidP="006715E4">
            <w:pPr>
              <w:pStyle w:val="TableText"/>
              <w:rPr>
                <w:rFonts w:cs="Tahoma"/>
                <w:szCs w:val="16"/>
              </w:rPr>
            </w:pPr>
            <w:r w:rsidRPr="006715E4">
              <w:rPr>
                <w:rFonts w:cs="Tahoma"/>
                <w:szCs w:val="16"/>
              </w:rPr>
              <w:t xml:space="preserve"> 2.1 </w:t>
            </w:r>
          </w:p>
        </w:tc>
        <w:tc>
          <w:tcPr>
            <w:tcW w:w="397" w:type="pct"/>
            <w:vAlign w:val="center"/>
          </w:tcPr>
          <w:p w14:paraId="14D4001D" w14:textId="77777777" w:rsidR="006715E4" w:rsidRPr="006715E4" w:rsidRDefault="006715E4" w:rsidP="006715E4">
            <w:pPr>
              <w:pStyle w:val="TableText"/>
              <w:rPr>
                <w:rFonts w:cs="Tahoma"/>
                <w:szCs w:val="16"/>
              </w:rPr>
            </w:pPr>
            <w:r w:rsidRPr="006715E4">
              <w:rPr>
                <w:rFonts w:cs="Tahoma"/>
                <w:szCs w:val="16"/>
              </w:rPr>
              <w:t xml:space="preserve"> 2.1 </w:t>
            </w:r>
          </w:p>
        </w:tc>
        <w:tc>
          <w:tcPr>
            <w:tcW w:w="397" w:type="pct"/>
            <w:vAlign w:val="center"/>
          </w:tcPr>
          <w:p w14:paraId="24150A70" w14:textId="77777777" w:rsidR="006715E4" w:rsidRPr="006715E4" w:rsidRDefault="006715E4" w:rsidP="006715E4">
            <w:pPr>
              <w:pStyle w:val="TableText"/>
              <w:rPr>
                <w:rFonts w:cs="Tahoma"/>
                <w:szCs w:val="16"/>
              </w:rPr>
            </w:pPr>
            <w:r w:rsidRPr="006715E4">
              <w:rPr>
                <w:rFonts w:cs="Tahoma"/>
                <w:szCs w:val="16"/>
              </w:rPr>
              <w:t xml:space="preserve"> 2.1 </w:t>
            </w:r>
          </w:p>
        </w:tc>
        <w:tc>
          <w:tcPr>
            <w:tcW w:w="397" w:type="pct"/>
            <w:vAlign w:val="center"/>
          </w:tcPr>
          <w:p w14:paraId="563E437A" w14:textId="77777777" w:rsidR="006715E4" w:rsidRPr="006715E4" w:rsidRDefault="006715E4" w:rsidP="006715E4">
            <w:pPr>
              <w:pStyle w:val="TableText"/>
              <w:rPr>
                <w:rFonts w:cs="Tahoma"/>
                <w:szCs w:val="16"/>
              </w:rPr>
            </w:pPr>
            <w:r w:rsidRPr="006715E4">
              <w:rPr>
                <w:rFonts w:cs="Tahoma"/>
                <w:szCs w:val="16"/>
              </w:rPr>
              <w:t xml:space="preserve"> 2.1 </w:t>
            </w:r>
          </w:p>
        </w:tc>
        <w:tc>
          <w:tcPr>
            <w:tcW w:w="398" w:type="pct"/>
            <w:vAlign w:val="center"/>
          </w:tcPr>
          <w:p w14:paraId="2DAF8287" w14:textId="77777777" w:rsidR="006715E4" w:rsidRPr="006715E4" w:rsidRDefault="006715E4" w:rsidP="006715E4">
            <w:pPr>
              <w:pStyle w:val="TableText"/>
              <w:rPr>
                <w:rFonts w:cs="Tahoma"/>
                <w:szCs w:val="16"/>
              </w:rPr>
            </w:pPr>
            <w:r w:rsidRPr="006715E4">
              <w:rPr>
                <w:rFonts w:cs="Tahoma"/>
                <w:szCs w:val="16"/>
              </w:rPr>
              <w:t xml:space="preserve"> 2.1 </w:t>
            </w:r>
          </w:p>
        </w:tc>
      </w:tr>
      <w:tr w:rsidR="006715E4" w:rsidRPr="006715E4" w14:paraId="4E14010F" w14:textId="77777777" w:rsidTr="00ED094E">
        <w:tc>
          <w:tcPr>
            <w:tcW w:w="629" w:type="pct"/>
          </w:tcPr>
          <w:p w14:paraId="4C06A766" w14:textId="77777777" w:rsidR="006715E4" w:rsidRPr="006715E4" w:rsidRDefault="006715E4" w:rsidP="006715E4">
            <w:pPr>
              <w:pStyle w:val="TableText"/>
              <w:rPr>
                <w:szCs w:val="16"/>
              </w:rPr>
            </w:pPr>
            <w:r w:rsidRPr="006715E4">
              <w:rPr>
                <w:szCs w:val="16"/>
              </w:rPr>
              <w:t>Less regulatory depreciation on existing assets</w:t>
            </w:r>
          </w:p>
        </w:tc>
        <w:tc>
          <w:tcPr>
            <w:tcW w:w="397" w:type="pct"/>
            <w:vAlign w:val="center"/>
          </w:tcPr>
          <w:p w14:paraId="3650CABF" w14:textId="77777777" w:rsidR="006715E4" w:rsidRPr="006715E4" w:rsidRDefault="006715E4" w:rsidP="006715E4">
            <w:pPr>
              <w:pStyle w:val="TableText"/>
              <w:rPr>
                <w:szCs w:val="16"/>
              </w:rPr>
            </w:pPr>
            <w:r w:rsidRPr="006715E4">
              <w:rPr>
                <w:rFonts w:cs="Tahoma"/>
                <w:szCs w:val="16"/>
              </w:rPr>
              <w:t xml:space="preserve"> 65.7 </w:t>
            </w:r>
          </w:p>
        </w:tc>
        <w:tc>
          <w:tcPr>
            <w:tcW w:w="397" w:type="pct"/>
            <w:vAlign w:val="center"/>
          </w:tcPr>
          <w:p w14:paraId="547EE14B" w14:textId="77777777" w:rsidR="006715E4" w:rsidRPr="006715E4" w:rsidRDefault="006715E4" w:rsidP="006715E4">
            <w:pPr>
              <w:pStyle w:val="TableText"/>
              <w:rPr>
                <w:szCs w:val="16"/>
              </w:rPr>
            </w:pPr>
            <w:r w:rsidRPr="006715E4">
              <w:rPr>
                <w:rFonts w:cs="Tahoma"/>
                <w:szCs w:val="16"/>
              </w:rPr>
              <w:t xml:space="preserve"> 96.0 </w:t>
            </w:r>
          </w:p>
        </w:tc>
        <w:tc>
          <w:tcPr>
            <w:tcW w:w="397" w:type="pct"/>
            <w:vAlign w:val="center"/>
          </w:tcPr>
          <w:p w14:paraId="2295E745" w14:textId="77777777" w:rsidR="006715E4" w:rsidRPr="006715E4" w:rsidRDefault="006715E4" w:rsidP="006715E4">
            <w:pPr>
              <w:pStyle w:val="TableText"/>
              <w:rPr>
                <w:szCs w:val="16"/>
              </w:rPr>
            </w:pPr>
            <w:r w:rsidRPr="006715E4">
              <w:rPr>
                <w:rFonts w:cs="Tahoma"/>
                <w:szCs w:val="16"/>
              </w:rPr>
              <w:t xml:space="preserve"> 96.0 </w:t>
            </w:r>
          </w:p>
        </w:tc>
        <w:tc>
          <w:tcPr>
            <w:tcW w:w="397" w:type="pct"/>
            <w:vAlign w:val="center"/>
          </w:tcPr>
          <w:p w14:paraId="6BD6008E" w14:textId="4A353128" w:rsidR="006715E4" w:rsidRPr="006715E4" w:rsidRDefault="006715E4" w:rsidP="006715E4">
            <w:pPr>
              <w:pStyle w:val="TableText"/>
              <w:rPr>
                <w:szCs w:val="16"/>
              </w:rPr>
            </w:pPr>
            <w:r w:rsidRPr="006715E4">
              <w:rPr>
                <w:rFonts w:cs="Tahoma"/>
                <w:szCs w:val="16"/>
              </w:rPr>
              <w:t xml:space="preserve"> 90.6 </w:t>
            </w:r>
          </w:p>
        </w:tc>
        <w:tc>
          <w:tcPr>
            <w:tcW w:w="397" w:type="pct"/>
            <w:vAlign w:val="center"/>
          </w:tcPr>
          <w:p w14:paraId="0BE03429" w14:textId="77777777" w:rsidR="006715E4" w:rsidRPr="006715E4" w:rsidRDefault="006715E4" w:rsidP="006715E4">
            <w:pPr>
              <w:pStyle w:val="TableText"/>
              <w:rPr>
                <w:szCs w:val="16"/>
              </w:rPr>
            </w:pPr>
            <w:r w:rsidRPr="006715E4">
              <w:rPr>
                <w:rFonts w:cs="Tahoma"/>
                <w:szCs w:val="16"/>
              </w:rPr>
              <w:t xml:space="preserve"> 75.2 </w:t>
            </w:r>
          </w:p>
        </w:tc>
        <w:tc>
          <w:tcPr>
            <w:tcW w:w="397" w:type="pct"/>
            <w:vAlign w:val="center"/>
          </w:tcPr>
          <w:p w14:paraId="333DC404" w14:textId="77777777" w:rsidR="006715E4" w:rsidRPr="006715E4" w:rsidRDefault="006715E4" w:rsidP="006715E4">
            <w:pPr>
              <w:pStyle w:val="TableText"/>
              <w:rPr>
                <w:szCs w:val="16"/>
              </w:rPr>
            </w:pPr>
            <w:r w:rsidRPr="006715E4">
              <w:rPr>
                <w:rFonts w:cs="Tahoma"/>
                <w:szCs w:val="16"/>
              </w:rPr>
              <w:t xml:space="preserve"> 75.2 </w:t>
            </w:r>
          </w:p>
        </w:tc>
        <w:tc>
          <w:tcPr>
            <w:tcW w:w="397" w:type="pct"/>
            <w:vAlign w:val="center"/>
          </w:tcPr>
          <w:p w14:paraId="63958CFE" w14:textId="77777777" w:rsidR="006715E4" w:rsidRPr="006715E4" w:rsidRDefault="006715E4" w:rsidP="006715E4">
            <w:pPr>
              <w:pStyle w:val="TableText"/>
              <w:rPr>
                <w:rFonts w:cs="Tahoma"/>
                <w:szCs w:val="16"/>
              </w:rPr>
            </w:pPr>
            <w:r w:rsidRPr="006715E4">
              <w:rPr>
                <w:rFonts w:cs="Tahoma"/>
                <w:szCs w:val="16"/>
              </w:rPr>
              <w:t xml:space="preserve"> 75.2 </w:t>
            </w:r>
          </w:p>
        </w:tc>
        <w:tc>
          <w:tcPr>
            <w:tcW w:w="397" w:type="pct"/>
            <w:vAlign w:val="center"/>
          </w:tcPr>
          <w:p w14:paraId="7B4EC74F" w14:textId="77777777" w:rsidR="006715E4" w:rsidRPr="006715E4" w:rsidRDefault="006715E4" w:rsidP="006715E4">
            <w:pPr>
              <w:pStyle w:val="TableText"/>
              <w:rPr>
                <w:rFonts w:cs="Tahoma"/>
                <w:szCs w:val="16"/>
              </w:rPr>
            </w:pPr>
            <w:r w:rsidRPr="006715E4">
              <w:rPr>
                <w:rFonts w:cs="Tahoma"/>
                <w:szCs w:val="16"/>
              </w:rPr>
              <w:t xml:space="preserve"> 75.2 </w:t>
            </w:r>
          </w:p>
        </w:tc>
        <w:tc>
          <w:tcPr>
            <w:tcW w:w="397" w:type="pct"/>
            <w:vAlign w:val="center"/>
          </w:tcPr>
          <w:p w14:paraId="18411624" w14:textId="77777777" w:rsidR="006715E4" w:rsidRPr="006715E4" w:rsidRDefault="006715E4" w:rsidP="006715E4">
            <w:pPr>
              <w:pStyle w:val="TableText"/>
              <w:rPr>
                <w:rFonts w:cs="Tahoma"/>
                <w:szCs w:val="16"/>
              </w:rPr>
            </w:pPr>
            <w:r w:rsidRPr="006715E4">
              <w:rPr>
                <w:rFonts w:cs="Tahoma"/>
                <w:szCs w:val="16"/>
              </w:rPr>
              <w:t xml:space="preserve"> 75.2 </w:t>
            </w:r>
          </w:p>
        </w:tc>
        <w:tc>
          <w:tcPr>
            <w:tcW w:w="397" w:type="pct"/>
            <w:vAlign w:val="center"/>
          </w:tcPr>
          <w:p w14:paraId="13FB210C" w14:textId="77777777" w:rsidR="006715E4" w:rsidRPr="006715E4" w:rsidRDefault="006715E4" w:rsidP="006715E4">
            <w:pPr>
              <w:pStyle w:val="TableText"/>
              <w:rPr>
                <w:rFonts w:cs="Tahoma"/>
                <w:szCs w:val="16"/>
              </w:rPr>
            </w:pPr>
            <w:r w:rsidRPr="006715E4">
              <w:rPr>
                <w:rFonts w:cs="Tahoma"/>
                <w:szCs w:val="16"/>
              </w:rPr>
              <w:t xml:space="preserve"> 75.2 </w:t>
            </w:r>
          </w:p>
        </w:tc>
        <w:tc>
          <w:tcPr>
            <w:tcW w:w="398" w:type="pct"/>
            <w:vAlign w:val="center"/>
          </w:tcPr>
          <w:p w14:paraId="242F8527" w14:textId="77777777" w:rsidR="006715E4" w:rsidRPr="006715E4" w:rsidRDefault="006715E4" w:rsidP="006715E4">
            <w:pPr>
              <w:pStyle w:val="TableText"/>
              <w:rPr>
                <w:rFonts w:cs="Tahoma"/>
                <w:szCs w:val="16"/>
              </w:rPr>
            </w:pPr>
            <w:r w:rsidRPr="006715E4">
              <w:rPr>
                <w:rFonts w:cs="Tahoma"/>
                <w:szCs w:val="16"/>
              </w:rPr>
              <w:t xml:space="preserve"> 75.2 </w:t>
            </w:r>
          </w:p>
        </w:tc>
      </w:tr>
      <w:tr w:rsidR="0069661E" w:rsidRPr="006715E4" w14:paraId="5485DA9A"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707978C2" w14:textId="77777777" w:rsidR="006715E4" w:rsidRPr="006715E4" w:rsidRDefault="006715E4" w:rsidP="006715E4">
            <w:pPr>
              <w:pStyle w:val="TableText"/>
              <w:rPr>
                <w:szCs w:val="16"/>
              </w:rPr>
            </w:pPr>
            <w:r w:rsidRPr="006715E4">
              <w:rPr>
                <w:szCs w:val="16"/>
              </w:rPr>
              <w:t>Less regulatory depreciation on new assets</w:t>
            </w:r>
          </w:p>
        </w:tc>
        <w:tc>
          <w:tcPr>
            <w:tcW w:w="397" w:type="pct"/>
            <w:vAlign w:val="center"/>
          </w:tcPr>
          <w:p w14:paraId="7F1AA249" w14:textId="77777777" w:rsidR="006715E4" w:rsidRPr="006715E4" w:rsidRDefault="006715E4" w:rsidP="006715E4">
            <w:pPr>
              <w:pStyle w:val="TableText"/>
              <w:rPr>
                <w:szCs w:val="16"/>
              </w:rPr>
            </w:pPr>
            <w:r w:rsidRPr="006715E4">
              <w:rPr>
                <w:rFonts w:cs="Tahoma"/>
                <w:szCs w:val="16"/>
              </w:rPr>
              <w:t xml:space="preserve"> 27.0 </w:t>
            </w:r>
          </w:p>
        </w:tc>
        <w:tc>
          <w:tcPr>
            <w:tcW w:w="397" w:type="pct"/>
            <w:vAlign w:val="center"/>
          </w:tcPr>
          <w:p w14:paraId="3BD0B571" w14:textId="77777777" w:rsidR="006715E4" w:rsidRPr="006715E4" w:rsidRDefault="006715E4" w:rsidP="006715E4">
            <w:pPr>
              <w:pStyle w:val="TableText"/>
              <w:rPr>
                <w:szCs w:val="16"/>
              </w:rPr>
            </w:pPr>
            <w:r w:rsidRPr="006715E4">
              <w:rPr>
                <w:rFonts w:cs="Tahoma"/>
                <w:szCs w:val="16"/>
              </w:rPr>
              <w:t xml:space="preserve"> 3.3 </w:t>
            </w:r>
          </w:p>
        </w:tc>
        <w:tc>
          <w:tcPr>
            <w:tcW w:w="397" w:type="pct"/>
            <w:vAlign w:val="center"/>
          </w:tcPr>
          <w:p w14:paraId="50CD91AF" w14:textId="77777777" w:rsidR="006715E4" w:rsidRPr="006715E4" w:rsidRDefault="006715E4" w:rsidP="006715E4">
            <w:pPr>
              <w:pStyle w:val="TableText"/>
              <w:rPr>
                <w:szCs w:val="16"/>
              </w:rPr>
            </w:pPr>
            <w:r w:rsidRPr="006715E4">
              <w:rPr>
                <w:rFonts w:cs="Tahoma"/>
                <w:szCs w:val="16"/>
              </w:rPr>
              <w:t xml:space="preserve"> 11.5 </w:t>
            </w:r>
          </w:p>
        </w:tc>
        <w:tc>
          <w:tcPr>
            <w:tcW w:w="397" w:type="pct"/>
            <w:vAlign w:val="center"/>
          </w:tcPr>
          <w:p w14:paraId="795AB40C" w14:textId="77777777" w:rsidR="006715E4" w:rsidRPr="006715E4" w:rsidRDefault="006715E4" w:rsidP="006715E4">
            <w:pPr>
              <w:pStyle w:val="TableText"/>
              <w:rPr>
                <w:szCs w:val="16"/>
              </w:rPr>
            </w:pPr>
            <w:r w:rsidRPr="006715E4">
              <w:rPr>
                <w:rFonts w:cs="Tahoma"/>
                <w:szCs w:val="16"/>
              </w:rPr>
              <w:t xml:space="preserve"> 21.6 </w:t>
            </w:r>
          </w:p>
        </w:tc>
        <w:tc>
          <w:tcPr>
            <w:tcW w:w="397" w:type="pct"/>
            <w:vAlign w:val="center"/>
          </w:tcPr>
          <w:p w14:paraId="27BA2985" w14:textId="77777777" w:rsidR="006715E4" w:rsidRPr="006715E4" w:rsidRDefault="006715E4" w:rsidP="006715E4">
            <w:pPr>
              <w:pStyle w:val="TableText"/>
              <w:rPr>
                <w:szCs w:val="16"/>
              </w:rPr>
            </w:pPr>
            <w:r w:rsidRPr="006715E4">
              <w:rPr>
                <w:rFonts w:cs="Tahoma"/>
                <w:szCs w:val="16"/>
              </w:rPr>
              <w:t xml:space="preserve"> 31.0 </w:t>
            </w:r>
          </w:p>
        </w:tc>
        <w:tc>
          <w:tcPr>
            <w:tcW w:w="397" w:type="pct"/>
            <w:vAlign w:val="center"/>
          </w:tcPr>
          <w:p w14:paraId="2BD7A238" w14:textId="77777777" w:rsidR="006715E4" w:rsidRPr="006715E4" w:rsidRDefault="006715E4" w:rsidP="006715E4">
            <w:pPr>
              <w:pStyle w:val="TableText"/>
              <w:rPr>
                <w:szCs w:val="16"/>
              </w:rPr>
            </w:pPr>
            <w:r w:rsidRPr="006715E4">
              <w:rPr>
                <w:rFonts w:cs="Tahoma"/>
                <w:szCs w:val="16"/>
              </w:rPr>
              <w:t xml:space="preserve"> 42.1 </w:t>
            </w:r>
          </w:p>
        </w:tc>
        <w:tc>
          <w:tcPr>
            <w:tcW w:w="397" w:type="pct"/>
            <w:vAlign w:val="center"/>
          </w:tcPr>
          <w:p w14:paraId="0A76FC17" w14:textId="77777777" w:rsidR="006715E4" w:rsidRPr="006715E4" w:rsidRDefault="006715E4" w:rsidP="006715E4">
            <w:pPr>
              <w:pStyle w:val="TableText"/>
              <w:rPr>
                <w:rFonts w:cs="Tahoma"/>
                <w:szCs w:val="16"/>
              </w:rPr>
            </w:pPr>
            <w:r w:rsidRPr="006715E4">
              <w:rPr>
                <w:rFonts w:cs="Tahoma"/>
                <w:szCs w:val="16"/>
              </w:rPr>
              <w:t xml:space="preserve"> 54.8 </w:t>
            </w:r>
          </w:p>
        </w:tc>
        <w:tc>
          <w:tcPr>
            <w:tcW w:w="397" w:type="pct"/>
            <w:vAlign w:val="center"/>
          </w:tcPr>
          <w:p w14:paraId="11B1A53F" w14:textId="77777777" w:rsidR="006715E4" w:rsidRPr="006715E4" w:rsidRDefault="006715E4" w:rsidP="006715E4">
            <w:pPr>
              <w:pStyle w:val="TableText"/>
              <w:rPr>
                <w:rFonts w:cs="Tahoma"/>
                <w:szCs w:val="16"/>
              </w:rPr>
            </w:pPr>
            <w:r w:rsidRPr="006715E4">
              <w:rPr>
                <w:rFonts w:cs="Tahoma"/>
                <w:szCs w:val="16"/>
              </w:rPr>
              <w:t xml:space="preserve"> 71.1 </w:t>
            </w:r>
          </w:p>
        </w:tc>
        <w:tc>
          <w:tcPr>
            <w:tcW w:w="397" w:type="pct"/>
            <w:vAlign w:val="center"/>
          </w:tcPr>
          <w:p w14:paraId="671D1FC7" w14:textId="77777777" w:rsidR="006715E4" w:rsidRPr="006715E4" w:rsidRDefault="006715E4" w:rsidP="006715E4">
            <w:pPr>
              <w:pStyle w:val="TableText"/>
              <w:rPr>
                <w:rFonts w:cs="Tahoma"/>
                <w:szCs w:val="16"/>
              </w:rPr>
            </w:pPr>
            <w:r w:rsidRPr="006715E4">
              <w:rPr>
                <w:rFonts w:cs="Tahoma"/>
                <w:szCs w:val="16"/>
              </w:rPr>
              <w:t xml:space="preserve"> 90.8 </w:t>
            </w:r>
          </w:p>
        </w:tc>
        <w:tc>
          <w:tcPr>
            <w:tcW w:w="397" w:type="pct"/>
            <w:vAlign w:val="center"/>
          </w:tcPr>
          <w:p w14:paraId="6358F07B" w14:textId="77777777" w:rsidR="006715E4" w:rsidRPr="006715E4" w:rsidRDefault="006715E4" w:rsidP="006715E4">
            <w:pPr>
              <w:pStyle w:val="TableText"/>
              <w:rPr>
                <w:rFonts w:cs="Tahoma"/>
                <w:szCs w:val="16"/>
              </w:rPr>
            </w:pPr>
            <w:r w:rsidRPr="006715E4">
              <w:rPr>
                <w:rFonts w:cs="Tahoma"/>
                <w:szCs w:val="16"/>
              </w:rPr>
              <w:t xml:space="preserve"> 107.7 </w:t>
            </w:r>
          </w:p>
        </w:tc>
        <w:tc>
          <w:tcPr>
            <w:tcW w:w="398" w:type="pct"/>
            <w:vAlign w:val="center"/>
          </w:tcPr>
          <w:p w14:paraId="660E7AB2" w14:textId="77777777" w:rsidR="006715E4" w:rsidRPr="006715E4" w:rsidRDefault="006715E4" w:rsidP="006715E4">
            <w:pPr>
              <w:pStyle w:val="TableText"/>
              <w:rPr>
                <w:rFonts w:cs="Tahoma"/>
                <w:szCs w:val="16"/>
              </w:rPr>
            </w:pPr>
            <w:r w:rsidRPr="006715E4">
              <w:rPr>
                <w:rFonts w:cs="Tahoma"/>
                <w:szCs w:val="16"/>
              </w:rPr>
              <w:t xml:space="preserve"> 125.1 </w:t>
            </w:r>
          </w:p>
        </w:tc>
      </w:tr>
      <w:tr w:rsidR="006715E4" w:rsidRPr="006715E4" w14:paraId="3E021C8B" w14:textId="77777777" w:rsidTr="00ED094E">
        <w:tc>
          <w:tcPr>
            <w:tcW w:w="629" w:type="pct"/>
          </w:tcPr>
          <w:p w14:paraId="2E201AEA" w14:textId="77777777" w:rsidR="006715E4" w:rsidRPr="006715E4" w:rsidRDefault="006715E4" w:rsidP="006715E4">
            <w:pPr>
              <w:pStyle w:val="TableText"/>
              <w:rPr>
                <w:b/>
                <w:szCs w:val="16"/>
              </w:rPr>
            </w:pPr>
            <w:r w:rsidRPr="006715E4">
              <w:rPr>
                <w:b/>
                <w:szCs w:val="16"/>
              </w:rPr>
              <w:t>Closing value</w:t>
            </w:r>
          </w:p>
        </w:tc>
        <w:tc>
          <w:tcPr>
            <w:tcW w:w="397" w:type="pct"/>
            <w:vAlign w:val="center"/>
          </w:tcPr>
          <w:p w14:paraId="20B55C1A" w14:textId="1DEADDB8" w:rsidR="006715E4" w:rsidRPr="006715E4" w:rsidRDefault="006715E4" w:rsidP="006715E4">
            <w:pPr>
              <w:pStyle w:val="TableText"/>
              <w:rPr>
                <w:b/>
                <w:szCs w:val="16"/>
              </w:rPr>
            </w:pPr>
            <w:r w:rsidRPr="006715E4">
              <w:rPr>
                <w:rFonts w:cs="Tahoma"/>
                <w:b/>
                <w:bCs/>
                <w:szCs w:val="16"/>
              </w:rPr>
              <w:t xml:space="preserve"> 6,485.0 </w:t>
            </w:r>
          </w:p>
        </w:tc>
        <w:tc>
          <w:tcPr>
            <w:tcW w:w="397" w:type="pct"/>
            <w:vAlign w:val="center"/>
          </w:tcPr>
          <w:p w14:paraId="689B03CC" w14:textId="3B8EED5B" w:rsidR="006715E4" w:rsidRPr="006715E4" w:rsidRDefault="006715E4" w:rsidP="006715E4">
            <w:pPr>
              <w:pStyle w:val="TableText"/>
              <w:rPr>
                <w:b/>
                <w:szCs w:val="16"/>
              </w:rPr>
            </w:pPr>
            <w:r w:rsidRPr="006715E4">
              <w:rPr>
                <w:rFonts w:cs="Tahoma"/>
                <w:b/>
                <w:bCs/>
                <w:szCs w:val="16"/>
              </w:rPr>
              <w:t xml:space="preserve"> 6,700.3 </w:t>
            </w:r>
          </w:p>
        </w:tc>
        <w:tc>
          <w:tcPr>
            <w:tcW w:w="397" w:type="pct"/>
            <w:vAlign w:val="center"/>
          </w:tcPr>
          <w:p w14:paraId="1DED8559" w14:textId="7A764C1B" w:rsidR="006715E4" w:rsidRPr="006715E4" w:rsidRDefault="006715E4" w:rsidP="006715E4">
            <w:pPr>
              <w:pStyle w:val="TableText"/>
              <w:rPr>
                <w:b/>
                <w:szCs w:val="16"/>
              </w:rPr>
            </w:pPr>
            <w:r w:rsidRPr="006715E4">
              <w:rPr>
                <w:rFonts w:cs="Tahoma"/>
                <w:b/>
                <w:bCs/>
                <w:szCs w:val="16"/>
              </w:rPr>
              <w:t xml:space="preserve"> 7,127.6 </w:t>
            </w:r>
          </w:p>
        </w:tc>
        <w:tc>
          <w:tcPr>
            <w:tcW w:w="397" w:type="pct"/>
            <w:vAlign w:val="center"/>
          </w:tcPr>
          <w:p w14:paraId="3C2171D0" w14:textId="29C7C40B" w:rsidR="006715E4" w:rsidRPr="006715E4" w:rsidRDefault="006715E4" w:rsidP="006715E4">
            <w:pPr>
              <w:pStyle w:val="TableText"/>
              <w:rPr>
                <w:b/>
                <w:szCs w:val="16"/>
              </w:rPr>
            </w:pPr>
            <w:r w:rsidRPr="006715E4">
              <w:rPr>
                <w:rFonts w:cs="Tahoma"/>
                <w:b/>
                <w:bCs/>
                <w:szCs w:val="16"/>
              </w:rPr>
              <w:t xml:space="preserve"> 7,687.8 </w:t>
            </w:r>
          </w:p>
        </w:tc>
        <w:tc>
          <w:tcPr>
            <w:tcW w:w="397" w:type="pct"/>
            <w:vAlign w:val="center"/>
          </w:tcPr>
          <w:p w14:paraId="6A18012A" w14:textId="1B119357" w:rsidR="006715E4" w:rsidRPr="006715E4" w:rsidRDefault="006715E4" w:rsidP="006715E4">
            <w:pPr>
              <w:pStyle w:val="TableText"/>
              <w:rPr>
                <w:b/>
                <w:szCs w:val="16"/>
              </w:rPr>
            </w:pPr>
            <w:r w:rsidRPr="006715E4">
              <w:rPr>
                <w:rFonts w:cs="Tahoma"/>
                <w:b/>
                <w:bCs/>
                <w:szCs w:val="16"/>
              </w:rPr>
              <w:t xml:space="preserve"> 8,227.7 </w:t>
            </w:r>
          </w:p>
        </w:tc>
        <w:tc>
          <w:tcPr>
            <w:tcW w:w="397" w:type="pct"/>
            <w:vAlign w:val="center"/>
          </w:tcPr>
          <w:p w14:paraId="35F1A8D6" w14:textId="2F1B30A9" w:rsidR="006715E4" w:rsidRPr="006715E4" w:rsidRDefault="006715E4" w:rsidP="006715E4">
            <w:pPr>
              <w:pStyle w:val="TableText"/>
              <w:rPr>
                <w:b/>
                <w:szCs w:val="16"/>
              </w:rPr>
            </w:pPr>
            <w:r w:rsidRPr="006715E4">
              <w:rPr>
                <w:rFonts w:cs="Tahoma"/>
                <w:b/>
                <w:bCs/>
                <w:szCs w:val="16"/>
              </w:rPr>
              <w:t xml:space="preserve"> 8,819.8 </w:t>
            </w:r>
          </w:p>
        </w:tc>
        <w:tc>
          <w:tcPr>
            <w:tcW w:w="397" w:type="pct"/>
            <w:vAlign w:val="center"/>
          </w:tcPr>
          <w:p w14:paraId="12E6E7E5" w14:textId="009BE1C9" w:rsidR="006715E4" w:rsidRPr="006715E4" w:rsidRDefault="006715E4" w:rsidP="006715E4">
            <w:pPr>
              <w:pStyle w:val="TableText"/>
              <w:rPr>
                <w:rFonts w:cs="Tahoma"/>
                <w:b/>
                <w:szCs w:val="16"/>
              </w:rPr>
            </w:pPr>
            <w:r w:rsidRPr="006715E4">
              <w:rPr>
                <w:rFonts w:cs="Tahoma"/>
                <w:b/>
                <w:bCs/>
                <w:szCs w:val="16"/>
              </w:rPr>
              <w:t xml:space="preserve"> 9,420.9 </w:t>
            </w:r>
          </w:p>
        </w:tc>
        <w:tc>
          <w:tcPr>
            <w:tcW w:w="397" w:type="pct"/>
            <w:vAlign w:val="center"/>
          </w:tcPr>
          <w:p w14:paraId="3F5B00FA" w14:textId="41C29F2D" w:rsidR="006715E4" w:rsidRPr="006715E4" w:rsidRDefault="006715E4" w:rsidP="006715E4">
            <w:pPr>
              <w:pStyle w:val="TableText"/>
              <w:rPr>
                <w:rFonts w:cs="Tahoma"/>
                <w:b/>
                <w:szCs w:val="16"/>
              </w:rPr>
            </w:pPr>
            <w:r w:rsidRPr="006715E4">
              <w:rPr>
                <w:rFonts w:cs="Tahoma"/>
                <w:b/>
                <w:bCs/>
                <w:szCs w:val="16"/>
              </w:rPr>
              <w:t xml:space="preserve"> 10,233.9 </w:t>
            </w:r>
          </w:p>
        </w:tc>
        <w:tc>
          <w:tcPr>
            <w:tcW w:w="397" w:type="pct"/>
            <w:vAlign w:val="center"/>
          </w:tcPr>
          <w:p w14:paraId="214146EC" w14:textId="4953705F" w:rsidR="006715E4" w:rsidRPr="006715E4" w:rsidRDefault="006715E4" w:rsidP="006715E4">
            <w:pPr>
              <w:pStyle w:val="TableText"/>
              <w:rPr>
                <w:rFonts w:cs="Tahoma"/>
                <w:b/>
                <w:szCs w:val="16"/>
              </w:rPr>
            </w:pPr>
            <w:r w:rsidRPr="006715E4">
              <w:rPr>
                <w:rFonts w:cs="Tahoma"/>
                <w:b/>
                <w:bCs/>
                <w:szCs w:val="16"/>
              </w:rPr>
              <w:t xml:space="preserve"> 11,120.8 </w:t>
            </w:r>
          </w:p>
        </w:tc>
        <w:tc>
          <w:tcPr>
            <w:tcW w:w="397" w:type="pct"/>
            <w:vAlign w:val="center"/>
          </w:tcPr>
          <w:p w14:paraId="604A85E1" w14:textId="36203417" w:rsidR="006715E4" w:rsidRPr="006715E4" w:rsidRDefault="006715E4" w:rsidP="006715E4">
            <w:pPr>
              <w:pStyle w:val="TableText"/>
              <w:rPr>
                <w:rFonts w:cs="Tahoma"/>
                <w:b/>
                <w:szCs w:val="16"/>
              </w:rPr>
            </w:pPr>
            <w:r w:rsidRPr="006715E4">
              <w:rPr>
                <w:rFonts w:cs="Tahoma"/>
                <w:b/>
                <w:bCs/>
                <w:szCs w:val="16"/>
              </w:rPr>
              <w:t xml:space="preserve"> 12,044.2 </w:t>
            </w:r>
          </w:p>
        </w:tc>
        <w:tc>
          <w:tcPr>
            <w:tcW w:w="398" w:type="pct"/>
            <w:vAlign w:val="center"/>
          </w:tcPr>
          <w:p w14:paraId="25FEE0C8" w14:textId="6D9B7855" w:rsidR="006715E4" w:rsidRPr="006715E4" w:rsidRDefault="006715E4" w:rsidP="006715E4">
            <w:pPr>
              <w:pStyle w:val="TableText"/>
              <w:rPr>
                <w:rFonts w:cs="Tahoma"/>
                <w:b/>
                <w:szCs w:val="16"/>
              </w:rPr>
            </w:pPr>
            <w:r w:rsidRPr="006715E4">
              <w:rPr>
                <w:rFonts w:cs="Tahoma"/>
                <w:b/>
                <w:bCs/>
                <w:szCs w:val="16"/>
              </w:rPr>
              <w:t xml:space="preserve"> 12,832.9 </w:t>
            </w:r>
          </w:p>
        </w:tc>
      </w:tr>
    </w:tbl>
    <w:p w14:paraId="0C1DC0BD" w14:textId="77777777" w:rsidR="001200EC" w:rsidRPr="00DE108C" w:rsidRDefault="001200EC" w:rsidP="001200EC">
      <w:bookmarkStart w:id="874" w:name="_Toc196745274"/>
    </w:p>
    <w:p w14:paraId="4ADC142B" w14:textId="77777777" w:rsidR="001200EC" w:rsidRPr="00DE108C" w:rsidRDefault="001200EC">
      <w:pPr>
        <w:spacing w:before="0" w:after="0" w:line="320" w:lineRule="atLeast"/>
        <w:rPr>
          <w:rFonts w:asciiTheme="majorHAnsi" w:eastAsiaTheme="majorEastAsia" w:hAnsiTheme="majorHAnsi" w:cstheme="majorBidi"/>
          <w:b/>
          <w:bCs/>
          <w:sz w:val="24"/>
        </w:rPr>
      </w:pPr>
      <w:r w:rsidRPr="00DE108C">
        <w:br w:type="page"/>
      </w:r>
    </w:p>
    <w:p w14:paraId="720DC9B3" w14:textId="77777777" w:rsidR="00046BD5" w:rsidRPr="00DE108C" w:rsidRDefault="00046BD5">
      <w:pPr>
        <w:pStyle w:val="Heading3"/>
      </w:pPr>
      <w:r w:rsidRPr="00DE108C">
        <w:lastRenderedPageBreak/>
        <w:t>8.6.2 Sewerage regulatory asset base</w:t>
      </w:r>
      <w:bookmarkEnd w:id="874"/>
    </w:p>
    <w:p w14:paraId="15FFC3A1" w14:textId="18C3F996" w:rsidR="00046BD5" w:rsidRPr="00DE108C" w:rsidRDefault="00046BD5" w:rsidP="00ED094E">
      <w:r w:rsidRPr="00DE108C">
        <w:t xml:space="preserve">Table 8.9 shows the sewerage </w:t>
      </w:r>
      <w:r w:rsidR="211B247A">
        <w:t>RAB</w:t>
      </w:r>
      <w:r w:rsidRPr="00DE108C">
        <w:t xml:space="preserve"> forecast for the next 10 years. </w:t>
      </w:r>
    </w:p>
    <w:p w14:paraId="1000A4AC" w14:textId="314ABE78" w:rsidR="00046BD5" w:rsidRPr="00DE108C" w:rsidRDefault="00046BD5" w:rsidP="00ED094E">
      <w:pPr>
        <w:pStyle w:val="Caption"/>
      </w:pPr>
      <w:bookmarkStart w:id="875" w:name="_Toc190878422"/>
      <w:bookmarkStart w:id="876" w:name="_Toc207893078"/>
      <w:bookmarkStart w:id="877" w:name="_Toc208490602"/>
      <w:bookmarkStart w:id="878" w:name="_Toc208490940"/>
      <w:bookmarkStart w:id="879" w:name="_Toc208911098"/>
      <w:bookmarkStart w:id="880" w:name="_Toc210051404"/>
      <w:r w:rsidRPr="001164EE">
        <w:t xml:space="preserve">Table 8.9: </w:t>
      </w:r>
      <w:bookmarkEnd w:id="875"/>
      <w:r w:rsidRPr="001164EE">
        <w:t xml:space="preserve">Forecast </w:t>
      </w:r>
      <w:r w:rsidR="361743C4" w:rsidRPr="001164EE">
        <w:t>RAB</w:t>
      </w:r>
      <w:r w:rsidRPr="001164EE">
        <w:t xml:space="preserve"> for sewerage ($millions, real 2025-26)</w:t>
      </w:r>
      <w:bookmarkEnd w:id="876"/>
      <w:bookmarkEnd w:id="877"/>
      <w:bookmarkEnd w:id="878"/>
      <w:bookmarkEnd w:id="879"/>
      <w:bookmarkEnd w:id="880"/>
      <w:r w:rsidRPr="00DE108C">
        <w:t xml:space="preserve"> </w:t>
      </w:r>
    </w:p>
    <w:tbl>
      <w:tblPr>
        <w:tblStyle w:val="MWTableGrid"/>
        <w:tblW w:w="5000" w:type="pct"/>
        <w:tblLook w:val="0420" w:firstRow="1" w:lastRow="0" w:firstColumn="0" w:lastColumn="0" w:noHBand="0" w:noVBand="1"/>
      </w:tblPr>
      <w:tblGrid>
        <w:gridCol w:w="1833"/>
        <w:gridCol w:w="1157"/>
        <w:gridCol w:w="1157"/>
        <w:gridCol w:w="1157"/>
        <w:gridCol w:w="1157"/>
        <w:gridCol w:w="1157"/>
        <w:gridCol w:w="1157"/>
        <w:gridCol w:w="1157"/>
        <w:gridCol w:w="1157"/>
        <w:gridCol w:w="1156"/>
        <w:gridCol w:w="1156"/>
        <w:gridCol w:w="1159"/>
      </w:tblGrid>
      <w:tr w:rsidR="0069661E" w:rsidRPr="006715E4" w14:paraId="05736459" w14:textId="77777777" w:rsidTr="00B46F82">
        <w:trPr>
          <w:cnfStyle w:val="100000000000" w:firstRow="1" w:lastRow="0" w:firstColumn="0" w:lastColumn="0" w:oddVBand="0" w:evenVBand="0" w:oddHBand="0" w:evenHBand="0" w:firstRowFirstColumn="0" w:firstRowLastColumn="0" w:lastRowFirstColumn="0" w:lastRowLastColumn="0"/>
        </w:trPr>
        <w:tc>
          <w:tcPr>
            <w:tcW w:w="629" w:type="pct"/>
          </w:tcPr>
          <w:p w14:paraId="03BA2245" w14:textId="77777777" w:rsidR="00046BD5" w:rsidRPr="006715E4" w:rsidRDefault="00046BD5" w:rsidP="00ED094E">
            <w:pPr>
              <w:pStyle w:val="TableHeading"/>
              <w:rPr>
                <w:rFonts w:asciiTheme="majorHAnsi" w:hAnsiTheme="majorHAnsi"/>
                <w:szCs w:val="16"/>
              </w:rPr>
            </w:pPr>
          </w:p>
        </w:tc>
        <w:tc>
          <w:tcPr>
            <w:tcW w:w="397" w:type="pct"/>
          </w:tcPr>
          <w:p w14:paraId="16C164FF" w14:textId="77777777" w:rsidR="00046BD5" w:rsidRPr="006715E4" w:rsidRDefault="00046BD5" w:rsidP="00ED094E">
            <w:pPr>
              <w:pStyle w:val="TableHeading"/>
              <w:rPr>
                <w:rFonts w:asciiTheme="majorHAnsi" w:hAnsiTheme="majorHAnsi"/>
                <w:szCs w:val="16"/>
              </w:rPr>
            </w:pPr>
            <w:r w:rsidRPr="006715E4">
              <w:rPr>
                <w:rFonts w:asciiTheme="majorHAnsi" w:hAnsiTheme="majorHAnsi"/>
                <w:szCs w:val="16"/>
              </w:rPr>
              <w:t>2025-26</w:t>
            </w:r>
          </w:p>
        </w:tc>
        <w:tc>
          <w:tcPr>
            <w:tcW w:w="397" w:type="pct"/>
          </w:tcPr>
          <w:p w14:paraId="144C3965" w14:textId="77777777" w:rsidR="00046BD5" w:rsidRPr="006715E4" w:rsidRDefault="00046BD5" w:rsidP="00ED094E">
            <w:pPr>
              <w:pStyle w:val="TableHeading"/>
              <w:rPr>
                <w:rFonts w:asciiTheme="majorHAnsi" w:hAnsiTheme="majorHAnsi"/>
                <w:szCs w:val="16"/>
              </w:rPr>
            </w:pPr>
            <w:r w:rsidRPr="006715E4">
              <w:rPr>
                <w:rFonts w:asciiTheme="majorHAnsi" w:hAnsiTheme="majorHAnsi"/>
                <w:szCs w:val="16"/>
              </w:rPr>
              <w:t>2026-27</w:t>
            </w:r>
          </w:p>
        </w:tc>
        <w:tc>
          <w:tcPr>
            <w:tcW w:w="397" w:type="pct"/>
          </w:tcPr>
          <w:p w14:paraId="4B42985B" w14:textId="77777777" w:rsidR="00046BD5" w:rsidRPr="006715E4" w:rsidRDefault="00046BD5" w:rsidP="00ED094E">
            <w:pPr>
              <w:pStyle w:val="TableHeading"/>
              <w:rPr>
                <w:rFonts w:asciiTheme="majorHAnsi" w:hAnsiTheme="majorHAnsi"/>
                <w:szCs w:val="16"/>
              </w:rPr>
            </w:pPr>
            <w:r w:rsidRPr="006715E4">
              <w:rPr>
                <w:rFonts w:asciiTheme="majorHAnsi" w:hAnsiTheme="majorHAnsi"/>
                <w:szCs w:val="16"/>
              </w:rPr>
              <w:t>2027-28</w:t>
            </w:r>
          </w:p>
        </w:tc>
        <w:tc>
          <w:tcPr>
            <w:tcW w:w="397" w:type="pct"/>
          </w:tcPr>
          <w:p w14:paraId="54DBAB88" w14:textId="77777777" w:rsidR="00046BD5" w:rsidRPr="006715E4" w:rsidRDefault="00046BD5" w:rsidP="00ED094E">
            <w:pPr>
              <w:pStyle w:val="TableHeading"/>
              <w:rPr>
                <w:rFonts w:asciiTheme="majorHAnsi" w:hAnsiTheme="majorHAnsi"/>
                <w:szCs w:val="16"/>
              </w:rPr>
            </w:pPr>
            <w:r w:rsidRPr="006715E4">
              <w:rPr>
                <w:rFonts w:asciiTheme="majorHAnsi" w:hAnsiTheme="majorHAnsi"/>
                <w:szCs w:val="16"/>
              </w:rPr>
              <w:t>2028-29</w:t>
            </w:r>
          </w:p>
        </w:tc>
        <w:tc>
          <w:tcPr>
            <w:tcW w:w="397" w:type="pct"/>
          </w:tcPr>
          <w:p w14:paraId="0A505D65" w14:textId="77777777" w:rsidR="00046BD5" w:rsidRPr="006715E4" w:rsidRDefault="00046BD5" w:rsidP="00ED094E">
            <w:pPr>
              <w:pStyle w:val="TableHeading"/>
              <w:rPr>
                <w:rFonts w:asciiTheme="majorHAnsi" w:hAnsiTheme="majorHAnsi"/>
                <w:szCs w:val="16"/>
              </w:rPr>
            </w:pPr>
            <w:r w:rsidRPr="006715E4">
              <w:rPr>
                <w:rFonts w:asciiTheme="majorHAnsi" w:hAnsiTheme="majorHAnsi"/>
                <w:szCs w:val="16"/>
              </w:rPr>
              <w:t>2029-30</w:t>
            </w:r>
          </w:p>
        </w:tc>
        <w:tc>
          <w:tcPr>
            <w:tcW w:w="397" w:type="pct"/>
          </w:tcPr>
          <w:p w14:paraId="481BAF20" w14:textId="77777777" w:rsidR="00046BD5" w:rsidRPr="006715E4" w:rsidRDefault="00046BD5" w:rsidP="00ED094E">
            <w:pPr>
              <w:pStyle w:val="TableHeading"/>
              <w:rPr>
                <w:rFonts w:asciiTheme="majorHAnsi" w:hAnsiTheme="majorHAnsi"/>
                <w:szCs w:val="16"/>
              </w:rPr>
            </w:pPr>
            <w:r w:rsidRPr="006715E4">
              <w:rPr>
                <w:rFonts w:asciiTheme="majorHAnsi" w:hAnsiTheme="majorHAnsi"/>
                <w:szCs w:val="16"/>
              </w:rPr>
              <w:t>2030-31</w:t>
            </w:r>
          </w:p>
        </w:tc>
        <w:tc>
          <w:tcPr>
            <w:tcW w:w="397" w:type="pct"/>
          </w:tcPr>
          <w:p w14:paraId="691A4ABF" w14:textId="77777777" w:rsidR="00046BD5" w:rsidRPr="006715E4" w:rsidRDefault="00046BD5" w:rsidP="00ED094E">
            <w:pPr>
              <w:pStyle w:val="TableHeading"/>
              <w:rPr>
                <w:rFonts w:asciiTheme="majorHAnsi" w:hAnsiTheme="majorHAnsi"/>
                <w:szCs w:val="16"/>
              </w:rPr>
            </w:pPr>
            <w:r w:rsidRPr="006715E4">
              <w:rPr>
                <w:rFonts w:asciiTheme="majorHAnsi" w:hAnsiTheme="majorHAnsi"/>
                <w:szCs w:val="16"/>
              </w:rPr>
              <w:t>2031-32</w:t>
            </w:r>
          </w:p>
        </w:tc>
        <w:tc>
          <w:tcPr>
            <w:tcW w:w="397" w:type="pct"/>
          </w:tcPr>
          <w:p w14:paraId="30B25F59" w14:textId="77777777" w:rsidR="00046BD5" w:rsidRPr="006715E4" w:rsidRDefault="00046BD5" w:rsidP="00ED094E">
            <w:pPr>
              <w:pStyle w:val="TableHeading"/>
              <w:rPr>
                <w:rFonts w:asciiTheme="majorHAnsi" w:hAnsiTheme="majorHAnsi"/>
                <w:szCs w:val="16"/>
              </w:rPr>
            </w:pPr>
            <w:r w:rsidRPr="006715E4">
              <w:rPr>
                <w:rFonts w:asciiTheme="majorHAnsi" w:hAnsiTheme="majorHAnsi"/>
                <w:szCs w:val="16"/>
              </w:rPr>
              <w:t>2032-33</w:t>
            </w:r>
          </w:p>
        </w:tc>
        <w:tc>
          <w:tcPr>
            <w:tcW w:w="397" w:type="pct"/>
          </w:tcPr>
          <w:p w14:paraId="4600AAA1" w14:textId="77777777" w:rsidR="00046BD5" w:rsidRPr="006715E4" w:rsidRDefault="00046BD5" w:rsidP="00ED094E">
            <w:pPr>
              <w:pStyle w:val="TableHeading"/>
              <w:rPr>
                <w:rFonts w:asciiTheme="majorHAnsi" w:hAnsiTheme="majorHAnsi"/>
                <w:szCs w:val="16"/>
              </w:rPr>
            </w:pPr>
            <w:r w:rsidRPr="006715E4">
              <w:rPr>
                <w:rFonts w:asciiTheme="majorHAnsi" w:hAnsiTheme="majorHAnsi"/>
                <w:szCs w:val="16"/>
              </w:rPr>
              <w:t>2033-34</w:t>
            </w:r>
          </w:p>
        </w:tc>
        <w:tc>
          <w:tcPr>
            <w:tcW w:w="397" w:type="pct"/>
          </w:tcPr>
          <w:p w14:paraId="229EBF67" w14:textId="77777777" w:rsidR="00046BD5" w:rsidRPr="006715E4" w:rsidRDefault="00046BD5" w:rsidP="00ED094E">
            <w:pPr>
              <w:pStyle w:val="TableHeading"/>
              <w:rPr>
                <w:rFonts w:asciiTheme="majorHAnsi" w:hAnsiTheme="majorHAnsi"/>
                <w:szCs w:val="16"/>
              </w:rPr>
            </w:pPr>
            <w:r w:rsidRPr="006715E4">
              <w:rPr>
                <w:rFonts w:asciiTheme="majorHAnsi" w:hAnsiTheme="majorHAnsi"/>
                <w:szCs w:val="16"/>
              </w:rPr>
              <w:t>2034-35</w:t>
            </w:r>
          </w:p>
        </w:tc>
        <w:tc>
          <w:tcPr>
            <w:tcW w:w="398" w:type="pct"/>
          </w:tcPr>
          <w:p w14:paraId="3F218EE3" w14:textId="77777777" w:rsidR="00046BD5" w:rsidRPr="006715E4" w:rsidRDefault="00046BD5" w:rsidP="00ED094E">
            <w:pPr>
              <w:pStyle w:val="TableHeading"/>
              <w:rPr>
                <w:rFonts w:asciiTheme="majorHAnsi" w:hAnsiTheme="majorHAnsi"/>
                <w:szCs w:val="16"/>
              </w:rPr>
            </w:pPr>
            <w:r w:rsidRPr="006715E4">
              <w:rPr>
                <w:rFonts w:asciiTheme="majorHAnsi" w:hAnsiTheme="majorHAnsi"/>
                <w:szCs w:val="16"/>
              </w:rPr>
              <w:t>2035-36</w:t>
            </w:r>
          </w:p>
        </w:tc>
      </w:tr>
      <w:tr w:rsidR="006715E4" w:rsidRPr="006715E4" w14:paraId="60B4B7D9" w14:textId="77777777" w:rsidTr="00ED094E">
        <w:tc>
          <w:tcPr>
            <w:tcW w:w="629" w:type="pct"/>
          </w:tcPr>
          <w:p w14:paraId="36DD618E" w14:textId="77777777" w:rsidR="006715E4" w:rsidRPr="006715E4" w:rsidRDefault="006715E4" w:rsidP="006715E4">
            <w:pPr>
              <w:pStyle w:val="TableText"/>
              <w:rPr>
                <w:rFonts w:asciiTheme="majorHAnsi" w:hAnsiTheme="majorHAnsi"/>
                <w:b/>
                <w:szCs w:val="16"/>
              </w:rPr>
            </w:pPr>
            <w:r w:rsidRPr="006715E4">
              <w:rPr>
                <w:rFonts w:asciiTheme="majorHAnsi" w:hAnsiTheme="majorHAnsi"/>
                <w:b/>
                <w:szCs w:val="16"/>
              </w:rPr>
              <w:t>Opening value</w:t>
            </w:r>
          </w:p>
        </w:tc>
        <w:tc>
          <w:tcPr>
            <w:tcW w:w="397" w:type="pct"/>
            <w:vAlign w:val="center"/>
          </w:tcPr>
          <w:p w14:paraId="65F45967" w14:textId="48C90471" w:rsidR="006715E4" w:rsidRPr="006715E4" w:rsidRDefault="006715E4" w:rsidP="006715E4">
            <w:pPr>
              <w:pStyle w:val="TableText"/>
              <w:rPr>
                <w:rFonts w:asciiTheme="majorHAnsi" w:hAnsiTheme="majorHAnsi"/>
                <w:b/>
                <w:bCs/>
                <w:szCs w:val="16"/>
              </w:rPr>
            </w:pPr>
            <w:r w:rsidRPr="006715E4">
              <w:rPr>
                <w:rFonts w:asciiTheme="majorHAnsi" w:hAnsiTheme="majorHAnsi" w:cs="Tahoma"/>
                <w:b/>
                <w:bCs/>
                <w:szCs w:val="16"/>
              </w:rPr>
              <w:t xml:space="preserve"> 7,145.7 </w:t>
            </w:r>
          </w:p>
        </w:tc>
        <w:tc>
          <w:tcPr>
            <w:tcW w:w="397" w:type="pct"/>
            <w:vAlign w:val="center"/>
          </w:tcPr>
          <w:p w14:paraId="6A16B5EF" w14:textId="69173868" w:rsidR="006715E4" w:rsidRPr="006715E4" w:rsidRDefault="006715E4" w:rsidP="006715E4">
            <w:pPr>
              <w:pStyle w:val="TableText"/>
              <w:rPr>
                <w:rFonts w:asciiTheme="majorHAnsi" w:hAnsiTheme="majorHAnsi"/>
                <w:b/>
                <w:bCs/>
                <w:szCs w:val="16"/>
              </w:rPr>
            </w:pPr>
            <w:r w:rsidRPr="006715E4">
              <w:rPr>
                <w:rFonts w:asciiTheme="majorHAnsi" w:hAnsiTheme="majorHAnsi" w:cs="Tahoma"/>
                <w:b/>
                <w:bCs/>
                <w:szCs w:val="16"/>
              </w:rPr>
              <w:t xml:space="preserve"> 7,153.0 </w:t>
            </w:r>
          </w:p>
        </w:tc>
        <w:tc>
          <w:tcPr>
            <w:tcW w:w="397" w:type="pct"/>
            <w:vAlign w:val="center"/>
          </w:tcPr>
          <w:p w14:paraId="044E72C9" w14:textId="1DAE031E" w:rsidR="006715E4" w:rsidRPr="006715E4" w:rsidRDefault="006715E4" w:rsidP="006715E4">
            <w:pPr>
              <w:pStyle w:val="TableText"/>
              <w:rPr>
                <w:rFonts w:asciiTheme="majorHAnsi" w:hAnsiTheme="majorHAnsi"/>
                <w:b/>
                <w:bCs/>
                <w:szCs w:val="16"/>
              </w:rPr>
            </w:pPr>
            <w:r w:rsidRPr="006715E4">
              <w:rPr>
                <w:rFonts w:asciiTheme="majorHAnsi" w:hAnsiTheme="majorHAnsi" w:cs="Tahoma"/>
                <w:b/>
                <w:bCs/>
                <w:szCs w:val="16"/>
              </w:rPr>
              <w:t xml:space="preserve"> 7,540.4 </w:t>
            </w:r>
          </w:p>
        </w:tc>
        <w:tc>
          <w:tcPr>
            <w:tcW w:w="397" w:type="pct"/>
            <w:vAlign w:val="center"/>
          </w:tcPr>
          <w:p w14:paraId="50963E25" w14:textId="002D9E98" w:rsidR="006715E4" w:rsidRPr="006715E4" w:rsidRDefault="006715E4" w:rsidP="006715E4">
            <w:pPr>
              <w:pStyle w:val="TableText"/>
              <w:rPr>
                <w:rFonts w:asciiTheme="majorHAnsi" w:hAnsiTheme="majorHAnsi"/>
                <w:b/>
                <w:bCs/>
                <w:szCs w:val="16"/>
              </w:rPr>
            </w:pPr>
            <w:r w:rsidRPr="006715E4">
              <w:rPr>
                <w:rFonts w:asciiTheme="majorHAnsi" w:hAnsiTheme="majorHAnsi" w:cs="Tahoma"/>
                <w:b/>
                <w:bCs/>
                <w:szCs w:val="16"/>
              </w:rPr>
              <w:t xml:space="preserve"> 7,862.7 </w:t>
            </w:r>
          </w:p>
        </w:tc>
        <w:tc>
          <w:tcPr>
            <w:tcW w:w="397" w:type="pct"/>
            <w:vAlign w:val="center"/>
          </w:tcPr>
          <w:p w14:paraId="2EDAE2F7" w14:textId="6FA37291" w:rsidR="006715E4" w:rsidRPr="006715E4" w:rsidRDefault="006715E4" w:rsidP="006715E4">
            <w:pPr>
              <w:pStyle w:val="TableText"/>
              <w:rPr>
                <w:rFonts w:asciiTheme="majorHAnsi" w:hAnsiTheme="majorHAnsi"/>
                <w:b/>
                <w:bCs/>
                <w:szCs w:val="16"/>
              </w:rPr>
            </w:pPr>
            <w:r w:rsidRPr="006715E4">
              <w:rPr>
                <w:rFonts w:asciiTheme="majorHAnsi" w:hAnsiTheme="majorHAnsi" w:cs="Tahoma"/>
                <w:b/>
                <w:bCs/>
                <w:szCs w:val="16"/>
              </w:rPr>
              <w:t xml:space="preserve"> 8,226.4 </w:t>
            </w:r>
          </w:p>
        </w:tc>
        <w:tc>
          <w:tcPr>
            <w:tcW w:w="397" w:type="pct"/>
            <w:vAlign w:val="center"/>
          </w:tcPr>
          <w:p w14:paraId="1E41E930" w14:textId="7C8AF8A4" w:rsidR="006715E4" w:rsidRPr="006715E4" w:rsidRDefault="006715E4" w:rsidP="006715E4">
            <w:pPr>
              <w:pStyle w:val="TableText"/>
              <w:rPr>
                <w:rFonts w:asciiTheme="majorHAnsi" w:hAnsiTheme="majorHAnsi"/>
                <w:b/>
                <w:bCs/>
                <w:szCs w:val="16"/>
              </w:rPr>
            </w:pPr>
            <w:r w:rsidRPr="006715E4">
              <w:rPr>
                <w:rFonts w:asciiTheme="majorHAnsi" w:hAnsiTheme="majorHAnsi" w:cs="Tahoma"/>
                <w:b/>
                <w:bCs/>
                <w:szCs w:val="16"/>
              </w:rPr>
              <w:t xml:space="preserve"> 8,637.1 </w:t>
            </w:r>
          </w:p>
        </w:tc>
        <w:tc>
          <w:tcPr>
            <w:tcW w:w="397" w:type="pct"/>
            <w:vAlign w:val="center"/>
          </w:tcPr>
          <w:p w14:paraId="619B868A" w14:textId="744B3B3F" w:rsidR="006715E4" w:rsidRPr="006715E4" w:rsidRDefault="006715E4" w:rsidP="006715E4">
            <w:pPr>
              <w:pStyle w:val="TableText"/>
              <w:rPr>
                <w:rFonts w:asciiTheme="majorHAnsi" w:hAnsiTheme="majorHAnsi" w:cs="Tahoma"/>
                <w:b/>
                <w:bCs/>
                <w:szCs w:val="16"/>
              </w:rPr>
            </w:pPr>
            <w:r w:rsidRPr="006715E4">
              <w:rPr>
                <w:rFonts w:asciiTheme="majorHAnsi" w:hAnsiTheme="majorHAnsi" w:cs="Tahoma"/>
                <w:b/>
                <w:bCs/>
                <w:szCs w:val="16"/>
              </w:rPr>
              <w:t xml:space="preserve"> 8,968.1 </w:t>
            </w:r>
          </w:p>
        </w:tc>
        <w:tc>
          <w:tcPr>
            <w:tcW w:w="397" w:type="pct"/>
            <w:vAlign w:val="center"/>
          </w:tcPr>
          <w:p w14:paraId="26854D80" w14:textId="2597E45D" w:rsidR="006715E4" w:rsidRPr="006715E4" w:rsidRDefault="006715E4" w:rsidP="006715E4">
            <w:pPr>
              <w:pStyle w:val="TableText"/>
              <w:rPr>
                <w:rFonts w:asciiTheme="majorHAnsi" w:hAnsiTheme="majorHAnsi" w:cs="Tahoma"/>
                <w:b/>
                <w:bCs/>
                <w:szCs w:val="16"/>
              </w:rPr>
            </w:pPr>
            <w:r w:rsidRPr="006715E4">
              <w:rPr>
                <w:rFonts w:asciiTheme="majorHAnsi" w:hAnsiTheme="majorHAnsi" w:cs="Tahoma"/>
                <w:b/>
                <w:bCs/>
                <w:szCs w:val="16"/>
              </w:rPr>
              <w:t xml:space="preserve"> 9,401.2 </w:t>
            </w:r>
          </w:p>
        </w:tc>
        <w:tc>
          <w:tcPr>
            <w:tcW w:w="397" w:type="pct"/>
            <w:vAlign w:val="center"/>
          </w:tcPr>
          <w:p w14:paraId="62FAFA85" w14:textId="2DC25D89" w:rsidR="006715E4" w:rsidRPr="006715E4" w:rsidRDefault="006715E4" w:rsidP="006715E4">
            <w:pPr>
              <w:pStyle w:val="TableText"/>
              <w:rPr>
                <w:rFonts w:asciiTheme="majorHAnsi" w:hAnsiTheme="majorHAnsi" w:cs="Tahoma"/>
                <w:b/>
                <w:bCs/>
                <w:szCs w:val="16"/>
              </w:rPr>
            </w:pPr>
            <w:r w:rsidRPr="006715E4">
              <w:rPr>
                <w:rFonts w:asciiTheme="majorHAnsi" w:hAnsiTheme="majorHAnsi" w:cs="Tahoma"/>
                <w:b/>
                <w:bCs/>
                <w:szCs w:val="16"/>
              </w:rPr>
              <w:t xml:space="preserve"> 9,679.1 </w:t>
            </w:r>
          </w:p>
        </w:tc>
        <w:tc>
          <w:tcPr>
            <w:tcW w:w="397" w:type="pct"/>
            <w:vAlign w:val="center"/>
          </w:tcPr>
          <w:p w14:paraId="5169A40C" w14:textId="38EE9FDB" w:rsidR="006715E4" w:rsidRPr="006715E4" w:rsidRDefault="006715E4" w:rsidP="006715E4">
            <w:pPr>
              <w:pStyle w:val="TableText"/>
              <w:rPr>
                <w:rFonts w:asciiTheme="majorHAnsi" w:hAnsiTheme="majorHAnsi" w:cs="Tahoma"/>
                <w:b/>
                <w:bCs/>
                <w:szCs w:val="16"/>
              </w:rPr>
            </w:pPr>
            <w:r w:rsidRPr="006715E4">
              <w:rPr>
                <w:rFonts w:asciiTheme="majorHAnsi" w:hAnsiTheme="majorHAnsi" w:cs="Tahoma"/>
                <w:b/>
                <w:bCs/>
                <w:szCs w:val="16"/>
              </w:rPr>
              <w:t xml:space="preserve"> 9,676.7 </w:t>
            </w:r>
          </w:p>
        </w:tc>
        <w:tc>
          <w:tcPr>
            <w:tcW w:w="398" w:type="pct"/>
            <w:vAlign w:val="center"/>
          </w:tcPr>
          <w:p w14:paraId="5CC73121" w14:textId="3F3B0E9A" w:rsidR="006715E4" w:rsidRPr="006715E4" w:rsidRDefault="006715E4" w:rsidP="006715E4">
            <w:pPr>
              <w:pStyle w:val="TableText"/>
              <w:rPr>
                <w:rFonts w:asciiTheme="majorHAnsi" w:hAnsiTheme="majorHAnsi" w:cs="Tahoma"/>
                <w:b/>
                <w:bCs/>
                <w:szCs w:val="16"/>
              </w:rPr>
            </w:pPr>
            <w:r w:rsidRPr="006715E4">
              <w:rPr>
                <w:rFonts w:asciiTheme="majorHAnsi" w:hAnsiTheme="majorHAnsi" w:cs="Tahoma"/>
                <w:b/>
                <w:bCs/>
                <w:szCs w:val="16"/>
              </w:rPr>
              <w:t xml:space="preserve"> 9,865.7 </w:t>
            </w:r>
          </w:p>
        </w:tc>
      </w:tr>
      <w:tr w:rsidR="0069661E" w:rsidRPr="006715E4" w14:paraId="08B26BD1"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0FFDD926" w14:textId="77777777" w:rsidR="006715E4" w:rsidRPr="006715E4" w:rsidRDefault="006715E4" w:rsidP="006715E4">
            <w:pPr>
              <w:pStyle w:val="TableText"/>
              <w:rPr>
                <w:rFonts w:asciiTheme="majorHAnsi" w:hAnsiTheme="majorHAnsi"/>
                <w:szCs w:val="16"/>
              </w:rPr>
            </w:pPr>
            <w:r w:rsidRPr="006715E4">
              <w:rPr>
                <w:rFonts w:asciiTheme="majorHAnsi" w:hAnsiTheme="majorHAnsi"/>
                <w:szCs w:val="16"/>
              </w:rPr>
              <w:t>Plus gross capex</w:t>
            </w:r>
          </w:p>
        </w:tc>
        <w:tc>
          <w:tcPr>
            <w:tcW w:w="397" w:type="pct"/>
            <w:vAlign w:val="center"/>
          </w:tcPr>
          <w:p w14:paraId="18804E10"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160.8 </w:t>
            </w:r>
          </w:p>
        </w:tc>
        <w:tc>
          <w:tcPr>
            <w:tcW w:w="397" w:type="pct"/>
            <w:vAlign w:val="center"/>
          </w:tcPr>
          <w:p w14:paraId="0D3F8BB1"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551.5 </w:t>
            </w:r>
          </w:p>
        </w:tc>
        <w:tc>
          <w:tcPr>
            <w:tcW w:w="397" w:type="pct"/>
            <w:vAlign w:val="center"/>
          </w:tcPr>
          <w:p w14:paraId="59DEAA8A"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493.9 </w:t>
            </w:r>
          </w:p>
        </w:tc>
        <w:tc>
          <w:tcPr>
            <w:tcW w:w="397" w:type="pct"/>
            <w:vAlign w:val="center"/>
          </w:tcPr>
          <w:p w14:paraId="4E415489"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548.9 </w:t>
            </w:r>
          </w:p>
        </w:tc>
        <w:tc>
          <w:tcPr>
            <w:tcW w:w="397" w:type="pct"/>
            <w:vAlign w:val="center"/>
          </w:tcPr>
          <w:p w14:paraId="3B54F4E5"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612.7 </w:t>
            </w:r>
          </w:p>
        </w:tc>
        <w:tc>
          <w:tcPr>
            <w:tcW w:w="397" w:type="pct"/>
            <w:vAlign w:val="center"/>
          </w:tcPr>
          <w:p w14:paraId="4543C8F6"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530.5 </w:t>
            </w:r>
          </w:p>
        </w:tc>
        <w:tc>
          <w:tcPr>
            <w:tcW w:w="397" w:type="pct"/>
            <w:vAlign w:val="center"/>
          </w:tcPr>
          <w:p w14:paraId="5481620D"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636.2 </w:t>
            </w:r>
          </w:p>
        </w:tc>
        <w:tc>
          <w:tcPr>
            <w:tcW w:w="397" w:type="pct"/>
            <w:vAlign w:val="center"/>
          </w:tcPr>
          <w:p w14:paraId="029B8104"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494.3 </w:t>
            </w:r>
          </w:p>
        </w:tc>
        <w:tc>
          <w:tcPr>
            <w:tcW w:w="397" w:type="pct"/>
            <w:vAlign w:val="center"/>
          </w:tcPr>
          <w:p w14:paraId="22B12656"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226.2 </w:t>
            </w:r>
          </w:p>
        </w:tc>
        <w:tc>
          <w:tcPr>
            <w:tcW w:w="397" w:type="pct"/>
            <w:vAlign w:val="center"/>
          </w:tcPr>
          <w:p w14:paraId="01186759"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429.9 </w:t>
            </w:r>
          </w:p>
        </w:tc>
        <w:tc>
          <w:tcPr>
            <w:tcW w:w="398" w:type="pct"/>
            <w:vAlign w:val="center"/>
          </w:tcPr>
          <w:p w14:paraId="20416AFF"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660.7 </w:t>
            </w:r>
          </w:p>
        </w:tc>
      </w:tr>
      <w:tr w:rsidR="006715E4" w:rsidRPr="006715E4" w14:paraId="640E93C8" w14:textId="77777777" w:rsidTr="00ED094E">
        <w:tc>
          <w:tcPr>
            <w:tcW w:w="629" w:type="pct"/>
          </w:tcPr>
          <w:p w14:paraId="3FDEF23A" w14:textId="48C324DC" w:rsidR="006715E4" w:rsidRPr="006715E4" w:rsidRDefault="006715E4" w:rsidP="006715E4">
            <w:pPr>
              <w:pStyle w:val="TableText"/>
              <w:rPr>
                <w:rFonts w:asciiTheme="majorHAnsi" w:hAnsiTheme="majorHAnsi"/>
                <w:szCs w:val="16"/>
              </w:rPr>
            </w:pPr>
            <w:r w:rsidRPr="006715E4">
              <w:rPr>
                <w:rFonts w:asciiTheme="majorHAnsi" w:hAnsiTheme="majorHAnsi"/>
                <w:szCs w:val="16"/>
              </w:rPr>
              <w:t xml:space="preserve">Less </w:t>
            </w:r>
            <w:r w:rsidR="00E4295E">
              <w:rPr>
                <w:rFonts w:asciiTheme="majorHAnsi" w:hAnsiTheme="majorHAnsi"/>
                <w:szCs w:val="16"/>
              </w:rPr>
              <w:t>g</w:t>
            </w:r>
            <w:r w:rsidRPr="5B7BCA50">
              <w:rPr>
                <w:rFonts w:asciiTheme="majorHAnsi" w:hAnsiTheme="majorHAnsi"/>
              </w:rPr>
              <w:t>overnment</w:t>
            </w:r>
            <w:r w:rsidRPr="006715E4">
              <w:rPr>
                <w:rFonts w:asciiTheme="majorHAnsi" w:hAnsiTheme="majorHAnsi"/>
                <w:szCs w:val="16"/>
              </w:rPr>
              <w:t xml:space="preserve"> contribution </w:t>
            </w:r>
          </w:p>
        </w:tc>
        <w:tc>
          <w:tcPr>
            <w:tcW w:w="397" w:type="pct"/>
            <w:vAlign w:val="center"/>
          </w:tcPr>
          <w:p w14:paraId="66FF6D3A"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 </w:t>
            </w:r>
          </w:p>
        </w:tc>
        <w:tc>
          <w:tcPr>
            <w:tcW w:w="397" w:type="pct"/>
            <w:vAlign w:val="center"/>
          </w:tcPr>
          <w:p w14:paraId="700E3D9B"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 </w:t>
            </w:r>
          </w:p>
        </w:tc>
        <w:tc>
          <w:tcPr>
            <w:tcW w:w="397" w:type="pct"/>
            <w:vAlign w:val="center"/>
          </w:tcPr>
          <w:p w14:paraId="6D5E66F5"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 </w:t>
            </w:r>
          </w:p>
        </w:tc>
        <w:tc>
          <w:tcPr>
            <w:tcW w:w="397" w:type="pct"/>
            <w:vAlign w:val="center"/>
          </w:tcPr>
          <w:p w14:paraId="59A0A463"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 </w:t>
            </w:r>
          </w:p>
        </w:tc>
        <w:tc>
          <w:tcPr>
            <w:tcW w:w="397" w:type="pct"/>
            <w:vAlign w:val="center"/>
          </w:tcPr>
          <w:p w14:paraId="02CF4CA6"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 </w:t>
            </w:r>
          </w:p>
        </w:tc>
        <w:tc>
          <w:tcPr>
            <w:tcW w:w="397" w:type="pct"/>
            <w:vAlign w:val="center"/>
          </w:tcPr>
          <w:p w14:paraId="65BC383F"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 </w:t>
            </w:r>
          </w:p>
        </w:tc>
        <w:tc>
          <w:tcPr>
            <w:tcW w:w="397" w:type="pct"/>
            <w:vAlign w:val="center"/>
          </w:tcPr>
          <w:p w14:paraId="00C6AEB9"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 </w:t>
            </w:r>
          </w:p>
        </w:tc>
        <w:tc>
          <w:tcPr>
            <w:tcW w:w="397" w:type="pct"/>
            <w:vAlign w:val="center"/>
          </w:tcPr>
          <w:p w14:paraId="61298D8D"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 </w:t>
            </w:r>
          </w:p>
        </w:tc>
        <w:tc>
          <w:tcPr>
            <w:tcW w:w="397" w:type="pct"/>
            <w:vAlign w:val="center"/>
          </w:tcPr>
          <w:p w14:paraId="122849B8"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 </w:t>
            </w:r>
          </w:p>
        </w:tc>
        <w:tc>
          <w:tcPr>
            <w:tcW w:w="397" w:type="pct"/>
            <w:vAlign w:val="center"/>
          </w:tcPr>
          <w:p w14:paraId="2EA0E193"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 </w:t>
            </w:r>
          </w:p>
        </w:tc>
        <w:tc>
          <w:tcPr>
            <w:tcW w:w="398" w:type="pct"/>
            <w:vAlign w:val="center"/>
          </w:tcPr>
          <w:p w14:paraId="6CFA940C"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 </w:t>
            </w:r>
          </w:p>
        </w:tc>
      </w:tr>
      <w:tr w:rsidR="0069661E" w:rsidRPr="006715E4" w14:paraId="333DA6D9"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1E485093" w14:textId="77777777" w:rsidR="006715E4" w:rsidRPr="006715E4" w:rsidRDefault="006715E4" w:rsidP="006715E4">
            <w:pPr>
              <w:pStyle w:val="TableText"/>
              <w:rPr>
                <w:rFonts w:asciiTheme="majorHAnsi" w:hAnsiTheme="majorHAnsi"/>
                <w:szCs w:val="16"/>
              </w:rPr>
            </w:pPr>
            <w:r w:rsidRPr="006715E4">
              <w:rPr>
                <w:rFonts w:asciiTheme="majorHAnsi" w:hAnsiTheme="majorHAnsi"/>
                <w:szCs w:val="16"/>
              </w:rPr>
              <w:t>Less customer contribution </w:t>
            </w:r>
          </w:p>
        </w:tc>
        <w:tc>
          <w:tcPr>
            <w:tcW w:w="397" w:type="pct"/>
            <w:vAlign w:val="center"/>
          </w:tcPr>
          <w:p w14:paraId="5747E6FA"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 </w:t>
            </w:r>
          </w:p>
        </w:tc>
        <w:tc>
          <w:tcPr>
            <w:tcW w:w="397" w:type="pct"/>
            <w:vAlign w:val="center"/>
          </w:tcPr>
          <w:p w14:paraId="7C74DAE9"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 </w:t>
            </w:r>
          </w:p>
        </w:tc>
        <w:tc>
          <w:tcPr>
            <w:tcW w:w="397" w:type="pct"/>
            <w:vAlign w:val="center"/>
          </w:tcPr>
          <w:p w14:paraId="29FF1189"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 </w:t>
            </w:r>
          </w:p>
        </w:tc>
        <w:tc>
          <w:tcPr>
            <w:tcW w:w="397" w:type="pct"/>
            <w:vAlign w:val="center"/>
          </w:tcPr>
          <w:p w14:paraId="39507608"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 </w:t>
            </w:r>
          </w:p>
        </w:tc>
        <w:tc>
          <w:tcPr>
            <w:tcW w:w="397" w:type="pct"/>
            <w:vAlign w:val="center"/>
          </w:tcPr>
          <w:p w14:paraId="5ECCF2C3"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 </w:t>
            </w:r>
          </w:p>
        </w:tc>
        <w:tc>
          <w:tcPr>
            <w:tcW w:w="397" w:type="pct"/>
            <w:vAlign w:val="center"/>
          </w:tcPr>
          <w:p w14:paraId="778A0538"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 </w:t>
            </w:r>
          </w:p>
        </w:tc>
        <w:tc>
          <w:tcPr>
            <w:tcW w:w="397" w:type="pct"/>
            <w:vAlign w:val="center"/>
          </w:tcPr>
          <w:p w14:paraId="04F72225"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 </w:t>
            </w:r>
          </w:p>
        </w:tc>
        <w:tc>
          <w:tcPr>
            <w:tcW w:w="397" w:type="pct"/>
            <w:vAlign w:val="center"/>
          </w:tcPr>
          <w:p w14:paraId="17E58F08"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 </w:t>
            </w:r>
          </w:p>
        </w:tc>
        <w:tc>
          <w:tcPr>
            <w:tcW w:w="397" w:type="pct"/>
            <w:vAlign w:val="center"/>
          </w:tcPr>
          <w:p w14:paraId="5CACD21D"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 </w:t>
            </w:r>
          </w:p>
        </w:tc>
        <w:tc>
          <w:tcPr>
            <w:tcW w:w="397" w:type="pct"/>
            <w:vAlign w:val="center"/>
          </w:tcPr>
          <w:p w14:paraId="6D0582D1"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 </w:t>
            </w:r>
          </w:p>
        </w:tc>
        <w:tc>
          <w:tcPr>
            <w:tcW w:w="398" w:type="pct"/>
            <w:vAlign w:val="center"/>
          </w:tcPr>
          <w:p w14:paraId="0778756E"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 </w:t>
            </w:r>
          </w:p>
        </w:tc>
      </w:tr>
      <w:tr w:rsidR="006715E4" w:rsidRPr="006715E4" w14:paraId="3136D9AF" w14:textId="77777777" w:rsidTr="00ED094E">
        <w:tc>
          <w:tcPr>
            <w:tcW w:w="629" w:type="pct"/>
          </w:tcPr>
          <w:p w14:paraId="5F369AE9" w14:textId="0169E398" w:rsidR="006715E4" w:rsidRPr="006715E4" w:rsidRDefault="006715E4" w:rsidP="006715E4">
            <w:pPr>
              <w:pStyle w:val="TableText"/>
              <w:rPr>
                <w:rFonts w:asciiTheme="majorHAnsi" w:hAnsiTheme="majorHAnsi"/>
                <w:szCs w:val="16"/>
              </w:rPr>
            </w:pPr>
            <w:r w:rsidRPr="006715E4">
              <w:rPr>
                <w:rFonts w:asciiTheme="majorHAnsi" w:hAnsiTheme="majorHAnsi"/>
                <w:szCs w:val="16"/>
              </w:rPr>
              <w:t xml:space="preserve">Less </w:t>
            </w:r>
            <w:r w:rsidR="69359466" w:rsidRPr="5B7BCA50">
              <w:rPr>
                <w:rFonts w:asciiTheme="majorHAnsi" w:hAnsiTheme="majorHAnsi"/>
              </w:rPr>
              <w:t>p</w:t>
            </w:r>
            <w:r w:rsidRPr="5B7BCA50">
              <w:rPr>
                <w:rFonts w:asciiTheme="majorHAnsi" w:hAnsiTheme="majorHAnsi"/>
              </w:rPr>
              <w:t>roceeds</w:t>
            </w:r>
            <w:r w:rsidRPr="006715E4">
              <w:rPr>
                <w:rFonts w:asciiTheme="majorHAnsi" w:hAnsiTheme="majorHAnsi"/>
                <w:szCs w:val="16"/>
              </w:rPr>
              <w:t xml:space="preserve"> from disposal</w:t>
            </w:r>
          </w:p>
        </w:tc>
        <w:tc>
          <w:tcPr>
            <w:tcW w:w="397" w:type="pct"/>
            <w:vAlign w:val="center"/>
          </w:tcPr>
          <w:p w14:paraId="4CE1D2CE"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0.4 </w:t>
            </w:r>
          </w:p>
        </w:tc>
        <w:tc>
          <w:tcPr>
            <w:tcW w:w="397" w:type="pct"/>
            <w:vAlign w:val="center"/>
          </w:tcPr>
          <w:p w14:paraId="0E6113D6"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2.8 </w:t>
            </w:r>
          </w:p>
        </w:tc>
        <w:tc>
          <w:tcPr>
            <w:tcW w:w="397" w:type="pct"/>
            <w:vAlign w:val="center"/>
          </w:tcPr>
          <w:p w14:paraId="3D42BAE8"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0.4 </w:t>
            </w:r>
          </w:p>
        </w:tc>
        <w:tc>
          <w:tcPr>
            <w:tcW w:w="397" w:type="pct"/>
            <w:vAlign w:val="center"/>
          </w:tcPr>
          <w:p w14:paraId="440918AB"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2.7 </w:t>
            </w:r>
          </w:p>
        </w:tc>
        <w:tc>
          <w:tcPr>
            <w:tcW w:w="397" w:type="pct"/>
            <w:vAlign w:val="center"/>
          </w:tcPr>
          <w:p w14:paraId="2C042F6A"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2.7 </w:t>
            </w:r>
          </w:p>
        </w:tc>
        <w:tc>
          <w:tcPr>
            <w:tcW w:w="397" w:type="pct"/>
            <w:vAlign w:val="center"/>
          </w:tcPr>
          <w:p w14:paraId="379BC070"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1.6 </w:t>
            </w:r>
          </w:p>
        </w:tc>
        <w:tc>
          <w:tcPr>
            <w:tcW w:w="397" w:type="pct"/>
            <w:vAlign w:val="center"/>
          </w:tcPr>
          <w:p w14:paraId="6D3254BD"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1.6 </w:t>
            </w:r>
          </w:p>
        </w:tc>
        <w:tc>
          <w:tcPr>
            <w:tcW w:w="397" w:type="pct"/>
            <w:vAlign w:val="center"/>
          </w:tcPr>
          <w:p w14:paraId="3EE9BE83"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1.6 </w:t>
            </w:r>
          </w:p>
        </w:tc>
        <w:tc>
          <w:tcPr>
            <w:tcW w:w="397" w:type="pct"/>
            <w:vAlign w:val="center"/>
          </w:tcPr>
          <w:p w14:paraId="283E7824"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1.6 </w:t>
            </w:r>
          </w:p>
        </w:tc>
        <w:tc>
          <w:tcPr>
            <w:tcW w:w="397" w:type="pct"/>
            <w:vAlign w:val="center"/>
          </w:tcPr>
          <w:p w14:paraId="7F93BAAA"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1.6 </w:t>
            </w:r>
          </w:p>
        </w:tc>
        <w:tc>
          <w:tcPr>
            <w:tcW w:w="398" w:type="pct"/>
            <w:vAlign w:val="center"/>
          </w:tcPr>
          <w:p w14:paraId="616D17CC"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1.6 </w:t>
            </w:r>
          </w:p>
        </w:tc>
      </w:tr>
      <w:tr w:rsidR="0069661E" w:rsidRPr="006715E4" w14:paraId="084D9051"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2049C99F" w14:textId="77777777" w:rsidR="006715E4" w:rsidRPr="006715E4" w:rsidRDefault="006715E4" w:rsidP="006715E4">
            <w:pPr>
              <w:pStyle w:val="TableText"/>
              <w:rPr>
                <w:rFonts w:asciiTheme="majorHAnsi" w:hAnsiTheme="majorHAnsi"/>
                <w:szCs w:val="16"/>
              </w:rPr>
            </w:pPr>
            <w:r w:rsidRPr="006715E4">
              <w:rPr>
                <w:rFonts w:asciiTheme="majorHAnsi" w:hAnsiTheme="majorHAnsi"/>
                <w:szCs w:val="16"/>
              </w:rPr>
              <w:t>Less regulatory depreciation on existing assets</w:t>
            </w:r>
          </w:p>
        </w:tc>
        <w:tc>
          <w:tcPr>
            <w:tcW w:w="397" w:type="pct"/>
            <w:vAlign w:val="center"/>
          </w:tcPr>
          <w:p w14:paraId="49C89155"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117.2 </w:t>
            </w:r>
          </w:p>
        </w:tc>
        <w:tc>
          <w:tcPr>
            <w:tcW w:w="397" w:type="pct"/>
            <w:vAlign w:val="center"/>
          </w:tcPr>
          <w:p w14:paraId="2E7C490A"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156.0 </w:t>
            </w:r>
          </w:p>
        </w:tc>
        <w:tc>
          <w:tcPr>
            <w:tcW w:w="397" w:type="pct"/>
            <w:vAlign w:val="center"/>
          </w:tcPr>
          <w:p w14:paraId="710AD255"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156.0 </w:t>
            </w:r>
          </w:p>
        </w:tc>
        <w:tc>
          <w:tcPr>
            <w:tcW w:w="397" w:type="pct"/>
            <w:vAlign w:val="center"/>
          </w:tcPr>
          <w:p w14:paraId="4733EE94"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156.0 </w:t>
            </w:r>
          </w:p>
        </w:tc>
        <w:tc>
          <w:tcPr>
            <w:tcW w:w="397" w:type="pct"/>
            <w:vAlign w:val="center"/>
          </w:tcPr>
          <w:p w14:paraId="2E548C97"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156.0 </w:t>
            </w:r>
          </w:p>
        </w:tc>
        <w:tc>
          <w:tcPr>
            <w:tcW w:w="397" w:type="pct"/>
            <w:vAlign w:val="center"/>
          </w:tcPr>
          <w:p w14:paraId="7CA25B1D" w14:textId="122FF76D"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139.4 </w:t>
            </w:r>
          </w:p>
        </w:tc>
        <w:tc>
          <w:tcPr>
            <w:tcW w:w="397" w:type="pct"/>
            <w:vAlign w:val="center"/>
          </w:tcPr>
          <w:p w14:paraId="7B8E54B4"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129.0 </w:t>
            </w:r>
          </w:p>
        </w:tc>
        <w:tc>
          <w:tcPr>
            <w:tcW w:w="397" w:type="pct"/>
            <w:vAlign w:val="center"/>
          </w:tcPr>
          <w:p w14:paraId="1E547042"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129.0 </w:t>
            </w:r>
          </w:p>
        </w:tc>
        <w:tc>
          <w:tcPr>
            <w:tcW w:w="397" w:type="pct"/>
            <w:vAlign w:val="center"/>
          </w:tcPr>
          <w:p w14:paraId="286358FD"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129.0 </w:t>
            </w:r>
          </w:p>
        </w:tc>
        <w:tc>
          <w:tcPr>
            <w:tcW w:w="397" w:type="pct"/>
            <w:vAlign w:val="center"/>
          </w:tcPr>
          <w:p w14:paraId="0659A08E"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129.0 </w:t>
            </w:r>
          </w:p>
        </w:tc>
        <w:tc>
          <w:tcPr>
            <w:tcW w:w="398" w:type="pct"/>
            <w:vAlign w:val="center"/>
          </w:tcPr>
          <w:p w14:paraId="3771155E"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129.0 </w:t>
            </w:r>
          </w:p>
        </w:tc>
      </w:tr>
      <w:tr w:rsidR="006715E4" w:rsidRPr="006715E4" w14:paraId="42854462" w14:textId="77777777" w:rsidTr="00ED094E">
        <w:tc>
          <w:tcPr>
            <w:tcW w:w="629" w:type="pct"/>
          </w:tcPr>
          <w:p w14:paraId="22A62CBF" w14:textId="77777777" w:rsidR="006715E4" w:rsidRPr="006715E4" w:rsidRDefault="006715E4" w:rsidP="006715E4">
            <w:pPr>
              <w:pStyle w:val="TableText"/>
              <w:rPr>
                <w:rFonts w:asciiTheme="majorHAnsi" w:hAnsiTheme="majorHAnsi"/>
                <w:szCs w:val="16"/>
              </w:rPr>
            </w:pPr>
            <w:r w:rsidRPr="006715E4">
              <w:rPr>
                <w:rFonts w:asciiTheme="majorHAnsi" w:hAnsiTheme="majorHAnsi"/>
                <w:szCs w:val="16"/>
              </w:rPr>
              <w:t>Less regulatory depreciation on new assets</w:t>
            </w:r>
          </w:p>
        </w:tc>
        <w:tc>
          <w:tcPr>
            <w:tcW w:w="397" w:type="pct"/>
            <w:vAlign w:val="center"/>
          </w:tcPr>
          <w:p w14:paraId="5C0F7380"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35.9 </w:t>
            </w:r>
          </w:p>
        </w:tc>
        <w:tc>
          <w:tcPr>
            <w:tcW w:w="397" w:type="pct"/>
            <w:vAlign w:val="center"/>
          </w:tcPr>
          <w:p w14:paraId="57CEE6B7"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5.3 </w:t>
            </w:r>
          </w:p>
        </w:tc>
        <w:tc>
          <w:tcPr>
            <w:tcW w:w="397" w:type="pct"/>
            <w:vAlign w:val="center"/>
          </w:tcPr>
          <w:p w14:paraId="3775E5EE"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15.3 </w:t>
            </w:r>
          </w:p>
        </w:tc>
        <w:tc>
          <w:tcPr>
            <w:tcW w:w="397" w:type="pct"/>
            <w:vAlign w:val="center"/>
          </w:tcPr>
          <w:p w14:paraId="4102A112"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26.6 </w:t>
            </w:r>
          </w:p>
        </w:tc>
        <w:tc>
          <w:tcPr>
            <w:tcW w:w="397" w:type="pct"/>
            <w:vAlign w:val="center"/>
          </w:tcPr>
          <w:p w14:paraId="1CE9FF91"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43.3 </w:t>
            </w:r>
          </w:p>
        </w:tc>
        <w:tc>
          <w:tcPr>
            <w:tcW w:w="397" w:type="pct"/>
            <w:vAlign w:val="center"/>
          </w:tcPr>
          <w:p w14:paraId="57FE10DA" w14:textId="77777777" w:rsidR="006715E4" w:rsidRPr="006715E4" w:rsidRDefault="006715E4" w:rsidP="006715E4">
            <w:pPr>
              <w:pStyle w:val="TableText"/>
              <w:rPr>
                <w:rFonts w:asciiTheme="majorHAnsi" w:hAnsiTheme="majorHAnsi"/>
                <w:szCs w:val="16"/>
              </w:rPr>
            </w:pPr>
            <w:r w:rsidRPr="006715E4">
              <w:rPr>
                <w:rFonts w:asciiTheme="majorHAnsi" w:hAnsiTheme="majorHAnsi" w:cs="Tahoma"/>
                <w:szCs w:val="16"/>
              </w:rPr>
              <w:t xml:space="preserve"> 58.6 </w:t>
            </w:r>
          </w:p>
        </w:tc>
        <w:tc>
          <w:tcPr>
            <w:tcW w:w="397" w:type="pct"/>
            <w:vAlign w:val="center"/>
          </w:tcPr>
          <w:p w14:paraId="48D9575B"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72.5 </w:t>
            </w:r>
          </w:p>
        </w:tc>
        <w:tc>
          <w:tcPr>
            <w:tcW w:w="397" w:type="pct"/>
            <w:vAlign w:val="center"/>
          </w:tcPr>
          <w:p w14:paraId="54F927EE"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85.8 </w:t>
            </w:r>
          </w:p>
        </w:tc>
        <w:tc>
          <w:tcPr>
            <w:tcW w:w="397" w:type="pct"/>
            <w:vAlign w:val="center"/>
          </w:tcPr>
          <w:p w14:paraId="757DC88C"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98.0 </w:t>
            </w:r>
          </w:p>
        </w:tc>
        <w:tc>
          <w:tcPr>
            <w:tcW w:w="397" w:type="pct"/>
            <w:vAlign w:val="center"/>
          </w:tcPr>
          <w:p w14:paraId="7583A30F"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110.3 </w:t>
            </w:r>
          </w:p>
        </w:tc>
        <w:tc>
          <w:tcPr>
            <w:tcW w:w="398" w:type="pct"/>
            <w:vAlign w:val="center"/>
          </w:tcPr>
          <w:p w14:paraId="56136E8F" w14:textId="77777777" w:rsidR="006715E4" w:rsidRPr="006715E4" w:rsidRDefault="006715E4" w:rsidP="006715E4">
            <w:pPr>
              <w:pStyle w:val="TableText"/>
              <w:rPr>
                <w:rFonts w:asciiTheme="majorHAnsi" w:hAnsiTheme="majorHAnsi" w:cs="Tahoma"/>
                <w:szCs w:val="16"/>
              </w:rPr>
            </w:pPr>
            <w:r w:rsidRPr="006715E4">
              <w:rPr>
                <w:rFonts w:asciiTheme="majorHAnsi" w:hAnsiTheme="majorHAnsi" w:cs="Tahoma"/>
                <w:szCs w:val="16"/>
              </w:rPr>
              <w:t xml:space="preserve"> 121.7 </w:t>
            </w:r>
          </w:p>
        </w:tc>
      </w:tr>
      <w:tr w:rsidR="0069661E" w:rsidRPr="006715E4" w14:paraId="4CF33B5A"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0D9D34AD" w14:textId="77777777" w:rsidR="006715E4" w:rsidRPr="006715E4" w:rsidRDefault="006715E4" w:rsidP="006715E4">
            <w:pPr>
              <w:pStyle w:val="TableText"/>
              <w:rPr>
                <w:rFonts w:asciiTheme="majorHAnsi" w:hAnsiTheme="majorHAnsi"/>
                <w:b/>
                <w:szCs w:val="16"/>
              </w:rPr>
            </w:pPr>
            <w:r w:rsidRPr="006715E4">
              <w:rPr>
                <w:rFonts w:asciiTheme="majorHAnsi" w:hAnsiTheme="majorHAnsi"/>
                <w:b/>
                <w:szCs w:val="16"/>
              </w:rPr>
              <w:t>Closing value</w:t>
            </w:r>
          </w:p>
        </w:tc>
        <w:tc>
          <w:tcPr>
            <w:tcW w:w="397" w:type="pct"/>
            <w:vAlign w:val="center"/>
          </w:tcPr>
          <w:p w14:paraId="62FA98DA" w14:textId="2ED3CBEA" w:rsidR="006715E4" w:rsidRPr="006715E4" w:rsidRDefault="006715E4" w:rsidP="006715E4">
            <w:pPr>
              <w:pStyle w:val="TableText"/>
              <w:rPr>
                <w:rFonts w:asciiTheme="majorHAnsi" w:hAnsiTheme="majorHAnsi"/>
                <w:b/>
                <w:szCs w:val="16"/>
              </w:rPr>
            </w:pPr>
            <w:r w:rsidRPr="006715E4">
              <w:rPr>
                <w:rFonts w:asciiTheme="majorHAnsi" w:hAnsiTheme="majorHAnsi" w:cs="Tahoma"/>
                <w:b/>
                <w:bCs/>
                <w:szCs w:val="16"/>
              </w:rPr>
              <w:t xml:space="preserve"> 7,153.0 </w:t>
            </w:r>
          </w:p>
        </w:tc>
        <w:tc>
          <w:tcPr>
            <w:tcW w:w="397" w:type="pct"/>
            <w:vAlign w:val="center"/>
          </w:tcPr>
          <w:p w14:paraId="42C6D264" w14:textId="2F32B33A" w:rsidR="006715E4" w:rsidRPr="006715E4" w:rsidRDefault="006715E4" w:rsidP="006715E4">
            <w:pPr>
              <w:pStyle w:val="TableText"/>
              <w:rPr>
                <w:rFonts w:asciiTheme="majorHAnsi" w:hAnsiTheme="majorHAnsi"/>
                <w:b/>
                <w:szCs w:val="16"/>
              </w:rPr>
            </w:pPr>
            <w:r w:rsidRPr="006715E4">
              <w:rPr>
                <w:rFonts w:asciiTheme="majorHAnsi" w:hAnsiTheme="majorHAnsi" w:cs="Tahoma"/>
                <w:b/>
                <w:bCs/>
                <w:szCs w:val="16"/>
              </w:rPr>
              <w:t xml:space="preserve"> 7,540.4 </w:t>
            </w:r>
          </w:p>
        </w:tc>
        <w:tc>
          <w:tcPr>
            <w:tcW w:w="397" w:type="pct"/>
            <w:vAlign w:val="center"/>
          </w:tcPr>
          <w:p w14:paraId="60820F15" w14:textId="2F1B21D1" w:rsidR="006715E4" w:rsidRPr="006715E4" w:rsidRDefault="006715E4" w:rsidP="006715E4">
            <w:pPr>
              <w:pStyle w:val="TableText"/>
              <w:rPr>
                <w:rFonts w:asciiTheme="majorHAnsi" w:hAnsiTheme="majorHAnsi"/>
                <w:b/>
                <w:szCs w:val="16"/>
              </w:rPr>
            </w:pPr>
            <w:r w:rsidRPr="006715E4">
              <w:rPr>
                <w:rFonts w:asciiTheme="majorHAnsi" w:hAnsiTheme="majorHAnsi" w:cs="Tahoma"/>
                <w:b/>
                <w:bCs/>
                <w:szCs w:val="16"/>
              </w:rPr>
              <w:t xml:space="preserve"> 7,862.7 </w:t>
            </w:r>
          </w:p>
        </w:tc>
        <w:tc>
          <w:tcPr>
            <w:tcW w:w="397" w:type="pct"/>
            <w:vAlign w:val="center"/>
          </w:tcPr>
          <w:p w14:paraId="788980C7" w14:textId="29DD48EA" w:rsidR="006715E4" w:rsidRPr="006715E4" w:rsidRDefault="006715E4" w:rsidP="006715E4">
            <w:pPr>
              <w:pStyle w:val="TableText"/>
              <w:rPr>
                <w:rFonts w:asciiTheme="majorHAnsi" w:hAnsiTheme="majorHAnsi"/>
                <w:b/>
                <w:szCs w:val="16"/>
              </w:rPr>
            </w:pPr>
            <w:r w:rsidRPr="006715E4">
              <w:rPr>
                <w:rFonts w:asciiTheme="majorHAnsi" w:hAnsiTheme="majorHAnsi" w:cs="Tahoma"/>
                <w:b/>
                <w:bCs/>
                <w:szCs w:val="16"/>
              </w:rPr>
              <w:t xml:space="preserve"> 8,226.4 </w:t>
            </w:r>
          </w:p>
        </w:tc>
        <w:tc>
          <w:tcPr>
            <w:tcW w:w="397" w:type="pct"/>
            <w:vAlign w:val="center"/>
          </w:tcPr>
          <w:p w14:paraId="4E1E3E90" w14:textId="093D4E4A" w:rsidR="006715E4" w:rsidRPr="006715E4" w:rsidRDefault="006715E4" w:rsidP="006715E4">
            <w:pPr>
              <w:pStyle w:val="TableText"/>
              <w:rPr>
                <w:rFonts w:asciiTheme="majorHAnsi" w:hAnsiTheme="majorHAnsi"/>
                <w:b/>
                <w:szCs w:val="16"/>
              </w:rPr>
            </w:pPr>
            <w:r w:rsidRPr="006715E4">
              <w:rPr>
                <w:rFonts w:asciiTheme="majorHAnsi" w:hAnsiTheme="majorHAnsi" w:cs="Tahoma"/>
                <w:b/>
                <w:bCs/>
                <w:szCs w:val="16"/>
              </w:rPr>
              <w:t xml:space="preserve"> 8,637.1 </w:t>
            </w:r>
          </w:p>
        </w:tc>
        <w:tc>
          <w:tcPr>
            <w:tcW w:w="397" w:type="pct"/>
            <w:vAlign w:val="center"/>
          </w:tcPr>
          <w:p w14:paraId="79530648" w14:textId="308A3A0F" w:rsidR="006715E4" w:rsidRPr="006715E4" w:rsidRDefault="006715E4" w:rsidP="006715E4">
            <w:pPr>
              <w:pStyle w:val="TableText"/>
              <w:rPr>
                <w:rFonts w:asciiTheme="majorHAnsi" w:hAnsiTheme="majorHAnsi"/>
                <w:b/>
                <w:szCs w:val="16"/>
              </w:rPr>
            </w:pPr>
            <w:r w:rsidRPr="006715E4">
              <w:rPr>
                <w:rFonts w:asciiTheme="majorHAnsi" w:hAnsiTheme="majorHAnsi" w:cs="Tahoma"/>
                <w:b/>
                <w:bCs/>
                <w:szCs w:val="16"/>
              </w:rPr>
              <w:t xml:space="preserve"> 8,968.1 </w:t>
            </w:r>
          </w:p>
        </w:tc>
        <w:tc>
          <w:tcPr>
            <w:tcW w:w="397" w:type="pct"/>
            <w:vAlign w:val="center"/>
          </w:tcPr>
          <w:p w14:paraId="0124EE8C" w14:textId="1D613F06" w:rsidR="006715E4" w:rsidRPr="006715E4" w:rsidRDefault="006715E4" w:rsidP="006715E4">
            <w:pPr>
              <w:pStyle w:val="TableText"/>
              <w:rPr>
                <w:rFonts w:asciiTheme="majorHAnsi" w:hAnsiTheme="majorHAnsi" w:cs="Tahoma"/>
                <w:b/>
                <w:szCs w:val="16"/>
              </w:rPr>
            </w:pPr>
            <w:r w:rsidRPr="006715E4">
              <w:rPr>
                <w:rFonts w:asciiTheme="majorHAnsi" w:hAnsiTheme="majorHAnsi" w:cs="Tahoma"/>
                <w:b/>
                <w:bCs/>
                <w:szCs w:val="16"/>
              </w:rPr>
              <w:t xml:space="preserve"> 9,401.2 </w:t>
            </w:r>
          </w:p>
        </w:tc>
        <w:tc>
          <w:tcPr>
            <w:tcW w:w="397" w:type="pct"/>
            <w:vAlign w:val="center"/>
          </w:tcPr>
          <w:p w14:paraId="00E0240A" w14:textId="5114916D" w:rsidR="006715E4" w:rsidRPr="006715E4" w:rsidRDefault="006715E4" w:rsidP="006715E4">
            <w:pPr>
              <w:pStyle w:val="TableText"/>
              <w:rPr>
                <w:rFonts w:asciiTheme="majorHAnsi" w:hAnsiTheme="majorHAnsi" w:cs="Tahoma"/>
                <w:b/>
                <w:szCs w:val="16"/>
              </w:rPr>
            </w:pPr>
            <w:r w:rsidRPr="006715E4">
              <w:rPr>
                <w:rFonts w:asciiTheme="majorHAnsi" w:hAnsiTheme="majorHAnsi" w:cs="Tahoma"/>
                <w:b/>
                <w:bCs/>
                <w:szCs w:val="16"/>
              </w:rPr>
              <w:t xml:space="preserve"> 9,679.1 </w:t>
            </w:r>
          </w:p>
        </w:tc>
        <w:tc>
          <w:tcPr>
            <w:tcW w:w="397" w:type="pct"/>
            <w:vAlign w:val="center"/>
          </w:tcPr>
          <w:p w14:paraId="31D3496F" w14:textId="5431A056" w:rsidR="006715E4" w:rsidRPr="006715E4" w:rsidRDefault="006715E4" w:rsidP="006715E4">
            <w:pPr>
              <w:pStyle w:val="TableText"/>
              <w:rPr>
                <w:rFonts w:asciiTheme="majorHAnsi" w:hAnsiTheme="majorHAnsi" w:cs="Tahoma"/>
                <w:b/>
                <w:szCs w:val="16"/>
              </w:rPr>
            </w:pPr>
            <w:r w:rsidRPr="006715E4">
              <w:rPr>
                <w:rFonts w:asciiTheme="majorHAnsi" w:hAnsiTheme="majorHAnsi" w:cs="Tahoma"/>
                <w:b/>
                <w:bCs/>
                <w:szCs w:val="16"/>
              </w:rPr>
              <w:t xml:space="preserve"> 9,676.7 </w:t>
            </w:r>
          </w:p>
        </w:tc>
        <w:tc>
          <w:tcPr>
            <w:tcW w:w="397" w:type="pct"/>
            <w:vAlign w:val="center"/>
          </w:tcPr>
          <w:p w14:paraId="11B4F656" w14:textId="65E42566" w:rsidR="006715E4" w:rsidRPr="006715E4" w:rsidRDefault="006715E4" w:rsidP="006715E4">
            <w:pPr>
              <w:pStyle w:val="TableText"/>
              <w:rPr>
                <w:rFonts w:asciiTheme="majorHAnsi" w:hAnsiTheme="majorHAnsi" w:cs="Tahoma"/>
                <w:b/>
                <w:szCs w:val="16"/>
              </w:rPr>
            </w:pPr>
            <w:r w:rsidRPr="006715E4">
              <w:rPr>
                <w:rFonts w:asciiTheme="majorHAnsi" w:hAnsiTheme="majorHAnsi" w:cs="Tahoma"/>
                <w:b/>
                <w:bCs/>
                <w:szCs w:val="16"/>
              </w:rPr>
              <w:t xml:space="preserve"> 9,865.7 </w:t>
            </w:r>
          </w:p>
        </w:tc>
        <w:tc>
          <w:tcPr>
            <w:tcW w:w="398" w:type="pct"/>
            <w:vAlign w:val="center"/>
          </w:tcPr>
          <w:p w14:paraId="665B059D" w14:textId="2F9A1F30" w:rsidR="006715E4" w:rsidRPr="006715E4" w:rsidRDefault="006715E4" w:rsidP="006715E4">
            <w:pPr>
              <w:pStyle w:val="TableText"/>
              <w:rPr>
                <w:rFonts w:asciiTheme="majorHAnsi" w:hAnsiTheme="majorHAnsi" w:cs="Tahoma"/>
                <w:b/>
                <w:szCs w:val="16"/>
              </w:rPr>
            </w:pPr>
            <w:r w:rsidRPr="006715E4">
              <w:rPr>
                <w:rFonts w:asciiTheme="majorHAnsi" w:hAnsiTheme="majorHAnsi" w:cs="Tahoma"/>
                <w:b/>
                <w:bCs/>
                <w:szCs w:val="16"/>
              </w:rPr>
              <w:t xml:space="preserve"> 10,274.1 </w:t>
            </w:r>
          </w:p>
        </w:tc>
      </w:tr>
    </w:tbl>
    <w:p w14:paraId="2A38CFA7" w14:textId="77777777" w:rsidR="001200EC" w:rsidRPr="00DE108C" w:rsidRDefault="001200EC">
      <w:pPr>
        <w:pStyle w:val="BodyText"/>
      </w:pPr>
    </w:p>
    <w:p w14:paraId="27650D4C" w14:textId="77777777" w:rsidR="001200EC" w:rsidRPr="00DE108C" w:rsidRDefault="001200EC">
      <w:pPr>
        <w:spacing w:before="0" w:after="0" w:line="320" w:lineRule="atLeast"/>
      </w:pPr>
      <w:r w:rsidRPr="00DE108C">
        <w:br w:type="page"/>
      </w:r>
    </w:p>
    <w:p w14:paraId="6082F8FB" w14:textId="77777777" w:rsidR="00046BD5" w:rsidRPr="00DE108C" w:rsidRDefault="00046BD5">
      <w:pPr>
        <w:pStyle w:val="Heading3"/>
      </w:pPr>
      <w:bookmarkStart w:id="881" w:name="_Toc196745275"/>
      <w:r w:rsidRPr="00DE108C">
        <w:lastRenderedPageBreak/>
        <w:t>8.6.3 Recycled water regulatory asset base</w:t>
      </w:r>
      <w:bookmarkEnd w:id="881"/>
    </w:p>
    <w:p w14:paraId="1B96A1AF" w14:textId="564CDF43" w:rsidR="00046BD5" w:rsidRPr="00DE108C" w:rsidRDefault="00046BD5" w:rsidP="00ED094E">
      <w:r w:rsidRPr="00DE108C">
        <w:t xml:space="preserve">Table 8.10 shows the recycled water </w:t>
      </w:r>
      <w:r w:rsidR="3FC5110D">
        <w:t>RAB</w:t>
      </w:r>
      <w:r w:rsidRPr="00DE108C">
        <w:t xml:space="preserve"> forecast for the next 10 years. </w:t>
      </w:r>
    </w:p>
    <w:p w14:paraId="7CC56AA5" w14:textId="5E1DEB26" w:rsidR="00046BD5" w:rsidRPr="00DE108C" w:rsidRDefault="00046BD5" w:rsidP="00ED094E">
      <w:pPr>
        <w:pStyle w:val="Caption"/>
      </w:pPr>
      <w:bookmarkStart w:id="882" w:name="_Toc190878423"/>
      <w:bookmarkStart w:id="883" w:name="_Toc207893079"/>
      <w:bookmarkStart w:id="884" w:name="_Toc208490603"/>
      <w:bookmarkStart w:id="885" w:name="_Toc208490941"/>
      <w:bookmarkStart w:id="886" w:name="_Toc208911099"/>
      <w:bookmarkStart w:id="887" w:name="_Toc210051405"/>
      <w:r w:rsidRPr="001164EE">
        <w:t xml:space="preserve">Table 8.10: </w:t>
      </w:r>
      <w:bookmarkEnd w:id="882"/>
      <w:r w:rsidRPr="001164EE">
        <w:t xml:space="preserve">Forecast </w:t>
      </w:r>
      <w:r w:rsidR="2FADA4EC" w:rsidRPr="001164EE">
        <w:t>RAB</w:t>
      </w:r>
      <w:r w:rsidRPr="001164EE">
        <w:t xml:space="preserve"> for recycled water ($millions, real 2025-26)</w:t>
      </w:r>
      <w:bookmarkEnd w:id="883"/>
      <w:bookmarkEnd w:id="884"/>
      <w:bookmarkEnd w:id="885"/>
      <w:bookmarkEnd w:id="886"/>
      <w:bookmarkEnd w:id="887"/>
      <w:r w:rsidRPr="00DE108C">
        <w:t xml:space="preserve"> </w:t>
      </w:r>
    </w:p>
    <w:tbl>
      <w:tblPr>
        <w:tblStyle w:val="MWTableGrid"/>
        <w:tblW w:w="5000" w:type="pct"/>
        <w:tblLook w:val="0420" w:firstRow="1" w:lastRow="0" w:firstColumn="0" w:lastColumn="0" w:noHBand="0" w:noVBand="1"/>
      </w:tblPr>
      <w:tblGrid>
        <w:gridCol w:w="1833"/>
        <w:gridCol w:w="1157"/>
        <w:gridCol w:w="1157"/>
        <w:gridCol w:w="1157"/>
        <w:gridCol w:w="1157"/>
        <w:gridCol w:w="1157"/>
        <w:gridCol w:w="1157"/>
        <w:gridCol w:w="1157"/>
        <w:gridCol w:w="1157"/>
        <w:gridCol w:w="1156"/>
        <w:gridCol w:w="1156"/>
        <w:gridCol w:w="1159"/>
      </w:tblGrid>
      <w:tr w:rsidR="0069661E" w:rsidRPr="00E810D7" w14:paraId="030043B0" w14:textId="77777777" w:rsidTr="00B46F82">
        <w:trPr>
          <w:cnfStyle w:val="100000000000" w:firstRow="1" w:lastRow="0" w:firstColumn="0" w:lastColumn="0" w:oddVBand="0" w:evenVBand="0" w:oddHBand="0" w:evenHBand="0" w:firstRowFirstColumn="0" w:firstRowLastColumn="0" w:lastRowFirstColumn="0" w:lastRowLastColumn="0"/>
        </w:trPr>
        <w:tc>
          <w:tcPr>
            <w:tcW w:w="629" w:type="pct"/>
          </w:tcPr>
          <w:p w14:paraId="3C99455C" w14:textId="77777777" w:rsidR="00046BD5" w:rsidRPr="00E810D7" w:rsidRDefault="00046BD5" w:rsidP="00ED094E">
            <w:pPr>
              <w:pStyle w:val="TableHeading"/>
              <w:rPr>
                <w:rFonts w:asciiTheme="majorHAnsi" w:hAnsiTheme="majorHAnsi"/>
                <w:szCs w:val="16"/>
              </w:rPr>
            </w:pPr>
            <w:bookmarkStart w:id="888" w:name="_Toc196745276"/>
          </w:p>
        </w:tc>
        <w:tc>
          <w:tcPr>
            <w:tcW w:w="397" w:type="pct"/>
          </w:tcPr>
          <w:p w14:paraId="5F06B95B" w14:textId="77777777" w:rsidR="00046BD5" w:rsidRPr="00E810D7" w:rsidRDefault="00046BD5" w:rsidP="00ED094E">
            <w:pPr>
              <w:pStyle w:val="TableHeading"/>
              <w:rPr>
                <w:rFonts w:asciiTheme="majorHAnsi" w:hAnsiTheme="majorHAnsi"/>
                <w:szCs w:val="16"/>
              </w:rPr>
            </w:pPr>
            <w:r w:rsidRPr="00E810D7">
              <w:rPr>
                <w:rFonts w:asciiTheme="majorHAnsi" w:hAnsiTheme="majorHAnsi"/>
                <w:szCs w:val="16"/>
              </w:rPr>
              <w:t>2025-26</w:t>
            </w:r>
          </w:p>
        </w:tc>
        <w:tc>
          <w:tcPr>
            <w:tcW w:w="397" w:type="pct"/>
          </w:tcPr>
          <w:p w14:paraId="2001B738" w14:textId="77777777" w:rsidR="00046BD5" w:rsidRPr="00E810D7" w:rsidRDefault="00046BD5" w:rsidP="00ED094E">
            <w:pPr>
              <w:pStyle w:val="TableHeading"/>
              <w:rPr>
                <w:rFonts w:asciiTheme="majorHAnsi" w:hAnsiTheme="majorHAnsi"/>
                <w:szCs w:val="16"/>
              </w:rPr>
            </w:pPr>
            <w:r w:rsidRPr="00E810D7">
              <w:rPr>
                <w:rFonts w:asciiTheme="majorHAnsi" w:hAnsiTheme="majorHAnsi"/>
                <w:szCs w:val="16"/>
              </w:rPr>
              <w:t>2026-27</w:t>
            </w:r>
          </w:p>
        </w:tc>
        <w:tc>
          <w:tcPr>
            <w:tcW w:w="397" w:type="pct"/>
          </w:tcPr>
          <w:p w14:paraId="7CDEAD0A" w14:textId="77777777" w:rsidR="00046BD5" w:rsidRPr="00E810D7" w:rsidRDefault="00046BD5" w:rsidP="00ED094E">
            <w:pPr>
              <w:pStyle w:val="TableHeading"/>
              <w:rPr>
                <w:rFonts w:asciiTheme="majorHAnsi" w:hAnsiTheme="majorHAnsi"/>
                <w:szCs w:val="16"/>
              </w:rPr>
            </w:pPr>
            <w:r w:rsidRPr="00E810D7">
              <w:rPr>
                <w:rFonts w:asciiTheme="majorHAnsi" w:hAnsiTheme="majorHAnsi"/>
                <w:szCs w:val="16"/>
              </w:rPr>
              <w:t>2027-28</w:t>
            </w:r>
          </w:p>
        </w:tc>
        <w:tc>
          <w:tcPr>
            <w:tcW w:w="397" w:type="pct"/>
          </w:tcPr>
          <w:p w14:paraId="05A166B3" w14:textId="77777777" w:rsidR="00046BD5" w:rsidRPr="00E810D7" w:rsidRDefault="00046BD5" w:rsidP="00ED094E">
            <w:pPr>
              <w:pStyle w:val="TableHeading"/>
              <w:rPr>
                <w:rFonts w:asciiTheme="majorHAnsi" w:hAnsiTheme="majorHAnsi"/>
                <w:szCs w:val="16"/>
              </w:rPr>
            </w:pPr>
            <w:r w:rsidRPr="00E810D7">
              <w:rPr>
                <w:rFonts w:asciiTheme="majorHAnsi" w:hAnsiTheme="majorHAnsi"/>
                <w:szCs w:val="16"/>
              </w:rPr>
              <w:t>2028-29</w:t>
            </w:r>
          </w:p>
        </w:tc>
        <w:tc>
          <w:tcPr>
            <w:tcW w:w="397" w:type="pct"/>
          </w:tcPr>
          <w:p w14:paraId="1BEDA37E" w14:textId="77777777" w:rsidR="00046BD5" w:rsidRPr="00E810D7" w:rsidRDefault="00046BD5" w:rsidP="00ED094E">
            <w:pPr>
              <w:pStyle w:val="TableHeading"/>
              <w:rPr>
                <w:rFonts w:asciiTheme="majorHAnsi" w:hAnsiTheme="majorHAnsi"/>
                <w:szCs w:val="16"/>
              </w:rPr>
            </w:pPr>
            <w:r w:rsidRPr="00E810D7">
              <w:rPr>
                <w:rFonts w:asciiTheme="majorHAnsi" w:hAnsiTheme="majorHAnsi"/>
                <w:szCs w:val="16"/>
              </w:rPr>
              <w:t>2029-30</w:t>
            </w:r>
          </w:p>
        </w:tc>
        <w:tc>
          <w:tcPr>
            <w:tcW w:w="397" w:type="pct"/>
          </w:tcPr>
          <w:p w14:paraId="06A5D0AC" w14:textId="77777777" w:rsidR="00046BD5" w:rsidRPr="00E810D7" w:rsidRDefault="00046BD5" w:rsidP="00ED094E">
            <w:pPr>
              <w:pStyle w:val="TableHeading"/>
              <w:rPr>
                <w:rFonts w:asciiTheme="majorHAnsi" w:hAnsiTheme="majorHAnsi"/>
                <w:szCs w:val="16"/>
              </w:rPr>
            </w:pPr>
            <w:r w:rsidRPr="00E810D7">
              <w:rPr>
                <w:rFonts w:asciiTheme="majorHAnsi" w:hAnsiTheme="majorHAnsi"/>
                <w:szCs w:val="16"/>
              </w:rPr>
              <w:t>2030-31</w:t>
            </w:r>
          </w:p>
        </w:tc>
        <w:tc>
          <w:tcPr>
            <w:tcW w:w="397" w:type="pct"/>
          </w:tcPr>
          <w:p w14:paraId="22431D4B" w14:textId="77777777" w:rsidR="00046BD5" w:rsidRPr="00E810D7" w:rsidRDefault="00046BD5" w:rsidP="00ED094E">
            <w:pPr>
              <w:pStyle w:val="TableHeading"/>
              <w:rPr>
                <w:rFonts w:asciiTheme="majorHAnsi" w:hAnsiTheme="majorHAnsi"/>
                <w:szCs w:val="16"/>
              </w:rPr>
            </w:pPr>
            <w:r w:rsidRPr="00E810D7">
              <w:rPr>
                <w:rFonts w:asciiTheme="majorHAnsi" w:hAnsiTheme="majorHAnsi"/>
                <w:szCs w:val="16"/>
              </w:rPr>
              <w:t>2031-32</w:t>
            </w:r>
          </w:p>
        </w:tc>
        <w:tc>
          <w:tcPr>
            <w:tcW w:w="397" w:type="pct"/>
          </w:tcPr>
          <w:p w14:paraId="03C792AD" w14:textId="77777777" w:rsidR="00046BD5" w:rsidRPr="00E810D7" w:rsidRDefault="00046BD5" w:rsidP="00ED094E">
            <w:pPr>
              <w:pStyle w:val="TableHeading"/>
              <w:rPr>
                <w:rFonts w:asciiTheme="majorHAnsi" w:hAnsiTheme="majorHAnsi"/>
                <w:szCs w:val="16"/>
              </w:rPr>
            </w:pPr>
            <w:r w:rsidRPr="00E810D7">
              <w:rPr>
                <w:rFonts w:asciiTheme="majorHAnsi" w:hAnsiTheme="majorHAnsi"/>
                <w:szCs w:val="16"/>
              </w:rPr>
              <w:t>2032-33</w:t>
            </w:r>
          </w:p>
        </w:tc>
        <w:tc>
          <w:tcPr>
            <w:tcW w:w="397" w:type="pct"/>
          </w:tcPr>
          <w:p w14:paraId="1A52B4D1" w14:textId="77777777" w:rsidR="00046BD5" w:rsidRPr="00E810D7" w:rsidRDefault="00046BD5" w:rsidP="00ED094E">
            <w:pPr>
              <w:pStyle w:val="TableHeading"/>
              <w:rPr>
                <w:rFonts w:asciiTheme="majorHAnsi" w:hAnsiTheme="majorHAnsi"/>
                <w:szCs w:val="16"/>
              </w:rPr>
            </w:pPr>
            <w:r w:rsidRPr="00E810D7">
              <w:rPr>
                <w:rFonts w:asciiTheme="majorHAnsi" w:hAnsiTheme="majorHAnsi"/>
                <w:szCs w:val="16"/>
              </w:rPr>
              <w:t>2033-34</w:t>
            </w:r>
          </w:p>
        </w:tc>
        <w:tc>
          <w:tcPr>
            <w:tcW w:w="397" w:type="pct"/>
          </w:tcPr>
          <w:p w14:paraId="71EF71B7" w14:textId="77777777" w:rsidR="00046BD5" w:rsidRPr="00E810D7" w:rsidRDefault="00046BD5" w:rsidP="00ED094E">
            <w:pPr>
              <w:pStyle w:val="TableHeading"/>
              <w:rPr>
                <w:rFonts w:asciiTheme="majorHAnsi" w:hAnsiTheme="majorHAnsi"/>
                <w:szCs w:val="16"/>
              </w:rPr>
            </w:pPr>
            <w:r w:rsidRPr="00E810D7">
              <w:rPr>
                <w:rFonts w:asciiTheme="majorHAnsi" w:hAnsiTheme="majorHAnsi"/>
                <w:szCs w:val="16"/>
              </w:rPr>
              <w:t>2034-35</w:t>
            </w:r>
          </w:p>
        </w:tc>
        <w:tc>
          <w:tcPr>
            <w:tcW w:w="398" w:type="pct"/>
          </w:tcPr>
          <w:p w14:paraId="09EA77BD" w14:textId="77777777" w:rsidR="00046BD5" w:rsidRPr="00E810D7" w:rsidRDefault="00046BD5" w:rsidP="00ED094E">
            <w:pPr>
              <w:pStyle w:val="TableHeading"/>
              <w:rPr>
                <w:rFonts w:asciiTheme="majorHAnsi" w:hAnsiTheme="majorHAnsi"/>
                <w:szCs w:val="16"/>
              </w:rPr>
            </w:pPr>
            <w:r w:rsidRPr="00E810D7">
              <w:rPr>
                <w:rFonts w:asciiTheme="majorHAnsi" w:hAnsiTheme="majorHAnsi"/>
                <w:szCs w:val="16"/>
              </w:rPr>
              <w:t>2035-36</w:t>
            </w:r>
          </w:p>
        </w:tc>
      </w:tr>
      <w:tr w:rsidR="00E810D7" w:rsidRPr="00E810D7" w14:paraId="31F8F5C3" w14:textId="77777777" w:rsidTr="00ED094E">
        <w:tc>
          <w:tcPr>
            <w:tcW w:w="629" w:type="pct"/>
          </w:tcPr>
          <w:p w14:paraId="3C3168FD" w14:textId="77777777" w:rsidR="00E810D7" w:rsidRPr="00E810D7" w:rsidRDefault="00E810D7" w:rsidP="00E810D7">
            <w:pPr>
              <w:pStyle w:val="TableText"/>
              <w:rPr>
                <w:rFonts w:asciiTheme="majorHAnsi" w:hAnsiTheme="majorHAnsi"/>
                <w:b/>
                <w:szCs w:val="16"/>
              </w:rPr>
            </w:pPr>
            <w:r w:rsidRPr="00E810D7">
              <w:rPr>
                <w:rFonts w:asciiTheme="majorHAnsi" w:hAnsiTheme="majorHAnsi"/>
                <w:b/>
                <w:szCs w:val="16"/>
              </w:rPr>
              <w:t>Opening value</w:t>
            </w:r>
          </w:p>
        </w:tc>
        <w:tc>
          <w:tcPr>
            <w:tcW w:w="397" w:type="pct"/>
            <w:vAlign w:val="center"/>
          </w:tcPr>
          <w:p w14:paraId="4E9598A3" w14:textId="77777777" w:rsidR="00E810D7" w:rsidRPr="00E810D7" w:rsidRDefault="00E810D7" w:rsidP="00E810D7">
            <w:pPr>
              <w:pStyle w:val="TableText"/>
              <w:rPr>
                <w:rFonts w:asciiTheme="majorHAnsi" w:hAnsiTheme="majorHAnsi"/>
                <w:b/>
                <w:bCs/>
                <w:szCs w:val="16"/>
              </w:rPr>
            </w:pPr>
            <w:r w:rsidRPr="00E810D7">
              <w:rPr>
                <w:rFonts w:ascii="Verdana" w:hAnsi="Verdana" w:cs="Tahoma"/>
                <w:b/>
                <w:bCs/>
                <w:szCs w:val="16"/>
              </w:rPr>
              <w:t xml:space="preserve"> 62.4 </w:t>
            </w:r>
          </w:p>
        </w:tc>
        <w:tc>
          <w:tcPr>
            <w:tcW w:w="397" w:type="pct"/>
            <w:vAlign w:val="center"/>
          </w:tcPr>
          <w:p w14:paraId="5C0D972E" w14:textId="7B9657A8" w:rsidR="00E810D7" w:rsidRPr="00E810D7" w:rsidRDefault="00E810D7" w:rsidP="00E810D7">
            <w:pPr>
              <w:pStyle w:val="TableText"/>
              <w:rPr>
                <w:rFonts w:asciiTheme="majorHAnsi" w:hAnsiTheme="majorHAnsi"/>
                <w:b/>
                <w:bCs/>
                <w:szCs w:val="16"/>
              </w:rPr>
            </w:pPr>
            <w:r w:rsidRPr="00E810D7">
              <w:rPr>
                <w:rFonts w:ascii="Verdana" w:hAnsi="Verdana" w:cs="Tahoma"/>
                <w:b/>
                <w:bCs/>
                <w:szCs w:val="16"/>
              </w:rPr>
              <w:t xml:space="preserve"> 60.1 </w:t>
            </w:r>
          </w:p>
        </w:tc>
        <w:tc>
          <w:tcPr>
            <w:tcW w:w="397" w:type="pct"/>
            <w:vAlign w:val="center"/>
          </w:tcPr>
          <w:p w14:paraId="106DA41E" w14:textId="77777777" w:rsidR="00E810D7" w:rsidRPr="00E810D7" w:rsidRDefault="00E810D7" w:rsidP="00E810D7">
            <w:pPr>
              <w:pStyle w:val="TableText"/>
              <w:rPr>
                <w:rFonts w:asciiTheme="majorHAnsi" w:hAnsiTheme="majorHAnsi"/>
                <w:b/>
                <w:bCs/>
                <w:szCs w:val="16"/>
              </w:rPr>
            </w:pPr>
            <w:r w:rsidRPr="00E810D7">
              <w:rPr>
                <w:rFonts w:ascii="Verdana" w:hAnsi="Verdana" w:cs="Tahoma"/>
                <w:b/>
                <w:bCs/>
                <w:szCs w:val="16"/>
              </w:rPr>
              <w:t xml:space="preserve"> 59.1 </w:t>
            </w:r>
          </w:p>
        </w:tc>
        <w:tc>
          <w:tcPr>
            <w:tcW w:w="397" w:type="pct"/>
            <w:vAlign w:val="center"/>
          </w:tcPr>
          <w:p w14:paraId="593DD5A9" w14:textId="77777777" w:rsidR="00E810D7" w:rsidRPr="00E810D7" w:rsidRDefault="00E810D7" w:rsidP="00E810D7">
            <w:pPr>
              <w:pStyle w:val="TableText"/>
              <w:rPr>
                <w:rFonts w:asciiTheme="majorHAnsi" w:hAnsiTheme="majorHAnsi"/>
                <w:b/>
                <w:bCs/>
                <w:szCs w:val="16"/>
              </w:rPr>
            </w:pPr>
            <w:r w:rsidRPr="00E810D7">
              <w:rPr>
                <w:rFonts w:ascii="Verdana" w:hAnsi="Verdana" w:cs="Tahoma"/>
                <w:b/>
                <w:bCs/>
                <w:szCs w:val="16"/>
              </w:rPr>
              <w:t xml:space="preserve"> 58.9 </w:t>
            </w:r>
          </w:p>
        </w:tc>
        <w:tc>
          <w:tcPr>
            <w:tcW w:w="397" w:type="pct"/>
            <w:vAlign w:val="center"/>
          </w:tcPr>
          <w:p w14:paraId="343A882A" w14:textId="77777777" w:rsidR="00E810D7" w:rsidRPr="00E810D7" w:rsidRDefault="00E810D7" w:rsidP="00E810D7">
            <w:pPr>
              <w:pStyle w:val="TableText"/>
              <w:rPr>
                <w:rFonts w:asciiTheme="majorHAnsi" w:hAnsiTheme="majorHAnsi"/>
                <w:b/>
                <w:bCs/>
                <w:szCs w:val="16"/>
              </w:rPr>
            </w:pPr>
            <w:r w:rsidRPr="00E810D7">
              <w:rPr>
                <w:rFonts w:ascii="Verdana" w:hAnsi="Verdana" w:cs="Tahoma"/>
                <w:b/>
                <w:bCs/>
                <w:szCs w:val="16"/>
              </w:rPr>
              <w:t xml:space="preserve"> 61.2 </w:t>
            </w:r>
          </w:p>
        </w:tc>
        <w:tc>
          <w:tcPr>
            <w:tcW w:w="397" w:type="pct"/>
            <w:vAlign w:val="center"/>
          </w:tcPr>
          <w:p w14:paraId="44868FF2" w14:textId="77777777" w:rsidR="00E810D7" w:rsidRPr="00E810D7" w:rsidRDefault="00E810D7" w:rsidP="00E810D7">
            <w:pPr>
              <w:pStyle w:val="TableText"/>
              <w:rPr>
                <w:rFonts w:asciiTheme="majorHAnsi" w:hAnsiTheme="majorHAnsi"/>
                <w:b/>
                <w:bCs/>
                <w:szCs w:val="16"/>
              </w:rPr>
            </w:pPr>
            <w:r w:rsidRPr="00E810D7">
              <w:rPr>
                <w:rFonts w:ascii="Verdana" w:hAnsi="Verdana" w:cs="Tahoma"/>
                <w:b/>
                <w:bCs/>
                <w:szCs w:val="16"/>
              </w:rPr>
              <w:t xml:space="preserve"> 63.3 </w:t>
            </w:r>
          </w:p>
        </w:tc>
        <w:tc>
          <w:tcPr>
            <w:tcW w:w="397" w:type="pct"/>
            <w:vAlign w:val="center"/>
          </w:tcPr>
          <w:p w14:paraId="794D04D6" w14:textId="77777777" w:rsidR="00E810D7" w:rsidRPr="00E810D7" w:rsidRDefault="00E810D7" w:rsidP="00E810D7">
            <w:pPr>
              <w:pStyle w:val="TableText"/>
              <w:rPr>
                <w:rFonts w:asciiTheme="majorHAnsi" w:hAnsiTheme="majorHAnsi" w:cs="Tahoma"/>
                <w:b/>
                <w:bCs/>
                <w:szCs w:val="16"/>
              </w:rPr>
            </w:pPr>
            <w:r w:rsidRPr="00E810D7">
              <w:rPr>
                <w:rFonts w:ascii="Verdana" w:hAnsi="Verdana" w:cs="Tahoma"/>
                <w:b/>
                <w:bCs/>
                <w:szCs w:val="16"/>
              </w:rPr>
              <w:t xml:space="preserve"> 65.0 </w:t>
            </w:r>
          </w:p>
        </w:tc>
        <w:tc>
          <w:tcPr>
            <w:tcW w:w="397" w:type="pct"/>
            <w:vAlign w:val="center"/>
          </w:tcPr>
          <w:p w14:paraId="1ABF825A" w14:textId="77777777" w:rsidR="00E810D7" w:rsidRPr="00E810D7" w:rsidRDefault="00E810D7" w:rsidP="00E810D7">
            <w:pPr>
              <w:pStyle w:val="TableText"/>
              <w:rPr>
                <w:rFonts w:asciiTheme="majorHAnsi" w:hAnsiTheme="majorHAnsi" w:cs="Tahoma"/>
                <w:b/>
                <w:bCs/>
                <w:szCs w:val="16"/>
              </w:rPr>
            </w:pPr>
            <w:r w:rsidRPr="00E810D7">
              <w:rPr>
                <w:rFonts w:ascii="Verdana" w:hAnsi="Verdana" w:cs="Tahoma"/>
                <w:b/>
                <w:bCs/>
                <w:szCs w:val="16"/>
              </w:rPr>
              <w:t xml:space="preserve"> 64.8 </w:t>
            </w:r>
          </w:p>
        </w:tc>
        <w:tc>
          <w:tcPr>
            <w:tcW w:w="397" w:type="pct"/>
            <w:vAlign w:val="center"/>
          </w:tcPr>
          <w:p w14:paraId="3FF86CDE" w14:textId="77777777" w:rsidR="00E810D7" w:rsidRPr="00E810D7" w:rsidRDefault="00E810D7" w:rsidP="00E810D7">
            <w:pPr>
              <w:pStyle w:val="TableText"/>
              <w:rPr>
                <w:rFonts w:asciiTheme="majorHAnsi" w:hAnsiTheme="majorHAnsi" w:cs="Tahoma"/>
                <w:b/>
                <w:bCs/>
                <w:szCs w:val="16"/>
              </w:rPr>
            </w:pPr>
            <w:r w:rsidRPr="00E810D7">
              <w:rPr>
                <w:rFonts w:ascii="Verdana" w:hAnsi="Verdana" w:cs="Tahoma"/>
                <w:b/>
                <w:bCs/>
                <w:szCs w:val="16"/>
              </w:rPr>
              <w:t xml:space="preserve"> 74.4 </w:t>
            </w:r>
          </w:p>
        </w:tc>
        <w:tc>
          <w:tcPr>
            <w:tcW w:w="397" w:type="pct"/>
            <w:vAlign w:val="center"/>
          </w:tcPr>
          <w:p w14:paraId="38756700" w14:textId="77777777" w:rsidR="00E810D7" w:rsidRPr="00E810D7" w:rsidRDefault="00E810D7" w:rsidP="00E810D7">
            <w:pPr>
              <w:pStyle w:val="TableText"/>
              <w:rPr>
                <w:rFonts w:asciiTheme="majorHAnsi" w:hAnsiTheme="majorHAnsi" w:cs="Tahoma"/>
                <w:b/>
                <w:bCs/>
                <w:szCs w:val="16"/>
              </w:rPr>
            </w:pPr>
            <w:r w:rsidRPr="00E810D7">
              <w:rPr>
                <w:rFonts w:ascii="Verdana" w:hAnsi="Verdana" w:cs="Tahoma"/>
                <w:b/>
                <w:bCs/>
                <w:szCs w:val="16"/>
              </w:rPr>
              <w:t xml:space="preserve"> 91.4 </w:t>
            </w:r>
          </w:p>
        </w:tc>
        <w:tc>
          <w:tcPr>
            <w:tcW w:w="398" w:type="pct"/>
            <w:vAlign w:val="center"/>
          </w:tcPr>
          <w:p w14:paraId="0AFD497D" w14:textId="77777777" w:rsidR="00E810D7" w:rsidRPr="00E810D7" w:rsidRDefault="00E810D7" w:rsidP="00E810D7">
            <w:pPr>
              <w:pStyle w:val="TableText"/>
              <w:rPr>
                <w:rFonts w:asciiTheme="majorHAnsi" w:hAnsiTheme="majorHAnsi" w:cs="Tahoma"/>
                <w:b/>
                <w:bCs/>
                <w:szCs w:val="16"/>
              </w:rPr>
            </w:pPr>
            <w:r w:rsidRPr="00E810D7">
              <w:rPr>
                <w:rFonts w:ascii="Verdana" w:hAnsi="Verdana" w:cs="Tahoma"/>
                <w:b/>
                <w:bCs/>
                <w:szCs w:val="16"/>
              </w:rPr>
              <w:t xml:space="preserve"> 103.4 </w:t>
            </w:r>
          </w:p>
        </w:tc>
      </w:tr>
      <w:tr w:rsidR="0069661E" w:rsidRPr="00E810D7" w14:paraId="3F649DF5"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36F8F9E8" w14:textId="77777777" w:rsidR="00E810D7" w:rsidRPr="00E810D7" w:rsidRDefault="00E810D7" w:rsidP="00E810D7">
            <w:pPr>
              <w:pStyle w:val="TableText"/>
              <w:rPr>
                <w:rFonts w:asciiTheme="majorHAnsi" w:hAnsiTheme="majorHAnsi"/>
                <w:szCs w:val="16"/>
              </w:rPr>
            </w:pPr>
            <w:r w:rsidRPr="00E810D7">
              <w:rPr>
                <w:rFonts w:asciiTheme="majorHAnsi" w:hAnsiTheme="majorHAnsi"/>
                <w:szCs w:val="16"/>
              </w:rPr>
              <w:t>Plus gross capex</w:t>
            </w:r>
          </w:p>
        </w:tc>
        <w:tc>
          <w:tcPr>
            <w:tcW w:w="397" w:type="pct"/>
            <w:vAlign w:val="center"/>
          </w:tcPr>
          <w:p w14:paraId="0897F860"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0.1 </w:t>
            </w:r>
          </w:p>
        </w:tc>
        <w:tc>
          <w:tcPr>
            <w:tcW w:w="397" w:type="pct"/>
            <w:vAlign w:val="center"/>
          </w:tcPr>
          <w:p w14:paraId="49202C1A"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1.3 </w:t>
            </w:r>
          </w:p>
        </w:tc>
        <w:tc>
          <w:tcPr>
            <w:tcW w:w="397" w:type="pct"/>
            <w:vAlign w:val="center"/>
          </w:tcPr>
          <w:p w14:paraId="7248C83F"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2.3 </w:t>
            </w:r>
          </w:p>
        </w:tc>
        <w:tc>
          <w:tcPr>
            <w:tcW w:w="397" w:type="pct"/>
            <w:vAlign w:val="center"/>
          </w:tcPr>
          <w:p w14:paraId="6D36FAD1"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4.9 </w:t>
            </w:r>
          </w:p>
        </w:tc>
        <w:tc>
          <w:tcPr>
            <w:tcW w:w="397" w:type="pct"/>
            <w:vAlign w:val="center"/>
          </w:tcPr>
          <w:p w14:paraId="71410D59"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4.8 </w:t>
            </w:r>
          </w:p>
        </w:tc>
        <w:tc>
          <w:tcPr>
            <w:tcW w:w="397" w:type="pct"/>
            <w:vAlign w:val="center"/>
          </w:tcPr>
          <w:p w14:paraId="67A9FF0C"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4.7 </w:t>
            </w:r>
          </w:p>
        </w:tc>
        <w:tc>
          <w:tcPr>
            <w:tcW w:w="397" w:type="pct"/>
            <w:vAlign w:val="center"/>
          </w:tcPr>
          <w:p w14:paraId="7FAA68F7"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2.8 </w:t>
            </w:r>
          </w:p>
        </w:tc>
        <w:tc>
          <w:tcPr>
            <w:tcW w:w="397" w:type="pct"/>
            <w:vAlign w:val="center"/>
          </w:tcPr>
          <w:p w14:paraId="4789C45D"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12.9 </w:t>
            </w:r>
          </w:p>
        </w:tc>
        <w:tc>
          <w:tcPr>
            <w:tcW w:w="397" w:type="pct"/>
            <w:vAlign w:val="center"/>
          </w:tcPr>
          <w:p w14:paraId="0B3F0EB6"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20.8 </w:t>
            </w:r>
          </w:p>
        </w:tc>
        <w:tc>
          <w:tcPr>
            <w:tcW w:w="397" w:type="pct"/>
            <w:vAlign w:val="center"/>
          </w:tcPr>
          <w:p w14:paraId="0D241750"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16.3 </w:t>
            </w:r>
          </w:p>
        </w:tc>
        <w:tc>
          <w:tcPr>
            <w:tcW w:w="398" w:type="pct"/>
            <w:vAlign w:val="center"/>
          </w:tcPr>
          <w:p w14:paraId="3C9F1E92"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27.1 </w:t>
            </w:r>
          </w:p>
        </w:tc>
      </w:tr>
      <w:tr w:rsidR="00E810D7" w:rsidRPr="00E810D7" w14:paraId="13CCE329" w14:textId="77777777" w:rsidTr="00ED094E">
        <w:tc>
          <w:tcPr>
            <w:tcW w:w="629" w:type="pct"/>
          </w:tcPr>
          <w:p w14:paraId="120C8E75" w14:textId="77777777" w:rsidR="00E810D7" w:rsidRPr="00E810D7" w:rsidRDefault="00E810D7" w:rsidP="00E810D7">
            <w:pPr>
              <w:pStyle w:val="TableText"/>
              <w:rPr>
                <w:rFonts w:asciiTheme="majorHAnsi" w:hAnsiTheme="majorHAnsi"/>
                <w:szCs w:val="16"/>
              </w:rPr>
            </w:pPr>
            <w:r w:rsidRPr="00E810D7">
              <w:rPr>
                <w:rFonts w:asciiTheme="majorHAnsi" w:hAnsiTheme="majorHAnsi"/>
                <w:szCs w:val="16"/>
              </w:rPr>
              <w:t>Less Government contribution </w:t>
            </w:r>
          </w:p>
        </w:tc>
        <w:tc>
          <w:tcPr>
            <w:tcW w:w="397" w:type="pct"/>
            <w:vAlign w:val="center"/>
          </w:tcPr>
          <w:p w14:paraId="06C1D8CD"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55A6F016"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00555E01"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6603EFF4"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40194832"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24F38540"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2D4BAEFC"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c>
          <w:tcPr>
            <w:tcW w:w="397" w:type="pct"/>
            <w:vAlign w:val="center"/>
          </w:tcPr>
          <w:p w14:paraId="4B84BF01"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c>
          <w:tcPr>
            <w:tcW w:w="397" w:type="pct"/>
            <w:vAlign w:val="center"/>
          </w:tcPr>
          <w:p w14:paraId="3EA071D0"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c>
          <w:tcPr>
            <w:tcW w:w="397" w:type="pct"/>
            <w:vAlign w:val="center"/>
          </w:tcPr>
          <w:p w14:paraId="2C3B1A58"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c>
          <w:tcPr>
            <w:tcW w:w="398" w:type="pct"/>
            <w:vAlign w:val="center"/>
          </w:tcPr>
          <w:p w14:paraId="726E7D61"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r>
      <w:tr w:rsidR="0069661E" w:rsidRPr="00E810D7" w14:paraId="3306888B"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3633452E" w14:textId="77777777" w:rsidR="00E810D7" w:rsidRPr="00E810D7" w:rsidRDefault="00E810D7" w:rsidP="00E810D7">
            <w:pPr>
              <w:pStyle w:val="TableText"/>
              <w:rPr>
                <w:rFonts w:asciiTheme="majorHAnsi" w:hAnsiTheme="majorHAnsi"/>
                <w:szCs w:val="16"/>
              </w:rPr>
            </w:pPr>
            <w:r w:rsidRPr="00E810D7">
              <w:rPr>
                <w:rFonts w:asciiTheme="majorHAnsi" w:hAnsiTheme="majorHAnsi"/>
                <w:szCs w:val="16"/>
              </w:rPr>
              <w:t>Less customer contribution </w:t>
            </w:r>
          </w:p>
        </w:tc>
        <w:tc>
          <w:tcPr>
            <w:tcW w:w="397" w:type="pct"/>
            <w:vAlign w:val="center"/>
          </w:tcPr>
          <w:p w14:paraId="67F1D2C5"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432FC055"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19F264E2"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0314EA14"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5464A8AD"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34A7E385"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27D03AA9"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c>
          <w:tcPr>
            <w:tcW w:w="397" w:type="pct"/>
            <w:vAlign w:val="center"/>
          </w:tcPr>
          <w:p w14:paraId="7A673AF6"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c>
          <w:tcPr>
            <w:tcW w:w="397" w:type="pct"/>
            <w:vAlign w:val="center"/>
          </w:tcPr>
          <w:p w14:paraId="654DD9D7"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c>
          <w:tcPr>
            <w:tcW w:w="397" w:type="pct"/>
            <w:vAlign w:val="center"/>
          </w:tcPr>
          <w:p w14:paraId="76AAEB4A"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c>
          <w:tcPr>
            <w:tcW w:w="398" w:type="pct"/>
            <w:vAlign w:val="center"/>
          </w:tcPr>
          <w:p w14:paraId="16115C16"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r>
      <w:tr w:rsidR="00E810D7" w:rsidRPr="00E810D7" w14:paraId="726DD443" w14:textId="77777777" w:rsidTr="00ED094E">
        <w:tc>
          <w:tcPr>
            <w:tcW w:w="629" w:type="pct"/>
          </w:tcPr>
          <w:p w14:paraId="1CB0FA17" w14:textId="77777777" w:rsidR="00E810D7" w:rsidRPr="00E810D7" w:rsidRDefault="00E810D7" w:rsidP="00E810D7">
            <w:pPr>
              <w:pStyle w:val="TableText"/>
              <w:rPr>
                <w:rFonts w:asciiTheme="majorHAnsi" w:hAnsiTheme="majorHAnsi"/>
                <w:szCs w:val="16"/>
              </w:rPr>
            </w:pPr>
            <w:r w:rsidRPr="00E810D7">
              <w:rPr>
                <w:rFonts w:asciiTheme="majorHAnsi" w:hAnsiTheme="majorHAnsi"/>
                <w:szCs w:val="16"/>
              </w:rPr>
              <w:t>Less Proceeds from disposal</w:t>
            </w:r>
          </w:p>
        </w:tc>
        <w:tc>
          <w:tcPr>
            <w:tcW w:w="397" w:type="pct"/>
            <w:vAlign w:val="center"/>
          </w:tcPr>
          <w:p w14:paraId="4C7703AB"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0CD4A39F"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5495BED6"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0FC6FACD"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5F9042E4"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3C631C6A"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 </w:t>
            </w:r>
          </w:p>
        </w:tc>
        <w:tc>
          <w:tcPr>
            <w:tcW w:w="397" w:type="pct"/>
            <w:vAlign w:val="center"/>
          </w:tcPr>
          <w:p w14:paraId="4145E473"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c>
          <w:tcPr>
            <w:tcW w:w="397" w:type="pct"/>
            <w:vAlign w:val="center"/>
          </w:tcPr>
          <w:p w14:paraId="3159F6BB"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c>
          <w:tcPr>
            <w:tcW w:w="397" w:type="pct"/>
            <w:vAlign w:val="center"/>
          </w:tcPr>
          <w:p w14:paraId="635B2D70"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c>
          <w:tcPr>
            <w:tcW w:w="397" w:type="pct"/>
            <w:vAlign w:val="center"/>
          </w:tcPr>
          <w:p w14:paraId="3BEB02CC"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c>
          <w:tcPr>
            <w:tcW w:w="398" w:type="pct"/>
            <w:vAlign w:val="center"/>
          </w:tcPr>
          <w:p w14:paraId="41D70F2C"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 </w:t>
            </w:r>
          </w:p>
        </w:tc>
      </w:tr>
      <w:tr w:rsidR="0069661E" w:rsidRPr="00E810D7" w14:paraId="1B08DA88"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7A7500E7" w14:textId="77777777" w:rsidR="00E810D7" w:rsidRPr="00E810D7" w:rsidRDefault="00E810D7" w:rsidP="00E810D7">
            <w:pPr>
              <w:pStyle w:val="TableText"/>
              <w:rPr>
                <w:rFonts w:asciiTheme="majorHAnsi" w:hAnsiTheme="majorHAnsi"/>
                <w:szCs w:val="16"/>
              </w:rPr>
            </w:pPr>
            <w:r w:rsidRPr="00E810D7">
              <w:rPr>
                <w:rFonts w:asciiTheme="majorHAnsi" w:hAnsiTheme="majorHAnsi"/>
                <w:szCs w:val="16"/>
              </w:rPr>
              <w:t>Less regulatory depreciation on existing assets</w:t>
            </w:r>
          </w:p>
        </w:tc>
        <w:tc>
          <w:tcPr>
            <w:tcW w:w="397" w:type="pct"/>
            <w:vAlign w:val="center"/>
          </w:tcPr>
          <w:p w14:paraId="75B093C7"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2.3 </w:t>
            </w:r>
          </w:p>
        </w:tc>
        <w:tc>
          <w:tcPr>
            <w:tcW w:w="397" w:type="pct"/>
            <w:vAlign w:val="center"/>
          </w:tcPr>
          <w:p w14:paraId="12222EDC"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2.4 </w:t>
            </w:r>
          </w:p>
        </w:tc>
        <w:tc>
          <w:tcPr>
            <w:tcW w:w="397" w:type="pct"/>
            <w:vAlign w:val="center"/>
          </w:tcPr>
          <w:p w14:paraId="446C613F"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2.4 </w:t>
            </w:r>
          </w:p>
        </w:tc>
        <w:tc>
          <w:tcPr>
            <w:tcW w:w="397" w:type="pct"/>
            <w:vAlign w:val="center"/>
          </w:tcPr>
          <w:p w14:paraId="0CDB97FD"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2.4 </w:t>
            </w:r>
          </w:p>
        </w:tc>
        <w:tc>
          <w:tcPr>
            <w:tcW w:w="397" w:type="pct"/>
            <w:vAlign w:val="center"/>
          </w:tcPr>
          <w:p w14:paraId="5F62802D"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2.4 </w:t>
            </w:r>
          </w:p>
        </w:tc>
        <w:tc>
          <w:tcPr>
            <w:tcW w:w="397" w:type="pct"/>
            <w:vAlign w:val="center"/>
          </w:tcPr>
          <w:p w14:paraId="60DC322F"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2.4 </w:t>
            </w:r>
          </w:p>
        </w:tc>
        <w:tc>
          <w:tcPr>
            <w:tcW w:w="397" w:type="pct"/>
            <w:vAlign w:val="center"/>
          </w:tcPr>
          <w:p w14:paraId="7A7E2E3B"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2.4 </w:t>
            </w:r>
          </w:p>
        </w:tc>
        <w:tc>
          <w:tcPr>
            <w:tcW w:w="397" w:type="pct"/>
            <w:vAlign w:val="center"/>
          </w:tcPr>
          <w:p w14:paraId="55C0829F"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2.4 </w:t>
            </w:r>
          </w:p>
        </w:tc>
        <w:tc>
          <w:tcPr>
            <w:tcW w:w="397" w:type="pct"/>
            <w:vAlign w:val="center"/>
          </w:tcPr>
          <w:p w14:paraId="555FEAE6"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2.4 </w:t>
            </w:r>
          </w:p>
        </w:tc>
        <w:tc>
          <w:tcPr>
            <w:tcW w:w="397" w:type="pct"/>
            <w:vAlign w:val="center"/>
          </w:tcPr>
          <w:p w14:paraId="5BC34AED"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2.4 </w:t>
            </w:r>
          </w:p>
        </w:tc>
        <w:tc>
          <w:tcPr>
            <w:tcW w:w="398" w:type="pct"/>
            <w:vAlign w:val="center"/>
          </w:tcPr>
          <w:p w14:paraId="6E1E49F9"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2.4 </w:t>
            </w:r>
          </w:p>
        </w:tc>
      </w:tr>
      <w:tr w:rsidR="00E810D7" w:rsidRPr="00E810D7" w14:paraId="0A51B1EC" w14:textId="77777777" w:rsidTr="00ED094E">
        <w:tc>
          <w:tcPr>
            <w:tcW w:w="629" w:type="pct"/>
          </w:tcPr>
          <w:p w14:paraId="3DB45DA9" w14:textId="77777777" w:rsidR="00E810D7" w:rsidRPr="00E810D7" w:rsidRDefault="00E810D7" w:rsidP="00E810D7">
            <w:pPr>
              <w:pStyle w:val="TableText"/>
              <w:rPr>
                <w:rFonts w:asciiTheme="majorHAnsi" w:hAnsiTheme="majorHAnsi"/>
                <w:szCs w:val="16"/>
              </w:rPr>
            </w:pPr>
            <w:r w:rsidRPr="00E810D7">
              <w:rPr>
                <w:rFonts w:asciiTheme="majorHAnsi" w:hAnsiTheme="majorHAnsi"/>
                <w:szCs w:val="16"/>
              </w:rPr>
              <w:t>Less regulatory depreciation on new assets</w:t>
            </w:r>
          </w:p>
        </w:tc>
        <w:tc>
          <w:tcPr>
            <w:tcW w:w="397" w:type="pct"/>
            <w:vAlign w:val="center"/>
          </w:tcPr>
          <w:p w14:paraId="4B79F675"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0.1 </w:t>
            </w:r>
          </w:p>
        </w:tc>
        <w:tc>
          <w:tcPr>
            <w:tcW w:w="397" w:type="pct"/>
            <w:vAlign w:val="center"/>
          </w:tcPr>
          <w:p w14:paraId="20F0CD15"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0.0 </w:t>
            </w:r>
          </w:p>
        </w:tc>
        <w:tc>
          <w:tcPr>
            <w:tcW w:w="397" w:type="pct"/>
            <w:vAlign w:val="center"/>
          </w:tcPr>
          <w:p w14:paraId="50F86BA8"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0.1 </w:t>
            </w:r>
          </w:p>
        </w:tc>
        <w:tc>
          <w:tcPr>
            <w:tcW w:w="397" w:type="pct"/>
            <w:vAlign w:val="center"/>
          </w:tcPr>
          <w:p w14:paraId="6546DB61"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0.2 </w:t>
            </w:r>
          </w:p>
        </w:tc>
        <w:tc>
          <w:tcPr>
            <w:tcW w:w="397" w:type="pct"/>
            <w:vAlign w:val="center"/>
          </w:tcPr>
          <w:p w14:paraId="6A5AFFC9"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0.4 </w:t>
            </w:r>
          </w:p>
        </w:tc>
        <w:tc>
          <w:tcPr>
            <w:tcW w:w="397" w:type="pct"/>
            <w:vAlign w:val="center"/>
          </w:tcPr>
          <w:p w14:paraId="4013C345" w14:textId="77777777" w:rsidR="00E810D7" w:rsidRPr="00E810D7" w:rsidRDefault="00E810D7" w:rsidP="00E810D7">
            <w:pPr>
              <w:pStyle w:val="TableText"/>
              <w:rPr>
                <w:rFonts w:asciiTheme="majorHAnsi" w:hAnsiTheme="majorHAnsi"/>
                <w:szCs w:val="16"/>
              </w:rPr>
            </w:pPr>
            <w:r w:rsidRPr="00E810D7">
              <w:rPr>
                <w:rFonts w:ascii="Verdana" w:hAnsi="Verdana" w:cs="Tahoma"/>
                <w:szCs w:val="16"/>
              </w:rPr>
              <w:t xml:space="preserve"> 0.5 </w:t>
            </w:r>
          </w:p>
        </w:tc>
        <w:tc>
          <w:tcPr>
            <w:tcW w:w="397" w:type="pct"/>
            <w:vAlign w:val="center"/>
          </w:tcPr>
          <w:p w14:paraId="51371491"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0.7 </w:t>
            </w:r>
          </w:p>
        </w:tc>
        <w:tc>
          <w:tcPr>
            <w:tcW w:w="397" w:type="pct"/>
            <w:vAlign w:val="center"/>
          </w:tcPr>
          <w:p w14:paraId="491CEB19"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0.9 </w:t>
            </w:r>
          </w:p>
        </w:tc>
        <w:tc>
          <w:tcPr>
            <w:tcW w:w="397" w:type="pct"/>
            <w:vAlign w:val="center"/>
          </w:tcPr>
          <w:p w14:paraId="7573F18D"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1.4 </w:t>
            </w:r>
          </w:p>
        </w:tc>
        <w:tc>
          <w:tcPr>
            <w:tcW w:w="397" w:type="pct"/>
            <w:vAlign w:val="center"/>
          </w:tcPr>
          <w:p w14:paraId="7C069565"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1.9 </w:t>
            </w:r>
          </w:p>
        </w:tc>
        <w:tc>
          <w:tcPr>
            <w:tcW w:w="398" w:type="pct"/>
            <w:vAlign w:val="center"/>
          </w:tcPr>
          <w:p w14:paraId="239E488B" w14:textId="77777777" w:rsidR="00E810D7" w:rsidRPr="00E810D7" w:rsidRDefault="00E810D7" w:rsidP="00E810D7">
            <w:pPr>
              <w:pStyle w:val="TableText"/>
              <w:rPr>
                <w:rFonts w:asciiTheme="majorHAnsi" w:hAnsiTheme="majorHAnsi" w:cs="Tahoma"/>
                <w:szCs w:val="16"/>
              </w:rPr>
            </w:pPr>
            <w:r w:rsidRPr="00E810D7">
              <w:rPr>
                <w:rFonts w:ascii="Verdana" w:hAnsi="Verdana" w:cs="Tahoma"/>
                <w:szCs w:val="16"/>
              </w:rPr>
              <w:t xml:space="preserve"> 2.6 </w:t>
            </w:r>
          </w:p>
        </w:tc>
      </w:tr>
      <w:tr w:rsidR="0069661E" w:rsidRPr="00E810D7" w14:paraId="007DB4F8"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7B2371C3" w14:textId="77777777" w:rsidR="00E810D7" w:rsidRPr="00E810D7" w:rsidRDefault="00E810D7" w:rsidP="00E810D7">
            <w:pPr>
              <w:pStyle w:val="TableText"/>
              <w:rPr>
                <w:rFonts w:asciiTheme="majorHAnsi" w:hAnsiTheme="majorHAnsi"/>
                <w:b/>
                <w:szCs w:val="16"/>
              </w:rPr>
            </w:pPr>
            <w:r w:rsidRPr="00E810D7">
              <w:rPr>
                <w:rFonts w:asciiTheme="majorHAnsi" w:hAnsiTheme="majorHAnsi"/>
                <w:b/>
                <w:szCs w:val="16"/>
              </w:rPr>
              <w:t>Closing value</w:t>
            </w:r>
          </w:p>
        </w:tc>
        <w:tc>
          <w:tcPr>
            <w:tcW w:w="397" w:type="pct"/>
            <w:vAlign w:val="center"/>
          </w:tcPr>
          <w:p w14:paraId="19D04D8A" w14:textId="51A98D01" w:rsidR="00E810D7" w:rsidRPr="00E810D7" w:rsidRDefault="00E810D7" w:rsidP="00E810D7">
            <w:pPr>
              <w:pStyle w:val="TableText"/>
              <w:rPr>
                <w:rFonts w:asciiTheme="majorHAnsi" w:hAnsiTheme="majorHAnsi"/>
                <w:b/>
                <w:szCs w:val="16"/>
              </w:rPr>
            </w:pPr>
            <w:r w:rsidRPr="00E810D7">
              <w:rPr>
                <w:rFonts w:ascii="Verdana" w:hAnsi="Verdana" w:cs="Tahoma"/>
                <w:b/>
                <w:bCs/>
                <w:szCs w:val="16"/>
              </w:rPr>
              <w:t xml:space="preserve"> 60.1 </w:t>
            </w:r>
          </w:p>
        </w:tc>
        <w:tc>
          <w:tcPr>
            <w:tcW w:w="397" w:type="pct"/>
            <w:vAlign w:val="center"/>
          </w:tcPr>
          <w:p w14:paraId="673B58CF" w14:textId="77777777" w:rsidR="00E810D7" w:rsidRPr="00E810D7" w:rsidRDefault="00E810D7" w:rsidP="00E810D7">
            <w:pPr>
              <w:pStyle w:val="TableText"/>
              <w:rPr>
                <w:rFonts w:asciiTheme="majorHAnsi" w:hAnsiTheme="majorHAnsi"/>
                <w:b/>
                <w:szCs w:val="16"/>
              </w:rPr>
            </w:pPr>
            <w:r w:rsidRPr="00E810D7">
              <w:rPr>
                <w:rFonts w:ascii="Verdana" w:hAnsi="Verdana" w:cs="Tahoma"/>
                <w:b/>
                <w:bCs/>
                <w:szCs w:val="16"/>
              </w:rPr>
              <w:t xml:space="preserve"> 59.1 </w:t>
            </w:r>
          </w:p>
        </w:tc>
        <w:tc>
          <w:tcPr>
            <w:tcW w:w="397" w:type="pct"/>
            <w:vAlign w:val="center"/>
          </w:tcPr>
          <w:p w14:paraId="6ACAE772" w14:textId="77777777" w:rsidR="00E810D7" w:rsidRPr="00E810D7" w:rsidRDefault="00E810D7" w:rsidP="00E810D7">
            <w:pPr>
              <w:pStyle w:val="TableText"/>
              <w:rPr>
                <w:rFonts w:asciiTheme="majorHAnsi" w:hAnsiTheme="majorHAnsi"/>
                <w:b/>
                <w:szCs w:val="16"/>
              </w:rPr>
            </w:pPr>
            <w:r w:rsidRPr="00E810D7">
              <w:rPr>
                <w:rFonts w:ascii="Verdana" w:hAnsi="Verdana" w:cs="Tahoma"/>
                <w:b/>
                <w:bCs/>
                <w:szCs w:val="16"/>
              </w:rPr>
              <w:t xml:space="preserve"> 58.9 </w:t>
            </w:r>
          </w:p>
        </w:tc>
        <w:tc>
          <w:tcPr>
            <w:tcW w:w="397" w:type="pct"/>
            <w:vAlign w:val="center"/>
          </w:tcPr>
          <w:p w14:paraId="051DEFFC" w14:textId="77777777" w:rsidR="00E810D7" w:rsidRPr="00E810D7" w:rsidRDefault="00E810D7" w:rsidP="00E810D7">
            <w:pPr>
              <w:pStyle w:val="TableText"/>
              <w:rPr>
                <w:rFonts w:asciiTheme="majorHAnsi" w:hAnsiTheme="majorHAnsi"/>
                <w:b/>
                <w:szCs w:val="16"/>
              </w:rPr>
            </w:pPr>
            <w:r w:rsidRPr="00E810D7">
              <w:rPr>
                <w:rFonts w:ascii="Verdana" w:hAnsi="Verdana" w:cs="Tahoma"/>
                <w:b/>
                <w:bCs/>
                <w:szCs w:val="16"/>
              </w:rPr>
              <w:t xml:space="preserve"> 61.2 </w:t>
            </w:r>
          </w:p>
        </w:tc>
        <w:tc>
          <w:tcPr>
            <w:tcW w:w="397" w:type="pct"/>
            <w:vAlign w:val="center"/>
          </w:tcPr>
          <w:p w14:paraId="688C5BDA" w14:textId="77777777" w:rsidR="00E810D7" w:rsidRPr="00E810D7" w:rsidRDefault="00E810D7" w:rsidP="00E810D7">
            <w:pPr>
              <w:pStyle w:val="TableText"/>
              <w:rPr>
                <w:rFonts w:asciiTheme="majorHAnsi" w:hAnsiTheme="majorHAnsi"/>
                <w:b/>
                <w:szCs w:val="16"/>
              </w:rPr>
            </w:pPr>
            <w:r w:rsidRPr="00E810D7">
              <w:rPr>
                <w:rFonts w:ascii="Verdana" w:hAnsi="Verdana" w:cs="Tahoma"/>
                <w:b/>
                <w:bCs/>
                <w:szCs w:val="16"/>
              </w:rPr>
              <w:t xml:space="preserve"> 63.3 </w:t>
            </w:r>
          </w:p>
        </w:tc>
        <w:tc>
          <w:tcPr>
            <w:tcW w:w="397" w:type="pct"/>
            <w:vAlign w:val="center"/>
          </w:tcPr>
          <w:p w14:paraId="6BACBB12" w14:textId="77777777" w:rsidR="00E810D7" w:rsidRPr="00E810D7" w:rsidRDefault="00E810D7" w:rsidP="00E810D7">
            <w:pPr>
              <w:pStyle w:val="TableText"/>
              <w:rPr>
                <w:rFonts w:asciiTheme="majorHAnsi" w:hAnsiTheme="majorHAnsi"/>
                <w:b/>
                <w:szCs w:val="16"/>
              </w:rPr>
            </w:pPr>
            <w:r w:rsidRPr="00E810D7">
              <w:rPr>
                <w:rFonts w:ascii="Verdana" w:hAnsi="Verdana" w:cs="Tahoma"/>
                <w:b/>
                <w:bCs/>
                <w:szCs w:val="16"/>
              </w:rPr>
              <w:t xml:space="preserve"> 65.0 </w:t>
            </w:r>
          </w:p>
        </w:tc>
        <w:tc>
          <w:tcPr>
            <w:tcW w:w="397" w:type="pct"/>
            <w:vAlign w:val="center"/>
          </w:tcPr>
          <w:p w14:paraId="5C918B90" w14:textId="77777777" w:rsidR="00E810D7" w:rsidRPr="00E810D7" w:rsidRDefault="00E810D7" w:rsidP="00E810D7">
            <w:pPr>
              <w:pStyle w:val="TableText"/>
              <w:rPr>
                <w:rFonts w:asciiTheme="majorHAnsi" w:hAnsiTheme="majorHAnsi" w:cs="Tahoma"/>
                <w:b/>
                <w:szCs w:val="16"/>
              </w:rPr>
            </w:pPr>
            <w:r w:rsidRPr="00E810D7">
              <w:rPr>
                <w:rFonts w:ascii="Verdana" w:hAnsi="Verdana" w:cs="Tahoma"/>
                <w:b/>
                <w:bCs/>
                <w:szCs w:val="16"/>
              </w:rPr>
              <w:t xml:space="preserve"> 64.8 </w:t>
            </w:r>
          </w:p>
        </w:tc>
        <w:tc>
          <w:tcPr>
            <w:tcW w:w="397" w:type="pct"/>
            <w:vAlign w:val="center"/>
          </w:tcPr>
          <w:p w14:paraId="56A3EE0D" w14:textId="77777777" w:rsidR="00E810D7" w:rsidRPr="00E810D7" w:rsidRDefault="00E810D7" w:rsidP="00E810D7">
            <w:pPr>
              <w:pStyle w:val="TableText"/>
              <w:rPr>
                <w:rFonts w:asciiTheme="majorHAnsi" w:hAnsiTheme="majorHAnsi" w:cs="Tahoma"/>
                <w:b/>
                <w:szCs w:val="16"/>
              </w:rPr>
            </w:pPr>
            <w:r w:rsidRPr="00E810D7">
              <w:rPr>
                <w:rFonts w:ascii="Verdana" w:hAnsi="Verdana" w:cs="Tahoma"/>
                <w:b/>
                <w:bCs/>
                <w:szCs w:val="16"/>
              </w:rPr>
              <w:t xml:space="preserve"> 74.4 </w:t>
            </w:r>
          </w:p>
        </w:tc>
        <w:tc>
          <w:tcPr>
            <w:tcW w:w="397" w:type="pct"/>
            <w:vAlign w:val="center"/>
          </w:tcPr>
          <w:p w14:paraId="69F04149" w14:textId="77777777" w:rsidR="00E810D7" w:rsidRPr="00E810D7" w:rsidRDefault="00E810D7" w:rsidP="00E810D7">
            <w:pPr>
              <w:pStyle w:val="TableText"/>
              <w:rPr>
                <w:rFonts w:asciiTheme="majorHAnsi" w:hAnsiTheme="majorHAnsi" w:cs="Tahoma"/>
                <w:b/>
                <w:szCs w:val="16"/>
              </w:rPr>
            </w:pPr>
            <w:r w:rsidRPr="00E810D7">
              <w:rPr>
                <w:rFonts w:ascii="Verdana" w:hAnsi="Verdana" w:cs="Tahoma"/>
                <w:b/>
                <w:bCs/>
                <w:szCs w:val="16"/>
              </w:rPr>
              <w:t xml:space="preserve"> 91.4 </w:t>
            </w:r>
          </w:p>
        </w:tc>
        <w:tc>
          <w:tcPr>
            <w:tcW w:w="397" w:type="pct"/>
            <w:vAlign w:val="center"/>
          </w:tcPr>
          <w:p w14:paraId="4105822F" w14:textId="77777777" w:rsidR="00E810D7" w:rsidRPr="00E810D7" w:rsidRDefault="00E810D7" w:rsidP="00E810D7">
            <w:pPr>
              <w:pStyle w:val="TableText"/>
              <w:rPr>
                <w:rFonts w:asciiTheme="majorHAnsi" w:hAnsiTheme="majorHAnsi" w:cs="Tahoma"/>
                <w:b/>
                <w:szCs w:val="16"/>
              </w:rPr>
            </w:pPr>
            <w:r w:rsidRPr="00E810D7">
              <w:rPr>
                <w:rFonts w:ascii="Verdana" w:hAnsi="Verdana" w:cs="Tahoma"/>
                <w:b/>
                <w:bCs/>
                <w:szCs w:val="16"/>
              </w:rPr>
              <w:t xml:space="preserve"> 103.4 </w:t>
            </w:r>
          </w:p>
        </w:tc>
        <w:tc>
          <w:tcPr>
            <w:tcW w:w="398" w:type="pct"/>
            <w:vAlign w:val="center"/>
          </w:tcPr>
          <w:p w14:paraId="0B6017CC" w14:textId="77777777" w:rsidR="00E810D7" w:rsidRPr="00E810D7" w:rsidRDefault="00E810D7" w:rsidP="00E810D7">
            <w:pPr>
              <w:pStyle w:val="TableText"/>
              <w:rPr>
                <w:rFonts w:asciiTheme="majorHAnsi" w:hAnsiTheme="majorHAnsi" w:cs="Tahoma"/>
                <w:b/>
                <w:szCs w:val="16"/>
              </w:rPr>
            </w:pPr>
            <w:r w:rsidRPr="00E810D7">
              <w:rPr>
                <w:rFonts w:ascii="Verdana" w:hAnsi="Verdana" w:cs="Tahoma"/>
                <w:b/>
                <w:bCs/>
                <w:szCs w:val="16"/>
              </w:rPr>
              <w:t xml:space="preserve"> 125.6 </w:t>
            </w:r>
          </w:p>
        </w:tc>
      </w:tr>
    </w:tbl>
    <w:p w14:paraId="719448FC" w14:textId="77777777" w:rsidR="00046BD5" w:rsidRPr="00DE108C" w:rsidRDefault="00046BD5" w:rsidP="00ED094E"/>
    <w:p w14:paraId="10D0C9D2" w14:textId="77777777" w:rsidR="001200EC" w:rsidRPr="00DE108C" w:rsidRDefault="001200EC" w:rsidP="001200EC">
      <w:pPr>
        <w:rPr>
          <w:rFonts w:eastAsiaTheme="majorEastAsia"/>
        </w:rPr>
      </w:pPr>
      <w:r w:rsidRPr="00DE108C">
        <w:br w:type="page"/>
      </w:r>
    </w:p>
    <w:p w14:paraId="60C0E2E8" w14:textId="77777777" w:rsidR="00046BD5" w:rsidRPr="00DE108C" w:rsidRDefault="00046BD5">
      <w:pPr>
        <w:pStyle w:val="Heading3"/>
      </w:pPr>
      <w:r w:rsidRPr="00DE108C">
        <w:lastRenderedPageBreak/>
        <w:t>8.6.4 Waterways and drainage regulatory asset base</w:t>
      </w:r>
      <w:bookmarkEnd w:id="888"/>
    </w:p>
    <w:p w14:paraId="62CDD14B" w14:textId="77777777" w:rsidR="00046BD5" w:rsidRPr="00DE108C" w:rsidRDefault="00046BD5" w:rsidP="00ED094E">
      <w:r w:rsidRPr="00DE108C">
        <w:t>Table 8.11 shows the waterways and drainage regulatory asset base forecast for the next 10 years.</w:t>
      </w:r>
    </w:p>
    <w:p w14:paraId="0CE3237C" w14:textId="77777777" w:rsidR="00046BD5" w:rsidRPr="00DE108C" w:rsidRDefault="00046BD5" w:rsidP="00ED094E">
      <w:pPr>
        <w:pStyle w:val="Caption"/>
      </w:pPr>
      <w:bookmarkStart w:id="889" w:name="_Toc190878424"/>
      <w:bookmarkStart w:id="890" w:name="_Toc207893080"/>
      <w:bookmarkStart w:id="891" w:name="_Toc208490604"/>
      <w:bookmarkStart w:id="892" w:name="_Toc208490942"/>
      <w:bookmarkStart w:id="893" w:name="_Toc208911100"/>
      <w:bookmarkStart w:id="894" w:name="_Toc210051406"/>
      <w:r w:rsidRPr="001164EE">
        <w:t>Table 8.11: Forecast regulatory asset base for waterways and drainage ($millions, real 2025-26)</w:t>
      </w:r>
      <w:bookmarkEnd w:id="889"/>
      <w:bookmarkEnd w:id="890"/>
      <w:bookmarkEnd w:id="891"/>
      <w:bookmarkEnd w:id="892"/>
      <w:bookmarkEnd w:id="893"/>
      <w:bookmarkEnd w:id="894"/>
    </w:p>
    <w:tbl>
      <w:tblPr>
        <w:tblStyle w:val="MWTableGrid"/>
        <w:tblW w:w="5000" w:type="pct"/>
        <w:tblLook w:val="0420" w:firstRow="1" w:lastRow="0" w:firstColumn="0" w:lastColumn="0" w:noHBand="0" w:noVBand="1"/>
      </w:tblPr>
      <w:tblGrid>
        <w:gridCol w:w="1833"/>
        <w:gridCol w:w="1157"/>
        <w:gridCol w:w="1157"/>
        <w:gridCol w:w="1157"/>
        <w:gridCol w:w="1157"/>
        <w:gridCol w:w="1157"/>
        <w:gridCol w:w="1157"/>
        <w:gridCol w:w="1157"/>
        <w:gridCol w:w="1157"/>
        <w:gridCol w:w="1156"/>
        <w:gridCol w:w="1156"/>
        <w:gridCol w:w="1159"/>
      </w:tblGrid>
      <w:tr w:rsidR="0069661E" w:rsidRPr="00D37684" w14:paraId="04F0DDB9" w14:textId="77777777" w:rsidTr="00B46F82">
        <w:trPr>
          <w:cnfStyle w:val="100000000000" w:firstRow="1" w:lastRow="0" w:firstColumn="0" w:lastColumn="0" w:oddVBand="0" w:evenVBand="0" w:oddHBand="0" w:evenHBand="0" w:firstRowFirstColumn="0" w:firstRowLastColumn="0" w:lastRowFirstColumn="0" w:lastRowLastColumn="0"/>
        </w:trPr>
        <w:tc>
          <w:tcPr>
            <w:tcW w:w="629" w:type="pct"/>
          </w:tcPr>
          <w:p w14:paraId="00D4FB7B" w14:textId="77777777" w:rsidR="00046BD5" w:rsidRPr="00D37684" w:rsidRDefault="00046BD5" w:rsidP="00ED094E">
            <w:pPr>
              <w:pStyle w:val="TableHeading"/>
              <w:rPr>
                <w:rFonts w:asciiTheme="majorHAnsi" w:hAnsiTheme="majorHAnsi"/>
                <w:szCs w:val="16"/>
              </w:rPr>
            </w:pPr>
          </w:p>
        </w:tc>
        <w:tc>
          <w:tcPr>
            <w:tcW w:w="397" w:type="pct"/>
          </w:tcPr>
          <w:p w14:paraId="05C05057"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2025-26</w:t>
            </w:r>
          </w:p>
        </w:tc>
        <w:tc>
          <w:tcPr>
            <w:tcW w:w="397" w:type="pct"/>
          </w:tcPr>
          <w:p w14:paraId="3DD6C4FE"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2026-27</w:t>
            </w:r>
          </w:p>
        </w:tc>
        <w:tc>
          <w:tcPr>
            <w:tcW w:w="397" w:type="pct"/>
          </w:tcPr>
          <w:p w14:paraId="735009C3"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2027-28</w:t>
            </w:r>
          </w:p>
        </w:tc>
        <w:tc>
          <w:tcPr>
            <w:tcW w:w="397" w:type="pct"/>
          </w:tcPr>
          <w:p w14:paraId="60937559"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2028-29</w:t>
            </w:r>
          </w:p>
        </w:tc>
        <w:tc>
          <w:tcPr>
            <w:tcW w:w="397" w:type="pct"/>
          </w:tcPr>
          <w:p w14:paraId="1409CCBF"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2029-30</w:t>
            </w:r>
          </w:p>
        </w:tc>
        <w:tc>
          <w:tcPr>
            <w:tcW w:w="397" w:type="pct"/>
          </w:tcPr>
          <w:p w14:paraId="57008710"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2030-31</w:t>
            </w:r>
          </w:p>
        </w:tc>
        <w:tc>
          <w:tcPr>
            <w:tcW w:w="397" w:type="pct"/>
          </w:tcPr>
          <w:p w14:paraId="4A4A5C2F"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2031-32</w:t>
            </w:r>
          </w:p>
        </w:tc>
        <w:tc>
          <w:tcPr>
            <w:tcW w:w="397" w:type="pct"/>
          </w:tcPr>
          <w:p w14:paraId="21BF5C14"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2032-33</w:t>
            </w:r>
          </w:p>
        </w:tc>
        <w:tc>
          <w:tcPr>
            <w:tcW w:w="397" w:type="pct"/>
          </w:tcPr>
          <w:p w14:paraId="453C3F69"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2033-34</w:t>
            </w:r>
          </w:p>
        </w:tc>
        <w:tc>
          <w:tcPr>
            <w:tcW w:w="397" w:type="pct"/>
          </w:tcPr>
          <w:p w14:paraId="3359784F"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2034-35</w:t>
            </w:r>
          </w:p>
        </w:tc>
        <w:tc>
          <w:tcPr>
            <w:tcW w:w="398" w:type="pct"/>
          </w:tcPr>
          <w:p w14:paraId="0A694E63"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2035-36</w:t>
            </w:r>
          </w:p>
        </w:tc>
      </w:tr>
      <w:tr w:rsidR="00D37684" w:rsidRPr="00D37684" w14:paraId="62ACB575" w14:textId="77777777" w:rsidTr="00ED094E">
        <w:tc>
          <w:tcPr>
            <w:tcW w:w="629" w:type="pct"/>
          </w:tcPr>
          <w:p w14:paraId="2776A6B3" w14:textId="77777777" w:rsidR="00D37684" w:rsidRPr="00D37684" w:rsidRDefault="00D37684" w:rsidP="00D37684">
            <w:pPr>
              <w:pStyle w:val="TableText"/>
              <w:rPr>
                <w:rFonts w:asciiTheme="majorHAnsi" w:hAnsiTheme="majorHAnsi"/>
                <w:b/>
                <w:szCs w:val="16"/>
              </w:rPr>
            </w:pPr>
            <w:r w:rsidRPr="00D37684">
              <w:rPr>
                <w:rFonts w:asciiTheme="majorHAnsi" w:hAnsiTheme="majorHAnsi"/>
                <w:b/>
                <w:szCs w:val="16"/>
              </w:rPr>
              <w:t>Opening value</w:t>
            </w:r>
          </w:p>
        </w:tc>
        <w:tc>
          <w:tcPr>
            <w:tcW w:w="397" w:type="pct"/>
            <w:vAlign w:val="center"/>
          </w:tcPr>
          <w:p w14:paraId="0DE5E61D" w14:textId="228F6FF0" w:rsidR="00D37684" w:rsidRPr="00D37684" w:rsidRDefault="00D37684" w:rsidP="00D37684">
            <w:pPr>
              <w:pStyle w:val="TableText"/>
              <w:rPr>
                <w:rFonts w:asciiTheme="majorHAnsi" w:hAnsiTheme="majorHAnsi"/>
                <w:b/>
                <w:bCs/>
                <w:szCs w:val="16"/>
              </w:rPr>
            </w:pPr>
            <w:r w:rsidRPr="00D37684">
              <w:rPr>
                <w:rFonts w:ascii="Verdana" w:hAnsi="Verdana" w:cs="Tahoma"/>
                <w:b/>
                <w:bCs/>
                <w:szCs w:val="16"/>
              </w:rPr>
              <w:t xml:space="preserve"> 2,061.6 </w:t>
            </w:r>
          </w:p>
        </w:tc>
        <w:tc>
          <w:tcPr>
            <w:tcW w:w="397" w:type="pct"/>
            <w:vAlign w:val="center"/>
          </w:tcPr>
          <w:p w14:paraId="47B9AC25" w14:textId="108C92CF" w:rsidR="00D37684" w:rsidRPr="00D37684" w:rsidRDefault="00D37684" w:rsidP="00D37684">
            <w:pPr>
              <w:pStyle w:val="TableText"/>
              <w:rPr>
                <w:rFonts w:asciiTheme="majorHAnsi" w:hAnsiTheme="majorHAnsi"/>
                <w:b/>
                <w:bCs/>
                <w:szCs w:val="16"/>
              </w:rPr>
            </w:pPr>
            <w:r w:rsidRPr="00D37684">
              <w:rPr>
                <w:rFonts w:ascii="Verdana" w:hAnsi="Verdana" w:cs="Tahoma"/>
                <w:b/>
                <w:bCs/>
                <w:szCs w:val="16"/>
              </w:rPr>
              <w:t xml:space="preserve"> 2,031.0 </w:t>
            </w:r>
          </w:p>
        </w:tc>
        <w:tc>
          <w:tcPr>
            <w:tcW w:w="397" w:type="pct"/>
            <w:vAlign w:val="center"/>
          </w:tcPr>
          <w:p w14:paraId="390DD777" w14:textId="2BDD3462" w:rsidR="00D37684" w:rsidRPr="00D37684" w:rsidRDefault="00D37684" w:rsidP="00D37684">
            <w:pPr>
              <w:pStyle w:val="TableText"/>
              <w:rPr>
                <w:rFonts w:asciiTheme="majorHAnsi" w:hAnsiTheme="majorHAnsi"/>
                <w:b/>
                <w:bCs/>
                <w:szCs w:val="16"/>
              </w:rPr>
            </w:pPr>
            <w:r w:rsidRPr="00D37684">
              <w:rPr>
                <w:rFonts w:ascii="Verdana" w:hAnsi="Verdana" w:cs="Tahoma"/>
                <w:b/>
                <w:bCs/>
                <w:szCs w:val="16"/>
              </w:rPr>
              <w:t xml:space="preserve"> 2,250.9 </w:t>
            </w:r>
          </w:p>
        </w:tc>
        <w:tc>
          <w:tcPr>
            <w:tcW w:w="397" w:type="pct"/>
            <w:vAlign w:val="center"/>
          </w:tcPr>
          <w:p w14:paraId="630FC9C5" w14:textId="13F6F736" w:rsidR="00D37684" w:rsidRPr="00D37684" w:rsidRDefault="00D37684" w:rsidP="00D37684">
            <w:pPr>
              <w:pStyle w:val="TableText"/>
              <w:rPr>
                <w:rFonts w:asciiTheme="majorHAnsi" w:hAnsiTheme="majorHAnsi"/>
                <w:b/>
                <w:bCs/>
                <w:szCs w:val="16"/>
              </w:rPr>
            </w:pPr>
            <w:r w:rsidRPr="00D37684">
              <w:rPr>
                <w:rFonts w:ascii="Verdana" w:hAnsi="Verdana" w:cs="Tahoma"/>
                <w:b/>
                <w:bCs/>
                <w:szCs w:val="16"/>
              </w:rPr>
              <w:t xml:space="preserve"> 2,428.1 </w:t>
            </w:r>
          </w:p>
        </w:tc>
        <w:tc>
          <w:tcPr>
            <w:tcW w:w="397" w:type="pct"/>
            <w:vAlign w:val="center"/>
          </w:tcPr>
          <w:p w14:paraId="6FBC66BA" w14:textId="54C63893" w:rsidR="00D37684" w:rsidRPr="00D37684" w:rsidRDefault="00D37684" w:rsidP="00D37684">
            <w:pPr>
              <w:pStyle w:val="TableText"/>
              <w:rPr>
                <w:rFonts w:asciiTheme="majorHAnsi" w:hAnsiTheme="majorHAnsi"/>
                <w:b/>
                <w:bCs/>
                <w:szCs w:val="16"/>
              </w:rPr>
            </w:pPr>
            <w:r w:rsidRPr="00D37684">
              <w:rPr>
                <w:rFonts w:ascii="Verdana" w:hAnsi="Verdana" w:cs="Tahoma"/>
                <w:b/>
                <w:bCs/>
                <w:szCs w:val="16"/>
              </w:rPr>
              <w:t xml:space="preserve"> 2,459.5 </w:t>
            </w:r>
          </w:p>
        </w:tc>
        <w:tc>
          <w:tcPr>
            <w:tcW w:w="397" w:type="pct"/>
            <w:vAlign w:val="center"/>
          </w:tcPr>
          <w:p w14:paraId="29BDD772" w14:textId="565DABF3" w:rsidR="00D37684" w:rsidRPr="00D37684" w:rsidRDefault="00D37684" w:rsidP="00D37684">
            <w:pPr>
              <w:pStyle w:val="TableText"/>
              <w:rPr>
                <w:rFonts w:asciiTheme="majorHAnsi" w:hAnsiTheme="majorHAnsi"/>
                <w:b/>
                <w:bCs/>
                <w:szCs w:val="16"/>
              </w:rPr>
            </w:pPr>
            <w:r w:rsidRPr="00D37684">
              <w:rPr>
                <w:rFonts w:ascii="Verdana" w:hAnsi="Verdana" w:cs="Tahoma"/>
                <w:b/>
                <w:bCs/>
                <w:szCs w:val="16"/>
              </w:rPr>
              <w:t xml:space="preserve"> 2,508.8 </w:t>
            </w:r>
          </w:p>
        </w:tc>
        <w:tc>
          <w:tcPr>
            <w:tcW w:w="397" w:type="pct"/>
            <w:vAlign w:val="center"/>
          </w:tcPr>
          <w:p w14:paraId="72FEFD36" w14:textId="77777777" w:rsidR="00D37684" w:rsidRPr="00D37684" w:rsidRDefault="00D37684" w:rsidP="00D37684">
            <w:pPr>
              <w:pStyle w:val="TableText"/>
              <w:rPr>
                <w:rFonts w:asciiTheme="majorHAnsi" w:hAnsiTheme="majorHAnsi" w:cs="Tahoma"/>
                <w:b/>
                <w:bCs/>
                <w:szCs w:val="16"/>
              </w:rPr>
            </w:pPr>
            <w:r w:rsidRPr="00D37684">
              <w:rPr>
                <w:rFonts w:ascii="Verdana" w:hAnsi="Verdana" w:cs="Tahoma"/>
                <w:b/>
                <w:bCs/>
                <w:szCs w:val="16"/>
              </w:rPr>
              <w:t xml:space="preserve"> 2,533.0 </w:t>
            </w:r>
          </w:p>
        </w:tc>
        <w:tc>
          <w:tcPr>
            <w:tcW w:w="397" w:type="pct"/>
            <w:vAlign w:val="center"/>
          </w:tcPr>
          <w:p w14:paraId="3B4507CA" w14:textId="501AC075" w:rsidR="00D37684" w:rsidRPr="00D37684" w:rsidRDefault="00D37684" w:rsidP="00D37684">
            <w:pPr>
              <w:pStyle w:val="TableText"/>
              <w:rPr>
                <w:rFonts w:asciiTheme="majorHAnsi" w:hAnsiTheme="majorHAnsi" w:cs="Tahoma"/>
                <w:b/>
                <w:bCs/>
                <w:szCs w:val="16"/>
              </w:rPr>
            </w:pPr>
            <w:r w:rsidRPr="00D37684">
              <w:rPr>
                <w:rFonts w:ascii="Verdana" w:hAnsi="Verdana" w:cs="Tahoma"/>
                <w:b/>
                <w:bCs/>
                <w:szCs w:val="16"/>
              </w:rPr>
              <w:t xml:space="preserve"> 2,645.2 </w:t>
            </w:r>
          </w:p>
        </w:tc>
        <w:tc>
          <w:tcPr>
            <w:tcW w:w="397" w:type="pct"/>
            <w:vAlign w:val="center"/>
          </w:tcPr>
          <w:p w14:paraId="62489DEF" w14:textId="5DE04B16" w:rsidR="00D37684" w:rsidRPr="00D37684" w:rsidRDefault="00D37684" w:rsidP="00D37684">
            <w:pPr>
              <w:pStyle w:val="TableText"/>
              <w:rPr>
                <w:rFonts w:asciiTheme="majorHAnsi" w:hAnsiTheme="majorHAnsi" w:cs="Tahoma"/>
                <w:b/>
                <w:bCs/>
                <w:szCs w:val="16"/>
              </w:rPr>
            </w:pPr>
            <w:r w:rsidRPr="00D37684">
              <w:rPr>
                <w:rFonts w:ascii="Verdana" w:hAnsi="Verdana" w:cs="Tahoma"/>
                <w:b/>
                <w:bCs/>
                <w:szCs w:val="16"/>
              </w:rPr>
              <w:t xml:space="preserve"> 2,735.1 </w:t>
            </w:r>
          </w:p>
        </w:tc>
        <w:tc>
          <w:tcPr>
            <w:tcW w:w="397" w:type="pct"/>
            <w:vAlign w:val="center"/>
          </w:tcPr>
          <w:p w14:paraId="16DFB397" w14:textId="1860C147" w:rsidR="00D37684" w:rsidRPr="00D37684" w:rsidRDefault="00D37684" w:rsidP="00D37684">
            <w:pPr>
              <w:pStyle w:val="TableText"/>
              <w:rPr>
                <w:rFonts w:asciiTheme="majorHAnsi" w:hAnsiTheme="majorHAnsi" w:cs="Tahoma"/>
                <w:b/>
                <w:bCs/>
                <w:szCs w:val="16"/>
              </w:rPr>
            </w:pPr>
            <w:r w:rsidRPr="00D37684">
              <w:rPr>
                <w:rFonts w:ascii="Verdana" w:hAnsi="Verdana" w:cs="Tahoma"/>
                <w:b/>
                <w:bCs/>
                <w:szCs w:val="16"/>
              </w:rPr>
              <w:t xml:space="preserve"> 2,831.2 </w:t>
            </w:r>
          </w:p>
        </w:tc>
        <w:tc>
          <w:tcPr>
            <w:tcW w:w="398" w:type="pct"/>
            <w:vAlign w:val="center"/>
          </w:tcPr>
          <w:p w14:paraId="1EF97290" w14:textId="77777777" w:rsidR="00D37684" w:rsidRPr="00D37684" w:rsidRDefault="00D37684" w:rsidP="00D37684">
            <w:pPr>
              <w:pStyle w:val="TableText"/>
              <w:rPr>
                <w:rFonts w:asciiTheme="majorHAnsi" w:hAnsiTheme="majorHAnsi" w:cs="Tahoma"/>
                <w:b/>
                <w:bCs/>
                <w:szCs w:val="16"/>
              </w:rPr>
            </w:pPr>
            <w:r w:rsidRPr="00D37684">
              <w:rPr>
                <w:rFonts w:ascii="Verdana" w:hAnsi="Verdana" w:cs="Tahoma"/>
                <w:b/>
                <w:bCs/>
                <w:szCs w:val="16"/>
              </w:rPr>
              <w:t xml:space="preserve"> 2,920.7 </w:t>
            </w:r>
          </w:p>
        </w:tc>
      </w:tr>
      <w:tr w:rsidR="0069661E" w:rsidRPr="00D37684" w14:paraId="559366B0"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16BA3DB8" w14:textId="77777777" w:rsidR="00D37684" w:rsidRPr="00D37684" w:rsidRDefault="00D37684" w:rsidP="00D37684">
            <w:pPr>
              <w:pStyle w:val="TableText"/>
              <w:rPr>
                <w:rFonts w:asciiTheme="majorHAnsi" w:hAnsiTheme="majorHAnsi"/>
                <w:szCs w:val="16"/>
              </w:rPr>
            </w:pPr>
            <w:r w:rsidRPr="00D37684">
              <w:rPr>
                <w:rFonts w:asciiTheme="majorHAnsi" w:hAnsiTheme="majorHAnsi"/>
                <w:szCs w:val="16"/>
              </w:rPr>
              <w:t>Plus gross capex</w:t>
            </w:r>
          </w:p>
        </w:tc>
        <w:tc>
          <w:tcPr>
            <w:tcW w:w="397" w:type="pct"/>
            <w:vAlign w:val="center"/>
          </w:tcPr>
          <w:p w14:paraId="01DE8B1F"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286.0 </w:t>
            </w:r>
          </w:p>
        </w:tc>
        <w:tc>
          <w:tcPr>
            <w:tcW w:w="397" w:type="pct"/>
            <w:vAlign w:val="center"/>
          </w:tcPr>
          <w:p w14:paraId="518BDE7B"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555.7 </w:t>
            </w:r>
          </w:p>
        </w:tc>
        <w:tc>
          <w:tcPr>
            <w:tcW w:w="397" w:type="pct"/>
            <w:vAlign w:val="center"/>
          </w:tcPr>
          <w:p w14:paraId="7DE2F3B1"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533.3 </w:t>
            </w:r>
          </w:p>
        </w:tc>
        <w:tc>
          <w:tcPr>
            <w:tcW w:w="397" w:type="pct"/>
            <w:vAlign w:val="center"/>
          </w:tcPr>
          <w:p w14:paraId="06ABCA6F"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378.3 </w:t>
            </w:r>
          </w:p>
        </w:tc>
        <w:tc>
          <w:tcPr>
            <w:tcW w:w="397" w:type="pct"/>
            <w:vAlign w:val="center"/>
          </w:tcPr>
          <w:p w14:paraId="0781C4FE"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384.0 </w:t>
            </w:r>
          </w:p>
        </w:tc>
        <w:tc>
          <w:tcPr>
            <w:tcW w:w="397" w:type="pct"/>
            <w:vAlign w:val="center"/>
          </w:tcPr>
          <w:p w14:paraId="186EEE63"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353.1 </w:t>
            </w:r>
          </w:p>
        </w:tc>
        <w:tc>
          <w:tcPr>
            <w:tcW w:w="397" w:type="pct"/>
            <w:vAlign w:val="center"/>
          </w:tcPr>
          <w:p w14:paraId="72BC0296"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449.9 </w:t>
            </w:r>
          </w:p>
        </w:tc>
        <w:tc>
          <w:tcPr>
            <w:tcW w:w="397" w:type="pct"/>
            <w:vAlign w:val="center"/>
          </w:tcPr>
          <w:p w14:paraId="31BC1E4B"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425.6 </w:t>
            </w:r>
          </w:p>
        </w:tc>
        <w:tc>
          <w:tcPr>
            <w:tcW w:w="397" w:type="pct"/>
            <w:vAlign w:val="center"/>
          </w:tcPr>
          <w:p w14:paraId="18E2E902"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427.6 </w:t>
            </w:r>
          </w:p>
        </w:tc>
        <w:tc>
          <w:tcPr>
            <w:tcW w:w="397" w:type="pct"/>
            <w:vAlign w:val="center"/>
          </w:tcPr>
          <w:p w14:paraId="5411A953"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416.6 </w:t>
            </w:r>
          </w:p>
        </w:tc>
        <w:tc>
          <w:tcPr>
            <w:tcW w:w="398" w:type="pct"/>
            <w:vAlign w:val="center"/>
          </w:tcPr>
          <w:p w14:paraId="4499A673"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415.8 </w:t>
            </w:r>
          </w:p>
        </w:tc>
      </w:tr>
      <w:tr w:rsidR="00D37684" w:rsidRPr="00D37684" w14:paraId="7109C118" w14:textId="77777777" w:rsidTr="00ED094E">
        <w:tc>
          <w:tcPr>
            <w:tcW w:w="629" w:type="pct"/>
          </w:tcPr>
          <w:p w14:paraId="12D750C5" w14:textId="77777777" w:rsidR="00D37684" w:rsidRPr="00D37684" w:rsidRDefault="00D37684" w:rsidP="00D37684">
            <w:pPr>
              <w:pStyle w:val="TableText"/>
              <w:rPr>
                <w:rFonts w:asciiTheme="majorHAnsi" w:hAnsiTheme="majorHAnsi"/>
                <w:szCs w:val="16"/>
              </w:rPr>
            </w:pPr>
            <w:r w:rsidRPr="00D37684">
              <w:rPr>
                <w:rFonts w:asciiTheme="majorHAnsi" w:hAnsiTheme="majorHAnsi"/>
                <w:szCs w:val="16"/>
              </w:rPr>
              <w:t>Less Government contribution </w:t>
            </w:r>
          </w:p>
        </w:tc>
        <w:tc>
          <w:tcPr>
            <w:tcW w:w="397" w:type="pct"/>
            <w:vAlign w:val="center"/>
          </w:tcPr>
          <w:p w14:paraId="69425F72"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32547600"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9.3 </w:t>
            </w:r>
          </w:p>
        </w:tc>
        <w:tc>
          <w:tcPr>
            <w:tcW w:w="397" w:type="pct"/>
            <w:vAlign w:val="center"/>
          </w:tcPr>
          <w:p w14:paraId="6D3FB2D1"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15.0 </w:t>
            </w:r>
          </w:p>
        </w:tc>
        <w:tc>
          <w:tcPr>
            <w:tcW w:w="397" w:type="pct"/>
            <w:vAlign w:val="center"/>
          </w:tcPr>
          <w:p w14:paraId="3FBBED71"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0.0 </w:t>
            </w:r>
          </w:p>
        </w:tc>
        <w:tc>
          <w:tcPr>
            <w:tcW w:w="397" w:type="pct"/>
            <w:vAlign w:val="center"/>
          </w:tcPr>
          <w:p w14:paraId="2790E916"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0.0 </w:t>
            </w:r>
          </w:p>
        </w:tc>
        <w:tc>
          <w:tcPr>
            <w:tcW w:w="397" w:type="pct"/>
            <w:vAlign w:val="center"/>
          </w:tcPr>
          <w:p w14:paraId="7D4AAD15"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34DEF265"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7" w:type="pct"/>
            <w:vAlign w:val="center"/>
          </w:tcPr>
          <w:p w14:paraId="6805D897"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7" w:type="pct"/>
            <w:vAlign w:val="center"/>
          </w:tcPr>
          <w:p w14:paraId="43531922"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7" w:type="pct"/>
            <w:vAlign w:val="center"/>
          </w:tcPr>
          <w:p w14:paraId="65F805FD"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8" w:type="pct"/>
            <w:vAlign w:val="center"/>
          </w:tcPr>
          <w:p w14:paraId="770AB68A"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r>
      <w:tr w:rsidR="0069661E" w:rsidRPr="00D37684" w14:paraId="31E4EA72"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1E41A464" w14:textId="77777777" w:rsidR="00D37684" w:rsidRPr="00D37684" w:rsidRDefault="00D37684" w:rsidP="00D37684">
            <w:pPr>
              <w:pStyle w:val="TableText"/>
              <w:rPr>
                <w:rFonts w:asciiTheme="majorHAnsi" w:hAnsiTheme="majorHAnsi"/>
                <w:szCs w:val="16"/>
              </w:rPr>
            </w:pPr>
            <w:r w:rsidRPr="00D37684">
              <w:rPr>
                <w:rFonts w:asciiTheme="majorHAnsi" w:hAnsiTheme="majorHAnsi"/>
                <w:szCs w:val="16"/>
              </w:rPr>
              <w:t>Less customer contribution </w:t>
            </w:r>
          </w:p>
        </w:tc>
        <w:tc>
          <w:tcPr>
            <w:tcW w:w="397" w:type="pct"/>
            <w:vAlign w:val="center"/>
          </w:tcPr>
          <w:p w14:paraId="574C4EBE"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244.7 </w:t>
            </w:r>
          </w:p>
        </w:tc>
        <w:tc>
          <w:tcPr>
            <w:tcW w:w="397" w:type="pct"/>
            <w:vAlign w:val="center"/>
          </w:tcPr>
          <w:p w14:paraId="2575B4A1"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256.7 </w:t>
            </w:r>
          </w:p>
        </w:tc>
        <w:tc>
          <w:tcPr>
            <w:tcW w:w="397" w:type="pct"/>
            <w:vAlign w:val="center"/>
          </w:tcPr>
          <w:p w14:paraId="2F9F43A7"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265.8 </w:t>
            </w:r>
          </w:p>
        </w:tc>
        <w:tc>
          <w:tcPr>
            <w:tcW w:w="397" w:type="pct"/>
            <w:vAlign w:val="center"/>
          </w:tcPr>
          <w:p w14:paraId="0BF33C3B"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266.9 </w:t>
            </w:r>
          </w:p>
        </w:tc>
        <w:tc>
          <w:tcPr>
            <w:tcW w:w="397" w:type="pct"/>
            <w:vAlign w:val="center"/>
          </w:tcPr>
          <w:p w14:paraId="0D5A5FC1"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265.8 </w:t>
            </w:r>
          </w:p>
        </w:tc>
        <w:tc>
          <w:tcPr>
            <w:tcW w:w="397" w:type="pct"/>
            <w:vAlign w:val="center"/>
          </w:tcPr>
          <w:p w14:paraId="5F182B0E"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261.8 </w:t>
            </w:r>
          </w:p>
        </w:tc>
        <w:tc>
          <w:tcPr>
            <w:tcW w:w="397" w:type="pct"/>
            <w:vAlign w:val="center"/>
          </w:tcPr>
          <w:p w14:paraId="3D389DEA"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266.3 </w:t>
            </w:r>
          </w:p>
        </w:tc>
        <w:tc>
          <w:tcPr>
            <w:tcW w:w="397" w:type="pct"/>
            <w:vAlign w:val="center"/>
          </w:tcPr>
          <w:p w14:paraId="400EEE14"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259.1 </w:t>
            </w:r>
          </w:p>
        </w:tc>
        <w:tc>
          <w:tcPr>
            <w:tcW w:w="397" w:type="pct"/>
            <w:vAlign w:val="center"/>
          </w:tcPr>
          <w:p w14:paraId="17D04777"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250.0 </w:t>
            </w:r>
          </w:p>
        </w:tc>
        <w:tc>
          <w:tcPr>
            <w:tcW w:w="397" w:type="pct"/>
            <w:vAlign w:val="center"/>
          </w:tcPr>
          <w:p w14:paraId="2C525DAC"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241.3 </w:t>
            </w:r>
          </w:p>
        </w:tc>
        <w:tc>
          <w:tcPr>
            <w:tcW w:w="398" w:type="pct"/>
            <w:vAlign w:val="center"/>
          </w:tcPr>
          <w:p w14:paraId="6EE06739"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232.8 </w:t>
            </w:r>
          </w:p>
        </w:tc>
      </w:tr>
      <w:tr w:rsidR="00D37684" w:rsidRPr="00D37684" w14:paraId="5927B22F" w14:textId="77777777" w:rsidTr="00ED094E">
        <w:tc>
          <w:tcPr>
            <w:tcW w:w="629" w:type="pct"/>
          </w:tcPr>
          <w:p w14:paraId="3602F141" w14:textId="77777777" w:rsidR="00D37684" w:rsidRPr="00D37684" w:rsidRDefault="00D37684" w:rsidP="00D37684">
            <w:pPr>
              <w:pStyle w:val="TableText"/>
              <w:rPr>
                <w:rFonts w:asciiTheme="majorHAnsi" w:hAnsiTheme="majorHAnsi"/>
                <w:szCs w:val="16"/>
              </w:rPr>
            </w:pPr>
            <w:r w:rsidRPr="00D37684">
              <w:rPr>
                <w:rFonts w:asciiTheme="majorHAnsi" w:hAnsiTheme="majorHAnsi"/>
                <w:szCs w:val="16"/>
              </w:rPr>
              <w:t>Less Proceeds from disposal</w:t>
            </w:r>
          </w:p>
        </w:tc>
        <w:tc>
          <w:tcPr>
            <w:tcW w:w="397" w:type="pct"/>
            <w:vAlign w:val="center"/>
          </w:tcPr>
          <w:p w14:paraId="29EE1C49"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0.4 </w:t>
            </w:r>
          </w:p>
        </w:tc>
        <w:tc>
          <w:tcPr>
            <w:tcW w:w="397" w:type="pct"/>
            <w:vAlign w:val="center"/>
          </w:tcPr>
          <w:p w14:paraId="2EBFF5E9"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0.4 </w:t>
            </w:r>
          </w:p>
        </w:tc>
        <w:tc>
          <w:tcPr>
            <w:tcW w:w="397" w:type="pct"/>
            <w:vAlign w:val="center"/>
          </w:tcPr>
          <w:p w14:paraId="1549B9DF"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0.4 </w:t>
            </w:r>
          </w:p>
        </w:tc>
        <w:tc>
          <w:tcPr>
            <w:tcW w:w="397" w:type="pct"/>
            <w:vAlign w:val="center"/>
          </w:tcPr>
          <w:p w14:paraId="486C6BC4"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0.4 </w:t>
            </w:r>
          </w:p>
        </w:tc>
        <w:tc>
          <w:tcPr>
            <w:tcW w:w="397" w:type="pct"/>
            <w:vAlign w:val="center"/>
          </w:tcPr>
          <w:p w14:paraId="026F0A2F"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0.4 </w:t>
            </w:r>
          </w:p>
        </w:tc>
        <w:tc>
          <w:tcPr>
            <w:tcW w:w="397" w:type="pct"/>
            <w:vAlign w:val="center"/>
          </w:tcPr>
          <w:p w14:paraId="78E66797"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0.5 </w:t>
            </w:r>
          </w:p>
        </w:tc>
        <w:tc>
          <w:tcPr>
            <w:tcW w:w="397" w:type="pct"/>
            <w:vAlign w:val="center"/>
          </w:tcPr>
          <w:p w14:paraId="3A2106BE"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0.5 </w:t>
            </w:r>
          </w:p>
        </w:tc>
        <w:tc>
          <w:tcPr>
            <w:tcW w:w="397" w:type="pct"/>
            <w:vAlign w:val="center"/>
          </w:tcPr>
          <w:p w14:paraId="200C6D62"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0.5 </w:t>
            </w:r>
          </w:p>
        </w:tc>
        <w:tc>
          <w:tcPr>
            <w:tcW w:w="397" w:type="pct"/>
            <w:vAlign w:val="center"/>
          </w:tcPr>
          <w:p w14:paraId="17CD1196"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0.5 </w:t>
            </w:r>
          </w:p>
        </w:tc>
        <w:tc>
          <w:tcPr>
            <w:tcW w:w="397" w:type="pct"/>
            <w:vAlign w:val="center"/>
          </w:tcPr>
          <w:p w14:paraId="312857D2"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0.5 </w:t>
            </w:r>
          </w:p>
        </w:tc>
        <w:tc>
          <w:tcPr>
            <w:tcW w:w="398" w:type="pct"/>
            <w:vAlign w:val="center"/>
          </w:tcPr>
          <w:p w14:paraId="73BDF332"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0.5 </w:t>
            </w:r>
          </w:p>
        </w:tc>
      </w:tr>
      <w:tr w:rsidR="0069661E" w:rsidRPr="00D37684" w14:paraId="21344B7F"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62EB9A00" w14:textId="77777777" w:rsidR="00D37684" w:rsidRPr="00D37684" w:rsidRDefault="00D37684" w:rsidP="00D37684">
            <w:pPr>
              <w:pStyle w:val="TableText"/>
              <w:rPr>
                <w:rFonts w:asciiTheme="majorHAnsi" w:hAnsiTheme="majorHAnsi"/>
                <w:szCs w:val="16"/>
              </w:rPr>
            </w:pPr>
            <w:r w:rsidRPr="00D37684">
              <w:rPr>
                <w:rFonts w:asciiTheme="majorHAnsi" w:hAnsiTheme="majorHAnsi"/>
                <w:szCs w:val="16"/>
              </w:rPr>
              <w:t>Less regulatory depreciation on existing assets</w:t>
            </w:r>
          </w:p>
        </w:tc>
        <w:tc>
          <w:tcPr>
            <w:tcW w:w="397" w:type="pct"/>
            <w:vAlign w:val="center"/>
          </w:tcPr>
          <w:p w14:paraId="037FE58B"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33.9 </w:t>
            </w:r>
          </w:p>
        </w:tc>
        <w:tc>
          <w:tcPr>
            <w:tcW w:w="397" w:type="pct"/>
            <w:vAlign w:val="center"/>
          </w:tcPr>
          <w:p w14:paraId="5C95BC6B"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66.1 </w:t>
            </w:r>
          </w:p>
        </w:tc>
        <w:tc>
          <w:tcPr>
            <w:tcW w:w="397" w:type="pct"/>
            <w:vAlign w:val="center"/>
          </w:tcPr>
          <w:p w14:paraId="776A342D"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66.1 </w:t>
            </w:r>
          </w:p>
        </w:tc>
        <w:tc>
          <w:tcPr>
            <w:tcW w:w="397" w:type="pct"/>
            <w:vAlign w:val="center"/>
          </w:tcPr>
          <w:p w14:paraId="4060A459"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66.1 </w:t>
            </w:r>
          </w:p>
        </w:tc>
        <w:tc>
          <w:tcPr>
            <w:tcW w:w="397" w:type="pct"/>
            <w:vAlign w:val="center"/>
          </w:tcPr>
          <w:p w14:paraId="568DC9DD" w14:textId="13B90E85"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50.5 </w:t>
            </w:r>
          </w:p>
        </w:tc>
        <w:tc>
          <w:tcPr>
            <w:tcW w:w="397" w:type="pct"/>
            <w:vAlign w:val="center"/>
          </w:tcPr>
          <w:p w14:paraId="188613D5"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45.3 </w:t>
            </w:r>
          </w:p>
        </w:tc>
        <w:tc>
          <w:tcPr>
            <w:tcW w:w="397" w:type="pct"/>
            <w:vAlign w:val="center"/>
          </w:tcPr>
          <w:p w14:paraId="6AB37F1C"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45.3 </w:t>
            </w:r>
          </w:p>
        </w:tc>
        <w:tc>
          <w:tcPr>
            <w:tcW w:w="397" w:type="pct"/>
            <w:vAlign w:val="center"/>
          </w:tcPr>
          <w:p w14:paraId="03203FE0"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45.3 </w:t>
            </w:r>
          </w:p>
        </w:tc>
        <w:tc>
          <w:tcPr>
            <w:tcW w:w="397" w:type="pct"/>
            <w:vAlign w:val="center"/>
          </w:tcPr>
          <w:p w14:paraId="073F1AAB"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45.3 </w:t>
            </w:r>
          </w:p>
        </w:tc>
        <w:tc>
          <w:tcPr>
            <w:tcW w:w="397" w:type="pct"/>
            <w:vAlign w:val="center"/>
          </w:tcPr>
          <w:p w14:paraId="1AEEBEA2"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45.3 </w:t>
            </w:r>
          </w:p>
        </w:tc>
        <w:tc>
          <w:tcPr>
            <w:tcW w:w="398" w:type="pct"/>
            <w:vAlign w:val="center"/>
          </w:tcPr>
          <w:p w14:paraId="54141346"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45.3 </w:t>
            </w:r>
          </w:p>
        </w:tc>
      </w:tr>
      <w:tr w:rsidR="00D37684" w:rsidRPr="00D37684" w14:paraId="42D3E683" w14:textId="77777777" w:rsidTr="00ED094E">
        <w:tc>
          <w:tcPr>
            <w:tcW w:w="629" w:type="pct"/>
          </w:tcPr>
          <w:p w14:paraId="6E4107DF" w14:textId="77777777" w:rsidR="00D37684" w:rsidRPr="00D37684" w:rsidRDefault="00D37684" w:rsidP="00D37684">
            <w:pPr>
              <w:pStyle w:val="TableText"/>
              <w:rPr>
                <w:rFonts w:asciiTheme="majorHAnsi" w:hAnsiTheme="majorHAnsi"/>
                <w:szCs w:val="16"/>
              </w:rPr>
            </w:pPr>
            <w:r w:rsidRPr="00D37684">
              <w:rPr>
                <w:rFonts w:asciiTheme="majorHAnsi" w:hAnsiTheme="majorHAnsi"/>
                <w:szCs w:val="16"/>
              </w:rPr>
              <w:t>Less regulatory depreciation on new assets</w:t>
            </w:r>
          </w:p>
        </w:tc>
        <w:tc>
          <w:tcPr>
            <w:tcW w:w="397" w:type="pct"/>
            <w:vAlign w:val="center"/>
          </w:tcPr>
          <w:p w14:paraId="4FD7F3D1"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37.6 </w:t>
            </w:r>
          </w:p>
        </w:tc>
        <w:tc>
          <w:tcPr>
            <w:tcW w:w="397" w:type="pct"/>
            <w:vAlign w:val="center"/>
          </w:tcPr>
          <w:p w14:paraId="2AB171DE"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3.2 </w:t>
            </w:r>
          </w:p>
        </w:tc>
        <w:tc>
          <w:tcPr>
            <w:tcW w:w="397" w:type="pct"/>
            <w:vAlign w:val="center"/>
          </w:tcPr>
          <w:p w14:paraId="746A1C6D"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8.8 </w:t>
            </w:r>
          </w:p>
        </w:tc>
        <w:tc>
          <w:tcPr>
            <w:tcW w:w="397" w:type="pct"/>
            <w:vAlign w:val="center"/>
          </w:tcPr>
          <w:p w14:paraId="25D16614"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13.4 </w:t>
            </w:r>
          </w:p>
        </w:tc>
        <w:tc>
          <w:tcPr>
            <w:tcW w:w="397" w:type="pct"/>
            <w:vAlign w:val="center"/>
          </w:tcPr>
          <w:p w14:paraId="6D45D711"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17.9 </w:t>
            </w:r>
          </w:p>
        </w:tc>
        <w:tc>
          <w:tcPr>
            <w:tcW w:w="397" w:type="pct"/>
            <w:vAlign w:val="center"/>
          </w:tcPr>
          <w:p w14:paraId="2B58A428"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21.5 </w:t>
            </w:r>
          </w:p>
        </w:tc>
        <w:tc>
          <w:tcPr>
            <w:tcW w:w="397" w:type="pct"/>
            <w:vAlign w:val="center"/>
          </w:tcPr>
          <w:p w14:paraId="029E6B7A"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25.5 </w:t>
            </w:r>
          </w:p>
        </w:tc>
        <w:tc>
          <w:tcPr>
            <w:tcW w:w="397" w:type="pct"/>
            <w:vAlign w:val="center"/>
          </w:tcPr>
          <w:p w14:paraId="128DCBBD"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30.9 </w:t>
            </w:r>
          </w:p>
        </w:tc>
        <w:tc>
          <w:tcPr>
            <w:tcW w:w="397" w:type="pct"/>
            <w:vAlign w:val="center"/>
          </w:tcPr>
          <w:p w14:paraId="64CDCFC7"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35.7 </w:t>
            </w:r>
          </w:p>
        </w:tc>
        <w:tc>
          <w:tcPr>
            <w:tcW w:w="397" w:type="pct"/>
            <w:vAlign w:val="center"/>
          </w:tcPr>
          <w:p w14:paraId="46A8E606"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40.1 </w:t>
            </w:r>
          </w:p>
        </w:tc>
        <w:tc>
          <w:tcPr>
            <w:tcW w:w="398" w:type="pct"/>
            <w:vAlign w:val="center"/>
          </w:tcPr>
          <w:p w14:paraId="588D6120"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44.6 </w:t>
            </w:r>
          </w:p>
        </w:tc>
      </w:tr>
      <w:tr w:rsidR="0069661E" w:rsidRPr="00D37684" w14:paraId="49A1599D"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563EF9EB" w14:textId="77777777" w:rsidR="00D37684" w:rsidRPr="00D37684" w:rsidRDefault="00D37684" w:rsidP="00D37684">
            <w:pPr>
              <w:pStyle w:val="TableText"/>
              <w:rPr>
                <w:rFonts w:asciiTheme="majorHAnsi" w:hAnsiTheme="majorHAnsi"/>
                <w:b/>
                <w:szCs w:val="16"/>
              </w:rPr>
            </w:pPr>
            <w:r w:rsidRPr="00D37684">
              <w:rPr>
                <w:rFonts w:asciiTheme="majorHAnsi" w:hAnsiTheme="majorHAnsi"/>
                <w:b/>
                <w:szCs w:val="16"/>
              </w:rPr>
              <w:t>Closing value</w:t>
            </w:r>
          </w:p>
        </w:tc>
        <w:tc>
          <w:tcPr>
            <w:tcW w:w="397" w:type="pct"/>
            <w:vAlign w:val="center"/>
          </w:tcPr>
          <w:p w14:paraId="49068D67" w14:textId="2770078F"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2,031.0 </w:t>
            </w:r>
          </w:p>
        </w:tc>
        <w:tc>
          <w:tcPr>
            <w:tcW w:w="397" w:type="pct"/>
            <w:vAlign w:val="center"/>
          </w:tcPr>
          <w:p w14:paraId="1B6B8AE0" w14:textId="709D1452"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2,250.9 </w:t>
            </w:r>
          </w:p>
        </w:tc>
        <w:tc>
          <w:tcPr>
            <w:tcW w:w="397" w:type="pct"/>
            <w:vAlign w:val="center"/>
          </w:tcPr>
          <w:p w14:paraId="07BB80C8" w14:textId="03487B56"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2,428.1 </w:t>
            </w:r>
          </w:p>
        </w:tc>
        <w:tc>
          <w:tcPr>
            <w:tcW w:w="397" w:type="pct"/>
            <w:vAlign w:val="center"/>
          </w:tcPr>
          <w:p w14:paraId="3F481E1F" w14:textId="1D3880F5"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2,459.5 </w:t>
            </w:r>
          </w:p>
        </w:tc>
        <w:tc>
          <w:tcPr>
            <w:tcW w:w="397" w:type="pct"/>
            <w:vAlign w:val="center"/>
          </w:tcPr>
          <w:p w14:paraId="4CB85E35" w14:textId="7C96A0BA"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2,508.8 </w:t>
            </w:r>
          </w:p>
        </w:tc>
        <w:tc>
          <w:tcPr>
            <w:tcW w:w="397" w:type="pct"/>
            <w:vAlign w:val="center"/>
          </w:tcPr>
          <w:p w14:paraId="5802F404" w14:textId="77777777"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2,533.0 </w:t>
            </w:r>
          </w:p>
        </w:tc>
        <w:tc>
          <w:tcPr>
            <w:tcW w:w="397" w:type="pct"/>
            <w:vAlign w:val="center"/>
          </w:tcPr>
          <w:p w14:paraId="0458125A" w14:textId="278EBA71"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2,645.2 </w:t>
            </w:r>
          </w:p>
        </w:tc>
        <w:tc>
          <w:tcPr>
            <w:tcW w:w="397" w:type="pct"/>
            <w:vAlign w:val="center"/>
          </w:tcPr>
          <w:p w14:paraId="41C4B274" w14:textId="146ED5E0"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2,735.1 </w:t>
            </w:r>
          </w:p>
        </w:tc>
        <w:tc>
          <w:tcPr>
            <w:tcW w:w="397" w:type="pct"/>
            <w:vAlign w:val="center"/>
          </w:tcPr>
          <w:p w14:paraId="31FEE8FA" w14:textId="22FE467F"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2,831.2 </w:t>
            </w:r>
          </w:p>
        </w:tc>
        <w:tc>
          <w:tcPr>
            <w:tcW w:w="397" w:type="pct"/>
            <w:vAlign w:val="center"/>
          </w:tcPr>
          <w:p w14:paraId="1B3C9AAF" w14:textId="77777777"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2,920.7 </w:t>
            </w:r>
          </w:p>
        </w:tc>
        <w:tc>
          <w:tcPr>
            <w:tcW w:w="398" w:type="pct"/>
            <w:vAlign w:val="center"/>
          </w:tcPr>
          <w:p w14:paraId="7F06F992" w14:textId="7EE1CDB1"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3,013.2 </w:t>
            </w:r>
          </w:p>
        </w:tc>
      </w:tr>
    </w:tbl>
    <w:p w14:paraId="4DF7B460" w14:textId="77777777" w:rsidR="00046BD5" w:rsidRPr="00DE108C" w:rsidRDefault="00046BD5" w:rsidP="00ED094E"/>
    <w:p w14:paraId="5A298702" w14:textId="77777777" w:rsidR="001200EC" w:rsidRPr="00DE108C" w:rsidRDefault="001200EC" w:rsidP="001200EC">
      <w:pPr>
        <w:rPr>
          <w:rFonts w:eastAsiaTheme="majorEastAsia"/>
        </w:rPr>
      </w:pPr>
      <w:r w:rsidRPr="00DE108C">
        <w:br w:type="page"/>
      </w:r>
    </w:p>
    <w:p w14:paraId="32CFA6A2" w14:textId="64DD0281" w:rsidR="00046BD5" w:rsidRPr="00DE108C" w:rsidRDefault="00046BD5" w:rsidP="00ED094E">
      <w:pPr>
        <w:pStyle w:val="Heading3"/>
      </w:pPr>
      <w:r w:rsidRPr="00DE108C">
        <w:lastRenderedPageBreak/>
        <w:t>8.6.</w:t>
      </w:r>
      <w:r w:rsidR="0063469E">
        <w:t>5</w:t>
      </w:r>
      <w:r w:rsidRPr="00DE108C">
        <w:t xml:space="preserve"> Diversions regulatory asset base</w:t>
      </w:r>
    </w:p>
    <w:p w14:paraId="633873EF" w14:textId="77777777" w:rsidR="00046BD5" w:rsidRPr="00DE108C" w:rsidRDefault="00046BD5" w:rsidP="00ED094E">
      <w:r w:rsidRPr="00DE108C">
        <w:t>Table 8.12 shows the diversions regulatory asset base forecast for the next 10 years.</w:t>
      </w:r>
    </w:p>
    <w:p w14:paraId="07C484EC" w14:textId="77777777" w:rsidR="00046BD5" w:rsidRPr="00DE108C" w:rsidRDefault="00046BD5" w:rsidP="00ED094E">
      <w:pPr>
        <w:pStyle w:val="Caption"/>
      </w:pPr>
      <w:bookmarkStart w:id="895" w:name="_Toc207893081"/>
      <w:bookmarkStart w:id="896" w:name="_Toc208490605"/>
      <w:bookmarkStart w:id="897" w:name="_Toc208490943"/>
      <w:bookmarkStart w:id="898" w:name="_Toc208911101"/>
      <w:bookmarkStart w:id="899" w:name="_Toc210051407"/>
      <w:r w:rsidRPr="001164EE">
        <w:t>Table 8.12: Forecast regulatory asset base for diversions ($millions, real 2025-26)</w:t>
      </w:r>
      <w:bookmarkEnd w:id="895"/>
      <w:bookmarkEnd w:id="896"/>
      <w:bookmarkEnd w:id="897"/>
      <w:bookmarkEnd w:id="898"/>
      <w:bookmarkEnd w:id="899"/>
    </w:p>
    <w:tbl>
      <w:tblPr>
        <w:tblStyle w:val="MWTableGrid"/>
        <w:tblW w:w="5000" w:type="pct"/>
        <w:tblLook w:val="0420" w:firstRow="1" w:lastRow="0" w:firstColumn="0" w:lastColumn="0" w:noHBand="0" w:noVBand="1"/>
      </w:tblPr>
      <w:tblGrid>
        <w:gridCol w:w="1833"/>
        <w:gridCol w:w="1157"/>
        <w:gridCol w:w="1157"/>
        <w:gridCol w:w="1157"/>
        <w:gridCol w:w="1157"/>
        <w:gridCol w:w="1157"/>
        <w:gridCol w:w="1157"/>
        <w:gridCol w:w="1157"/>
        <w:gridCol w:w="1157"/>
        <w:gridCol w:w="1156"/>
        <w:gridCol w:w="1156"/>
        <w:gridCol w:w="1159"/>
      </w:tblGrid>
      <w:tr w:rsidR="0069661E" w:rsidRPr="00D37684" w14:paraId="45F64461" w14:textId="77777777" w:rsidTr="00B46F82">
        <w:trPr>
          <w:cnfStyle w:val="100000000000" w:firstRow="1" w:lastRow="0" w:firstColumn="0" w:lastColumn="0" w:oddVBand="0" w:evenVBand="0" w:oddHBand="0" w:evenHBand="0" w:firstRowFirstColumn="0" w:firstRowLastColumn="0" w:lastRowFirstColumn="0" w:lastRowLastColumn="0"/>
        </w:trPr>
        <w:tc>
          <w:tcPr>
            <w:tcW w:w="629" w:type="pct"/>
          </w:tcPr>
          <w:p w14:paraId="192C1732" w14:textId="77777777" w:rsidR="00046BD5" w:rsidRPr="00D37684" w:rsidRDefault="00046BD5" w:rsidP="00ED094E">
            <w:pPr>
              <w:pStyle w:val="TableHeading"/>
              <w:rPr>
                <w:rFonts w:asciiTheme="majorHAnsi" w:hAnsiTheme="majorHAnsi"/>
                <w:szCs w:val="16"/>
              </w:rPr>
            </w:pPr>
          </w:p>
        </w:tc>
        <w:tc>
          <w:tcPr>
            <w:tcW w:w="397" w:type="pct"/>
          </w:tcPr>
          <w:p w14:paraId="4B829B40"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2025-26</w:t>
            </w:r>
          </w:p>
        </w:tc>
        <w:tc>
          <w:tcPr>
            <w:tcW w:w="397" w:type="pct"/>
          </w:tcPr>
          <w:p w14:paraId="6C8AC807"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2026-27</w:t>
            </w:r>
          </w:p>
        </w:tc>
        <w:tc>
          <w:tcPr>
            <w:tcW w:w="397" w:type="pct"/>
          </w:tcPr>
          <w:p w14:paraId="2328B652"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2027-28</w:t>
            </w:r>
          </w:p>
        </w:tc>
        <w:tc>
          <w:tcPr>
            <w:tcW w:w="397" w:type="pct"/>
          </w:tcPr>
          <w:p w14:paraId="6BE73257"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2028-29</w:t>
            </w:r>
          </w:p>
        </w:tc>
        <w:tc>
          <w:tcPr>
            <w:tcW w:w="397" w:type="pct"/>
          </w:tcPr>
          <w:p w14:paraId="1F83298B"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2029-30</w:t>
            </w:r>
          </w:p>
        </w:tc>
        <w:tc>
          <w:tcPr>
            <w:tcW w:w="397" w:type="pct"/>
          </w:tcPr>
          <w:p w14:paraId="05DD8FBE"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2030-31</w:t>
            </w:r>
          </w:p>
        </w:tc>
        <w:tc>
          <w:tcPr>
            <w:tcW w:w="397" w:type="pct"/>
          </w:tcPr>
          <w:p w14:paraId="1FE02220"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2031-32</w:t>
            </w:r>
          </w:p>
        </w:tc>
        <w:tc>
          <w:tcPr>
            <w:tcW w:w="397" w:type="pct"/>
          </w:tcPr>
          <w:p w14:paraId="7489DEA4"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2032-33</w:t>
            </w:r>
          </w:p>
        </w:tc>
        <w:tc>
          <w:tcPr>
            <w:tcW w:w="397" w:type="pct"/>
          </w:tcPr>
          <w:p w14:paraId="682F428B"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2033-34</w:t>
            </w:r>
          </w:p>
        </w:tc>
        <w:tc>
          <w:tcPr>
            <w:tcW w:w="397" w:type="pct"/>
          </w:tcPr>
          <w:p w14:paraId="7818D032"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2034-35</w:t>
            </w:r>
          </w:p>
        </w:tc>
        <w:tc>
          <w:tcPr>
            <w:tcW w:w="398" w:type="pct"/>
          </w:tcPr>
          <w:p w14:paraId="6AF7F81C" w14:textId="77777777" w:rsidR="00046BD5" w:rsidRPr="00D37684" w:rsidRDefault="00046BD5" w:rsidP="00ED094E">
            <w:pPr>
              <w:pStyle w:val="TableHeading"/>
              <w:rPr>
                <w:rFonts w:asciiTheme="majorHAnsi" w:hAnsiTheme="majorHAnsi"/>
                <w:szCs w:val="16"/>
              </w:rPr>
            </w:pPr>
            <w:r w:rsidRPr="00D37684">
              <w:rPr>
                <w:rFonts w:asciiTheme="majorHAnsi" w:hAnsiTheme="majorHAnsi"/>
                <w:szCs w:val="16"/>
              </w:rPr>
              <w:t>2035-36</w:t>
            </w:r>
          </w:p>
        </w:tc>
      </w:tr>
      <w:tr w:rsidR="00D37684" w:rsidRPr="00D37684" w14:paraId="3B12F993" w14:textId="77777777" w:rsidTr="00ED094E">
        <w:tc>
          <w:tcPr>
            <w:tcW w:w="629" w:type="pct"/>
          </w:tcPr>
          <w:p w14:paraId="13AA20F9" w14:textId="77777777" w:rsidR="00D37684" w:rsidRPr="00D37684" w:rsidRDefault="00D37684" w:rsidP="00D37684">
            <w:pPr>
              <w:pStyle w:val="TableText"/>
              <w:rPr>
                <w:rFonts w:asciiTheme="majorHAnsi" w:hAnsiTheme="majorHAnsi"/>
                <w:b/>
                <w:szCs w:val="16"/>
              </w:rPr>
            </w:pPr>
            <w:r w:rsidRPr="00D37684">
              <w:rPr>
                <w:rFonts w:asciiTheme="majorHAnsi" w:hAnsiTheme="majorHAnsi"/>
                <w:b/>
                <w:szCs w:val="16"/>
              </w:rPr>
              <w:t>Opening value</w:t>
            </w:r>
          </w:p>
        </w:tc>
        <w:tc>
          <w:tcPr>
            <w:tcW w:w="397" w:type="pct"/>
            <w:vAlign w:val="center"/>
          </w:tcPr>
          <w:p w14:paraId="00BF9ADF" w14:textId="77777777"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3.5 </w:t>
            </w:r>
          </w:p>
        </w:tc>
        <w:tc>
          <w:tcPr>
            <w:tcW w:w="397" w:type="pct"/>
            <w:vAlign w:val="center"/>
          </w:tcPr>
          <w:p w14:paraId="51A50925" w14:textId="77777777"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3.9 </w:t>
            </w:r>
          </w:p>
        </w:tc>
        <w:tc>
          <w:tcPr>
            <w:tcW w:w="397" w:type="pct"/>
            <w:vAlign w:val="center"/>
          </w:tcPr>
          <w:p w14:paraId="435CA9C2" w14:textId="77777777"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4.2 </w:t>
            </w:r>
          </w:p>
        </w:tc>
        <w:tc>
          <w:tcPr>
            <w:tcW w:w="397" w:type="pct"/>
            <w:vAlign w:val="center"/>
          </w:tcPr>
          <w:p w14:paraId="54E94A32" w14:textId="77777777"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4.5 </w:t>
            </w:r>
          </w:p>
        </w:tc>
        <w:tc>
          <w:tcPr>
            <w:tcW w:w="397" w:type="pct"/>
            <w:vAlign w:val="center"/>
          </w:tcPr>
          <w:p w14:paraId="14D04E63" w14:textId="77777777"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4.7 </w:t>
            </w:r>
          </w:p>
        </w:tc>
        <w:tc>
          <w:tcPr>
            <w:tcW w:w="397" w:type="pct"/>
            <w:vAlign w:val="center"/>
          </w:tcPr>
          <w:p w14:paraId="165BE6DD" w14:textId="77777777"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4.9 </w:t>
            </w:r>
          </w:p>
        </w:tc>
        <w:tc>
          <w:tcPr>
            <w:tcW w:w="397" w:type="pct"/>
            <w:vAlign w:val="center"/>
          </w:tcPr>
          <w:p w14:paraId="5EB456EB" w14:textId="77777777"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5.1 </w:t>
            </w:r>
          </w:p>
        </w:tc>
        <w:tc>
          <w:tcPr>
            <w:tcW w:w="397" w:type="pct"/>
            <w:vAlign w:val="center"/>
          </w:tcPr>
          <w:p w14:paraId="47775CC6" w14:textId="77777777"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5.2 </w:t>
            </w:r>
          </w:p>
        </w:tc>
        <w:tc>
          <w:tcPr>
            <w:tcW w:w="397" w:type="pct"/>
            <w:vAlign w:val="center"/>
          </w:tcPr>
          <w:p w14:paraId="492EE4E1" w14:textId="77777777"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5.3 </w:t>
            </w:r>
          </w:p>
        </w:tc>
        <w:tc>
          <w:tcPr>
            <w:tcW w:w="397" w:type="pct"/>
            <w:vAlign w:val="center"/>
          </w:tcPr>
          <w:p w14:paraId="270F7A7C" w14:textId="77777777"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5.5 </w:t>
            </w:r>
          </w:p>
        </w:tc>
        <w:tc>
          <w:tcPr>
            <w:tcW w:w="398" w:type="pct"/>
            <w:vAlign w:val="center"/>
          </w:tcPr>
          <w:p w14:paraId="17DAAC5C" w14:textId="77777777"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5.5 </w:t>
            </w:r>
          </w:p>
        </w:tc>
      </w:tr>
      <w:tr w:rsidR="0069661E" w:rsidRPr="00D37684" w14:paraId="635A79FA"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61FD4010" w14:textId="77777777" w:rsidR="00D37684" w:rsidRPr="00D37684" w:rsidRDefault="00D37684" w:rsidP="00D37684">
            <w:pPr>
              <w:pStyle w:val="TableText"/>
              <w:rPr>
                <w:rFonts w:asciiTheme="majorHAnsi" w:hAnsiTheme="majorHAnsi"/>
                <w:szCs w:val="16"/>
              </w:rPr>
            </w:pPr>
            <w:r w:rsidRPr="00D37684">
              <w:rPr>
                <w:rFonts w:asciiTheme="majorHAnsi" w:hAnsiTheme="majorHAnsi"/>
                <w:szCs w:val="16"/>
              </w:rPr>
              <w:t>Plus gross capex</w:t>
            </w:r>
          </w:p>
        </w:tc>
        <w:tc>
          <w:tcPr>
            <w:tcW w:w="397" w:type="pct"/>
            <w:vAlign w:val="center"/>
          </w:tcPr>
          <w:p w14:paraId="4B8F807A"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0.5 </w:t>
            </w:r>
          </w:p>
        </w:tc>
        <w:tc>
          <w:tcPr>
            <w:tcW w:w="397" w:type="pct"/>
            <w:vAlign w:val="center"/>
          </w:tcPr>
          <w:p w14:paraId="5B4099EA"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0.4 </w:t>
            </w:r>
          </w:p>
        </w:tc>
        <w:tc>
          <w:tcPr>
            <w:tcW w:w="397" w:type="pct"/>
            <w:vAlign w:val="center"/>
          </w:tcPr>
          <w:p w14:paraId="585D9ECB"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0.4 </w:t>
            </w:r>
          </w:p>
        </w:tc>
        <w:tc>
          <w:tcPr>
            <w:tcW w:w="397" w:type="pct"/>
            <w:vAlign w:val="center"/>
          </w:tcPr>
          <w:p w14:paraId="1AA1A418"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0.4 </w:t>
            </w:r>
          </w:p>
        </w:tc>
        <w:tc>
          <w:tcPr>
            <w:tcW w:w="397" w:type="pct"/>
            <w:vAlign w:val="center"/>
          </w:tcPr>
          <w:p w14:paraId="4620F819"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0.4 </w:t>
            </w:r>
          </w:p>
        </w:tc>
        <w:tc>
          <w:tcPr>
            <w:tcW w:w="397" w:type="pct"/>
            <w:vAlign w:val="center"/>
          </w:tcPr>
          <w:p w14:paraId="79DAA694"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0.4 </w:t>
            </w:r>
          </w:p>
        </w:tc>
        <w:tc>
          <w:tcPr>
            <w:tcW w:w="397" w:type="pct"/>
            <w:vAlign w:val="center"/>
          </w:tcPr>
          <w:p w14:paraId="54357141"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0.3 </w:t>
            </w:r>
          </w:p>
        </w:tc>
        <w:tc>
          <w:tcPr>
            <w:tcW w:w="397" w:type="pct"/>
            <w:vAlign w:val="center"/>
          </w:tcPr>
          <w:p w14:paraId="21469D43"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0.3 </w:t>
            </w:r>
          </w:p>
        </w:tc>
        <w:tc>
          <w:tcPr>
            <w:tcW w:w="397" w:type="pct"/>
            <w:vAlign w:val="center"/>
          </w:tcPr>
          <w:p w14:paraId="2D0BD43B"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0.3 </w:t>
            </w:r>
          </w:p>
        </w:tc>
        <w:tc>
          <w:tcPr>
            <w:tcW w:w="397" w:type="pct"/>
            <w:vAlign w:val="center"/>
          </w:tcPr>
          <w:p w14:paraId="39D99A73"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0.3 </w:t>
            </w:r>
          </w:p>
        </w:tc>
        <w:tc>
          <w:tcPr>
            <w:tcW w:w="398" w:type="pct"/>
            <w:vAlign w:val="center"/>
          </w:tcPr>
          <w:p w14:paraId="6C06FE66"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0.2 </w:t>
            </w:r>
          </w:p>
        </w:tc>
      </w:tr>
      <w:tr w:rsidR="00D37684" w:rsidRPr="00D37684" w14:paraId="6BC9A339" w14:textId="77777777" w:rsidTr="00ED094E">
        <w:tc>
          <w:tcPr>
            <w:tcW w:w="629" w:type="pct"/>
          </w:tcPr>
          <w:p w14:paraId="21064D74" w14:textId="77777777" w:rsidR="00D37684" w:rsidRPr="00D37684" w:rsidRDefault="00D37684" w:rsidP="00D37684">
            <w:pPr>
              <w:pStyle w:val="TableText"/>
              <w:rPr>
                <w:rFonts w:asciiTheme="majorHAnsi" w:hAnsiTheme="majorHAnsi"/>
                <w:szCs w:val="16"/>
              </w:rPr>
            </w:pPr>
            <w:r w:rsidRPr="00D37684">
              <w:rPr>
                <w:rFonts w:asciiTheme="majorHAnsi" w:hAnsiTheme="majorHAnsi"/>
                <w:szCs w:val="16"/>
              </w:rPr>
              <w:t>Less Government contribution </w:t>
            </w:r>
          </w:p>
        </w:tc>
        <w:tc>
          <w:tcPr>
            <w:tcW w:w="397" w:type="pct"/>
            <w:vAlign w:val="center"/>
          </w:tcPr>
          <w:p w14:paraId="09D6289F"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77E10831"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0F0434FE"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2F71AB0C"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36BBBCBB"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5B4435D0"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62D14B45"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7" w:type="pct"/>
            <w:vAlign w:val="center"/>
          </w:tcPr>
          <w:p w14:paraId="124186B0"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7" w:type="pct"/>
            <w:vAlign w:val="center"/>
          </w:tcPr>
          <w:p w14:paraId="76D8C1A3"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7" w:type="pct"/>
            <w:vAlign w:val="center"/>
          </w:tcPr>
          <w:p w14:paraId="748970CA"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8" w:type="pct"/>
            <w:vAlign w:val="center"/>
          </w:tcPr>
          <w:p w14:paraId="57B8E8D9"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r>
      <w:tr w:rsidR="0069661E" w:rsidRPr="00D37684" w14:paraId="6D9B72EB"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3187AC1B" w14:textId="77777777" w:rsidR="00D37684" w:rsidRPr="00D37684" w:rsidRDefault="00D37684" w:rsidP="00D37684">
            <w:pPr>
              <w:pStyle w:val="TableText"/>
              <w:rPr>
                <w:rFonts w:asciiTheme="majorHAnsi" w:hAnsiTheme="majorHAnsi"/>
                <w:szCs w:val="16"/>
              </w:rPr>
            </w:pPr>
            <w:r w:rsidRPr="00D37684">
              <w:rPr>
                <w:rFonts w:asciiTheme="majorHAnsi" w:hAnsiTheme="majorHAnsi"/>
                <w:szCs w:val="16"/>
              </w:rPr>
              <w:t>Less customer contribution </w:t>
            </w:r>
          </w:p>
        </w:tc>
        <w:tc>
          <w:tcPr>
            <w:tcW w:w="397" w:type="pct"/>
            <w:vAlign w:val="center"/>
          </w:tcPr>
          <w:p w14:paraId="3CE25EF3"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536173A2"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5C9DE225"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2FF98C8B"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139187F1"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5118DB0D"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41986BE5"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7" w:type="pct"/>
            <w:vAlign w:val="center"/>
          </w:tcPr>
          <w:p w14:paraId="0F7018CB"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7" w:type="pct"/>
            <w:vAlign w:val="center"/>
          </w:tcPr>
          <w:p w14:paraId="5A73ED19"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7" w:type="pct"/>
            <w:vAlign w:val="center"/>
          </w:tcPr>
          <w:p w14:paraId="2C5BD19E"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8" w:type="pct"/>
            <w:vAlign w:val="center"/>
          </w:tcPr>
          <w:p w14:paraId="598565B3"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r>
      <w:tr w:rsidR="00D37684" w:rsidRPr="00D37684" w14:paraId="28D662A7" w14:textId="77777777" w:rsidTr="00ED094E">
        <w:tc>
          <w:tcPr>
            <w:tcW w:w="629" w:type="pct"/>
          </w:tcPr>
          <w:p w14:paraId="7F949AFA" w14:textId="77777777" w:rsidR="00D37684" w:rsidRPr="00D37684" w:rsidRDefault="00D37684" w:rsidP="00D37684">
            <w:pPr>
              <w:pStyle w:val="TableText"/>
              <w:rPr>
                <w:rFonts w:asciiTheme="majorHAnsi" w:hAnsiTheme="majorHAnsi"/>
                <w:szCs w:val="16"/>
              </w:rPr>
            </w:pPr>
            <w:r w:rsidRPr="00D37684">
              <w:rPr>
                <w:rFonts w:asciiTheme="majorHAnsi" w:hAnsiTheme="majorHAnsi"/>
                <w:szCs w:val="16"/>
              </w:rPr>
              <w:t>Less Proceeds from disposal</w:t>
            </w:r>
          </w:p>
        </w:tc>
        <w:tc>
          <w:tcPr>
            <w:tcW w:w="397" w:type="pct"/>
            <w:vAlign w:val="center"/>
          </w:tcPr>
          <w:p w14:paraId="030A6189"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404C69DC"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4E85F364"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03D72557"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6FC01E32"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385348B8"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 </w:t>
            </w:r>
          </w:p>
        </w:tc>
        <w:tc>
          <w:tcPr>
            <w:tcW w:w="397" w:type="pct"/>
            <w:vAlign w:val="center"/>
          </w:tcPr>
          <w:p w14:paraId="6E198BB0"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7" w:type="pct"/>
            <w:vAlign w:val="center"/>
          </w:tcPr>
          <w:p w14:paraId="6510DEC3"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7" w:type="pct"/>
            <w:vAlign w:val="center"/>
          </w:tcPr>
          <w:p w14:paraId="533EDA8C"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7" w:type="pct"/>
            <w:vAlign w:val="center"/>
          </w:tcPr>
          <w:p w14:paraId="2D53026E"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c>
          <w:tcPr>
            <w:tcW w:w="398" w:type="pct"/>
            <w:vAlign w:val="center"/>
          </w:tcPr>
          <w:p w14:paraId="6490FA12"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 </w:t>
            </w:r>
          </w:p>
        </w:tc>
      </w:tr>
      <w:tr w:rsidR="0069661E" w:rsidRPr="00D37684" w14:paraId="672753F5"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4393598A" w14:textId="77777777" w:rsidR="00D37684" w:rsidRPr="00D37684" w:rsidRDefault="00D37684" w:rsidP="00D37684">
            <w:pPr>
              <w:pStyle w:val="TableText"/>
              <w:rPr>
                <w:rFonts w:asciiTheme="majorHAnsi" w:hAnsiTheme="majorHAnsi"/>
                <w:szCs w:val="16"/>
              </w:rPr>
            </w:pPr>
            <w:r w:rsidRPr="00D37684">
              <w:rPr>
                <w:rFonts w:asciiTheme="majorHAnsi" w:hAnsiTheme="majorHAnsi"/>
                <w:szCs w:val="16"/>
              </w:rPr>
              <w:t>Less regulatory depreciation on existing assets</w:t>
            </w:r>
          </w:p>
        </w:tc>
        <w:tc>
          <w:tcPr>
            <w:tcW w:w="397" w:type="pct"/>
            <w:vAlign w:val="center"/>
          </w:tcPr>
          <w:p w14:paraId="06DED7CE"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0.0 </w:t>
            </w:r>
          </w:p>
        </w:tc>
        <w:tc>
          <w:tcPr>
            <w:tcW w:w="397" w:type="pct"/>
            <w:vAlign w:val="center"/>
          </w:tcPr>
          <w:p w14:paraId="2E09B70E"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0.1 </w:t>
            </w:r>
          </w:p>
        </w:tc>
        <w:tc>
          <w:tcPr>
            <w:tcW w:w="397" w:type="pct"/>
            <w:vAlign w:val="center"/>
          </w:tcPr>
          <w:p w14:paraId="45C056EC"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0.1 </w:t>
            </w:r>
          </w:p>
        </w:tc>
        <w:tc>
          <w:tcPr>
            <w:tcW w:w="397" w:type="pct"/>
            <w:vAlign w:val="center"/>
          </w:tcPr>
          <w:p w14:paraId="7ED37678"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0.1 </w:t>
            </w:r>
          </w:p>
        </w:tc>
        <w:tc>
          <w:tcPr>
            <w:tcW w:w="397" w:type="pct"/>
            <w:vAlign w:val="center"/>
          </w:tcPr>
          <w:p w14:paraId="1174D887"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0.1 </w:t>
            </w:r>
          </w:p>
        </w:tc>
        <w:tc>
          <w:tcPr>
            <w:tcW w:w="397" w:type="pct"/>
            <w:vAlign w:val="center"/>
          </w:tcPr>
          <w:p w14:paraId="4AA35B21"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0.1 </w:t>
            </w:r>
          </w:p>
        </w:tc>
        <w:tc>
          <w:tcPr>
            <w:tcW w:w="397" w:type="pct"/>
            <w:vAlign w:val="center"/>
          </w:tcPr>
          <w:p w14:paraId="77EBE1A5"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0.1 </w:t>
            </w:r>
          </w:p>
        </w:tc>
        <w:tc>
          <w:tcPr>
            <w:tcW w:w="397" w:type="pct"/>
            <w:vAlign w:val="center"/>
          </w:tcPr>
          <w:p w14:paraId="2F3C5CEC"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0.1 </w:t>
            </w:r>
          </w:p>
        </w:tc>
        <w:tc>
          <w:tcPr>
            <w:tcW w:w="397" w:type="pct"/>
            <w:vAlign w:val="center"/>
          </w:tcPr>
          <w:p w14:paraId="39C58574"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0.1 </w:t>
            </w:r>
          </w:p>
        </w:tc>
        <w:tc>
          <w:tcPr>
            <w:tcW w:w="397" w:type="pct"/>
            <w:vAlign w:val="center"/>
          </w:tcPr>
          <w:p w14:paraId="699D8410"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0.1 </w:t>
            </w:r>
          </w:p>
        </w:tc>
        <w:tc>
          <w:tcPr>
            <w:tcW w:w="398" w:type="pct"/>
            <w:vAlign w:val="center"/>
          </w:tcPr>
          <w:p w14:paraId="5AE03A3E"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0.1 </w:t>
            </w:r>
          </w:p>
        </w:tc>
      </w:tr>
      <w:tr w:rsidR="00D37684" w:rsidRPr="00D37684" w14:paraId="5A64EFC8" w14:textId="77777777" w:rsidTr="00ED094E">
        <w:tc>
          <w:tcPr>
            <w:tcW w:w="629" w:type="pct"/>
          </w:tcPr>
          <w:p w14:paraId="6ACCCC5F" w14:textId="77777777" w:rsidR="00D37684" w:rsidRPr="00D37684" w:rsidRDefault="00D37684" w:rsidP="00D37684">
            <w:pPr>
              <w:pStyle w:val="TableText"/>
              <w:rPr>
                <w:rFonts w:asciiTheme="majorHAnsi" w:hAnsiTheme="majorHAnsi"/>
                <w:szCs w:val="16"/>
              </w:rPr>
            </w:pPr>
            <w:r w:rsidRPr="00D37684">
              <w:rPr>
                <w:rFonts w:asciiTheme="majorHAnsi" w:hAnsiTheme="majorHAnsi"/>
                <w:szCs w:val="16"/>
              </w:rPr>
              <w:t>Less regulatory depreciation on new assets</w:t>
            </w:r>
          </w:p>
        </w:tc>
        <w:tc>
          <w:tcPr>
            <w:tcW w:w="397" w:type="pct"/>
            <w:vAlign w:val="center"/>
          </w:tcPr>
          <w:p w14:paraId="4DC947B4"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0.1 </w:t>
            </w:r>
          </w:p>
        </w:tc>
        <w:tc>
          <w:tcPr>
            <w:tcW w:w="397" w:type="pct"/>
            <w:vAlign w:val="center"/>
          </w:tcPr>
          <w:p w14:paraId="3DD0B382"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0.0 </w:t>
            </w:r>
          </w:p>
        </w:tc>
        <w:tc>
          <w:tcPr>
            <w:tcW w:w="397" w:type="pct"/>
            <w:vAlign w:val="center"/>
          </w:tcPr>
          <w:p w14:paraId="0A836A61"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0.0 </w:t>
            </w:r>
          </w:p>
        </w:tc>
        <w:tc>
          <w:tcPr>
            <w:tcW w:w="397" w:type="pct"/>
            <w:vAlign w:val="center"/>
          </w:tcPr>
          <w:p w14:paraId="6E94D125"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0.0 </w:t>
            </w:r>
          </w:p>
        </w:tc>
        <w:tc>
          <w:tcPr>
            <w:tcW w:w="397" w:type="pct"/>
            <w:vAlign w:val="center"/>
          </w:tcPr>
          <w:p w14:paraId="5E286456"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0.1 </w:t>
            </w:r>
          </w:p>
        </w:tc>
        <w:tc>
          <w:tcPr>
            <w:tcW w:w="397" w:type="pct"/>
            <w:vAlign w:val="center"/>
          </w:tcPr>
          <w:p w14:paraId="4E9E26A9" w14:textId="77777777" w:rsidR="00D37684" w:rsidRPr="00D37684" w:rsidRDefault="00D37684" w:rsidP="00D37684">
            <w:pPr>
              <w:pStyle w:val="TableText"/>
              <w:rPr>
                <w:rFonts w:asciiTheme="majorHAnsi" w:hAnsiTheme="majorHAnsi"/>
                <w:szCs w:val="16"/>
              </w:rPr>
            </w:pPr>
            <w:r w:rsidRPr="00D37684">
              <w:rPr>
                <w:rFonts w:ascii="Verdana" w:hAnsi="Verdana" w:cs="Tahoma"/>
                <w:szCs w:val="16"/>
              </w:rPr>
              <w:t xml:space="preserve"> 0.1 </w:t>
            </w:r>
          </w:p>
        </w:tc>
        <w:tc>
          <w:tcPr>
            <w:tcW w:w="397" w:type="pct"/>
            <w:vAlign w:val="center"/>
          </w:tcPr>
          <w:p w14:paraId="243DFF0F"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0.1 </w:t>
            </w:r>
          </w:p>
        </w:tc>
        <w:tc>
          <w:tcPr>
            <w:tcW w:w="397" w:type="pct"/>
            <w:vAlign w:val="center"/>
          </w:tcPr>
          <w:p w14:paraId="796E97DF"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0.1 </w:t>
            </w:r>
          </w:p>
        </w:tc>
        <w:tc>
          <w:tcPr>
            <w:tcW w:w="397" w:type="pct"/>
            <w:vAlign w:val="center"/>
          </w:tcPr>
          <w:p w14:paraId="22C53369"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0.1 </w:t>
            </w:r>
          </w:p>
        </w:tc>
        <w:tc>
          <w:tcPr>
            <w:tcW w:w="397" w:type="pct"/>
            <w:vAlign w:val="center"/>
          </w:tcPr>
          <w:p w14:paraId="0251FE1E"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0.1 </w:t>
            </w:r>
          </w:p>
        </w:tc>
        <w:tc>
          <w:tcPr>
            <w:tcW w:w="398" w:type="pct"/>
            <w:vAlign w:val="center"/>
          </w:tcPr>
          <w:p w14:paraId="1E8E7681" w14:textId="77777777" w:rsidR="00D37684" w:rsidRPr="00D37684" w:rsidRDefault="00D37684" w:rsidP="00D37684">
            <w:pPr>
              <w:pStyle w:val="TableText"/>
              <w:rPr>
                <w:rFonts w:asciiTheme="majorHAnsi" w:hAnsiTheme="majorHAnsi" w:cs="Tahoma"/>
                <w:szCs w:val="16"/>
              </w:rPr>
            </w:pPr>
            <w:r w:rsidRPr="00D37684">
              <w:rPr>
                <w:rFonts w:ascii="Verdana" w:hAnsi="Verdana" w:cs="Tahoma"/>
                <w:szCs w:val="16"/>
              </w:rPr>
              <w:t xml:space="preserve"> 0.1 </w:t>
            </w:r>
          </w:p>
        </w:tc>
      </w:tr>
      <w:tr w:rsidR="0069661E" w:rsidRPr="00D37684" w14:paraId="63DCAF09" w14:textId="77777777" w:rsidTr="00B46F82">
        <w:trPr>
          <w:cnfStyle w:val="000000010000" w:firstRow="0" w:lastRow="0" w:firstColumn="0" w:lastColumn="0" w:oddVBand="0" w:evenVBand="0" w:oddHBand="0" w:evenHBand="1" w:firstRowFirstColumn="0" w:firstRowLastColumn="0" w:lastRowFirstColumn="0" w:lastRowLastColumn="0"/>
        </w:trPr>
        <w:tc>
          <w:tcPr>
            <w:tcW w:w="629" w:type="pct"/>
          </w:tcPr>
          <w:p w14:paraId="6D4FAFFC" w14:textId="77777777" w:rsidR="00D37684" w:rsidRPr="00D37684" w:rsidRDefault="00D37684" w:rsidP="00D37684">
            <w:pPr>
              <w:pStyle w:val="TableText"/>
              <w:rPr>
                <w:rFonts w:asciiTheme="majorHAnsi" w:hAnsiTheme="majorHAnsi"/>
                <w:b/>
                <w:szCs w:val="16"/>
              </w:rPr>
            </w:pPr>
            <w:r w:rsidRPr="00D37684">
              <w:rPr>
                <w:rFonts w:asciiTheme="majorHAnsi" w:hAnsiTheme="majorHAnsi"/>
                <w:b/>
                <w:szCs w:val="16"/>
              </w:rPr>
              <w:t>Closing value</w:t>
            </w:r>
          </w:p>
        </w:tc>
        <w:tc>
          <w:tcPr>
            <w:tcW w:w="397" w:type="pct"/>
            <w:vAlign w:val="center"/>
          </w:tcPr>
          <w:p w14:paraId="251F38B4" w14:textId="77777777"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3.9 </w:t>
            </w:r>
          </w:p>
        </w:tc>
        <w:tc>
          <w:tcPr>
            <w:tcW w:w="397" w:type="pct"/>
            <w:vAlign w:val="center"/>
          </w:tcPr>
          <w:p w14:paraId="39CF296F" w14:textId="77777777"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4.2 </w:t>
            </w:r>
          </w:p>
        </w:tc>
        <w:tc>
          <w:tcPr>
            <w:tcW w:w="397" w:type="pct"/>
            <w:vAlign w:val="center"/>
          </w:tcPr>
          <w:p w14:paraId="5B754B35" w14:textId="77777777"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4.5 </w:t>
            </w:r>
          </w:p>
        </w:tc>
        <w:tc>
          <w:tcPr>
            <w:tcW w:w="397" w:type="pct"/>
            <w:vAlign w:val="center"/>
          </w:tcPr>
          <w:p w14:paraId="3DD31FD3" w14:textId="77777777"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4.7 </w:t>
            </w:r>
          </w:p>
        </w:tc>
        <w:tc>
          <w:tcPr>
            <w:tcW w:w="397" w:type="pct"/>
            <w:vAlign w:val="center"/>
          </w:tcPr>
          <w:p w14:paraId="6778A6E2" w14:textId="77777777"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4.9 </w:t>
            </w:r>
          </w:p>
        </w:tc>
        <w:tc>
          <w:tcPr>
            <w:tcW w:w="397" w:type="pct"/>
            <w:vAlign w:val="center"/>
          </w:tcPr>
          <w:p w14:paraId="1AA72603" w14:textId="77777777" w:rsidR="00D37684" w:rsidRPr="00D37684" w:rsidRDefault="00D37684" w:rsidP="00D37684">
            <w:pPr>
              <w:pStyle w:val="TableText"/>
              <w:rPr>
                <w:rFonts w:asciiTheme="majorHAnsi" w:hAnsiTheme="majorHAnsi"/>
                <w:b/>
                <w:szCs w:val="16"/>
              </w:rPr>
            </w:pPr>
            <w:r w:rsidRPr="00D37684">
              <w:rPr>
                <w:rFonts w:ascii="Verdana" w:hAnsi="Verdana" w:cs="Tahoma"/>
                <w:b/>
                <w:bCs/>
                <w:szCs w:val="16"/>
              </w:rPr>
              <w:t xml:space="preserve"> 5.1 </w:t>
            </w:r>
          </w:p>
        </w:tc>
        <w:tc>
          <w:tcPr>
            <w:tcW w:w="397" w:type="pct"/>
            <w:vAlign w:val="center"/>
          </w:tcPr>
          <w:p w14:paraId="196A08E0" w14:textId="77777777"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5.2 </w:t>
            </w:r>
          </w:p>
        </w:tc>
        <w:tc>
          <w:tcPr>
            <w:tcW w:w="397" w:type="pct"/>
            <w:vAlign w:val="center"/>
          </w:tcPr>
          <w:p w14:paraId="13E32D4E" w14:textId="77777777"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5.3 </w:t>
            </w:r>
          </w:p>
        </w:tc>
        <w:tc>
          <w:tcPr>
            <w:tcW w:w="397" w:type="pct"/>
            <w:vAlign w:val="center"/>
          </w:tcPr>
          <w:p w14:paraId="0D4DB818" w14:textId="77777777"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5.5 </w:t>
            </w:r>
          </w:p>
        </w:tc>
        <w:tc>
          <w:tcPr>
            <w:tcW w:w="397" w:type="pct"/>
            <w:vAlign w:val="center"/>
          </w:tcPr>
          <w:p w14:paraId="799C3161" w14:textId="77777777"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5.5 </w:t>
            </w:r>
          </w:p>
        </w:tc>
        <w:tc>
          <w:tcPr>
            <w:tcW w:w="398" w:type="pct"/>
            <w:vAlign w:val="center"/>
          </w:tcPr>
          <w:p w14:paraId="781F4D12" w14:textId="77777777" w:rsidR="00D37684" w:rsidRPr="00D37684" w:rsidRDefault="00D37684" w:rsidP="00D37684">
            <w:pPr>
              <w:pStyle w:val="TableText"/>
              <w:rPr>
                <w:rFonts w:asciiTheme="majorHAnsi" w:hAnsiTheme="majorHAnsi" w:cs="Tahoma"/>
                <w:b/>
                <w:szCs w:val="16"/>
              </w:rPr>
            </w:pPr>
            <w:r w:rsidRPr="00D37684">
              <w:rPr>
                <w:rFonts w:ascii="Verdana" w:hAnsi="Verdana" w:cs="Tahoma"/>
                <w:b/>
                <w:bCs/>
                <w:szCs w:val="16"/>
              </w:rPr>
              <w:t xml:space="preserve"> 5.5 </w:t>
            </w:r>
          </w:p>
        </w:tc>
      </w:tr>
    </w:tbl>
    <w:p w14:paraId="2433E415" w14:textId="77777777" w:rsidR="00046BD5" w:rsidRPr="00DE108C" w:rsidRDefault="00046BD5" w:rsidP="00ED094E">
      <w:pPr>
        <w:pStyle w:val="BodyText"/>
        <w:rPr>
          <w:lang w:eastAsia="fr-CA"/>
        </w:rPr>
      </w:pPr>
    </w:p>
    <w:p w14:paraId="75C1BE1C" w14:textId="77777777" w:rsidR="00046BD5" w:rsidRPr="00DE108C" w:rsidRDefault="00046BD5">
      <w:pPr>
        <w:pStyle w:val="BodyText"/>
        <w:sectPr w:rsidR="00046BD5" w:rsidRPr="00DE108C" w:rsidSect="00046BD5">
          <w:pgSz w:w="16838" w:h="11906" w:orient="landscape" w:code="9"/>
          <w:pgMar w:top="1134" w:right="1134" w:bottom="1134" w:left="1134" w:header="567" w:footer="680" w:gutter="0"/>
          <w:cols w:space="708"/>
          <w:docGrid w:linePitch="360"/>
        </w:sectPr>
      </w:pPr>
    </w:p>
    <w:p w14:paraId="24A73920" w14:textId="77777777" w:rsidR="00046BD5" w:rsidRPr="00DE108C" w:rsidRDefault="00046BD5">
      <w:pPr>
        <w:pStyle w:val="Heading2"/>
      </w:pPr>
      <w:bookmarkStart w:id="900" w:name="_Toc196745277"/>
      <w:bookmarkStart w:id="901" w:name="_Toc207892922"/>
      <w:bookmarkStart w:id="902" w:name="_Toc207853415"/>
      <w:r w:rsidRPr="00DE108C">
        <w:lastRenderedPageBreak/>
        <w:t>8.7 Regulatory rate of return</w:t>
      </w:r>
      <w:bookmarkEnd w:id="868"/>
      <w:bookmarkEnd w:id="900"/>
      <w:bookmarkEnd w:id="901"/>
      <w:bookmarkEnd w:id="902"/>
    </w:p>
    <w:p w14:paraId="3E474B54" w14:textId="3651F16F" w:rsidR="00046BD5" w:rsidRPr="00DE108C" w:rsidRDefault="00046BD5" w:rsidP="00ED094E">
      <w:r w:rsidRPr="00DE108C">
        <w:t xml:space="preserve">Using data provided by the ESC and our standard PREMO rating return on equity, we calculate the regulatory rate of return of 2.81 per cent in 2026-27 and increasing to 3.16 per cent in 2030-31. This is shown in Table 8.13. </w:t>
      </w:r>
    </w:p>
    <w:p w14:paraId="5021B307" w14:textId="77777777" w:rsidR="00046BD5" w:rsidRPr="00DE108C" w:rsidRDefault="00046BD5" w:rsidP="00ED094E">
      <w:pPr>
        <w:pStyle w:val="Caption"/>
      </w:pPr>
      <w:bookmarkStart w:id="903" w:name="_Ref192600263"/>
      <w:bookmarkStart w:id="904" w:name="_Toc207893082"/>
      <w:bookmarkStart w:id="905" w:name="_Toc208490606"/>
      <w:bookmarkStart w:id="906" w:name="_Toc208490944"/>
      <w:bookmarkStart w:id="907" w:name="_Toc208911102"/>
      <w:bookmarkStart w:id="908" w:name="_Toc210051408"/>
      <w:r w:rsidRPr="00DE108C">
        <w:t>Table 8.1</w:t>
      </w:r>
      <w:bookmarkEnd w:id="903"/>
      <w:r w:rsidRPr="00DE108C">
        <w:t>3: Forecast regulatory rate of return</w:t>
      </w:r>
      <w:bookmarkEnd w:id="904"/>
      <w:bookmarkEnd w:id="905"/>
      <w:bookmarkEnd w:id="906"/>
      <w:bookmarkEnd w:id="907"/>
      <w:bookmarkEnd w:id="908"/>
    </w:p>
    <w:tbl>
      <w:tblPr>
        <w:tblStyle w:val="MWTableGrid"/>
        <w:tblW w:w="5000" w:type="pct"/>
        <w:tblLook w:val="0420" w:firstRow="1" w:lastRow="0" w:firstColumn="0" w:lastColumn="0" w:noHBand="0" w:noVBand="1"/>
      </w:tblPr>
      <w:tblGrid>
        <w:gridCol w:w="3868"/>
        <w:gridCol w:w="1152"/>
        <w:gridCol w:w="1152"/>
        <w:gridCol w:w="1152"/>
        <w:gridCol w:w="1152"/>
        <w:gridCol w:w="1152"/>
      </w:tblGrid>
      <w:tr w:rsidR="00556A0D" w:rsidRPr="00DE108C" w14:paraId="70539E0C" w14:textId="77777777" w:rsidTr="001200EC">
        <w:trPr>
          <w:cnfStyle w:val="100000000000" w:firstRow="1" w:lastRow="0" w:firstColumn="0" w:lastColumn="0" w:oddVBand="0" w:evenVBand="0" w:oddHBand="0" w:evenHBand="0" w:firstRowFirstColumn="0" w:firstRowLastColumn="0" w:lastRowFirstColumn="0" w:lastRowLastColumn="0"/>
          <w:cantSplit/>
        </w:trPr>
        <w:tc>
          <w:tcPr>
            <w:tcW w:w="2009" w:type="pct"/>
          </w:tcPr>
          <w:p w14:paraId="37DDE165" w14:textId="77777777" w:rsidR="00046BD5" w:rsidRPr="00DE108C" w:rsidRDefault="00046BD5">
            <w:pPr>
              <w:pStyle w:val="TableHeading"/>
              <w:rPr>
                <w:szCs w:val="16"/>
              </w:rPr>
            </w:pPr>
          </w:p>
        </w:tc>
        <w:tc>
          <w:tcPr>
            <w:tcW w:w="598" w:type="pct"/>
          </w:tcPr>
          <w:p w14:paraId="561CAEF7" w14:textId="77777777" w:rsidR="00046BD5" w:rsidRPr="00DE108C" w:rsidRDefault="00046BD5">
            <w:pPr>
              <w:pStyle w:val="TableHeading"/>
              <w:rPr>
                <w:szCs w:val="16"/>
              </w:rPr>
            </w:pPr>
            <w:r w:rsidRPr="00DE108C">
              <w:rPr>
                <w:szCs w:val="16"/>
              </w:rPr>
              <w:t>2026-27</w:t>
            </w:r>
          </w:p>
        </w:tc>
        <w:tc>
          <w:tcPr>
            <w:tcW w:w="598" w:type="pct"/>
          </w:tcPr>
          <w:p w14:paraId="25711A51" w14:textId="77777777" w:rsidR="00046BD5" w:rsidRPr="00DE108C" w:rsidRDefault="00046BD5">
            <w:pPr>
              <w:pStyle w:val="TableHeading"/>
              <w:rPr>
                <w:szCs w:val="16"/>
              </w:rPr>
            </w:pPr>
            <w:r w:rsidRPr="00DE108C">
              <w:rPr>
                <w:szCs w:val="16"/>
              </w:rPr>
              <w:t>2027-28</w:t>
            </w:r>
          </w:p>
        </w:tc>
        <w:tc>
          <w:tcPr>
            <w:tcW w:w="598" w:type="pct"/>
          </w:tcPr>
          <w:p w14:paraId="7F0B4E11" w14:textId="77777777" w:rsidR="00046BD5" w:rsidRPr="00DE108C" w:rsidRDefault="00046BD5">
            <w:pPr>
              <w:pStyle w:val="TableHeading"/>
              <w:rPr>
                <w:szCs w:val="16"/>
              </w:rPr>
            </w:pPr>
            <w:r w:rsidRPr="00DE108C">
              <w:rPr>
                <w:szCs w:val="16"/>
              </w:rPr>
              <w:t>2028-29</w:t>
            </w:r>
          </w:p>
        </w:tc>
        <w:tc>
          <w:tcPr>
            <w:tcW w:w="598" w:type="pct"/>
          </w:tcPr>
          <w:p w14:paraId="6FBEEEAA" w14:textId="77777777" w:rsidR="00046BD5" w:rsidRPr="00DE108C" w:rsidRDefault="00046BD5">
            <w:pPr>
              <w:pStyle w:val="TableHeading"/>
              <w:rPr>
                <w:szCs w:val="16"/>
              </w:rPr>
            </w:pPr>
            <w:r w:rsidRPr="00DE108C">
              <w:rPr>
                <w:szCs w:val="16"/>
              </w:rPr>
              <w:t>2029-30</w:t>
            </w:r>
          </w:p>
        </w:tc>
        <w:tc>
          <w:tcPr>
            <w:tcW w:w="598" w:type="pct"/>
          </w:tcPr>
          <w:p w14:paraId="0AD6DFC7" w14:textId="77777777" w:rsidR="00046BD5" w:rsidRPr="00DE108C" w:rsidRDefault="00046BD5">
            <w:pPr>
              <w:pStyle w:val="TableHeading"/>
              <w:rPr>
                <w:szCs w:val="16"/>
              </w:rPr>
            </w:pPr>
            <w:r w:rsidRPr="00DE108C">
              <w:rPr>
                <w:szCs w:val="16"/>
              </w:rPr>
              <w:t>2030-31</w:t>
            </w:r>
          </w:p>
        </w:tc>
      </w:tr>
      <w:tr w:rsidR="00046BD5" w:rsidRPr="00DE108C" w14:paraId="24482CF3" w14:textId="77777777" w:rsidTr="001200EC">
        <w:trPr>
          <w:cantSplit/>
        </w:trPr>
        <w:tc>
          <w:tcPr>
            <w:tcW w:w="2009" w:type="pct"/>
          </w:tcPr>
          <w:p w14:paraId="52E31A82" w14:textId="77777777" w:rsidR="00046BD5" w:rsidRPr="00DE108C" w:rsidRDefault="00046BD5">
            <w:pPr>
              <w:pStyle w:val="TableText"/>
              <w:rPr>
                <w:szCs w:val="16"/>
              </w:rPr>
            </w:pPr>
            <w:r w:rsidRPr="00DE108C">
              <w:rPr>
                <w:szCs w:val="16"/>
              </w:rPr>
              <w:t>Trailing average cost of debt (nominal)</w:t>
            </w:r>
            <w:r w:rsidRPr="00DE108C">
              <w:rPr>
                <w:rStyle w:val="FootnoteReference"/>
                <w:rFonts w:eastAsiaTheme="minorHAnsi"/>
                <w:szCs w:val="16"/>
              </w:rPr>
              <w:footnoteReference w:id="25"/>
            </w:r>
          </w:p>
        </w:tc>
        <w:tc>
          <w:tcPr>
            <w:tcW w:w="598" w:type="pct"/>
            <w:vAlign w:val="center"/>
          </w:tcPr>
          <w:p w14:paraId="6D7CD9A5" w14:textId="6F809182" w:rsidR="00046BD5" w:rsidRPr="00DE108C" w:rsidRDefault="00046BD5">
            <w:pPr>
              <w:pStyle w:val="TableText"/>
              <w:rPr>
                <w:szCs w:val="16"/>
              </w:rPr>
            </w:pPr>
            <w:r w:rsidRPr="00DE108C">
              <w:rPr>
                <w:szCs w:val="16"/>
              </w:rPr>
              <w:t xml:space="preserve">4.91% </w:t>
            </w:r>
          </w:p>
        </w:tc>
        <w:tc>
          <w:tcPr>
            <w:tcW w:w="598" w:type="pct"/>
            <w:vAlign w:val="center"/>
          </w:tcPr>
          <w:p w14:paraId="69B688C6" w14:textId="4A1DACF2" w:rsidR="00046BD5" w:rsidRPr="00DE108C" w:rsidRDefault="00046BD5">
            <w:pPr>
              <w:pStyle w:val="TableText"/>
              <w:rPr>
                <w:szCs w:val="16"/>
              </w:rPr>
            </w:pPr>
            <w:r w:rsidRPr="00DE108C">
              <w:rPr>
                <w:szCs w:val="16"/>
              </w:rPr>
              <w:t xml:space="preserve">5.01% </w:t>
            </w:r>
          </w:p>
        </w:tc>
        <w:tc>
          <w:tcPr>
            <w:tcW w:w="598" w:type="pct"/>
            <w:vAlign w:val="center"/>
          </w:tcPr>
          <w:p w14:paraId="1AA9FB42" w14:textId="39E966E8" w:rsidR="00046BD5" w:rsidRPr="00DE108C" w:rsidRDefault="00046BD5">
            <w:pPr>
              <w:pStyle w:val="TableText"/>
              <w:rPr>
                <w:szCs w:val="16"/>
              </w:rPr>
            </w:pPr>
            <w:r w:rsidRPr="00DE108C">
              <w:rPr>
                <w:szCs w:val="16"/>
              </w:rPr>
              <w:t xml:space="preserve">5.14% </w:t>
            </w:r>
          </w:p>
        </w:tc>
        <w:tc>
          <w:tcPr>
            <w:tcW w:w="598" w:type="pct"/>
            <w:vAlign w:val="center"/>
          </w:tcPr>
          <w:p w14:paraId="0618D8F7" w14:textId="69749E4A" w:rsidR="00046BD5" w:rsidRPr="00DE108C" w:rsidRDefault="00046BD5">
            <w:pPr>
              <w:pStyle w:val="TableText"/>
              <w:rPr>
                <w:szCs w:val="16"/>
              </w:rPr>
            </w:pPr>
            <w:r w:rsidRPr="00DE108C">
              <w:rPr>
                <w:szCs w:val="16"/>
              </w:rPr>
              <w:t xml:space="preserve">5.26% </w:t>
            </w:r>
          </w:p>
        </w:tc>
        <w:tc>
          <w:tcPr>
            <w:tcW w:w="598" w:type="pct"/>
            <w:vAlign w:val="center"/>
          </w:tcPr>
          <w:p w14:paraId="024821E0" w14:textId="34382873" w:rsidR="00046BD5" w:rsidRPr="00DE108C" w:rsidRDefault="00046BD5">
            <w:pPr>
              <w:pStyle w:val="TableText"/>
              <w:rPr>
                <w:szCs w:val="16"/>
              </w:rPr>
            </w:pPr>
            <w:r w:rsidRPr="00DE108C">
              <w:rPr>
                <w:szCs w:val="16"/>
              </w:rPr>
              <w:t xml:space="preserve">5.52% </w:t>
            </w:r>
          </w:p>
        </w:tc>
      </w:tr>
      <w:tr w:rsidR="00556A0D" w:rsidRPr="00DE108C" w14:paraId="02605844" w14:textId="77777777" w:rsidTr="001200EC">
        <w:trPr>
          <w:cnfStyle w:val="000000010000" w:firstRow="0" w:lastRow="0" w:firstColumn="0" w:lastColumn="0" w:oddVBand="0" w:evenVBand="0" w:oddHBand="0" w:evenHBand="1" w:firstRowFirstColumn="0" w:firstRowLastColumn="0" w:lastRowFirstColumn="0" w:lastRowLastColumn="0"/>
          <w:cantSplit/>
        </w:trPr>
        <w:tc>
          <w:tcPr>
            <w:tcW w:w="2009" w:type="pct"/>
          </w:tcPr>
          <w:p w14:paraId="7FF11DF3" w14:textId="77777777" w:rsidR="00046BD5" w:rsidRPr="00DE108C" w:rsidRDefault="00046BD5">
            <w:pPr>
              <w:pStyle w:val="TableText"/>
              <w:rPr>
                <w:szCs w:val="16"/>
              </w:rPr>
            </w:pPr>
            <w:r w:rsidRPr="00DE108C">
              <w:rPr>
                <w:szCs w:val="16"/>
              </w:rPr>
              <w:t>Cost of debt deflator</w:t>
            </w:r>
          </w:p>
        </w:tc>
        <w:tc>
          <w:tcPr>
            <w:tcW w:w="598" w:type="pct"/>
          </w:tcPr>
          <w:p w14:paraId="6016E28B" w14:textId="77777777" w:rsidR="00046BD5" w:rsidRPr="00DE108C" w:rsidRDefault="00046BD5">
            <w:pPr>
              <w:pStyle w:val="TableText"/>
              <w:rPr>
                <w:szCs w:val="16"/>
              </w:rPr>
            </w:pPr>
            <w:r w:rsidRPr="00DE108C">
              <w:rPr>
                <w:szCs w:val="16"/>
              </w:rPr>
              <w:t>2.90%</w:t>
            </w:r>
          </w:p>
        </w:tc>
        <w:tc>
          <w:tcPr>
            <w:tcW w:w="598" w:type="pct"/>
          </w:tcPr>
          <w:p w14:paraId="68FDE4A8" w14:textId="77777777" w:rsidR="00046BD5" w:rsidRPr="00DE108C" w:rsidRDefault="00046BD5">
            <w:pPr>
              <w:pStyle w:val="TableText"/>
              <w:rPr>
                <w:szCs w:val="16"/>
              </w:rPr>
            </w:pPr>
            <w:r w:rsidRPr="00DE108C">
              <w:rPr>
                <w:szCs w:val="16"/>
              </w:rPr>
              <w:t>2.90%</w:t>
            </w:r>
          </w:p>
        </w:tc>
        <w:tc>
          <w:tcPr>
            <w:tcW w:w="598" w:type="pct"/>
          </w:tcPr>
          <w:p w14:paraId="6F39EC07" w14:textId="77777777" w:rsidR="00046BD5" w:rsidRPr="00DE108C" w:rsidRDefault="00046BD5">
            <w:pPr>
              <w:pStyle w:val="TableText"/>
              <w:rPr>
                <w:szCs w:val="16"/>
              </w:rPr>
            </w:pPr>
            <w:r w:rsidRPr="00DE108C">
              <w:rPr>
                <w:szCs w:val="16"/>
              </w:rPr>
              <w:t>2.90%</w:t>
            </w:r>
          </w:p>
        </w:tc>
        <w:tc>
          <w:tcPr>
            <w:tcW w:w="598" w:type="pct"/>
          </w:tcPr>
          <w:p w14:paraId="1C20B112" w14:textId="77777777" w:rsidR="00046BD5" w:rsidRPr="00DE108C" w:rsidRDefault="00046BD5">
            <w:pPr>
              <w:pStyle w:val="TableText"/>
              <w:rPr>
                <w:szCs w:val="16"/>
              </w:rPr>
            </w:pPr>
            <w:r w:rsidRPr="00DE108C">
              <w:rPr>
                <w:szCs w:val="16"/>
              </w:rPr>
              <w:t>2.90%</w:t>
            </w:r>
          </w:p>
        </w:tc>
        <w:tc>
          <w:tcPr>
            <w:tcW w:w="598" w:type="pct"/>
          </w:tcPr>
          <w:p w14:paraId="2D35C200" w14:textId="77777777" w:rsidR="00046BD5" w:rsidRPr="00DE108C" w:rsidRDefault="00046BD5">
            <w:pPr>
              <w:pStyle w:val="TableText"/>
              <w:rPr>
                <w:szCs w:val="16"/>
              </w:rPr>
            </w:pPr>
            <w:r w:rsidRPr="00DE108C">
              <w:rPr>
                <w:szCs w:val="16"/>
              </w:rPr>
              <w:t>2.90%</w:t>
            </w:r>
          </w:p>
        </w:tc>
      </w:tr>
      <w:tr w:rsidR="00046BD5" w:rsidRPr="00DE108C" w14:paraId="6653E7EF" w14:textId="77777777" w:rsidTr="001200EC">
        <w:trPr>
          <w:cantSplit/>
        </w:trPr>
        <w:tc>
          <w:tcPr>
            <w:tcW w:w="2009" w:type="pct"/>
          </w:tcPr>
          <w:p w14:paraId="4526C926" w14:textId="77777777" w:rsidR="00046BD5" w:rsidRPr="00DE108C" w:rsidRDefault="00046BD5">
            <w:pPr>
              <w:pStyle w:val="TableText"/>
              <w:rPr>
                <w:szCs w:val="16"/>
              </w:rPr>
            </w:pPr>
            <w:r w:rsidRPr="00DE108C">
              <w:rPr>
                <w:szCs w:val="16"/>
              </w:rPr>
              <w:t>Trailing average cost of debt (real)</w:t>
            </w:r>
          </w:p>
        </w:tc>
        <w:tc>
          <w:tcPr>
            <w:tcW w:w="598" w:type="pct"/>
            <w:vAlign w:val="center"/>
          </w:tcPr>
          <w:p w14:paraId="7BFF833B" w14:textId="3C73C966" w:rsidR="00046BD5" w:rsidRPr="00DE108C" w:rsidRDefault="00046BD5">
            <w:pPr>
              <w:pStyle w:val="TableText"/>
              <w:rPr>
                <w:szCs w:val="16"/>
              </w:rPr>
            </w:pPr>
            <w:r w:rsidRPr="00DE108C">
              <w:rPr>
                <w:szCs w:val="16"/>
              </w:rPr>
              <w:t xml:space="preserve">1.96% </w:t>
            </w:r>
          </w:p>
        </w:tc>
        <w:tc>
          <w:tcPr>
            <w:tcW w:w="598" w:type="pct"/>
            <w:vAlign w:val="center"/>
          </w:tcPr>
          <w:p w14:paraId="145A69C5" w14:textId="6B132A88" w:rsidR="00046BD5" w:rsidRPr="00DE108C" w:rsidRDefault="00046BD5">
            <w:pPr>
              <w:pStyle w:val="TableText"/>
              <w:rPr>
                <w:szCs w:val="16"/>
              </w:rPr>
            </w:pPr>
            <w:r w:rsidRPr="00DE108C">
              <w:rPr>
                <w:szCs w:val="16"/>
              </w:rPr>
              <w:t xml:space="preserve">2.05% </w:t>
            </w:r>
          </w:p>
        </w:tc>
        <w:tc>
          <w:tcPr>
            <w:tcW w:w="598" w:type="pct"/>
            <w:vAlign w:val="center"/>
          </w:tcPr>
          <w:p w14:paraId="6B985D71" w14:textId="336E1BFE" w:rsidR="00046BD5" w:rsidRPr="00DE108C" w:rsidRDefault="00046BD5">
            <w:pPr>
              <w:pStyle w:val="TableText"/>
              <w:rPr>
                <w:szCs w:val="16"/>
              </w:rPr>
            </w:pPr>
            <w:r w:rsidRPr="00DE108C">
              <w:rPr>
                <w:szCs w:val="16"/>
              </w:rPr>
              <w:t xml:space="preserve">2.18% </w:t>
            </w:r>
          </w:p>
        </w:tc>
        <w:tc>
          <w:tcPr>
            <w:tcW w:w="598" w:type="pct"/>
            <w:vAlign w:val="center"/>
          </w:tcPr>
          <w:p w14:paraId="4F459EB4" w14:textId="2234AC3A" w:rsidR="00046BD5" w:rsidRPr="00DE108C" w:rsidRDefault="00046BD5">
            <w:pPr>
              <w:pStyle w:val="TableText"/>
              <w:rPr>
                <w:szCs w:val="16"/>
              </w:rPr>
            </w:pPr>
            <w:r w:rsidRPr="00DE108C">
              <w:rPr>
                <w:szCs w:val="16"/>
              </w:rPr>
              <w:t xml:space="preserve">2.29% </w:t>
            </w:r>
          </w:p>
        </w:tc>
        <w:tc>
          <w:tcPr>
            <w:tcW w:w="598" w:type="pct"/>
            <w:vAlign w:val="center"/>
          </w:tcPr>
          <w:p w14:paraId="3CE63389" w14:textId="59BFF573" w:rsidR="00046BD5" w:rsidRPr="00DE108C" w:rsidRDefault="00046BD5">
            <w:pPr>
              <w:pStyle w:val="TableText"/>
              <w:rPr>
                <w:szCs w:val="16"/>
              </w:rPr>
            </w:pPr>
            <w:r w:rsidRPr="00DE108C">
              <w:rPr>
                <w:szCs w:val="16"/>
              </w:rPr>
              <w:t xml:space="preserve">2.54% </w:t>
            </w:r>
          </w:p>
        </w:tc>
      </w:tr>
      <w:tr w:rsidR="00556A0D" w:rsidRPr="00DE108C" w14:paraId="4A0D51E5" w14:textId="77777777" w:rsidTr="001200EC">
        <w:trPr>
          <w:cnfStyle w:val="000000010000" w:firstRow="0" w:lastRow="0" w:firstColumn="0" w:lastColumn="0" w:oddVBand="0" w:evenVBand="0" w:oddHBand="0" w:evenHBand="1" w:firstRowFirstColumn="0" w:firstRowLastColumn="0" w:lastRowFirstColumn="0" w:lastRowLastColumn="0"/>
          <w:cantSplit/>
        </w:trPr>
        <w:tc>
          <w:tcPr>
            <w:tcW w:w="2009" w:type="pct"/>
          </w:tcPr>
          <w:p w14:paraId="3BF59B82" w14:textId="77777777" w:rsidR="00046BD5" w:rsidRPr="00DE108C" w:rsidRDefault="00046BD5">
            <w:pPr>
              <w:pStyle w:val="TableText"/>
              <w:rPr>
                <w:szCs w:val="16"/>
              </w:rPr>
            </w:pPr>
            <w:r w:rsidRPr="00DE108C">
              <w:rPr>
                <w:szCs w:val="16"/>
              </w:rPr>
              <w:t>Return on equity (real)</w:t>
            </w:r>
          </w:p>
        </w:tc>
        <w:tc>
          <w:tcPr>
            <w:tcW w:w="598" w:type="pct"/>
          </w:tcPr>
          <w:p w14:paraId="585BA257" w14:textId="77777777" w:rsidR="00046BD5" w:rsidRPr="00DE108C" w:rsidRDefault="00046BD5">
            <w:pPr>
              <w:pStyle w:val="TableText"/>
              <w:rPr>
                <w:szCs w:val="16"/>
              </w:rPr>
            </w:pPr>
            <w:r w:rsidRPr="00DE108C">
              <w:rPr>
                <w:szCs w:val="16"/>
              </w:rPr>
              <w:t>4.10%</w:t>
            </w:r>
          </w:p>
        </w:tc>
        <w:tc>
          <w:tcPr>
            <w:tcW w:w="598" w:type="pct"/>
          </w:tcPr>
          <w:p w14:paraId="4E6FD4D2" w14:textId="77777777" w:rsidR="00046BD5" w:rsidRPr="00DE108C" w:rsidRDefault="00046BD5">
            <w:pPr>
              <w:pStyle w:val="TableText"/>
              <w:rPr>
                <w:szCs w:val="16"/>
              </w:rPr>
            </w:pPr>
            <w:r w:rsidRPr="00DE108C">
              <w:rPr>
                <w:szCs w:val="16"/>
              </w:rPr>
              <w:t>4.10%</w:t>
            </w:r>
          </w:p>
        </w:tc>
        <w:tc>
          <w:tcPr>
            <w:tcW w:w="598" w:type="pct"/>
          </w:tcPr>
          <w:p w14:paraId="334467BD" w14:textId="77777777" w:rsidR="00046BD5" w:rsidRPr="00DE108C" w:rsidRDefault="00046BD5">
            <w:pPr>
              <w:pStyle w:val="TableText"/>
              <w:rPr>
                <w:szCs w:val="16"/>
              </w:rPr>
            </w:pPr>
            <w:r w:rsidRPr="00DE108C">
              <w:rPr>
                <w:szCs w:val="16"/>
              </w:rPr>
              <w:t>4.10%</w:t>
            </w:r>
          </w:p>
        </w:tc>
        <w:tc>
          <w:tcPr>
            <w:tcW w:w="598" w:type="pct"/>
          </w:tcPr>
          <w:p w14:paraId="624C8344" w14:textId="77777777" w:rsidR="00046BD5" w:rsidRPr="00DE108C" w:rsidRDefault="00046BD5">
            <w:pPr>
              <w:pStyle w:val="TableText"/>
              <w:rPr>
                <w:szCs w:val="16"/>
              </w:rPr>
            </w:pPr>
            <w:r w:rsidRPr="00DE108C">
              <w:rPr>
                <w:szCs w:val="16"/>
              </w:rPr>
              <w:t>4.10%</w:t>
            </w:r>
          </w:p>
        </w:tc>
        <w:tc>
          <w:tcPr>
            <w:tcW w:w="598" w:type="pct"/>
          </w:tcPr>
          <w:p w14:paraId="2C54BE17" w14:textId="77777777" w:rsidR="00046BD5" w:rsidRPr="00DE108C" w:rsidRDefault="00046BD5">
            <w:pPr>
              <w:pStyle w:val="TableText"/>
              <w:rPr>
                <w:szCs w:val="16"/>
              </w:rPr>
            </w:pPr>
            <w:r w:rsidRPr="00DE108C">
              <w:rPr>
                <w:szCs w:val="16"/>
              </w:rPr>
              <w:t>4.10%</w:t>
            </w:r>
          </w:p>
        </w:tc>
      </w:tr>
      <w:tr w:rsidR="00046BD5" w:rsidRPr="00DE108C" w14:paraId="7EC77D2E" w14:textId="77777777" w:rsidTr="001200EC">
        <w:trPr>
          <w:cantSplit/>
        </w:trPr>
        <w:tc>
          <w:tcPr>
            <w:tcW w:w="2009" w:type="pct"/>
          </w:tcPr>
          <w:p w14:paraId="7C0B9A5A" w14:textId="77777777" w:rsidR="00046BD5" w:rsidRPr="00DE108C" w:rsidRDefault="00046BD5">
            <w:pPr>
              <w:pStyle w:val="TableText"/>
              <w:rPr>
                <w:szCs w:val="16"/>
              </w:rPr>
            </w:pPr>
            <w:r w:rsidRPr="00DE108C">
              <w:rPr>
                <w:szCs w:val="16"/>
              </w:rPr>
              <w:t>Gearing</w:t>
            </w:r>
          </w:p>
        </w:tc>
        <w:tc>
          <w:tcPr>
            <w:tcW w:w="598" w:type="pct"/>
          </w:tcPr>
          <w:p w14:paraId="642D5891" w14:textId="77777777" w:rsidR="00046BD5" w:rsidRPr="00DE108C" w:rsidRDefault="00046BD5">
            <w:pPr>
              <w:pStyle w:val="TableText"/>
              <w:rPr>
                <w:szCs w:val="16"/>
              </w:rPr>
            </w:pPr>
            <w:r w:rsidRPr="00DE108C">
              <w:rPr>
                <w:szCs w:val="16"/>
              </w:rPr>
              <w:t>60%</w:t>
            </w:r>
          </w:p>
        </w:tc>
        <w:tc>
          <w:tcPr>
            <w:tcW w:w="598" w:type="pct"/>
          </w:tcPr>
          <w:p w14:paraId="3AABA5D7" w14:textId="77777777" w:rsidR="00046BD5" w:rsidRPr="00DE108C" w:rsidRDefault="00046BD5">
            <w:pPr>
              <w:pStyle w:val="TableText"/>
              <w:rPr>
                <w:szCs w:val="16"/>
              </w:rPr>
            </w:pPr>
            <w:r w:rsidRPr="00DE108C">
              <w:rPr>
                <w:szCs w:val="16"/>
              </w:rPr>
              <w:t>60%</w:t>
            </w:r>
          </w:p>
        </w:tc>
        <w:tc>
          <w:tcPr>
            <w:tcW w:w="598" w:type="pct"/>
          </w:tcPr>
          <w:p w14:paraId="660609E9" w14:textId="77777777" w:rsidR="00046BD5" w:rsidRPr="00DE108C" w:rsidRDefault="00046BD5">
            <w:pPr>
              <w:pStyle w:val="TableText"/>
              <w:rPr>
                <w:szCs w:val="16"/>
              </w:rPr>
            </w:pPr>
            <w:r w:rsidRPr="00DE108C">
              <w:rPr>
                <w:szCs w:val="16"/>
              </w:rPr>
              <w:t>60%</w:t>
            </w:r>
          </w:p>
        </w:tc>
        <w:tc>
          <w:tcPr>
            <w:tcW w:w="598" w:type="pct"/>
          </w:tcPr>
          <w:p w14:paraId="10B72390" w14:textId="77777777" w:rsidR="00046BD5" w:rsidRPr="00DE108C" w:rsidRDefault="00046BD5">
            <w:pPr>
              <w:pStyle w:val="TableText"/>
              <w:rPr>
                <w:szCs w:val="16"/>
              </w:rPr>
            </w:pPr>
            <w:r w:rsidRPr="00DE108C">
              <w:rPr>
                <w:szCs w:val="16"/>
              </w:rPr>
              <w:t>60%</w:t>
            </w:r>
          </w:p>
        </w:tc>
        <w:tc>
          <w:tcPr>
            <w:tcW w:w="598" w:type="pct"/>
          </w:tcPr>
          <w:p w14:paraId="5CDBFEB6" w14:textId="77777777" w:rsidR="00046BD5" w:rsidRPr="00DE108C" w:rsidRDefault="00046BD5">
            <w:pPr>
              <w:pStyle w:val="TableText"/>
              <w:rPr>
                <w:szCs w:val="16"/>
              </w:rPr>
            </w:pPr>
            <w:r w:rsidRPr="00DE108C">
              <w:rPr>
                <w:szCs w:val="16"/>
              </w:rPr>
              <w:t>60%</w:t>
            </w:r>
          </w:p>
        </w:tc>
      </w:tr>
      <w:tr w:rsidR="00556A0D" w:rsidRPr="00DE108C" w14:paraId="6BD62C12" w14:textId="77777777" w:rsidTr="001200EC">
        <w:trPr>
          <w:cnfStyle w:val="000000010000" w:firstRow="0" w:lastRow="0" w:firstColumn="0" w:lastColumn="0" w:oddVBand="0" w:evenVBand="0" w:oddHBand="0" w:evenHBand="1" w:firstRowFirstColumn="0" w:firstRowLastColumn="0" w:lastRowFirstColumn="0" w:lastRowLastColumn="0"/>
          <w:cantSplit/>
        </w:trPr>
        <w:tc>
          <w:tcPr>
            <w:tcW w:w="2009" w:type="pct"/>
          </w:tcPr>
          <w:p w14:paraId="461A5196" w14:textId="77777777" w:rsidR="00046BD5" w:rsidRPr="00DE108C" w:rsidRDefault="00046BD5">
            <w:pPr>
              <w:pStyle w:val="TableText"/>
              <w:rPr>
                <w:szCs w:val="16"/>
              </w:rPr>
            </w:pPr>
            <w:r w:rsidRPr="00DE108C">
              <w:rPr>
                <w:szCs w:val="16"/>
              </w:rPr>
              <w:t>Regulatory rate of return (real)</w:t>
            </w:r>
          </w:p>
        </w:tc>
        <w:tc>
          <w:tcPr>
            <w:tcW w:w="598" w:type="pct"/>
            <w:vAlign w:val="center"/>
          </w:tcPr>
          <w:p w14:paraId="7AB8B557" w14:textId="77777777" w:rsidR="00046BD5" w:rsidRPr="00DE108C" w:rsidRDefault="00046BD5">
            <w:pPr>
              <w:pStyle w:val="TableText"/>
              <w:rPr>
                <w:szCs w:val="16"/>
              </w:rPr>
            </w:pPr>
            <w:r w:rsidRPr="00DE108C">
              <w:rPr>
                <w:szCs w:val="16"/>
              </w:rPr>
              <w:t xml:space="preserve"> 2.81% </w:t>
            </w:r>
          </w:p>
        </w:tc>
        <w:tc>
          <w:tcPr>
            <w:tcW w:w="598" w:type="pct"/>
            <w:vAlign w:val="center"/>
          </w:tcPr>
          <w:p w14:paraId="1B11C03F" w14:textId="77777777" w:rsidR="00046BD5" w:rsidRPr="00DE108C" w:rsidRDefault="00046BD5">
            <w:pPr>
              <w:pStyle w:val="TableText"/>
              <w:rPr>
                <w:szCs w:val="16"/>
              </w:rPr>
            </w:pPr>
            <w:r w:rsidRPr="00DE108C">
              <w:rPr>
                <w:szCs w:val="16"/>
              </w:rPr>
              <w:t xml:space="preserve"> 2.87% </w:t>
            </w:r>
          </w:p>
        </w:tc>
        <w:tc>
          <w:tcPr>
            <w:tcW w:w="598" w:type="pct"/>
            <w:vAlign w:val="center"/>
          </w:tcPr>
          <w:p w14:paraId="1308EB42" w14:textId="77777777" w:rsidR="00046BD5" w:rsidRPr="00DE108C" w:rsidRDefault="00046BD5">
            <w:pPr>
              <w:pStyle w:val="TableText"/>
              <w:rPr>
                <w:szCs w:val="16"/>
              </w:rPr>
            </w:pPr>
            <w:r w:rsidRPr="00DE108C">
              <w:rPr>
                <w:szCs w:val="16"/>
              </w:rPr>
              <w:t xml:space="preserve"> 2.95% </w:t>
            </w:r>
          </w:p>
        </w:tc>
        <w:tc>
          <w:tcPr>
            <w:tcW w:w="598" w:type="pct"/>
            <w:vAlign w:val="center"/>
          </w:tcPr>
          <w:p w14:paraId="5836098F" w14:textId="77777777" w:rsidR="00046BD5" w:rsidRPr="00DE108C" w:rsidRDefault="00046BD5">
            <w:pPr>
              <w:pStyle w:val="TableText"/>
              <w:rPr>
                <w:szCs w:val="16"/>
              </w:rPr>
            </w:pPr>
            <w:r w:rsidRPr="00DE108C">
              <w:rPr>
                <w:szCs w:val="16"/>
              </w:rPr>
              <w:t xml:space="preserve"> 3.02% </w:t>
            </w:r>
          </w:p>
        </w:tc>
        <w:tc>
          <w:tcPr>
            <w:tcW w:w="598" w:type="pct"/>
            <w:vAlign w:val="center"/>
          </w:tcPr>
          <w:p w14:paraId="2C1990D6" w14:textId="77777777" w:rsidR="00046BD5" w:rsidRPr="00DE108C" w:rsidRDefault="00046BD5">
            <w:pPr>
              <w:pStyle w:val="TableText"/>
              <w:rPr>
                <w:szCs w:val="16"/>
              </w:rPr>
            </w:pPr>
            <w:r w:rsidRPr="00DE108C">
              <w:rPr>
                <w:szCs w:val="16"/>
              </w:rPr>
              <w:t xml:space="preserve"> 3.16% </w:t>
            </w:r>
          </w:p>
        </w:tc>
      </w:tr>
    </w:tbl>
    <w:p w14:paraId="12658F93" w14:textId="7704521A" w:rsidR="00046BD5" w:rsidRPr="00DE108C" w:rsidRDefault="00046BD5" w:rsidP="00ED094E">
      <w:bookmarkStart w:id="909" w:name="_Toc190876174"/>
      <w:r w:rsidRPr="00DE108C">
        <w:t xml:space="preserve">We will work with the </w:t>
      </w:r>
      <w:r w:rsidR="00C91C12" w:rsidRPr="00DE108C">
        <w:t>ESC</w:t>
      </w:r>
      <w:r w:rsidRPr="00DE108C">
        <w:t xml:space="preserve"> to update our financial template in a timely manner once these input figures are updated. </w:t>
      </w:r>
    </w:p>
    <w:p w14:paraId="5D41B691" w14:textId="77777777" w:rsidR="00046BD5" w:rsidRPr="00DE108C" w:rsidRDefault="00046BD5">
      <w:pPr>
        <w:pStyle w:val="Heading2"/>
      </w:pPr>
      <w:bookmarkStart w:id="910" w:name="_Toc196745278"/>
      <w:bookmarkStart w:id="911" w:name="_Toc207892923"/>
      <w:bookmarkStart w:id="912" w:name="_Toc207853416"/>
      <w:r w:rsidRPr="00DE108C">
        <w:t>8.8 Forecast return on assets</w:t>
      </w:r>
      <w:bookmarkEnd w:id="909"/>
      <w:bookmarkEnd w:id="910"/>
      <w:bookmarkEnd w:id="911"/>
      <w:bookmarkEnd w:id="912"/>
    </w:p>
    <w:p w14:paraId="3D05D369" w14:textId="77777777" w:rsidR="00046BD5" w:rsidRPr="00DE108C" w:rsidRDefault="00046BD5" w:rsidP="00ED094E">
      <w:r w:rsidRPr="00DE108C">
        <w:t xml:space="preserve">The forecast return on assets is calculated as the average between the opening and closing asset base multiplied by the regulatory rate of return. Our forecast return on assets by each product is shown in Table 8.14. </w:t>
      </w:r>
    </w:p>
    <w:p w14:paraId="238C2ADA" w14:textId="77777777" w:rsidR="00046BD5" w:rsidRPr="00DE108C" w:rsidRDefault="00046BD5">
      <w:pPr>
        <w:pStyle w:val="Caption"/>
      </w:pPr>
      <w:bookmarkStart w:id="913" w:name="_Ref192600293"/>
      <w:bookmarkStart w:id="914" w:name="_Toc190878426"/>
      <w:bookmarkStart w:id="915" w:name="_Toc207893083"/>
      <w:bookmarkStart w:id="916" w:name="_Toc208490607"/>
      <w:bookmarkStart w:id="917" w:name="_Toc208490945"/>
      <w:bookmarkStart w:id="918" w:name="_Toc208911103"/>
      <w:bookmarkStart w:id="919" w:name="_Toc210051409"/>
      <w:r w:rsidRPr="00DE108C">
        <w:t>Table 8.1</w:t>
      </w:r>
      <w:bookmarkEnd w:id="913"/>
      <w:r w:rsidRPr="00DE108C">
        <w:t>4: Forecast return on assets</w:t>
      </w:r>
      <w:bookmarkEnd w:id="914"/>
      <w:r w:rsidRPr="00DE108C">
        <w:t xml:space="preserve"> ($millions, real 2025-26)</w:t>
      </w:r>
      <w:bookmarkEnd w:id="915"/>
      <w:bookmarkEnd w:id="916"/>
      <w:bookmarkEnd w:id="917"/>
      <w:bookmarkEnd w:id="918"/>
      <w:bookmarkEnd w:id="919"/>
    </w:p>
    <w:tbl>
      <w:tblPr>
        <w:tblStyle w:val="MWTableGrid"/>
        <w:tblW w:w="5000" w:type="pct"/>
        <w:tblLook w:val="0420" w:firstRow="1" w:lastRow="0" w:firstColumn="0" w:lastColumn="0" w:noHBand="0" w:noVBand="1"/>
      </w:tblPr>
      <w:tblGrid>
        <w:gridCol w:w="2859"/>
        <w:gridCol w:w="1353"/>
        <w:gridCol w:w="1354"/>
        <w:gridCol w:w="1354"/>
        <w:gridCol w:w="1354"/>
        <w:gridCol w:w="1354"/>
      </w:tblGrid>
      <w:tr w:rsidR="00556A0D" w:rsidRPr="00FF31F0" w14:paraId="770A1B17" w14:textId="77777777" w:rsidTr="001200EC">
        <w:trPr>
          <w:cnfStyle w:val="100000000000" w:firstRow="1" w:lastRow="0" w:firstColumn="0" w:lastColumn="0" w:oddVBand="0" w:evenVBand="0" w:oddHBand="0" w:evenHBand="0" w:firstRowFirstColumn="0" w:firstRowLastColumn="0" w:lastRowFirstColumn="0" w:lastRowLastColumn="0"/>
          <w:cantSplit/>
        </w:trPr>
        <w:tc>
          <w:tcPr>
            <w:tcW w:w="1485" w:type="pct"/>
          </w:tcPr>
          <w:p w14:paraId="5354C084" w14:textId="77777777" w:rsidR="00046BD5" w:rsidRPr="00FF31F0" w:rsidRDefault="00046BD5">
            <w:pPr>
              <w:pStyle w:val="TableHeading"/>
              <w:rPr>
                <w:szCs w:val="16"/>
              </w:rPr>
            </w:pPr>
          </w:p>
        </w:tc>
        <w:tc>
          <w:tcPr>
            <w:tcW w:w="703" w:type="pct"/>
          </w:tcPr>
          <w:p w14:paraId="756A6131" w14:textId="77777777" w:rsidR="00046BD5" w:rsidRPr="00FF31F0" w:rsidRDefault="00046BD5">
            <w:pPr>
              <w:pStyle w:val="TableHeading"/>
              <w:rPr>
                <w:szCs w:val="16"/>
              </w:rPr>
            </w:pPr>
            <w:r w:rsidRPr="00FF31F0">
              <w:rPr>
                <w:szCs w:val="16"/>
              </w:rPr>
              <w:t>2026-27</w:t>
            </w:r>
          </w:p>
        </w:tc>
        <w:tc>
          <w:tcPr>
            <w:tcW w:w="703" w:type="pct"/>
          </w:tcPr>
          <w:p w14:paraId="0D1F7B75" w14:textId="77777777" w:rsidR="00046BD5" w:rsidRPr="00FF31F0" w:rsidRDefault="00046BD5">
            <w:pPr>
              <w:pStyle w:val="TableHeading"/>
              <w:rPr>
                <w:szCs w:val="16"/>
              </w:rPr>
            </w:pPr>
            <w:r w:rsidRPr="00FF31F0">
              <w:rPr>
                <w:szCs w:val="16"/>
              </w:rPr>
              <w:t>2027-28</w:t>
            </w:r>
          </w:p>
        </w:tc>
        <w:tc>
          <w:tcPr>
            <w:tcW w:w="703" w:type="pct"/>
          </w:tcPr>
          <w:p w14:paraId="0BCFE54A" w14:textId="77777777" w:rsidR="00046BD5" w:rsidRPr="00FF31F0" w:rsidRDefault="00046BD5">
            <w:pPr>
              <w:pStyle w:val="TableHeading"/>
              <w:rPr>
                <w:szCs w:val="16"/>
              </w:rPr>
            </w:pPr>
            <w:r w:rsidRPr="00FF31F0">
              <w:rPr>
                <w:szCs w:val="16"/>
              </w:rPr>
              <w:t>2028-29</w:t>
            </w:r>
          </w:p>
        </w:tc>
        <w:tc>
          <w:tcPr>
            <w:tcW w:w="703" w:type="pct"/>
          </w:tcPr>
          <w:p w14:paraId="419BFAAF" w14:textId="77777777" w:rsidR="00046BD5" w:rsidRPr="00FF31F0" w:rsidRDefault="00046BD5">
            <w:pPr>
              <w:pStyle w:val="TableHeading"/>
              <w:rPr>
                <w:szCs w:val="16"/>
              </w:rPr>
            </w:pPr>
            <w:r w:rsidRPr="00FF31F0">
              <w:rPr>
                <w:szCs w:val="16"/>
              </w:rPr>
              <w:t>2029-30</w:t>
            </w:r>
          </w:p>
        </w:tc>
        <w:tc>
          <w:tcPr>
            <w:tcW w:w="703" w:type="pct"/>
          </w:tcPr>
          <w:p w14:paraId="17ECEB43" w14:textId="77777777" w:rsidR="00046BD5" w:rsidRPr="00FF31F0" w:rsidRDefault="00046BD5">
            <w:pPr>
              <w:pStyle w:val="TableHeading"/>
              <w:rPr>
                <w:szCs w:val="16"/>
              </w:rPr>
            </w:pPr>
            <w:r w:rsidRPr="00FF31F0">
              <w:rPr>
                <w:szCs w:val="16"/>
              </w:rPr>
              <w:t>2030-31</w:t>
            </w:r>
          </w:p>
        </w:tc>
      </w:tr>
      <w:tr w:rsidR="00FF31F0" w:rsidRPr="00FF31F0" w14:paraId="2EBF63A2" w14:textId="77777777" w:rsidTr="001200EC">
        <w:trPr>
          <w:cantSplit/>
        </w:trPr>
        <w:tc>
          <w:tcPr>
            <w:tcW w:w="1485" w:type="pct"/>
          </w:tcPr>
          <w:p w14:paraId="59BE3292" w14:textId="77777777" w:rsidR="00FF31F0" w:rsidRPr="00FF31F0" w:rsidRDefault="00FF31F0" w:rsidP="00FF31F0">
            <w:pPr>
              <w:pStyle w:val="TableText"/>
              <w:rPr>
                <w:szCs w:val="16"/>
              </w:rPr>
            </w:pPr>
            <w:r w:rsidRPr="00FF31F0">
              <w:rPr>
                <w:szCs w:val="16"/>
              </w:rPr>
              <w:t>Water</w:t>
            </w:r>
          </w:p>
        </w:tc>
        <w:tc>
          <w:tcPr>
            <w:tcW w:w="703" w:type="pct"/>
            <w:tcBorders>
              <w:top w:val="single" w:sz="4" w:space="0" w:color="auto"/>
              <w:left w:val="single" w:sz="4" w:space="0" w:color="auto"/>
              <w:bottom w:val="single" w:sz="4" w:space="0" w:color="auto"/>
              <w:right w:val="single" w:sz="4" w:space="0" w:color="auto"/>
            </w:tcBorders>
            <w:vAlign w:val="center"/>
          </w:tcPr>
          <w:p w14:paraId="70A6F68F" w14:textId="77777777" w:rsidR="00FF31F0" w:rsidRPr="00FF31F0" w:rsidRDefault="00FF31F0" w:rsidP="00FF31F0">
            <w:pPr>
              <w:pStyle w:val="TableText"/>
              <w:rPr>
                <w:szCs w:val="16"/>
              </w:rPr>
            </w:pPr>
            <w:r w:rsidRPr="00FF31F0">
              <w:rPr>
                <w:rFonts w:ascii="Verdana" w:hAnsi="Verdana" w:cs="Tahoma"/>
                <w:szCs w:val="16"/>
              </w:rPr>
              <w:t xml:space="preserve"> 185.3 </w:t>
            </w:r>
          </w:p>
        </w:tc>
        <w:tc>
          <w:tcPr>
            <w:tcW w:w="703" w:type="pct"/>
            <w:tcBorders>
              <w:top w:val="single" w:sz="4" w:space="0" w:color="auto"/>
              <w:left w:val="nil"/>
              <w:bottom w:val="single" w:sz="4" w:space="0" w:color="auto"/>
              <w:right w:val="single" w:sz="4" w:space="0" w:color="auto"/>
            </w:tcBorders>
            <w:vAlign w:val="center"/>
          </w:tcPr>
          <w:p w14:paraId="504DBEE3" w14:textId="77777777" w:rsidR="00FF31F0" w:rsidRPr="00FF31F0" w:rsidRDefault="00FF31F0" w:rsidP="00FF31F0">
            <w:pPr>
              <w:pStyle w:val="TableText"/>
              <w:rPr>
                <w:szCs w:val="16"/>
              </w:rPr>
            </w:pPr>
            <w:r w:rsidRPr="00FF31F0">
              <w:rPr>
                <w:rFonts w:ascii="Verdana" w:hAnsi="Verdana" w:cs="Tahoma"/>
                <w:szCs w:val="16"/>
              </w:rPr>
              <w:t xml:space="preserve"> 198.4 </w:t>
            </w:r>
          </w:p>
        </w:tc>
        <w:tc>
          <w:tcPr>
            <w:tcW w:w="703" w:type="pct"/>
            <w:tcBorders>
              <w:top w:val="single" w:sz="4" w:space="0" w:color="auto"/>
              <w:left w:val="nil"/>
              <w:bottom w:val="single" w:sz="4" w:space="0" w:color="auto"/>
              <w:right w:val="single" w:sz="4" w:space="0" w:color="auto"/>
            </w:tcBorders>
            <w:vAlign w:val="center"/>
          </w:tcPr>
          <w:p w14:paraId="51A0FCE1" w14:textId="77777777" w:rsidR="00FF31F0" w:rsidRPr="00FF31F0" w:rsidRDefault="00FF31F0" w:rsidP="00FF31F0">
            <w:pPr>
              <w:pStyle w:val="TableText"/>
              <w:rPr>
                <w:szCs w:val="16"/>
              </w:rPr>
            </w:pPr>
            <w:r w:rsidRPr="00FF31F0">
              <w:rPr>
                <w:rFonts w:ascii="Verdana" w:hAnsi="Verdana" w:cs="Tahoma"/>
                <w:szCs w:val="16"/>
              </w:rPr>
              <w:t xml:space="preserve"> 218.5 </w:t>
            </w:r>
          </w:p>
        </w:tc>
        <w:tc>
          <w:tcPr>
            <w:tcW w:w="703" w:type="pct"/>
            <w:tcBorders>
              <w:top w:val="single" w:sz="4" w:space="0" w:color="auto"/>
              <w:left w:val="nil"/>
              <w:bottom w:val="single" w:sz="4" w:space="0" w:color="auto"/>
              <w:right w:val="single" w:sz="4" w:space="0" w:color="auto"/>
            </w:tcBorders>
            <w:vAlign w:val="center"/>
          </w:tcPr>
          <w:p w14:paraId="28122B97" w14:textId="77777777" w:rsidR="00FF31F0" w:rsidRPr="00FF31F0" w:rsidRDefault="00FF31F0" w:rsidP="00FF31F0">
            <w:pPr>
              <w:pStyle w:val="TableText"/>
              <w:rPr>
                <w:szCs w:val="16"/>
              </w:rPr>
            </w:pPr>
            <w:r w:rsidRPr="00FF31F0">
              <w:rPr>
                <w:rFonts w:ascii="Verdana" w:hAnsi="Verdana" w:cs="Tahoma"/>
                <w:szCs w:val="16"/>
              </w:rPr>
              <w:t xml:space="preserve"> 240.3 </w:t>
            </w:r>
          </w:p>
        </w:tc>
        <w:tc>
          <w:tcPr>
            <w:tcW w:w="703" w:type="pct"/>
            <w:tcBorders>
              <w:top w:val="single" w:sz="4" w:space="0" w:color="auto"/>
              <w:left w:val="nil"/>
              <w:bottom w:val="single" w:sz="4" w:space="0" w:color="auto"/>
              <w:right w:val="single" w:sz="4" w:space="0" w:color="auto"/>
            </w:tcBorders>
            <w:vAlign w:val="center"/>
          </w:tcPr>
          <w:p w14:paraId="5C1F1041" w14:textId="77777777" w:rsidR="00FF31F0" w:rsidRPr="00FF31F0" w:rsidRDefault="00FF31F0" w:rsidP="00FF31F0">
            <w:pPr>
              <w:pStyle w:val="TableText"/>
              <w:rPr>
                <w:szCs w:val="16"/>
              </w:rPr>
            </w:pPr>
            <w:r w:rsidRPr="00FF31F0">
              <w:rPr>
                <w:rFonts w:ascii="Verdana" w:hAnsi="Verdana" w:cs="Tahoma"/>
                <w:szCs w:val="16"/>
              </w:rPr>
              <w:t xml:space="preserve"> 269.3 </w:t>
            </w:r>
          </w:p>
        </w:tc>
      </w:tr>
      <w:tr w:rsidR="00AC69D0" w:rsidRPr="00FF31F0" w14:paraId="27B2B195" w14:textId="77777777" w:rsidTr="001200EC">
        <w:trPr>
          <w:cnfStyle w:val="000000010000" w:firstRow="0" w:lastRow="0" w:firstColumn="0" w:lastColumn="0" w:oddVBand="0" w:evenVBand="0" w:oddHBand="0" w:evenHBand="1" w:firstRowFirstColumn="0" w:firstRowLastColumn="0" w:lastRowFirstColumn="0" w:lastRowLastColumn="0"/>
          <w:cantSplit/>
        </w:trPr>
        <w:tc>
          <w:tcPr>
            <w:tcW w:w="1485" w:type="pct"/>
          </w:tcPr>
          <w:p w14:paraId="7F5E0568" w14:textId="77777777" w:rsidR="00FF31F0" w:rsidRPr="00FF31F0" w:rsidRDefault="00FF31F0" w:rsidP="00FF31F0">
            <w:pPr>
              <w:pStyle w:val="TableText"/>
              <w:rPr>
                <w:szCs w:val="16"/>
              </w:rPr>
            </w:pPr>
            <w:r w:rsidRPr="00FF31F0">
              <w:rPr>
                <w:szCs w:val="16"/>
              </w:rPr>
              <w:t>Sewerage</w:t>
            </w:r>
          </w:p>
        </w:tc>
        <w:tc>
          <w:tcPr>
            <w:tcW w:w="703" w:type="pct"/>
            <w:tcBorders>
              <w:top w:val="nil"/>
              <w:left w:val="single" w:sz="4" w:space="0" w:color="auto"/>
              <w:bottom w:val="single" w:sz="4" w:space="0" w:color="auto"/>
              <w:right w:val="single" w:sz="4" w:space="0" w:color="auto"/>
            </w:tcBorders>
            <w:shd w:val="clear" w:color="auto" w:fill="EFF5FB" w:themeFill="background2"/>
            <w:vAlign w:val="center"/>
          </w:tcPr>
          <w:p w14:paraId="55025287" w14:textId="277B6CBA" w:rsidR="00FF31F0" w:rsidRPr="00FF31F0" w:rsidRDefault="00FF31F0" w:rsidP="00FF31F0">
            <w:pPr>
              <w:pStyle w:val="TableText"/>
              <w:rPr>
                <w:szCs w:val="16"/>
              </w:rPr>
            </w:pPr>
            <w:r w:rsidRPr="00FF31F0">
              <w:rPr>
                <w:rFonts w:ascii="Verdana" w:hAnsi="Verdana" w:cs="Tahoma"/>
                <w:szCs w:val="16"/>
              </w:rPr>
              <w:t xml:space="preserve"> 206.4 </w:t>
            </w:r>
          </w:p>
        </w:tc>
        <w:tc>
          <w:tcPr>
            <w:tcW w:w="703" w:type="pct"/>
            <w:tcBorders>
              <w:top w:val="nil"/>
              <w:left w:val="nil"/>
              <w:bottom w:val="single" w:sz="4" w:space="0" w:color="auto"/>
              <w:right w:val="single" w:sz="4" w:space="0" w:color="auto"/>
            </w:tcBorders>
            <w:shd w:val="clear" w:color="auto" w:fill="EFF5FB" w:themeFill="background2"/>
            <w:vAlign w:val="center"/>
          </w:tcPr>
          <w:p w14:paraId="5524E6AC" w14:textId="3352B93D" w:rsidR="00FF31F0" w:rsidRPr="00FF31F0" w:rsidRDefault="00FF31F0" w:rsidP="00FF31F0">
            <w:pPr>
              <w:pStyle w:val="TableText"/>
              <w:rPr>
                <w:szCs w:val="16"/>
              </w:rPr>
            </w:pPr>
            <w:r w:rsidRPr="00FF31F0">
              <w:rPr>
                <w:rFonts w:ascii="Verdana" w:hAnsi="Verdana" w:cs="Tahoma"/>
                <w:szCs w:val="16"/>
              </w:rPr>
              <w:t xml:space="preserve"> 221.0 </w:t>
            </w:r>
          </w:p>
        </w:tc>
        <w:tc>
          <w:tcPr>
            <w:tcW w:w="703" w:type="pct"/>
            <w:tcBorders>
              <w:top w:val="nil"/>
              <w:left w:val="nil"/>
              <w:bottom w:val="single" w:sz="4" w:space="0" w:color="auto"/>
              <w:right w:val="single" w:sz="4" w:space="0" w:color="auto"/>
            </w:tcBorders>
            <w:shd w:val="clear" w:color="auto" w:fill="EFF5FB" w:themeFill="background2"/>
            <w:vAlign w:val="center"/>
          </w:tcPr>
          <w:p w14:paraId="03B24854" w14:textId="16CE4C25" w:rsidR="00FF31F0" w:rsidRPr="00FF31F0" w:rsidRDefault="00FF31F0" w:rsidP="00FF31F0">
            <w:pPr>
              <w:pStyle w:val="TableText"/>
              <w:rPr>
                <w:szCs w:val="16"/>
              </w:rPr>
            </w:pPr>
            <w:r w:rsidRPr="00FF31F0">
              <w:rPr>
                <w:rFonts w:ascii="Verdana" w:hAnsi="Verdana" w:cs="Tahoma"/>
                <w:szCs w:val="16"/>
              </w:rPr>
              <w:t xml:space="preserve"> 237.3 </w:t>
            </w:r>
          </w:p>
        </w:tc>
        <w:tc>
          <w:tcPr>
            <w:tcW w:w="703" w:type="pct"/>
            <w:tcBorders>
              <w:top w:val="nil"/>
              <w:left w:val="nil"/>
              <w:bottom w:val="single" w:sz="4" w:space="0" w:color="auto"/>
              <w:right w:val="single" w:sz="4" w:space="0" w:color="auto"/>
            </w:tcBorders>
            <w:shd w:val="clear" w:color="auto" w:fill="EFF5FB" w:themeFill="background2"/>
            <w:vAlign w:val="center"/>
          </w:tcPr>
          <w:p w14:paraId="698D6AF2" w14:textId="145E89E7" w:rsidR="00FF31F0" w:rsidRPr="00FF31F0" w:rsidRDefault="00FF31F0" w:rsidP="00FF31F0">
            <w:pPr>
              <w:pStyle w:val="TableText"/>
              <w:rPr>
                <w:szCs w:val="16"/>
              </w:rPr>
            </w:pPr>
            <w:r w:rsidRPr="00FF31F0">
              <w:rPr>
                <w:rFonts w:ascii="Verdana" w:hAnsi="Verdana" w:cs="Tahoma"/>
                <w:szCs w:val="16"/>
              </w:rPr>
              <w:t xml:space="preserve"> 254.6 </w:t>
            </w:r>
          </w:p>
        </w:tc>
        <w:tc>
          <w:tcPr>
            <w:tcW w:w="703" w:type="pct"/>
            <w:tcBorders>
              <w:top w:val="nil"/>
              <w:left w:val="nil"/>
              <w:bottom w:val="single" w:sz="4" w:space="0" w:color="auto"/>
              <w:right w:val="single" w:sz="4" w:space="0" w:color="auto"/>
            </w:tcBorders>
            <w:shd w:val="clear" w:color="auto" w:fill="EFF5FB" w:themeFill="background2"/>
            <w:vAlign w:val="center"/>
          </w:tcPr>
          <w:p w14:paraId="714CBB19" w14:textId="77777777" w:rsidR="00FF31F0" w:rsidRPr="00FF31F0" w:rsidRDefault="00FF31F0" w:rsidP="00FF31F0">
            <w:pPr>
              <w:pStyle w:val="TableText"/>
              <w:rPr>
                <w:szCs w:val="16"/>
              </w:rPr>
            </w:pPr>
            <w:r w:rsidRPr="00FF31F0">
              <w:rPr>
                <w:rFonts w:ascii="Verdana" w:hAnsi="Verdana" w:cs="Tahoma"/>
                <w:szCs w:val="16"/>
              </w:rPr>
              <w:t xml:space="preserve"> 278.2 </w:t>
            </w:r>
          </w:p>
        </w:tc>
      </w:tr>
      <w:tr w:rsidR="00FF31F0" w:rsidRPr="00FF31F0" w14:paraId="76A77929" w14:textId="77777777" w:rsidTr="001200EC">
        <w:trPr>
          <w:cantSplit/>
        </w:trPr>
        <w:tc>
          <w:tcPr>
            <w:tcW w:w="1485" w:type="pct"/>
          </w:tcPr>
          <w:p w14:paraId="0D537294" w14:textId="77777777" w:rsidR="00FF31F0" w:rsidRPr="00FF31F0" w:rsidRDefault="00FF31F0" w:rsidP="00FF31F0">
            <w:pPr>
              <w:pStyle w:val="TableText"/>
              <w:rPr>
                <w:szCs w:val="16"/>
              </w:rPr>
            </w:pPr>
            <w:r w:rsidRPr="00FF31F0">
              <w:rPr>
                <w:szCs w:val="16"/>
              </w:rPr>
              <w:t>Recycled Water</w:t>
            </w:r>
          </w:p>
        </w:tc>
        <w:tc>
          <w:tcPr>
            <w:tcW w:w="703" w:type="pct"/>
            <w:tcBorders>
              <w:top w:val="nil"/>
              <w:left w:val="single" w:sz="4" w:space="0" w:color="auto"/>
              <w:bottom w:val="single" w:sz="4" w:space="0" w:color="auto"/>
              <w:right w:val="single" w:sz="4" w:space="0" w:color="auto"/>
            </w:tcBorders>
            <w:vAlign w:val="center"/>
          </w:tcPr>
          <w:p w14:paraId="555F5C40" w14:textId="77777777" w:rsidR="00FF31F0" w:rsidRPr="00FF31F0" w:rsidRDefault="00FF31F0" w:rsidP="00FF31F0">
            <w:pPr>
              <w:pStyle w:val="TableText"/>
              <w:rPr>
                <w:szCs w:val="16"/>
              </w:rPr>
            </w:pPr>
            <w:r w:rsidRPr="00FF31F0">
              <w:rPr>
                <w:rFonts w:ascii="Verdana" w:hAnsi="Verdana" w:cs="Tahoma"/>
                <w:szCs w:val="16"/>
              </w:rPr>
              <w:t xml:space="preserve"> 60.2 </w:t>
            </w:r>
          </w:p>
        </w:tc>
        <w:tc>
          <w:tcPr>
            <w:tcW w:w="703" w:type="pct"/>
            <w:tcBorders>
              <w:top w:val="nil"/>
              <w:left w:val="nil"/>
              <w:bottom w:val="single" w:sz="4" w:space="0" w:color="auto"/>
              <w:right w:val="single" w:sz="4" w:space="0" w:color="auto"/>
            </w:tcBorders>
            <w:vAlign w:val="center"/>
          </w:tcPr>
          <w:p w14:paraId="4662DDD7" w14:textId="01D0B909" w:rsidR="00FF31F0" w:rsidRPr="00FF31F0" w:rsidRDefault="00FF31F0" w:rsidP="00FF31F0">
            <w:pPr>
              <w:pStyle w:val="TableText"/>
              <w:rPr>
                <w:szCs w:val="16"/>
              </w:rPr>
            </w:pPr>
            <w:r w:rsidRPr="00FF31F0">
              <w:rPr>
                <w:rFonts w:ascii="Verdana" w:hAnsi="Verdana" w:cs="Tahoma"/>
                <w:szCs w:val="16"/>
              </w:rPr>
              <w:t xml:space="preserve"> 67.1 </w:t>
            </w:r>
          </w:p>
        </w:tc>
        <w:tc>
          <w:tcPr>
            <w:tcW w:w="703" w:type="pct"/>
            <w:tcBorders>
              <w:top w:val="nil"/>
              <w:left w:val="nil"/>
              <w:bottom w:val="single" w:sz="4" w:space="0" w:color="auto"/>
              <w:right w:val="single" w:sz="4" w:space="0" w:color="auto"/>
            </w:tcBorders>
            <w:vAlign w:val="center"/>
          </w:tcPr>
          <w:p w14:paraId="59E54BBC" w14:textId="77777777" w:rsidR="00FF31F0" w:rsidRPr="00FF31F0" w:rsidRDefault="00FF31F0" w:rsidP="00FF31F0">
            <w:pPr>
              <w:pStyle w:val="TableText"/>
              <w:rPr>
                <w:szCs w:val="16"/>
              </w:rPr>
            </w:pPr>
            <w:r w:rsidRPr="00FF31F0">
              <w:rPr>
                <w:rFonts w:ascii="Verdana" w:hAnsi="Verdana" w:cs="Tahoma"/>
                <w:szCs w:val="16"/>
              </w:rPr>
              <w:t xml:space="preserve"> 72.1 </w:t>
            </w:r>
          </w:p>
        </w:tc>
        <w:tc>
          <w:tcPr>
            <w:tcW w:w="703" w:type="pct"/>
            <w:tcBorders>
              <w:top w:val="nil"/>
              <w:left w:val="nil"/>
              <w:bottom w:val="single" w:sz="4" w:space="0" w:color="auto"/>
              <w:right w:val="single" w:sz="4" w:space="0" w:color="auto"/>
            </w:tcBorders>
            <w:vAlign w:val="center"/>
          </w:tcPr>
          <w:p w14:paraId="4C9741D7" w14:textId="77777777" w:rsidR="00FF31F0" w:rsidRPr="00FF31F0" w:rsidRDefault="00FF31F0" w:rsidP="00FF31F0">
            <w:pPr>
              <w:pStyle w:val="TableText"/>
              <w:rPr>
                <w:szCs w:val="16"/>
              </w:rPr>
            </w:pPr>
            <w:r w:rsidRPr="00FF31F0">
              <w:rPr>
                <w:rFonts w:ascii="Verdana" w:hAnsi="Verdana" w:cs="Tahoma"/>
                <w:szCs w:val="16"/>
              </w:rPr>
              <w:t xml:space="preserve"> 75.0 </w:t>
            </w:r>
          </w:p>
        </w:tc>
        <w:tc>
          <w:tcPr>
            <w:tcW w:w="703" w:type="pct"/>
            <w:tcBorders>
              <w:top w:val="nil"/>
              <w:left w:val="nil"/>
              <w:bottom w:val="single" w:sz="4" w:space="0" w:color="auto"/>
              <w:right w:val="single" w:sz="4" w:space="0" w:color="auto"/>
            </w:tcBorders>
            <w:vAlign w:val="center"/>
          </w:tcPr>
          <w:p w14:paraId="61C5A713" w14:textId="77777777" w:rsidR="00FF31F0" w:rsidRPr="00FF31F0" w:rsidRDefault="00FF31F0" w:rsidP="00FF31F0">
            <w:pPr>
              <w:pStyle w:val="TableText"/>
              <w:rPr>
                <w:szCs w:val="16"/>
              </w:rPr>
            </w:pPr>
            <w:r w:rsidRPr="00FF31F0">
              <w:rPr>
                <w:rFonts w:ascii="Verdana" w:hAnsi="Verdana" w:cs="Tahoma"/>
                <w:szCs w:val="16"/>
              </w:rPr>
              <w:t xml:space="preserve"> 79.7 </w:t>
            </w:r>
          </w:p>
        </w:tc>
      </w:tr>
      <w:tr w:rsidR="00AC69D0" w:rsidRPr="00FF31F0" w14:paraId="5901B9D9" w14:textId="77777777" w:rsidTr="001200EC">
        <w:trPr>
          <w:cnfStyle w:val="000000010000" w:firstRow="0" w:lastRow="0" w:firstColumn="0" w:lastColumn="0" w:oddVBand="0" w:evenVBand="0" w:oddHBand="0" w:evenHBand="1" w:firstRowFirstColumn="0" w:firstRowLastColumn="0" w:lastRowFirstColumn="0" w:lastRowLastColumn="0"/>
          <w:cantSplit/>
        </w:trPr>
        <w:tc>
          <w:tcPr>
            <w:tcW w:w="1485" w:type="pct"/>
          </w:tcPr>
          <w:p w14:paraId="11E0245D" w14:textId="77777777" w:rsidR="00FF31F0" w:rsidRPr="00FF31F0" w:rsidRDefault="00FF31F0" w:rsidP="00FF31F0">
            <w:pPr>
              <w:pStyle w:val="TableText"/>
              <w:rPr>
                <w:szCs w:val="16"/>
              </w:rPr>
            </w:pPr>
            <w:r w:rsidRPr="00FF31F0">
              <w:rPr>
                <w:szCs w:val="16"/>
              </w:rPr>
              <w:t>Waterways and drainage</w:t>
            </w:r>
          </w:p>
        </w:tc>
        <w:tc>
          <w:tcPr>
            <w:tcW w:w="703" w:type="pct"/>
            <w:tcBorders>
              <w:top w:val="nil"/>
              <w:left w:val="single" w:sz="4" w:space="0" w:color="auto"/>
              <w:bottom w:val="single" w:sz="4" w:space="0" w:color="auto"/>
              <w:right w:val="single" w:sz="4" w:space="0" w:color="auto"/>
            </w:tcBorders>
            <w:shd w:val="clear" w:color="auto" w:fill="EFF5FB" w:themeFill="background2"/>
            <w:vAlign w:val="center"/>
          </w:tcPr>
          <w:p w14:paraId="5EDFD109" w14:textId="77777777" w:rsidR="00FF31F0" w:rsidRPr="00FF31F0" w:rsidRDefault="00FF31F0" w:rsidP="00FF31F0">
            <w:pPr>
              <w:pStyle w:val="TableText"/>
              <w:rPr>
                <w:szCs w:val="16"/>
              </w:rPr>
            </w:pPr>
            <w:r w:rsidRPr="00FF31F0">
              <w:rPr>
                <w:rFonts w:ascii="Verdana" w:hAnsi="Verdana" w:cs="Tahoma"/>
                <w:szCs w:val="16"/>
              </w:rPr>
              <w:t xml:space="preserve"> 1.7 </w:t>
            </w:r>
          </w:p>
        </w:tc>
        <w:tc>
          <w:tcPr>
            <w:tcW w:w="703" w:type="pct"/>
            <w:tcBorders>
              <w:top w:val="nil"/>
              <w:left w:val="nil"/>
              <w:bottom w:val="single" w:sz="4" w:space="0" w:color="auto"/>
              <w:right w:val="single" w:sz="4" w:space="0" w:color="auto"/>
            </w:tcBorders>
            <w:shd w:val="clear" w:color="auto" w:fill="EFF5FB" w:themeFill="background2"/>
            <w:vAlign w:val="center"/>
          </w:tcPr>
          <w:p w14:paraId="4B632A86" w14:textId="77777777" w:rsidR="00FF31F0" w:rsidRPr="00FF31F0" w:rsidRDefault="00FF31F0" w:rsidP="00FF31F0">
            <w:pPr>
              <w:pStyle w:val="TableText"/>
              <w:rPr>
                <w:szCs w:val="16"/>
              </w:rPr>
            </w:pPr>
            <w:r w:rsidRPr="00FF31F0">
              <w:rPr>
                <w:rFonts w:ascii="Verdana" w:hAnsi="Verdana" w:cs="Tahoma"/>
                <w:szCs w:val="16"/>
              </w:rPr>
              <w:t xml:space="preserve"> 1.7 </w:t>
            </w:r>
          </w:p>
        </w:tc>
        <w:tc>
          <w:tcPr>
            <w:tcW w:w="703" w:type="pct"/>
            <w:tcBorders>
              <w:top w:val="nil"/>
              <w:left w:val="nil"/>
              <w:bottom w:val="single" w:sz="4" w:space="0" w:color="auto"/>
              <w:right w:val="single" w:sz="4" w:space="0" w:color="auto"/>
            </w:tcBorders>
            <w:shd w:val="clear" w:color="auto" w:fill="EFF5FB" w:themeFill="background2"/>
            <w:vAlign w:val="center"/>
          </w:tcPr>
          <w:p w14:paraId="366331DE" w14:textId="77777777" w:rsidR="00FF31F0" w:rsidRPr="00FF31F0" w:rsidRDefault="00FF31F0" w:rsidP="00FF31F0">
            <w:pPr>
              <w:pStyle w:val="TableText"/>
              <w:rPr>
                <w:szCs w:val="16"/>
              </w:rPr>
            </w:pPr>
            <w:r w:rsidRPr="00FF31F0">
              <w:rPr>
                <w:rFonts w:ascii="Verdana" w:hAnsi="Verdana" w:cs="Tahoma"/>
                <w:szCs w:val="16"/>
              </w:rPr>
              <w:t xml:space="preserve"> 1.8 </w:t>
            </w:r>
          </w:p>
        </w:tc>
        <w:tc>
          <w:tcPr>
            <w:tcW w:w="703" w:type="pct"/>
            <w:tcBorders>
              <w:top w:val="nil"/>
              <w:left w:val="nil"/>
              <w:bottom w:val="single" w:sz="4" w:space="0" w:color="auto"/>
              <w:right w:val="single" w:sz="4" w:space="0" w:color="auto"/>
            </w:tcBorders>
            <w:shd w:val="clear" w:color="auto" w:fill="EFF5FB" w:themeFill="background2"/>
            <w:vAlign w:val="center"/>
          </w:tcPr>
          <w:p w14:paraId="167CEDAA" w14:textId="77777777" w:rsidR="00FF31F0" w:rsidRPr="00FF31F0" w:rsidRDefault="00FF31F0" w:rsidP="00FF31F0">
            <w:pPr>
              <w:pStyle w:val="TableText"/>
              <w:rPr>
                <w:szCs w:val="16"/>
              </w:rPr>
            </w:pPr>
            <w:r w:rsidRPr="00FF31F0">
              <w:rPr>
                <w:rFonts w:ascii="Verdana" w:hAnsi="Verdana" w:cs="Tahoma"/>
                <w:szCs w:val="16"/>
              </w:rPr>
              <w:t xml:space="preserve"> 1.9 </w:t>
            </w:r>
          </w:p>
        </w:tc>
        <w:tc>
          <w:tcPr>
            <w:tcW w:w="703" w:type="pct"/>
            <w:tcBorders>
              <w:top w:val="nil"/>
              <w:left w:val="nil"/>
              <w:bottom w:val="single" w:sz="4" w:space="0" w:color="auto"/>
              <w:right w:val="single" w:sz="4" w:space="0" w:color="auto"/>
            </w:tcBorders>
            <w:shd w:val="clear" w:color="auto" w:fill="EFF5FB" w:themeFill="background2"/>
            <w:vAlign w:val="center"/>
          </w:tcPr>
          <w:p w14:paraId="51B64855" w14:textId="77777777" w:rsidR="00FF31F0" w:rsidRPr="00FF31F0" w:rsidRDefault="00FF31F0" w:rsidP="00FF31F0">
            <w:pPr>
              <w:pStyle w:val="TableText"/>
              <w:rPr>
                <w:szCs w:val="16"/>
              </w:rPr>
            </w:pPr>
            <w:r w:rsidRPr="00FF31F0">
              <w:rPr>
                <w:rFonts w:ascii="Verdana" w:hAnsi="Verdana" w:cs="Tahoma"/>
                <w:szCs w:val="16"/>
              </w:rPr>
              <w:t xml:space="preserve"> 2.0 </w:t>
            </w:r>
          </w:p>
        </w:tc>
      </w:tr>
      <w:tr w:rsidR="00FF31F0" w:rsidRPr="00FF31F0" w14:paraId="52818648" w14:textId="77777777" w:rsidTr="001200EC">
        <w:trPr>
          <w:cantSplit/>
        </w:trPr>
        <w:tc>
          <w:tcPr>
            <w:tcW w:w="1485" w:type="pct"/>
          </w:tcPr>
          <w:p w14:paraId="324392EC" w14:textId="77777777" w:rsidR="00FF31F0" w:rsidRPr="00FF31F0" w:rsidRDefault="00FF31F0" w:rsidP="00FF31F0">
            <w:pPr>
              <w:pStyle w:val="TableText"/>
              <w:rPr>
                <w:szCs w:val="16"/>
              </w:rPr>
            </w:pPr>
            <w:r w:rsidRPr="00FF31F0">
              <w:rPr>
                <w:szCs w:val="16"/>
              </w:rPr>
              <w:t>Diversions</w:t>
            </w:r>
          </w:p>
        </w:tc>
        <w:tc>
          <w:tcPr>
            <w:tcW w:w="703" w:type="pct"/>
            <w:tcBorders>
              <w:top w:val="nil"/>
              <w:left w:val="single" w:sz="4" w:space="0" w:color="auto"/>
              <w:bottom w:val="single" w:sz="4" w:space="0" w:color="auto"/>
              <w:right w:val="single" w:sz="4" w:space="0" w:color="auto"/>
            </w:tcBorders>
            <w:vAlign w:val="center"/>
          </w:tcPr>
          <w:p w14:paraId="65684073" w14:textId="77777777" w:rsidR="00FF31F0" w:rsidRPr="00FF31F0" w:rsidRDefault="00FF31F0" w:rsidP="00FF31F0">
            <w:pPr>
              <w:pStyle w:val="TableText"/>
              <w:rPr>
                <w:szCs w:val="16"/>
              </w:rPr>
            </w:pPr>
            <w:r w:rsidRPr="00FF31F0">
              <w:rPr>
                <w:rFonts w:ascii="Verdana" w:hAnsi="Verdana" w:cs="Tahoma"/>
                <w:szCs w:val="16"/>
              </w:rPr>
              <w:t xml:space="preserve"> 0.1 </w:t>
            </w:r>
          </w:p>
        </w:tc>
        <w:tc>
          <w:tcPr>
            <w:tcW w:w="703" w:type="pct"/>
            <w:tcBorders>
              <w:top w:val="nil"/>
              <w:left w:val="nil"/>
              <w:bottom w:val="single" w:sz="4" w:space="0" w:color="auto"/>
              <w:right w:val="single" w:sz="4" w:space="0" w:color="auto"/>
            </w:tcBorders>
            <w:vAlign w:val="center"/>
          </w:tcPr>
          <w:p w14:paraId="6B7D5803" w14:textId="77777777" w:rsidR="00FF31F0" w:rsidRPr="00FF31F0" w:rsidRDefault="00FF31F0" w:rsidP="00FF31F0">
            <w:pPr>
              <w:pStyle w:val="TableText"/>
              <w:rPr>
                <w:szCs w:val="16"/>
              </w:rPr>
            </w:pPr>
            <w:r w:rsidRPr="00FF31F0">
              <w:rPr>
                <w:rFonts w:ascii="Verdana" w:hAnsi="Verdana" w:cs="Tahoma"/>
                <w:szCs w:val="16"/>
              </w:rPr>
              <w:t xml:space="preserve"> 0.1 </w:t>
            </w:r>
          </w:p>
        </w:tc>
        <w:tc>
          <w:tcPr>
            <w:tcW w:w="703" w:type="pct"/>
            <w:tcBorders>
              <w:top w:val="nil"/>
              <w:left w:val="nil"/>
              <w:bottom w:val="single" w:sz="4" w:space="0" w:color="auto"/>
              <w:right w:val="single" w:sz="4" w:space="0" w:color="auto"/>
            </w:tcBorders>
            <w:vAlign w:val="center"/>
          </w:tcPr>
          <w:p w14:paraId="42A65BEF" w14:textId="77777777" w:rsidR="00FF31F0" w:rsidRPr="00FF31F0" w:rsidRDefault="00FF31F0" w:rsidP="00FF31F0">
            <w:pPr>
              <w:pStyle w:val="TableText"/>
              <w:rPr>
                <w:szCs w:val="16"/>
              </w:rPr>
            </w:pPr>
            <w:r w:rsidRPr="00FF31F0">
              <w:rPr>
                <w:rFonts w:ascii="Verdana" w:hAnsi="Verdana" w:cs="Tahoma"/>
                <w:szCs w:val="16"/>
              </w:rPr>
              <w:t xml:space="preserve"> 0.1 </w:t>
            </w:r>
          </w:p>
        </w:tc>
        <w:tc>
          <w:tcPr>
            <w:tcW w:w="703" w:type="pct"/>
            <w:tcBorders>
              <w:top w:val="nil"/>
              <w:left w:val="nil"/>
              <w:bottom w:val="single" w:sz="4" w:space="0" w:color="auto"/>
              <w:right w:val="single" w:sz="4" w:space="0" w:color="auto"/>
            </w:tcBorders>
            <w:vAlign w:val="center"/>
          </w:tcPr>
          <w:p w14:paraId="0321A895" w14:textId="77777777" w:rsidR="00FF31F0" w:rsidRPr="00FF31F0" w:rsidRDefault="00FF31F0" w:rsidP="00FF31F0">
            <w:pPr>
              <w:pStyle w:val="TableText"/>
              <w:rPr>
                <w:szCs w:val="16"/>
              </w:rPr>
            </w:pPr>
            <w:r w:rsidRPr="00FF31F0">
              <w:rPr>
                <w:rFonts w:ascii="Verdana" w:hAnsi="Verdana" w:cs="Tahoma"/>
                <w:szCs w:val="16"/>
              </w:rPr>
              <w:t xml:space="preserve"> 0.1 </w:t>
            </w:r>
          </w:p>
        </w:tc>
        <w:tc>
          <w:tcPr>
            <w:tcW w:w="703" w:type="pct"/>
            <w:tcBorders>
              <w:top w:val="nil"/>
              <w:left w:val="nil"/>
              <w:bottom w:val="single" w:sz="4" w:space="0" w:color="auto"/>
              <w:right w:val="single" w:sz="4" w:space="0" w:color="auto"/>
            </w:tcBorders>
            <w:vAlign w:val="center"/>
          </w:tcPr>
          <w:p w14:paraId="3D4D1DEB" w14:textId="77777777" w:rsidR="00FF31F0" w:rsidRPr="00FF31F0" w:rsidRDefault="00FF31F0" w:rsidP="00FF31F0">
            <w:pPr>
              <w:pStyle w:val="TableText"/>
              <w:rPr>
                <w:szCs w:val="16"/>
              </w:rPr>
            </w:pPr>
            <w:r w:rsidRPr="00FF31F0">
              <w:rPr>
                <w:rFonts w:ascii="Verdana" w:hAnsi="Verdana" w:cs="Tahoma"/>
                <w:szCs w:val="16"/>
              </w:rPr>
              <w:t xml:space="preserve"> 0.2 </w:t>
            </w:r>
          </w:p>
        </w:tc>
      </w:tr>
      <w:tr w:rsidR="00AC69D0" w:rsidRPr="00FF31F0" w14:paraId="79C13FB5" w14:textId="77777777" w:rsidTr="001200EC">
        <w:trPr>
          <w:cnfStyle w:val="000000010000" w:firstRow="0" w:lastRow="0" w:firstColumn="0" w:lastColumn="0" w:oddVBand="0" w:evenVBand="0" w:oddHBand="0" w:evenHBand="1" w:firstRowFirstColumn="0" w:firstRowLastColumn="0" w:lastRowFirstColumn="0" w:lastRowLastColumn="0"/>
          <w:cantSplit/>
        </w:trPr>
        <w:tc>
          <w:tcPr>
            <w:tcW w:w="1485" w:type="pct"/>
          </w:tcPr>
          <w:p w14:paraId="4E0954B1" w14:textId="77777777" w:rsidR="00FF31F0" w:rsidRPr="00FF31F0" w:rsidRDefault="00FF31F0" w:rsidP="00FF31F0">
            <w:pPr>
              <w:pStyle w:val="TableText"/>
              <w:rPr>
                <w:szCs w:val="16"/>
              </w:rPr>
            </w:pPr>
            <w:r w:rsidRPr="00FF31F0">
              <w:rPr>
                <w:szCs w:val="16"/>
              </w:rPr>
              <w:t>Total</w:t>
            </w:r>
          </w:p>
        </w:tc>
        <w:tc>
          <w:tcPr>
            <w:tcW w:w="703" w:type="pct"/>
            <w:tcBorders>
              <w:top w:val="nil"/>
              <w:left w:val="single" w:sz="4" w:space="0" w:color="auto"/>
              <w:bottom w:val="single" w:sz="4" w:space="0" w:color="auto"/>
              <w:right w:val="single" w:sz="4" w:space="0" w:color="auto"/>
            </w:tcBorders>
            <w:shd w:val="clear" w:color="auto" w:fill="EFF5FB" w:themeFill="background2"/>
            <w:vAlign w:val="center"/>
          </w:tcPr>
          <w:p w14:paraId="5702F0A7" w14:textId="2F4E3DA7" w:rsidR="00FF31F0" w:rsidRPr="00FF31F0" w:rsidRDefault="00FF31F0" w:rsidP="00FF31F0">
            <w:pPr>
              <w:pStyle w:val="TableText"/>
              <w:rPr>
                <w:b/>
                <w:bCs/>
                <w:szCs w:val="16"/>
              </w:rPr>
            </w:pPr>
            <w:r w:rsidRPr="00FF31F0">
              <w:rPr>
                <w:rFonts w:ascii="Verdana" w:hAnsi="Verdana" w:cs="Tahoma"/>
                <w:b/>
                <w:bCs/>
                <w:szCs w:val="16"/>
              </w:rPr>
              <w:t xml:space="preserve"> 453.6 </w:t>
            </w:r>
          </w:p>
        </w:tc>
        <w:tc>
          <w:tcPr>
            <w:tcW w:w="703" w:type="pct"/>
            <w:tcBorders>
              <w:top w:val="nil"/>
              <w:left w:val="nil"/>
              <w:bottom w:val="single" w:sz="4" w:space="0" w:color="auto"/>
              <w:right w:val="single" w:sz="4" w:space="0" w:color="auto"/>
            </w:tcBorders>
            <w:shd w:val="clear" w:color="auto" w:fill="EFF5FB" w:themeFill="background2"/>
            <w:vAlign w:val="center"/>
          </w:tcPr>
          <w:p w14:paraId="26D71528" w14:textId="7E74CD1C" w:rsidR="00FF31F0" w:rsidRPr="00FF31F0" w:rsidRDefault="00FF31F0" w:rsidP="00FF31F0">
            <w:pPr>
              <w:pStyle w:val="TableText"/>
              <w:rPr>
                <w:b/>
                <w:bCs/>
                <w:szCs w:val="16"/>
              </w:rPr>
            </w:pPr>
            <w:r w:rsidRPr="00FF31F0">
              <w:rPr>
                <w:rFonts w:ascii="Verdana" w:hAnsi="Verdana" w:cs="Tahoma"/>
                <w:b/>
                <w:bCs/>
                <w:szCs w:val="16"/>
              </w:rPr>
              <w:t xml:space="preserve"> 488.4 </w:t>
            </w:r>
          </w:p>
        </w:tc>
        <w:tc>
          <w:tcPr>
            <w:tcW w:w="703" w:type="pct"/>
            <w:tcBorders>
              <w:top w:val="nil"/>
              <w:left w:val="nil"/>
              <w:bottom w:val="single" w:sz="4" w:space="0" w:color="auto"/>
              <w:right w:val="single" w:sz="4" w:space="0" w:color="auto"/>
            </w:tcBorders>
            <w:shd w:val="clear" w:color="auto" w:fill="EFF5FB" w:themeFill="background2"/>
            <w:vAlign w:val="center"/>
          </w:tcPr>
          <w:p w14:paraId="245354E2" w14:textId="74DA3ECC" w:rsidR="00FF31F0" w:rsidRPr="00FF31F0" w:rsidRDefault="00FF31F0" w:rsidP="00FF31F0">
            <w:pPr>
              <w:pStyle w:val="TableText"/>
              <w:rPr>
                <w:b/>
                <w:bCs/>
                <w:szCs w:val="16"/>
              </w:rPr>
            </w:pPr>
            <w:r w:rsidRPr="00FF31F0">
              <w:rPr>
                <w:rFonts w:ascii="Verdana" w:hAnsi="Verdana" w:cs="Tahoma"/>
                <w:b/>
                <w:bCs/>
                <w:szCs w:val="16"/>
              </w:rPr>
              <w:t xml:space="preserve"> 529.8 </w:t>
            </w:r>
          </w:p>
        </w:tc>
        <w:tc>
          <w:tcPr>
            <w:tcW w:w="703" w:type="pct"/>
            <w:tcBorders>
              <w:top w:val="nil"/>
              <w:left w:val="nil"/>
              <w:bottom w:val="single" w:sz="4" w:space="0" w:color="auto"/>
              <w:right w:val="single" w:sz="4" w:space="0" w:color="auto"/>
            </w:tcBorders>
            <w:shd w:val="clear" w:color="auto" w:fill="EFF5FB" w:themeFill="background2"/>
            <w:vAlign w:val="center"/>
          </w:tcPr>
          <w:p w14:paraId="2BEC222B" w14:textId="0EE552FD" w:rsidR="00FF31F0" w:rsidRPr="00FF31F0" w:rsidRDefault="00FF31F0" w:rsidP="00FF31F0">
            <w:pPr>
              <w:pStyle w:val="TableText"/>
              <w:rPr>
                <w:b/>
                <w:bCs/>
                <w:szCs w:val="16"/>
              </w:rPr>
            </w:pPr>
            <w:r w:rsidRPr="00FF31F0">
              <w:rPr>
                <w:rFonts w:ascii="Verdana" w:hAnsi="Verdana" w:cs="Tahoma"/>
                <w:b/>
                <w:bCs/>
                <w:szCs w:val="16"/>
              </w:rPr>
              <w:t xml:space="preserve"> 572.0 </w:t>
            </w:r>
          </w:p>
        </w:tc>
        <w:tc>
          <w:tcPr>
            <w:tcW w:w="703" w:type="pct"/>
            <w:tcBorders>
              <w:top w:val="nil"/>
              <w:left w:val="nil"/>
              <w:bottom w:val="single" w:sz="4" w:space="0" w:color="auto"/>
              <w:right w:val="single" w:sz="4" w:space="0" w:color="auto"/>
            </w:tcBorders>
            <w:shd w:val="clear" w:color="auto" w:fill="EFF5FB" w:themeFill="background2"/>
            <w:vAlign w:val="center"/>
          </w:tcPr>
          <w:p w14:paraId="1CE78AB7" w14:textId="77777777" w:rsidR="00FF31F0" w:rsidRPr="00FF31F0" w:rsidRDefault="00FF31F0" w:rsidP="00FF31F0">
            <w:pPr>
              <w:pStyle w:val="TableText"/>
              <w:rPr>
                <w:b/>
                <w:bCs/>
                <w:szCs w:val="16"/>
              </w:rPr>
            </w:pPr>
            <w:r w:rsidRPr="00FF31F0">
              <w:rPr>
                <w:rFonts w:ascii="Verdana" w:hAnsi="Verdana" w:cs="Tahoma"/>
                <w:b/>
                <w:bCs/>
                <w:szCs w:val="16"/>
              </w:rPr>
              <w:t xml:space="preserve"> 629.4 </w:t>
            </w:r>
          </w:p>
        </w:tc>
      </w:tr>
    </w:tbl>
    <w:p w14:paraId="05B5E98F" w14:textId="77777777" w:rsidR="00046BD5" w:rsidRPr="00DE108C" w:rsidRDefault="00046BD5" w:rsidP="00ED094E"/>
    <w:p w14:paraId="2ECDCE85" w14:textId="77777777" w:rsidR="00046BD5" w:rsidRPr="00DE108C" w:rsidRDefault="00046BD5" w:rsidP="00ED094E">
      <w:r w:rsidRPr="00DE108C">
        <w:br w:type="page"/>
      </w:r>
    </w:p>
    <w:bookmarkStart w:id="920" w:name="_Toc190876175"/>
    <w:bookmarkStart w:id="921" w:name="_Toc196745279"/>
    <w:bookmarkStart w:id="922" w:name="_Toc199757805"/>
    <w:bookmarkStart w:id="923" w:name="_Toc207892924"/>
    <w:bookmarkStart w:id="924" w:name="_Toc207853417"/>
    <w:bookmarkStart w:id="925" w:name="_Toc210229042"/>
    <w:p w14:paraId="2878874E" w14:textId="0B2B090D" w:rsidR="00046BD5" w:rsidRPr="00DE108C" w:rsidRDefault="005D47BE">
      <w:pPr>
        <w:pStyle w:val="Heading1"/>
        <w:rPr>
          <w:b w:val="0"/>
          <w:sz w:val="76"/>
          <w:szCs w:val="76"/>
        </w:rPr>
      </w:pPr>
      <w:r>
        <w:rPr>
          <w:noProof/>
        </w:rPr>
        <w:lastRenderedPageBreak/>
        <mc:AlternateContent>
          <mc:Choice Requires="wps">
            <w:drawing>
              <wp:anchor distT="45720" distB="45720" distL="114300" distR="114300" simplePos="0" relativeHeight="251658272" behindDoc="0" locked="0" layoutInCell="1" allowOverlap="1" wp14:anchorId="20A4C8F0" wp14:editId="497C3E6D">
                <wp:simplePos x="0" y="0"/>
                <wp:positionH relativeFrom="margin">
                  <wp:posOffset>0</wp:posOffset>
                </wp:positionH>
                <wp:positionV relativeFrom="margin">
                  <wp:posOffset>0</wp:posOffset>
                </wp:positionV>
                <wp:extent cx="4122000" cy="1810800"/>
                <wp:effectExtent l="0" t="0" r="0" b="0"/>
                <wp:wrapSquare wrapText="bothSides"/>
                <wp:docPr id="754007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000" cy="1810800"/>
                        </a:xfrm>
                        <a:prstGeom prst="rect">
                          <a:avLst/>
                        </a:prstGeom>
                        <a:noFill/>
                        <a:ln w="9525">
                          <a:noFill/>
                          <a:miter lim="800000"/>
                          <a:headEnd/>
                          <a:tailEnd/>
                        </a:ln>
                      </wps:spPr>
                      <wps:txbx>
                        <w:txbxContent>
                          <w:p w14:paraId="6615C1A5" w14:textId="15221256" w:rsidR="005D47BE" w:rsidRPr="00FA4200" w:rsidRDefault="005D47BE" w:rsidP="005D47BE">
                            <w:pPr>
                              <w:rPr>
                                <w:color w:val="FFFFFF" w:themeColor="background1"/>
                                <w:sz w:val="80"/>
                                <w:szCs w:val="80"/>
                              </w:rPr>
                            </w:pPr>
                            <w:r>
                              <w:rPr>
                                <w:color w:val="FFFFFF" w:themeColor="background1"/>
                                <w:sz w:val="80"/>
                                <w:szCs w:val="80"/>
                              </w:rPr>
                              <w:t>Revenue requirement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4C8F0" id="_x0000_s1051" type="#_x0000_t202" style="position:absolute;margin-left:0;margin-top:0;width:324.55pt;height:142.6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" filled="f" stroked="f">
                <v:textbox>
                  <w:txbxContent>
                    <w:p w14:paraId="6615C1A5" w14:textId="15221256" w:rsidR="005D47BE" w:rsidRPr="00FA4200" w:rsidRDefault="005D47BE" w:rsidP="005D47BE">
                      <w:pPr>
                        <w:rPr>
                          <w:color w:val="FFFFFF" w:themeColor="background1"/>
                          <w:sz w:val="80"/>
                          <w:szCs w:val="80"/>
                        </w:rPr>
                      </w:pPr>
                      <w:r>
                        <w:rPr>
                          <w:color w:val="FFFFFF" w:themeColor="background1"/>
                          <w:sz w:val="80"/>
                          <w:szCs w:val="80"/>
                        </w:rPr>
                        <w:t>Revenue requirement</w:t>
                      </w:r>
                    </w:p>
                  </w:txbxContent>
                </v:textbox>
                <w10:wrap type="square" anchorx="margin" anchory="margin"/>
              </v:shape>
            </w:pict>
          </mc:Fallback>
        </mc:AlternateContent>
      </w:r>
      <w:r w:rsidR="00CF2B02" w:rsidRPr="00DE108C">
        <w:rPr>
          <w:b w:val="0"/>
          <w:bCs w:val="0"/>
          <w:noProof/>
          <w:color w:val="FFFFFF" w:themeColor="background1"/>
          <w:sz w:val="76"/>
          <w:szCs w:val="76"/>
        </w:rPr>
        <w:drawing>
          <wp:anchor distT="0" distB="0" distL="114300" distR="114300" simplePos="0" relativeHeight="251658265" behindDoc="0" locked="1" layoutInCell="1" allowOverlap="1" wp14:anchorId="64D0057C" wp14:editId="604680A8">
            <wp:simplePos x="0" y="0"/>
            <wp:positionH relativeFrom="page">
              <wp:posOffset>0</wp:posOffset>
            </wp:positionH>
            <wp:positionV relativeFrom="page">
              <wp:posOffset>-104140</wp:posOffset>
            </wp:positionV>
            <wp:extent cx="7628255" cy="10781665"/>
            <wp:effectExtent l="0" t="0" r="0" b="635"/>
            <wp:wrapNone/>
            <wp:docPr id="49667092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70928" name="Picture 8">
                      <a:extLst>
                        <a:ext uri="{C183D7F6-B498-43B3-948B-1728B52AA6E4}">
                          <adec:decorative xmlns:adec="http://schemas.microsoft.com/office/drawing/2017/decorative" val="1"/>
                        </a:ext>
                      </a:extLst>
                    </pic:cNvPr>
                    <pic:cNvPicPr/>
                  </pic:nvPicPr>
                  <pic:blipFill>
                    <a:blip r:embed="rId106" cstate="email">
                      <a:extLst>
                        <a:ext uri="{28A0092B-C50C-407E-A947-70E740481C1C}">
                          <a14:useLocalDpi xmlns:a14="http://schemas.microsoft.com/office/drawing/2010/main"/>
                        </a:ext>
                      </a:extLst>
                    </a:blip>
                    <a:stretch>
                      <a:fillRect/>
                    </a:stretch>
                  </pic:blipFill>
                  <pic:spPr>
                    <a:xfrm>
                      <a:off x="0" y="0"/>
                      <a:ext cx="7628255" cy="10781665"/>
                    </a:xfrm>
                    <a:prstGeom prst="rect">
                      <a:avLst/>
                    </a:prstGeom>
                  </pic:spPr>
                </pic:pic>
              </a:graphicData>
            </a:graphic>
            <wp14:sizeRelH relativeFrom="page">
              <wp14:pctWidth>0</wp14:pctWidth>
            </wp14:sizeRelH>
            <wp14:sizeRelV relativeFrom="page">
              <wp14:pctHeight>0</wp14:pctHeight>
            </wp14:sizeRelV>
          </wp:anchor>
        </w:drawing>
      </w:r>
      <w:r w:rsidR="00046BD5" w:rsidRPr="00DE108C">
        <w:rPr>
          <w:b w:val="0"/>
          <w:color w:val="FFFFFF" w:themeColor="background1"/>
          <w:sz w:val="76"/>
          <w:szCs w:val="76"/>
        </w:rPr>
        <w:t>9. Revenue requirement</w:t>
      </w:r>
      <w:bookmarkEnd w:id="920"/>
      <w:bookmarkEnd w:id="921"/>
      <w:bookmarkEnd w:id="922"/>
      <w:bookmarkEnd w:id="923"/>
      <w:bookmarkEnd w:id="924"/>
      <w:bookmarkEnd w:id="925"/>
    </w:p>
    <w:p w14:paraId="32EB7DA6" w14:textId="77777777" w:rsidR="00046BD5" w:rsidRPr="00DE108C" w:rsidRDefault="00046BD5">
      <w:pPr>
        <w:spacing w:before="0" w:after="0"/>
      </w:pPr>
      <w:r w:rsidRPr="00DE108C">
        <w:br w:type="page"/>
      </w:r>
    </w:p>
    <w:p w14:paraId="0F4019A2" w14:textId="77777777" w:rsidR="00046BD5" w:rsidRPr="00DE108C" w:rsidRDefault="00046BD5" w:rsidP="00ED094E">
      <w:pPr>
        <w:pStyle w:val="HighlightBoxHeading"/>
      </w:pPr>
      <w:r w:rsidRPr="00DE108C">
        <w:lastRenderedPageBreak/>
        <w:t>In summary</w:t>
      </w:r>
    </w:p>
    <w:p w14:paraId="2924048A" w14:textId="736F9551" w:rsidR="00046BD5" w:rsidRPr="00DE108C" w:rsidRDefault="00046BD5" w:rsidP="00046BD5">
      <w:pPr>
        <w:pStyle w:val="HighlightBoxBullet"/>
        <w:spacing w:line="320" w:lineRule="atLeast"/>
      </w:pPr>
      <w:r w:rsidRPr="00DE108C">
        <w:t>Our forecast revenue requirement for the 2026-31 regulatory period is $</w:t>
      </w:r>
      <w:r w:rsidRPr="001164EE">
        <w:t>10,13</w:t>
      </w:r>
      <w:r w:rsidR="002C5E76" w:rsidRPr="001164EE">
        <w:t>2</w:t>
      </w:r>
      <w:r w:rsidRPr="00DE108C">
        <w:t xml:space="preserve"> million using the building block methodology. </w:t>
      </w:r>
    </w:p>
    <w:p w14:paraId="65CEEDCF" w14:textId="77777777" w:rsidR="00046BD5" w:rsidRPr="00DE108C" w:rsidRDefault="00046BD5" w:rsidP="00046BD5">
      <w:pPr>
        <w:pStyle w:val="HighlightBoxBullet"/>
        <w:spacing w:line="320" w:lineRule="atLeast"/>
      </w:pPr>
      <w:r w:rsidRPr="00DE108C">
        <w:t xml:space="preserve">The proposed revenue requirement is based on meeting our legislative, regulatory and policy obligations in addition to delivering the commitments in our outcomes as developed with our customers. </w:t>
      </w:r>
    </w:p>
    <w:p w14:paraId="4E860992" w14:textId="77777777" w:rsidR="00046BD5" w:rsidRPr="00DE108C" w:rsidRDefault="00046BD5" w:rsidP="00ED094E">
      <w:r w:rsidRPr="00DE108C">
        <w:t xml:space="preserve">In developing a best offer that balances service needs and desires (as defined by the customer Outcomes and performance metrics) with impact on price, Melbourne Water has considered the feedback received from our customers. We have also considered the prudent, efficient and deliverable investments required to deliver on the service Outcomes. </w:t>
      </w:r>
    </w:p>
    <w:p w14:paraId="072A0B0C" w14:textId="77777777" w:rsidR="00046BD5" w:rsidRPr="00DE108C" w:rsidRDefault="00046BD5" w:rsidP="00ED094E">
      <w:r w:rsidRPr="00DE108C">
        <w:t>Price-service trade-off feedback received from households and businesses consistently indicated that investment to maintain our service level in our core services was important, as well as limiting price rises above inflation. We recognise that in current economic conditions, households and businesses are under significant financial pressures, which has driven our strong focus on only charging customers up-front for investments that have a high degree of certainty around scope, timing and costs.</w:t>
      </w:r>
    </w:p>
    <w:p w14:paraId="72F67923" w14:textId="5498E69D" w:rsidR="00046BD5" w:rsidRPr="00DE108C" w:rsidRDefault="00046BD5" w:rsidP="00ED094E">
      <w:r w:rsidRPr="00DE108C">
        <w:t>Overall, the revenue requirement calculated allows Melbourne Water to propose a prudent uplift in investment across both major service areas and confident that we can deliver efficiently, while balancing the risk we are asking customers to bear, and delivering on our commitment to deliver customer value. This has translated into modest price increases for our customers</w:t>
      </w:r>
      <w:r w:rsidR="00814194">
        <w:t xml:space="preserve">. The </w:t>
      </w:r>
      <w:r w:rsidRPr="00DE108C">
        <w:t xml:space="preserve">exact tariffs and customer impacts are shown in Chapter 11 </w:t>
      </w:r>
      <w:r w:rsidR="3747A4EE">
        <w:t>(</w:t>
      </w:r>
      <w:r w:rsidRPr="00DE108C">
        <w:t>Prices and Tariffs</w:t>
      </w:r>
      <w:r w:rsidR="2AD20B40">
        <w:t>)</w:t>
      </w:r>
      <w:r w:rsidR="6DAF76C1">
        <w:t>.</w:t>
      </w:r>
      <w:r w:rsidRPr="00DE108C">
        <w:t xml:space="preserve"> </w:t>
      </w:r>
    </w:p>
    <w:p w14:paraId="7492333D" w14:textId="5D2D9DCF" w:rsidR="00046BD5" w:rsidRPr="00DE108C" w:rsidRDefault="00046BD5" w:rsidP="00ED094E">
      <w:r w:rsidRPr="00DE108C">
        <w:t xml:space="preserve">Over the coming regulatory periods, our waterways and drainage customers will gradually receive the uplift in service levels they told us they desired at a price that is consistent with high levels of customer support. This is reflected in the proposed revenue requirement outlined in </w:t>
      </w:r>
      <w:r w:rsidR="0003458E" w:rsidRPr="00DE108C">
        <w:t>Section</w:t>
      </w:r>
      <w:r w:rsidRPr="00DE108C">
        <w:t xml:space="preserve"> 9.1. </w:t>
      </w:r>
    </w:p>
    <w:p w14:paraId="27C4B15C" w14:textId="57B5DFE1" w:rsidR="00046BD5" w:rsidRPr="00DE108C" w:rsidRDefault="00046BD5">
      <w:pPr>
        <w:pStyle w:val="Heading2"/>
      </w:pPr>
      <w:bookmarkStart w:id="926" w:name="_Toc190876176"/>
      <w:bookmarkStart w:id="927" w:name="_Toc196745280"/>
      <w:bookmarkStart w:id="928" w:name="_Toc207892925"/>
      <w:bookmarkStart w:id="929" w:name="_Toc207853418"/>
      <w:r w:rsidRPr="00DE108C">
        <w:t xml:space="preserve">9.1 </w:t>
      </w:r>
      <w:r w:rsidR="00CE1E61">
        <w:t>Total r</w:t>
      </w:r>
      <w:r w:rsidRPr="00DE108C">
        <w:t>evenue requirement</w:t>
      </w:r>
      <w:bookmarkEnd w:id="926"/>
      <w:bookmarkEnd w:id="927"/>
      <w:bookmarkEnd w:id="928"/>
      <w:bookmarkEnd w:id="929"/>
    </w:p>
    <w:p w14:paraId="3FD4D630" w14:textId="6129C87A" w:rsidR="00046BD5" w:rsidRPr="00DE108C" w:rsidRDefault="00046BD5" w:rsidP="00ED094E">
      <w:r w:rsidRPr="00DE108C">
        <w:t xml:space="preserve">As per Figure 9.1, our total revenue requirement is projected to increase each year over the 2026-31 and 2031-36 regulatory periods with increasing investment as outlined in </w:t>
      </w:r>
      <w:r w:rsidR="00516006" w:rsidRPr="00DE108C">
        <w:t>Chapters</w:t>
      </w:r>
      <w:r w:rsidRPr="00DE108C">
        <w:t xml:space="preserve"> 6 and 7 </w:t>
      </w:r>
      <w:r w:rsidR="309DC992">
        <w:t xml:space="preserve">(Capital expenditure and Operating expenditure) </w:t>
      </w:r>
      <w:r w:rsidRPr="00DE108C">
        <w:t xml:space="preserve">and a growing asset base as outlined in </w:t>
      </w:r>
      <w:r w:rsidR="00516006" w:rsidRPr="00DE108C">
        <w:t>Chapter</w:t>
      </w:r>
      <w:r w:rsidRPr="00DE108C">
        <w:t xml:space="preserve"> 8</w:t>
      </w:r>
      <w:r w:rsidR="12A8E64F">
        <w:t xml:space="preserve"> (Asset base)</w:t>
      </w:r>
      <w:r w:rsidR="6DAF76C1">
        <w:t>.</w:t>
      </w:r>
      <w:r w:rsidRPr="00DE108C">
        <w:t xml:space="preserve"> The impacts of these increases are offset by increasing demand, growth in population and customer numbers – as outlined in </w:t>
      </w:r>
      <w:r w:rsidR="002F1B4F" w:rsidRPr="00DE108C">
        <w:t>Chapter</w:t>
      </w:r>
      <w:r w:rsidRPr="00DE108C">
        <w:t xml:space="preserve"> 10</w:t>
      </w:r>
      <w:r w:rsidR="0DD1CB4A">
        <w:t xml:space="preserve"> (Demand forecasts)</w:t>
      </w:r>
      <w:r w:rsidR="6DAF76C1">
        <w:t>.</w:t>
      </w:r>
      <w:r w:rsidRPr="00DE108C">
        <w:t xml:space="preserve"> The revenue requirements for sewerage and recycled water are increasing materially above growth in customer numbers, and for the other services, revenue requirements are increasing slightly less.</w:t>
      </w:r>
    </w:p>
    <w:p w14:paraId="6329B904" w14:textId="5BF6BE56" w:rsidR="00046BD5" w:rsidRPr="00DE108C" w:rsidRDefault="00046BD5" w:rsidP="00ED094E">
      <w:r w:rsidRPr="00DE108C">
        <w:t xml:space="preserve">Our total revenue requirement for the 2026-31 regulatory period is </w:t>
      </w:r>
      <w:r w:rsidRPr="001164EE">
        <w:t>$10,13</w:t>
      </w:r>
      <w:r w:rsidR="002C5E76" w:rsidRPr="001164EE">
        <w:t>2</w:t>
      </w:r>
      <w:r w:rsidRPr="001164EE">
        <w:t> million</w:t>
      </w:r>
      <w:r w:rsidR="00DF72C4" w:rsidRPr="00DE108C">
        <w:t xml:space="preserve"> </w:t>
      </w:r>
      <w:r w:rsidR="00F13FCD" w:rsidRPr="00DE108C">
        <w:t>(provided annually in Table 9.1)</w:t>
      </w:r>
      <w:r w:rsidRPr="00DE108C">
        <w:t xml:space="preserve">. This represents all the investments proposed earlier in this submission. </w:t>
      </w:r>
    </w:p>
    <w:p w14:paraId="52ABB687" w14:textId="77777777" w:rsidR="00046BD5" w:rsidRPr="00DE108C" w:rsidRDefault="00046BD5" w:rsidP="00ED094E">
      <w:pPr>
        <w:sectPr w:rsidR="00046BD5" w:rsidRPr="00DE108C" w:rsidSect="00046BD5">
          <w:pgSz w:w="11906" w:h="16838" w:code="9"/>
          <w:pgMar w:top="1134" w:right="1134" w:bottom="1134" w:left="1134" w:header="567" w:footer="680" w:gutter="0"/>
          <w:cols w:space="708"/>
          <w:docGrid w:linePitch="360"/>
        </w:sectPr>
      </w:pPr>
    </w:p>
    <w:p w14:paraId="20863E59" w14:textId="77777777" w:rsidR="00046BD5" w:rsidRPr="00DE108C" w:rsidRDefault="00046BD5" w:rsidP="00ED094E">
      <w:pPr>
        <w:pStyle w:val="Caption"/>
      </w:pPr>
      <w:bookmarkStart w:id="930" w:name="_Toc207893084"/>
      <w:bookmarkStart w:id="931" w:name="_Toc208490608"/>
      <w:bookmarkStart w:id="932" w:name="_Toc208490946"/>
      <w:bookmarkStart w:id="933" w:name="_Toc208911104"/>
      <w:bookmarkStart w:id="934" w:name="_Toc210051410"/>
      <w:r w:rsidRPr="001164EE">
        <w:lastRenderedPageBreak/>
        <w:t>Figure 9.1: Trend in revenue requirement ($millions, real 2025-26)</w:t>
      </w:r>
      <w:bookmarkEnd w:id="930"/>
      <w:bookmarkEnd w:id="931"/>
      <w:bookmarkEnd w:id="932"/>
      <w:bookmarkEnd w:id="933"/>
      <w:bookmarkEnd w:id="934"/>
    </w:p>
    <w:p w14:paraId="5912A5FC" w14:textId="6D87EFC1" w:rsidR="00046BD5" w:rsidRPr="00DE108C" w:rsidRDefault="00755043" w:rsidP="00ED094E">
      <w:pPr>
        <w:pStyle w:val="BodyText"/>
        <w:rPr>
          <w:lang w:eastAsia="fr-CA"/>
        </w:rPr>
      </w:pPr>
      <w:r>
        <w:rPr>
          <w:noProof/>
        </w:rPr>
        <w:drawing>
          <wp:inline distT="0" distB="0" distL="0" distR="0" wp14:anchorId="54EFA667" wp14:editId="0D9295DD">
            <wp:extent cx="9210675" cy="2438400"/>
            <wp:effectExtent l="0" t="0" r="9525" b="0"/>
            <wp:docPr id="388963571" name="Chart 1" descr="A stacked bar chart titled &quot;Trend in revenue requirement ($millions, real 2025–26).&quot; It shows annual revenue requirements from 2021–22 to 2035–36, grouped into three regulatory periods: 2021–26 (actuals), 2026–31, and 2031–36.&#10;Each bar is segmented by revenue component:&#10;&#10;Determination (dark blue)&#10;Water (light blue)&#10;Sewerage (cyan)&#10;Waterways and Drainage (green)&#10;Recycled Water (yellow-green)&#10;Diversions (yellow)&#10;&#10;Annual total revenue requirement:&#10;&#10;2021–22: $1,859M&#10;2022–23: $1,893M&#10;2023–24: $1,925M&#10;2024–25: $1,941M&#10;2025–26: $1,958M&#10;2026–27 to 2030–31: Ranges from $1,930M to $2,107M&#10;2031–32 to 2035–36: Ranges from $2,174M to $2,360M&#10;&#10;The chart shows a steady increase in revenue requirement over time, with all service components contributing to the growth.">
              <a:extLst xmlns:a="http://schemas.openxmlformats.org/drawingml/2006/main">
                <a:ext uri="{FF2B5EF4-FFF2-40B4-BE49-F238E27FC236}">
                  <a16:creationId xmlns:a16="http://schemas.microsoft.com/office/drawing/2014/main" id="{86412E56-F13B-E676-3277-AEF50C602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B76A397" w14:textId="77777777" w:rsidR="00046BD5" w:rsidRPr="00DE108C" w:rsidRDefault="00046BD5" w:rsidP="00ED094E">
      <w:pPr>
        <w:pStyle w:val="Caption"/>
      </w:pPr>
      <w:bookmarkStart w:id="935" w:name="_Ref190881240"/>
      <w:bookmarkStart w:id="936" w:name="_Toc190878427"/>
      <w:bookmarkStart w:id="937" w:name="_Toc207893085"/>
      <w:bookmarkStart w:id="938" w:name="_Toc208490609"/>
      <w:bookmarkStart w:id="939" w:name="_Toc208490947"/>
      <w:bookmarkStart w:id="940" w:name="_Toc208911105"/>
      <w:bookmarkStart w:id="941" w:name="_Toc210051411"/>
      <w:r w:rsidRPr="001164EE">
        <w:t>Table 9.1</w:t>
      </w:r>
      <w:bookmarkEnd w:id="935"/>
      <w:r w:rsidRPr="001164EE">
        <w:t>: Total revenue requirement</w:t>
      </w:r>
      <w:bookmarkEnd w:id="936"/>
      <w:r w:rsidRPr="001164EE">
        <w:t xml:space="preserve"> forecast ($millions, real 2025-26)</w:t>
      </w:r>
      <w:bookmarkEnd w:id="937"/>
      <w:bookmarkEnd w:id="938"/>
      <w:bookmarkEnd w:id="939"/>
      <w:bookmarkEnd w:id="940"/>
      <w:bookmarkEnd w:id="941"/>
    </w:p>
    <w:tbl>
      <w:tblPr>
        <w:tblStyle w:val="MWTableGrid"/>
        <w:tblW w:w="5000" w:type="pct"/>
        <w:tblLayout w:type="fixed"/>
        <w:tblLook w:val="0420" w:firstRow="1" w:lastRow="0" w:firstColumn="0" w:lastColumn="0" w:noHBand="0" w:noVBand="1"/>
      </w:tblPr>
      <w:tblGrid>
        <w:gridCol w:w="1980"/>
        <w:gridCol w:w="1258"/>
        <w:gridCol w:w="1258"/>
        <w:gridCol w:w="1258"/>
        <w:gridCol w:w="1258"/>
        <w:gridCol w:w="1258"/>
        <w:gridCol w:w="1258"/>
        <w:gridCol w:w="1258"/>
        <w:gridCol w:w="1258"/>
        <w:gridCol w:w="1258"/>
        <w:gridCol w:w="1258"/>
      </w:tblGrid>
      <w:tr w:rsidR="0069661E" w:rsidRPr="00F76B8A" w14:paraId="5AA03C4E" w14:textId="77777777" w:rsidTr="00B46F82">
        <w:trPr>
          <w:cnfStyle w:val="100000000000" w:firstRow="1" w:lastRow="0" w:firstColumn="0" w:lastColumn="0" w:oddVBand="0" w:evenVBand="0" w:oddHBand="0" w:evenHBand="0" w:firstRowFirstColumn="0" w:firstRowLastColumn="0" w:lastRowFirstColumn="0" w:lastRowLastColumn="0"/>
          <w:cantSplit/>
        </w:trPr>
        <w:tc>
          <w:tcPr>
            <w:tcW w:w="1980" w:type="dxa"/>
          </w:tcPr>
          <w:p w14:paraId="516EB909" w14:textId="77777777" w:rsidR="00046BD5" w:rsidRPr="00F76B8A" w:rsidRDefault="00046BD5" w:rsidP="00ED094E">
            <w:pPr>
              <w:pStyle w:val="TableHeading"/>
              <w:rPr>
                <w:rFonts w:asciiTheme="majorHAnsi" w:eastAsia="Verdana" w:hAnsiTheme="majorHAnsi"/>
                <w:szCs w:val="16"/>
              </w:rPr>
            </w:pPr>
          </w:p>
        </w:tc>
        <w:tc>
          <w:tcPr>
            <w:tcW w:w="1258" w:type="dxa"/>
            <w:vAlign w:val="center"/>
          </w:tcPr>
          <w:p w14:paraId="1FBD7EAA" w14:textId="77777777" w:rsidR="00046BD5" w:rsidRPr="00F76B8A" w:rsidRDefault="00046BD5" w:rsidP="00ED094E">
            <w:pPr>
              <w:pStyle w:val="TableHeading"/>
              <w:rPr>
                <w:rFonts w:asciiTheme="majorHAnsi" w:eastAsia="Verdana" w:hAnsiTheme="majorHAnsi"/>
                <w:szCs w:val="16"/>
              </w:rPr>
            </w:pPr>
            <w:r w:rsidRPr="00F76B8A">
              <w:rPr>
                <w:rFonts w:ascii="Verdana" w:eastAsia="Verdana" w:hAnsi="Verdana" w:cs="Tahoma"/>
                <w:szCs w:val="16"/>
              </w:rPr>
              <w:t>2026-27</w:t>
            </w:r>
            <w:r w:rsidRPr="00F76B8A">
              <w:rPr>
                <w:rFonts w:ascii="Verdana" w:hAnsi="Verdana" w:cs="Tahoma"/>
                <w:szCs w:val="16"/>
              </w:rPr>
              <w:t> </w:t>
            </w:r>
          </w:p>
        </w:tc>
        <w:tc>
          <w:tcPr>
            <w:tcW w:w="1258" w:type="dxa"/>
            <w:vAlign w:val="center"/>
          </w:tcPr>
          <w:p w14:paraId="43B104EB" w14:textId="77777777" w:rsidR="00046BD5" w:rsidRPr="00F76B8A" w:rsidRDefault="00046BD5" w:rsidP="00ED094E">
            <w:pPr>
              <w:pStyle w:val="TableHeading"/>
              <w:rPr>
                <w:rFonts w:asciiTheme="majorHAnsi" w:eastAsia="Verdana" w:hAnsiTheme="majorHAnsi"/>
                <w:szCs w:val="16"/>
              </w:rPr>
            </w:pPr>
            <w:r w:rsidRPr="00F76B8A">
              <w:rPr>
                <w:rFonts w:ascii="Verdana" w:eastAsia="Verdana" w:hAnsi="Verdana" w:cs="Tahoma"/>
                <w:szCs w:val="16"/>
              </w:rPr>
              <w:t>2027-28</w:t>
            </w:r>
            <w:r w:rsidRPr="00F76B8A">
              <w:rPr>
                <w:rFonts w:ascii="Verdana" w:hAnsi="Verdana" w:cs="Tahoma"/>
                <w:szCs w:val="16"/>
              </w:rPr>
              <w:t> </w:t>
            </w:r>
          </w:p>
        </w:tc>
        <w:tc>
          <w:tcPr>
            <w:tcW w:w="1258" w:type="dxa"/>
            <w:vAlign w:val="center"/>
          </w:tcPr>
          <w:p w14:paraId="791677F2" w14:textId="77777777" w:rsidR="00046BD5" w:rsidRPr="00F76B8A" w:rsidRDefault="00046BD5" w:rsidP="00ED094E">
            <w:pPr>
              <w:pStyle w:val="TableHeading"/>
              <w:rPr>
                <w:rFonts w:asciiTheme="majorHAnsi" w:eastAsia="Verdana" w:hAnsiTheme="majorHAnsi"/>
                <w:szCs w:val="16"/>
              </w:rPr>
            </w:pPr>
            <w:r w:rsidRPr="00F76B8A">
              <w:rPr>
                <w:rFonts w:ascii="Verdana" w:eastAsia="Verdana" w:hAnsi="Verdana" w:cs="Tahoma"/>
                <w:szCs w:val="16"/>
              </w:rPr>
              <w:t>2028-29</w:t>
            </w:r>
            <w:r w:rsidRPr="00F76B8A">
              <w:rPr>
                <w:rFonts w:ascii="Verdana" w:hAnsi="Verdana" w:cs="Tahoma"/>
                <w:szCs w:val="16"/>
              </w:rPr>
              <w:t> </w:t>
            </w:r>
          </w:p>
        </w:tc>
        <w:tc>
          <w:tcPr>
            <w:tcW w:w="1258" w:type="dxa"/>
            <w:vAlign w:val="center"/>
          </w:tcPr>
          <w:p w14:paraId="6E04712D" w14:textId="77777777" w:rsidR="00046BD5" w:rsidRPr="00F76B8A" w:rsidRDefault="00046BD5" w:rsidP="00ED094E">
            <w:pPr>
              <w:pStyle w:val="TableHeading"/>
              <w:rPr>
                <w:rFonts w:asciiTheme="majorHAnsi" w:eastAsia="Verdana" w:hAnsiTheme="majorHAnsi"/>
                <w:szCs w:val="16"/>
              </w:rPr>
            </w:pPr>
            <w:r w:rsidRPr="00F76B8A">
              <w:rPr>
                <w:rFonts w:ascii="Verdana" w:eastAsia="Verdana" w:hAnsi="Verdana" w:cs="Tahoma"/>
                <w:szCs w:val="16"/>
              </w:rPr>
              <w:t>2029-30</w:t>
            </w:r>
            <w:r w:rsidRPr="00F76B8A">
              <w:rPr>
                <w:rFonts w:ascii="Verdana" w:hAnsi="Verdana" w:cs="Tahoma"/>
                <w:szCs w:val="16"/>
              </w:rPr>
              <w:t> </w:t>
            </w:r>
          </w:p>
        </w:tc>
        <w:tc>
          <w:tcPr>
            <w:tcW w:w="1258" w:type="dxa"/>
            <w:vAlign w:val="center"/>
          </w:tcPr>
          <w:p w14:paraId="3B76CBB3" w14:textId="77777777" w:rsidR="00046BD5" w:rsidRPr="00F76B8A" w:rsidRDefault="00046BD5" w:rsidP="00ED094E">
            <w:pPr>
              <w:pStyle w:val="TableHeading"/>
              <w:rPr>
                <w:rFonts w:asciiTheme="majorHAnsi" w:eastAsia="Verdana" w:hAnsiTheme="majorHAnsi"/>
                <w:szCs w:val="16"/>
              </w:rPr>
            </w:pPr>
            <w:r w:rsidRPr="00F76B8A">
              <w:rPr>
                <w:rFonts w:ascii="Verdana" w:eastAsia="Verdana" w:hAnsi="Verdana" w:cs="Tahoma"/>
                <w:szCs w:val="16"/>
              </w:rPr>
              <w:t>2030-31</w:t>
            </w:r>
            <w:r w:rsidRPr="00F76B8A">
              <w:rPr>
                <w:rFonts w:ascii="Verdana" w:hAnsi="Verdana" w:cs="Tahoma"/>
                <w:szCs w:val="16"/>
              </w:rPr>
              <w:t> </w:t>
            </w:r>
          </w:p>
        </w:tc>
        <w:tc>
          <w:tcPr>
            <w:tcW w:w="1258" w:type="dxa"/>
            <w:vAlign w:val="center"/>
          </w:tcPr>
          <w:p w14:paraId="577171B6" w14:textId="77777777" w:rsidR="00046BD5" w:rsidRPr="00F76B8A" w:rsidRDefault="00046BD5" w:rsidP="00ED094E">
            <w:pPr>
              <w:pStyle w:val="TableHeading"/>
              <w:rPr>
                <w:rFonts w:asciiTheme="majorHAnsi" w:eastAsia="Verdana" w:hAnsiTheme="majorHAnsi"/>
                <w:szCs w:val="16"/>
              </w:rPr>
            </w:pPr>
            <w:r w:rsidRPr="00F76B8A">
              <w:rPr>
                <w:rFonts w:ascii="Verdana" w:hAnsi="Verdana" w:cs="Tahoma"/>
                <w:szCs w:val="16"/>
              </w:rPr>
              <w:t>2031-32</w:t>
            </w:r>
          </w:p>
        </w:tc>
        <w:tc>
          <w:tcPr>
            <w:tcW w:w="1258" w:type="dxa"/>
            <w:vAlign w:val="center"/>
          </w:tcPr>
          <w:p w14:paraId="36242B3C" w14:textId="77777777" w:rsidR="00046BD5" w:rsidRPr="00F76B8A" w:rsidRDefault="00046BD5" w:rsidP="00ED094E">
            <w:pPr>
              <w:pStyle w:val="TableHeading"/>
              <w:rPr>
                <w:rFonts w:asciiTheme="majorHAnsi" w:eastAsia="Verdana" w:hAnsiTheme="majorHAnsi"/>
                <w:szCs w:val="16"/>
              </w:rPr>
            </w:pPr>
            <w:r w:rsidRPr="00F76B8A">
              <w:rPr>
                <w:rFonts w:ascii="Verdana" w:hAnsi="Verdana" w:cs="Tahoma"/>
                <w:szCs w:val="16"/>
              </w:rPr>
              <w:t>2032-33</w:t>
            </w:r>
          </w:p>
        </w:tc>
        <w:tc>
          <w:tcPr>
            <w:tcW w:w="1258" w:type="dxa"/>
            <w:vAlign w:val="center"/>
          </w:tcPr>
          <w:p w14:paraId="249B67A7" w14:textId="77777777" w:rsidR="00046BD5" w:rsidRPr="00F76B8A" w:rsidRDefault="00046BD5" w:rsidP="00ED094E">
            <w:pPr>
              <w:pStyle w:val="TableHeading"/>
              <w:rPr>
                <w:rFonts w:asciiTheme="majorHAnsi" w:eastAsia="Verdana" w:hAnsiTheme="majorHAnsi"/>
                <w:szCs w:val="16"/>
              </w:rPr>
            </w:pPr>
            <w:r w:rsidRPr="00F76B8A">
              <w:rPr>
                <w:rFonts w:ascii="Verdana" w:hAnsi="Verdana" w:cs="Tahoma"/>
                <w:szCs w:val="16"/>
              </w:rPr>
              <w:t>2033-34</w:t>
            </w:r>
          </w:p>
        </w:tc>
        <w:tc>
          <w:tcPr>
            <w:tcW w:w="1258" w:type="dxa"/>
            <w:vAlign w:val="center"/>
          </w:tcPr>
          <w:p w14:paraId="78E436C0" w14:textId="77777777" w:rsidR="00046BD5" w:rsidRPr="00F76B8A" w:rsidRDefault="00046BD5" w:rsidP="00ED094E">
            <w:pPr>
              <w:pStyle w:val="TableHeading"/>
              <w:rPr>
                <w:rFonts w:asciiTheme="majorHAnsi" w:eastAsia="Verdana" w:hAnsiTheme="majorHAnsi"/>
                <w:szCs w:val="16"/>
              </w:rPr>
            </w:pPr>
            <w:r w:rsidRPr="00F76B8A">
              <w:rPr>
                <w:rFonts w:ascii="Verdana" w:hAnsi="Verdana" w:cs="Tahoma"/>
                <w:szCs w:val="16"/>
              </w:rPr>
              <w:t>2034-35</w:t>
            </w:r>
          </w:p>
        </w:tc>
        <w:tc>
          <w:tcPr>
            <w:tcW w:w="1258" w:type="dxa"/>
            <w:vAlign w:val="center"/>
          </w:tcPr>
          <w:p w14:paraId="66154FB8" w14:textId="77777777" w:rsidR="00046BD5" w:rsidRPr="00F76B8A" w:rsidRDefault="00046BD5" w:rsidP="00ED094E">
            <w:pPr>
              <w:pStyle w:val="TableHeading"/>
              <w:rPr>
                <w:rFonts w:asciiTheme="majorHAnsi" w:eastAsia="Verdana" w:hAnsiTheme="majorHAnsi"/>
                <w:szCs w:val="16"/>
              </w:rPr>
            </w:pPr>
            <w:r w:rsidRPr="00F76B8A">
              <w:rPr>
                <w:rFonts w:ascii="Verdana" w:hAnsi="Verdana" w:cs="Tahoma"/>
                <w:szCs w:val="16"/>
              </w:rPr>
              <w:t>2035-36</w:t>
            </w:r>
          </w:p>
        </w:tc>
      </w:tr>
      <w:tr w:rsidR="00F76B8A" w:rsidRPr="00F76B8A" w14:paraId="46F17F45" w14:textId="77777777" w:rsidTr="00ED094E">
        <w:trPr>
          <w:cantSplit/>
        </w:trPr>
        <w:tc>
          <w:tcPr>
            <w:tcW w:w="1980" w:type="dxa"/>
          </w:tcPr>
          <w:p w14:paraId="50365CD8" w14:textId="6BF565D6" w:rsidR="00F76B8A" w:rsidRPr="00F76B8A" w:rsidRDefault="712F1F1C" w:rsidP="00F76B8A">
            <w:pPr>
              <w:pStyle w:val="TableText"/>
              <w:rPr>
                <w:rFonts w:asciiTheme="majorHAnsi" w:eastAsia="Verdana" w:hAnsiTheme="majorHAnsi"/>
              </w:rPr>
            </w:pPr>
            <w:r w:rsidRPr="3F7295A9">
              <w:rPr>
                <w:rFonts w:asciiTheme="majorHAnsi" w:eastAsia="Verdana" w:hAnsiTheme="majorHAnsi"/>
              </w:rPr>
              <w:t>O</w:t>
            </w:r>
            <w:r w:rsidR="15EBFA8A" w:rsidRPr="3F7295A9">
              <w:rPr>
                <w:rFonts w:asciiTheme="majorHAnsi" w:eastAsia="Verdana" w:hAnsiTheme="majorHAnsi"/>
              </w:rPr>
              <w:t>perating expenditure</w:t>
            </w:r>
            <w:r w:rsidRPr="3F7295A9">
              <w:rPr>
                <w:rFonts w:asciiTheme="majorHAnsi" w:eastAsia="Verdana" w:hAnsiTheme="majorHAnsi"/>
              </w:rPr>
              <w:t xml:space="preserve"> </w:t>
            </w:r>
          </w:p>
        </w:tc>
        <w:tc>
          <w:tcPr>
            <w:tcW w:w="1258" w:type="dxa"/>
            <w:vAlign w:val="center"/>
          </w:tcPr>
          <w:p w14:paraId="5094A282" w14:textId="2980A1E1"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595.4 </w:t>
            </w:r>
          </w:p>
        </w:tc>
        <w:tc>
          <w:tcPr>
            <w:tcW w:w="1258" w:type="dxa"/>
            <w:vAlign w:val="center"/>
          </w:tcPr>
          <w:p w14:paraId="712B3F79" w14:textId="46CEFA1F"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601.3 </w:t>
            </w:r>
          </w:p>
        </w:tc>
        <w:tc>
          <w:tcPr>
            <w:tcW w:w="1258" w:type="dxa"/>
            <w:vAlign w:val="center"/>
          </w:tcPr>
          <w:p w14:paraId="232EF487" w14:textId="0D5E58BF"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612.3 </w:t>
            </w:r>
          </w:p>
        </w:tc>
        <w:tc>
          <w:tcPr>
            <w:tcW w:w="1258" w:type="dxa"/>
            <w:vAlign w:val="center"/>
          </w:tcPr>
          <w:p w14:paraId="5B67A45A" w14:textId="777F56EC"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615.8 </w:t>
            </w:r>
          </w:p>
        </w:tc>
        <w:tc>
          <w:tcPr>
            <w:tcW w:w="1258" w:type="dxa"/>
            <w:vAlign w:val="center"/>
          </w:tcPr>
          <w:p w14:paraId="3218EB36" w14:textId="6B369D22"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616.7 </w:t>
            </w:r>
          </w:p>
        </w:tc>
        <w:tc>
          <w:tcPr>
            <w:tcW w:w="1258" w:type="dxa"/>
            <w:vAlign w:val="center"/>
          </w:tcPr>
          <w:p w14:paraId="01043A48" w14:textId="293715DE"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616.3 </w:t>
            </w:r>
          </w:p>
        </w:tc>
        <w:tc>
          <w:tcPr>
            <w:tcW w:w="1258" w:type="dxa"/>
            <w:vAlign w:val="center"/>
          </w:tcPr>
          <w:p w14:paraId="1A3C9075" w14:textId="414EAA82"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615.5 </w:t>
            </w:r>
          </w:p>
        </w:tc>
        <w:tc>
          <w:tcPr>
            <w:tcW w:w="1258" w:type="dxa"/>
            <w:vAlign w:val="center"/>
          </w:tcPr>
          <w:p w14:paraId="207EAA1B" w14:textId="01F0144C"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614.4 </w:t>
            </w:r>
          </w:p>
        </w:tc>
        <w:tc>
          <w:tcPr>
            <w:tcW w:w="1258" w:type="dxa"/>
            <w:vAlign w:val="center"/>
          </w:tcPr>
          <w:p w14:paraId="3650855E" w14:textId="72475DA1"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615.3 </w:t>
            </w:r>
          </w:p>
        </w:tc>
        <w:tc>
          <w:tcPr>
            <w:tcW w:w="1258" w:type="dxa"/>
            <w:vAlign w:val="center"/>
          </w:tcPr>
          <w:p w14:paraId="4A194825" w14:textId="36DFE845"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612.9 </w:t>
            </w:r>
          </w:p>
        </w:tc>
      </w:tr>
      <w:tr w:rsidR="0069661E" w:rsidRPr="00F76B8A" w14:paraId="3D233300"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1980" w:type="dxa"/>
          </w:tcPr>
          <w:p w14:paraId="39AC4D03" w14:textId="3B7249E5" w:rsidR="00F76B8A" w:rsidRPr="00F76B8A" w:rsidRDefault="712F1F1C" w:rsidP="00F76B8A">
            <w:pPr>
              <w:pStyle w:val="TableText"/>
              <w:rPr>
                <w:rFonts w:asciiTheme="majorHAnsi" w:eastAsia="Verdana" w:hAnsiTheme="majorHAnsi"/>
              </w:rPr>
            </w:pPr>
            <w:r w:rsidRPr="0C74975F">
              <w:rPr>
                <w:rFonts w:asciiTheme="majorHAnsi" w:eastAsia="Verdana" w:hAnsiTheme="majorHAnsi"/>
              </w:rPr>
              <w:t>V</w:t>
            </w:r>
            <w:r w:rsidR="5E839C1A" w:rsidRPr="0C74975F">
              <w:rPr>
                <w:rFonts w:asciiTheme="majorHAnsi" w:eastAsia="Verdana" w:hAnsiTheme="majorHAnsi"/>
              </w:rPr>
              <w:t xml:space="preserve">ictorian </w:t>
            </w:r>
            <w:r w:rsidRPr="0C74975F">
              <w:rPr>
                <w:rFonts w:asciiTheme="majorHAnsi" w:eastAsia="Verdana" w:hAnsiTheme="majorHAnsi"/>
              </w:rPr>
              <w:t>D</w:t>
            </w:r>
            <w:r w:rsidR="591361B4" w:rsidRPr="0C74975F">
              <w:rPr>
                <w:rFonts w:asciiTheme="majorHAnsi" w:eastAsia="Verdana" w:hAnsiTheme="majorHAnsi"/>
              </w:rPr>
              <w:t xml:space="preserve">esalination </w:t>
            </w:r>
            <w:r w:rsidRPr="0C74975F">
              <w:rPr>
                <w:rFonts w:asciiTheme="majorHAnsi" w:eastAsia="Verdana" w:hAnsiTheme="majorHAnsi"/>
              </w:rPr>
              <w:t>P</w:t>
            </w:r>
            <w:r w:rsidR="1B91E1FA" w:rsidRPr="0C74975F">
              <w:rPr>
                <w:rFonts w:asciiTheme="majorHAnsi" w:eastAsia="Verdana" w:hAnsiTheme="majorHAnsi"/>
              </w:rPr>
              <w:t>roject (VDP)</w:t>
            </w:r>
            <w:r w:rsidRPr="0C74975F">
              <w:rPr>
                <w:rFonts w:asciiTheme="majorHAnsi" w:eastAsia="Verdana" w:hAnsiTheme="majorHAnsi"/>
              </w:rPr>
              <w:t xml:space="preserve"> opex </w:t>
            </w:r>
          </w:p>
        </w:tc>
        <w:tc>
          <w:tcPr>
            <w:tcW w:w="1258" w:type="dxa"/>
            <w:vAlign w:val="center"/>
          </w:tcPr>
          <w:p w14:paraId="221348DA" w14:textId="77777777" w:rsidR="00F76B8A" w:rsidRPr="00F76B8A" w:rsidRDefault="00F76B8A" w:rsidP="00F76B8A">
            <w:pPr>
              <w:pStyle w:val="TableText"/>
              <w:rPr>
                <w:rFonts w:asciiTheme="majorHAnsi" w:eastAsia="Verdana" w:hAnsiTheme="majorHAnsi" w:cs="Verdana"/>
                <w:i/>
                <w:iCs/>
                <w:szCs w:val="16"/>
              </w:rPr>
            </w:pPr>
            <w:r w:rsidRPr="00F76B8A">
              <w:rPr>
                <w:rFonts w:ascii="Verdana" w:hAnsi="Verdana" w:cs="Tahoma"/>
                <w:szCs w:val="16"/>
              </w:rPr>
              <w:t xml:space="preserve"> 519.7 </w:t>
            </w:r>
          </w:p>
        </w:tc>
        <w:tc>
          <w:tcPr>
            <w:tcW w:w="1258" w:type="dxa"/>
            <w:vAlign w:val="center"/>
          </w:tcPr>
          <w:p w14:paraId="58DEA816"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507.2 </w:t>
            </w:r>
          </w:p>
        </w:tc>
        <w:tc>
          <w:tcPr>
            <w:tcW w:w="1258" w:type="dxa"/>
            <w:vAlign w:val="center"/>
          </w:tcPr>
          <w:p w14:paraId="70E34C79"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502.1 </w:t>
            </w:r>
          </w:p>
        </w:tc>
        <w:tc>
          <w:tcPr>
            <w:tcW w:w="1258" w:type="dxa"/>
            <w:vAlign w:val="center"/>
          </w:tcPr>
          <w:p w14:paraId="5AF9C128"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481.0 </w:t>
            </w:r>
          </w:p>
        </w:tc>
        <w:tc>
          <w:tcPr>
            <w:tcW w:w="1258" w:type="dxa"/>
            <w:vAlign w:val="center"/>
          </w:tcPr>
          <w:p w14:paraId="3A73F778"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460.3 </w:t>
            </w:r>
          </w:p>
        </w:tc>
        <w:tc>
          <w:tcPr>
            <w:tcW w:w="1258" w:type="dxa"/>
            <w:vAlign w:val="center"/>
          </w:tcPr>
          <w:p w14:paraId="0DE98B91"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438.0 </w:t>
            </w:r>
          </w:p>
        </w:tc>
        <w:tc>
          <w:tcPr>
            <w:tcW w:w="1258" w:type="dxa"/>
            <w:vAlign w:val="center"/>
          </w:tcPr>
          <w:p w14:paraId="539BEC67"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414.0 </w:t>
            </w:r>
          </w:p>
        </w:tc>
        <w:tc>
          <w:tcPr>
            <w:tcW w:w="1258" w:type="dxa"/>
            <w:vAlign w:val="center"/>
          </w:tcPr>
          <w:p w14:paraId="1FC90423"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378.8 </w:t>
            </w:r>
          </w:p>
        </w:tc>
        <w:tc>
          <w:tcPr>
            <w:tcW w:w="1258" w:type="dxa"/>
            <w:vAlign w:val="center"/>
          </w:tcPr>
          <w:p w14:paraId="7DB06896"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351.9 </w:t>
            </w:r>
          </w:p>
        </w:tc>
        <w:tc>
          <w:tcPr>
            <w:tcW w:w="1258" w:type="dxa"/>
            <w:vAlign w:val="center"/>
          </w:tcPr>
          <w:p w14:paraId="73A93355"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323.9 </w:t>
            </w:r>
          </w:p>
        </w:tc>
      </w:tr>
      <w:tr w:rsidR="00F76B8A" w:rsidRPr="00F76B8A" w14:paraId="12821BCB" w14:textId="77777777" w:rsidTr="00ED094E">
        <w:trPr>
          <w:cantSplit/>
        </w:trPr>
        <w:tc>
          <w:tcPr>
            <w:tcW w:w="1980" w:type="dxa"/>
          </w:tcPr>
          <w:p w14:paraId="0A6848DE" w14:textId="77777777" w:rsidR="00F76B8A" w:rsidRPr="00F76B8A" w:rsidRDefault="00F76B8A" w:rsidP="00F76B8A">
            <w:pPr>
              <w:pStyle w:val="TableText"/>
              <w:rPr>
                <w:rFonts w:asciiTheme="majorHAnsi" w:eastAsia="Verdana" w:hAnsiTheme="majorHAnsi"/>
                <w:szCs w:val="16"/>
              </w:rPr>
            </w:pPr>
            <w:r w:rsidRPr="00F76B8A">
              <w:rPr>
                <w:rFonts w:asciiTheme="majorHAnsi" w:eastAsia="Verdana" w:hAnsiTheme="majorHAnsi"/>
                <w:szCs w:val="16"/>
              </w:rPr>
              <w:t xml:space="preserve">Return on assets </w:t>
            </w:r>
          </w:p>
        </w:tc>
        <w:tc>
          <w:tcPr>
            <w:tcW w:w="1258" w:type="dxa"/>
            <w:vAlign w:val="center"/>
          </w:tcPr>
          <w:p w14:paraId="5DC01329" w14:textId="633DA888"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453.6 </w:t>
            </w:r>
          </w:p>
        </w:tc>
        <w:tc>
          <w:tcPr>
            <w:tcW w:w="1258" w:type="dxa"/>
            <w:vAlign w:val="center"/>
          </w:tcPr>
          <w:p w14:paraId="2CABF3AC" w14:textId="4F77609E"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488.4 </w:t>
            </w:r>
          </w:p>
        </w:tc>
        <w:tc>
          <w:tcPr>
            <w:tcW w:w="1258" w:type="dxa"/>
            <w:vAlign w:val="center"/>
          </w:tcPr>
          <w:p w14:paraId="5BAFD6EA" w14:textId="31C266DD"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529.8 </w:t>
            </w:r>
          </w:p>
        </w:tc>
        <w:tc>
          <w:tcPr>
            <w:tcW w:w="1258" w:type="dxa"/>
            <w:vAlign w:val="center"/>
          </w:tcPr>
          <w:p w14:paraId="03D4A927" w14:textId="09F1017B"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572.0 </w:t>
            </w:r>
          </w:p>
        </w:tc>
        <w:tc>
          <w:tcPr>
            <w:tcW w:w="1258" w:type="dxa"/>
            <w:vAlign w:val="center"/>
          </w:tcPr>
          <w:p w14:paraId="1069DDFD"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629.4 </w:t>
            </w:r>
          </w:p>
        </w:tc>
        <w:tc>
          <w:tcPr>
            <w:tcW w:w="1258" w:type="dxa"/>
            <w:vAlign w:val="center"/>
          </w:tcPr>
          <w:p w14:paraId="4875FBD1" w14:textId="126A56C8"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698.1 </w:t>
            </w:r>
          </w:p>
        </w:tc>
        <w:tc>
          <w:tcPr>
            <w:tcW w:w="1258" w:type="dxa"/>
            <w:vAlign w:val="center"/>
          </w:tcPr>
          <w:p w14:paraId="714A50A6"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763.6 </w:t>
            </w:r>
          </w:p>
        </w:tc>
        <w:tc>
          <w:tcPr>
            <w:tcW w:w="1258" w:type="dxa"/>
            <w:vAlign w:val="center"/>
          </w:tcPr>
          <w:p w14:paraId="4B04D455" w14:textId="709FE5D0"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789.7 </w:t>
            </w:r>
          </w:p>
        </w:tc>
        <w:tc>
          <w:tcPr>
            <w:tcW w:w="1258" w:type="dxa"/>
            <w:vAlign w:val="center"/>
          </w:tcPr>
          <w:p w14:paraId="1352AD9A"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817.6 </w:t>
            </w:r>
          </w:p>
        </w:tc>
        <w:tc>
          <w:tcPr>
            <w:tcW w:w="1258" w:type="dxa"/>
            <w:vAlign w:val="center"/>
          </w:tcPr>
          <w:p w14:paraId="65DAB5EC" w14:textId="5C3C6812"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860.0 </w:t>
            </w:r>
          </w:p>
        </w:tc>
      </w:tr>
      <w:tr w:rsidR="00055179" w:rsidRPr="00F76B8A" w14:paraId="5254E770"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1980" w:type="dxa"/>
          </w:tcPr>
          <w:p w14:paraId="2470F44B" w14:textId="47523A80" w:rsidR="00F76B8A" w:rsidRPr="00F76B8A" w:rsidRDefault="00F76B8A" w:rsidP="00F76B8A">
            <w:pPr>
              <w:pStyle w:val="TableText"/>
              <w:rPr>
                <w:rFonts w:asciiTheme="majorHAnsi" w:eastAsia="Verdana" w:hAnsiTheme="majorHAnsi"/>
                <w:szCs w:val="16"/>
              </w:rPr>
            </w:pPr>
            <w:r w:rsidRPr="00F76B8A">
              <w:rPr>
                <w:rFonts w:asciiTheme="majorHAnsi" w:eastAsia="Verdana" w:hAnsiTheme="majorHAnsi"/>
                <w:szCs w:val="16"/>
              </w:rPr>
              <w:t xml:space="preserve">Regulatory depreciation </w:t>
            </w:r>
          </w:p>
        </w:tc>
        <w:tc>
          <w:tcPr>
            <w:tcW w:w="1258" w:type="dxa"/>
            <w:tcBorders>
              <w:top w:val="nil"/>
              <w:left w:val="single" w:sz="4" w:space="0" w:color="auto"/>
              <w:bottom w:val="single" w:sz="4" w:space="0" w:color="auto"/>
              <w:right w:val="single" w:sz="4" w:space="0" w:color="auto"/>
            </w:tcBorders>
            <w:vAlign w:val="center"/>
          </w:tcPr>
          <w:p w14:paraId="1C58A7E8"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332.4 </w:t>
            </w:r>
          </w:p>
        </w:tc>
        <w:tc>
          <w:tcPr>
            <w:tcW w:w="1258" w:type="dxa"/>
            <w:tcBorders>
              <w:top w:val="nil"/>
              <w:left w:val="nil"/>
              <w:bottom w:val="single" w:sz="4" w:space="0" w:color="auto"/>
              <w:right w:val="single" w:sz="4" w:space="0" w:color="auto"/>
            </w:tcBorders>
            <w:vAlign w:val="center"/>
          </w:tcPr>
          <w:p w14:paraId="102E2DC6"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356.3 </w:t>
            </w:r>
          </w:p>
        </w:tc>
        <w:tc>
          <w:tcPr>
            <w:tcW w:w="1258" w:type="dxa"/>
            <w:tcBorders>
              <w:top w:val="nil"/>
              <w:left w:val="nil"/>
              <w:bottom w:val="single" w:sz="4" w:space="0" w:color="auto"/>
              <w:right w:val="single" w:sz="4" w:space="0" w:color="auto"/>
            </w:tcBorders>
            <w:vAlign w:val="center"/>
          </w:tcPr>
          <w:p w14:paraId="569ECB23" w14:textId="6EF6DD2E"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377.0 </w:t>
            </w:r>
          </w:p>
        </w:tc>
        <w:tc>
          <w:tcPr>
            <w:tcW w:w="1258" w:type="dxa"/>
            <w:tcBorders>
              <w:top w:val="nil"/>
              <w:left w:val="nil"/>
              <w:bottom w:val="single" w:sz="4" w:space="0" w:color="auto"/>
              <w:right w:val="single" w:sz="4" w:space="0" w:color="auto"/>
            </w:tcBorders>
            <w:vAlign w:val="center"/>
          </w:tcPr>
          <w:p w14:paraId="24E3DF20" w14:textId="0F9023E0"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376.8 </w:t>
            </w:r>
          </w:p>
        </w:tc>
        <w:tc>
          <w:tcPr>
            <w:tcW w:w="1258" w:type="dxa"/>
            <w:tcBorders>
              <w:top w:val="nil"/>
              <w:left w:val="nil"/>
              <w:bottom w:val="single" w:sz="4" w:space="0" w:color="auto"/>
              <w:right w:val="single" w:sz="4" w:space="0" w:color="auto"/>
            </w:tcBorders>
            <w:vAlign w:val="center"/>
          </w:tcPr>
          <w:p w14:paraId="54F38732" w14:textId="27BD0D16"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385.1 </w:t>
            </w:r>
          </w:p>
        </w:tc>
        <w:tc>
          <w:tcPr>
            <w:tcW w:w="1258" w:type="dxa"/>
            <w:tcBorders>
              <w:top w:val="nil"/>
              <w:left w:val="nil"/>
              <w:bottom w:val="single" w:sz="4" w:space="0" w:color="auto"/>
              <w:right w:val="single" w:sz="4" w:space="0" w:color="auto"/>
            </w:tcBorders>
            <w:vAlign w:val="center"/>
          </w:tcPr>
          <w:p w14:paraId="1D966853"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405.5 </w:t>
            </w:r>
          </w:p>
        </w:tc>
        <w:tc>
          <w:tcPr>
            <w:tcW w:w="1258" w:type="dxa"/>
            <w:tcBorders>
              <w:top w:val="nil"/>
              <w:left w:val="nil"/>
              <w:bottom w:val="single" w:sz="4" w:space="0" w:color="auto"/>
              <w:right w:val="single" w:sz="4" w:space="0" w:color="auto"/>
            </w:tcBorders>
            <w:vAlign w:val="center"/>
          </w:tcPr>
          <w:p w14:paraId="2E2D05DB"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440.8 </w:t>
            </w:r>
          </w:p>
        </w:tc>
        <w:tc>
          <w:tcPr>
            <w:tcW w:w="1258" w:type="dxa"/>
            <w:tcBorders>
              <w:top w:val="nil"/>
              <w:left w:val="nil"/>
              <w:bottom w:val="single" w:sz="4" w:space="0" w:color="auto"/>
              <w:right w:val="single" w:sz="4" w:space="0" w:color="auto"/>
            </w:tcBorders>
            <w:vAlign w:val="center"/>
          </w:tcPr>
          <w:p w14:paraId="104663E6"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477.9 </w:t>
            </w:r>
          </w:p>
        </w:tc>
        <w:tc>
          <w:tcPr>
            <w:tcW w:w="1258" w:type="dxa"/>
            <w:tcBorders>
              <w:top w:val="nil"/>
              <w:left w:val="nil"/>
              <w:bottom w:val="single" w:sz="4" w:space="0" w:color="auto"/>
              <w:right w:val="single" w:sz="4" w:space="0" w:color="auto"/>
            </w:tcBorders>
            <w:vAlign w:val="center"/>
          </w:tcPr>
          <w:p w14:paraId="77733103"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512.2 </w:t>
            </w:r>
          </w:p>
        </w:tc>
        <w:tc>
          <w:tcPr>
            <w:tcW w:w="1258" w:type="dxa"/>
            <w:tcBorders>
              <w:top w:val="nil"/>
              <w:left w:val="nil"/>
              <w:bottom w:val="single" w:sz="4" w:space="0" w:color="auto"/>
              <w:right w:val="single" w:sz="4" w:space="0" w:color="auto"/>
            </w:tcBorders>
            <w:vAlign w:val="center"/>
          </w:tcPr>
          <w:p w14:paraId="192C44B7"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546.1 </w:t>
            </w:r>
          </w:p>
        </w:tc>
      </w:tr>
      <w:tr w:rsidR="00F76B8A" w:rsidRPr="00F76B8A" w14:paraId="593FD615" w14:textId="77777777" w:rsidTr="00ED094E">
        <w:trPr>
          <w:cantSplit/>
        </w:trPr>
        <w:tc>
          <w:tcPr>
            <w:tcW w:w="1980" w:type="dxa"/>
          </w:tcPr>
          <w:p w14:paraId="1E3F8E0E" w14:textId="77777777" w:rsidR="00F76B8A" w:rsidRPr="00F76B8A" w:rsidRDefault="00F76B8A" w:rsidP="00F76B8A">
            <w:pPr>
              <w:pStyle w:val="TableText"/>
              <w:rPr>
                <w:rFonts w:asciiTheme="majorHAnsi" w:eastAsia="Verdana" w:hAnsiTheme="majorHAnsi"/>
                <w:szCs w:val="16"/>
              </w:rPr>
            </w:pPr>
            <w:r w:rsidRPr="00F76B8A">
              <w:rPr>
                <w:rFonts w:asciiTheme="majorHAnsi" w:eastAsia="Verdana" w:hAnsiTheme="majorHAnsi"/>
                <w:szCs w:val="16"/>
              </w:rPr>
              <w:t xml:space="preserve">Tax </w:t>
            </w:r>
          </w:p>
        </w:tc>
        <w:tc>
          <w:tcPr>
            <w:tcW w:w="1258" w:type="dxa"/>
            <w:vAlign w:val="center"/>
          </w:tcPr>
          <w:p w14:paraId="073964D0"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30.5 </w:t>
            </w:r>
          </w:p>
        </w:tc>
        <w:tc>
          <w:tcPr>
            <w:tcW w:w="1258" w:type="dxa"/>
            <w:vAlign w:val="center"/>
          </w:tcPr>
          <w:p w14:paraId="3FDD3C1B"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31.7 </w:t>
            </w:r>
          </w:p>
        </w:tc>
        <w:tc>
          <w:tcPr>
            <w:tcW w:w="1258" w:type="dxa"/>
            <w:vAlign w:val="center"/>
          </w:tcPr>
          <w:p w14:paraId="2557A8A8" w14:textId="38A58E0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26.9 </w:t>
            </w:r>
          </w:p>
        </w:tc>
        <w:tc>
          <w:tcPr>
            <w:tcW w:w="1258" w:type="dxa"/>
            <w:vAlign w:val="center"/>
          </w:tcPr>
          <w:p w14:paraId="2EEE0E7F" w14:textId="424673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22.3 </w:t>
            </w:r>
          </w:p>
        </w:tc>
        <w:tc>
          <w:tcPr>
            <w:tcW w:w="1258" w:type="dxa"/>
            <w:vAlign w:val="center"/>
          </w:tcPr>
          <w:p w14:paraId="7DAEF354"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17.9 </w:t>
            </w:r>
          </w:p>
        </w:tc>
        <w:tc>
          <w:tcPr>
            <w:tcW w:w="1258" w:type="dxa"/>
            <w:vAlign w:val="center"/>
          </w:tcPr>
          <w:p w14:paraId="3BB9CB83"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16.4 </w:t>
            </w:r>
          </w:p>
        </w:tc>
        <w:tc>
          <w:tcPr>
            <w:tcW w:w="1258" w:type="dxa"/>
            <w:vAlign w:val="center"/>
          </w:tcPr>
          <w:p w14:paraId="61C12CF1"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19.9 </w:t>
            </w:r>
          </w:p>
        </w:tc>
        <w:tc>
          <w:tcPr>
            <w:tcW w:w="1258" w:type="dxa"/>
            <w:vAlign w:val="center"/>
          </w:tcPr>
          <w:p w14:paraId="4AE5F6E9"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14.5 </w:t>
            </w:r>
          </w:p>
        </w:tc>
        <w:tc>
          <w:tcPr>
            <w:tcW w:w="1258" w:type="dxa"/>
            <w:vAlign w:val="center"/>
          </w:tcPr>
          <w:p w14:paraId="733E2EEB"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15.4 </w:t>
            </w:r>
          </w:p>
        </w:tc>
        <w:tc>
          <w:tcPr>
            <w:tcW w:w="1258" w:type="dxa"/>
            <w:vAlign w:val="center"/>
          </w:tcPr>
          <w:p w14:paraId="339AEB40"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16.8 </w:t>
            </w:r>
          </w:p>
        </w:tc>
      </w:tr>
      <w:tr w:rsidR="0069661E" w:rsidRPr="00F76B8A" w14:paraId="3B244E74"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1980" w:type="dxa"/>
          </w:tcPr>
          <w:p w14:paraId="0104C9AF" w14:textId="77777777" w:rsidR="00F76B8A" w:rsidRPr="00F76B8A" w:rsidRDefault="00F76B8A" w:rsidP="00F76B8A">
            <w:pPr>
              <w:pStyle w:val="TableText"/>
              <w:rPr>
                <w:rFonts w:asciiTheme="majorHAnsi" w:eastAsia="Verdana" w:hAnsiTheme="majorHAnsi"/>
                <w:szCs w:val="16"/>
              </w:rPr>
            </w:pPr>
            <w:r w:rsidRPr="00F76B8A">
              <w:rPr>
                <w:rFonts w:asciiTheme="majorHAnsi" w:eastAsia="Verdana" w:hAnsiTheme="majorHAnsi"/>
                <w:szCs w:val="16"/>
              </w:rPr>
              <w:t>Prior Period Adjustment</w:t>
            </w:r>
          </w:p>
        </w:tc>
        <w:tc>
          <w:tcPr>
            <w:tcW w:w="1258" w:type="dxa"/>
            <w:vAlign w:val="center"/>
          </w:tcPr>
          <w:p w14:paraId="2FBA0130" w14:textId="2E4FA403" w:rsidR="00F76B8A" w:rsidRPr="00F76B8A" w:rsidRDefault="00F76B8A" w:rsidP="00F76B8A">
            <w:pPr>
              <w:pStyle w:val="TableText"/>
              <w:rPr>
                <w:rFonts w:asciiTheme="majorHAnsi" w:eastAsia="Verdana" w:hAnsiTheme="majorHAnsi" w:cs="Verdana"/>
                <w:szCs w:val="16"/>
              </w:rPr>
            </w:pPr>
            <w:r>
              <w:rPr>
                <w:rFonts w:ascii="Verdana" w:hAnsi="Verdana" w:cs="Tahoma"/>
                <w:szCs w:val="16"/>
              </w:rPr>
              <w:t>-</w:t>
            </w:r>
            <w:r w:rsidRPr="00F76B8A">
              <w:rPr>
                <w:rFonts w:ascii="Verdana" w:hAnsi="Verdana" w:cs="Tahoma"/>
                <w:szCs w:val="16"/>
              </w:rPr>
              <w:t>1.9</w:t>
            </w:r>
          </w:p>
        </w:tc>
        <w:tc>
          <w:tcPr>
            <w:tcW w:w="1258" w:type="dxa"/>
            <w:vAlign w:val="center"/>
          </w:tcPr>
          <w:p w14:paraId="0DCC5446" w14:textId="771AC5AA" w:rsidR="00F76B8A" w:rsidRPr="00F76B8A" w:rsidRDefault="00F76B8A" w:rsidP="00F76B8A">
            <w:pPr>
              <w:pStyle w:val="TableText"/>
              <w:rPr>
                <w:rFonts w:asciiTheme="majorHAnsi" w:eastAsia="Verdana" w:hAnsiTheme="majorHAnsi" w:cs="Verdana"/>
                <w:szCs w:val="16"/>
              </w:rPr>
            </w:pPr>
            <w:r>
              <w:rPr>
                <w:rFonts w:ascii="Verdana" w:hAnsi="Verdana" w:cs="Tahoma"/>
                <w:szCs w:val="16"/>
              </w:rPr>
              <w:t>-</w:t>
            </w:r>
            <w:r w:rsidRPr="00F76B8A">
              <w:rPr>
                <w:rFonts w:ascii="Verdana" w:hAnsi="Verdana" w:cs="Tahoma"/>
                <w:szCs w:val="16"/>
              </w:rPr>
              <w:t>1.9</w:t>
            </w:r>
            <w:r>
              <w:rPr>
                <w:rFonts w:ascii="Verdana" w:hAnsi="Verdana" w:cs="Tahoma"/>
                <w:szCs w:val="16"/>
              </w:rPr>
              <w:t>-</w:t>
            </w:r>
          </w:p>
        </w:tc>
        <w:tc>
          <w:tcPr>
            <w:tcW w:w="1258" w:type="dxa"/>
            <w:vAlign w:val="center"/>
          </w:tcPr>
          <w:p w14:paraId="72C9CB7E" w14:textId="73DB9FBD" w:rsidR="00F76B8A" w:rsidRPr="00F76B8A" w:rsidRDefault="00F76B8A" w:rsidP="00F76B8A">
            <w:pPr>
              <w:pStyle w:val="TableText"/>
              <w:rPr>
                <w:rFonts w:asciiTheme="majorHAnsi" w:eastAsia="Verdana" w:hAnsiTheme="majorHAnsi" w:cs="Verdana"/>
                <w:szCs w:val="16"/>
              </w:rPr>
            </w:pPr>
            <w:r>
              <w:rPr>
                <w:rFonts w:ascii="Verdana" w:hAnsi="Verdana" w:cs="Tahoma"/>
                <w:szCs w:val="16"/>
              </w:rPr>
              <w:t>-</w:t>
            </w:r>
            <w:r w:rsidRPr="00F76B8A">
              <w:rPr>
                <w:rFonts w:ascii="Verdana" w:hAnsi="Verdana" w:cs="Tahoma"/>
                <w:szCs w:val="16"/>
              </w:rPr>
              <w:t>1.9</w:t>
            </w:r>
          </w:p>
        </w:tc>
        <w:tc>
          <w:tcPr>
            <w:tcW w:w="1258" w:type="dxa"/>
            <w:vAlign w:val="center"/>
          </w:tcPr>
          <w:p w14:paraId="4290A2F6" w14:textId="2D2975D0" w:rsidR="00F76B8A" w:rsidRPr="00F76B8A" w:rsidRDefault="00F76B8A" w:rsidP="00F76B8A">
            <w:pPr>
              <w:pStyle w:val="TableText"/>
              <w:rPr>
                <w:rFonts w:asciiTheme="majorHAnsi" w:eastAsia="Verdana" w:hAnsiTheme="majorHAnsi" w:cs="Verdana"/>
                <w:szCs w:val="16"/>
              </w:rPr>
            </w:pPr>
            <w:r>
              <w:rPr>
                <w:rFonts w:ascii="Verdana" w:hAnsi="Verdana" w:cs="Tahoma"/>
                <w:szCs w:val="16"/>
              </w:rPr>
              <w:t>-</w:t>
            </w:r>
            <w:r w:rsidRPr="00F76B8A">
              <w:rPr>
                <w:rFonts w:ascii="Verdana" w:hAnsi="Verdana" w:cs="Tahoma"/>
                <w:szCs w:val="16"/>
              </w:rPr>
              <w:t>1.9</w:t>
            </w:r>
          </w:p>
        </w:tc>
        <w:tc>
          <w:tcPr>
            <w:tcW w:w="1258" w:type="dxa"/>
            <w:vAlign w:val="center"/>
          </w:tcPr>
          <w:p w14:paraId="41C8951A" w14:textId="337D9576" w:rsidR="00F76B8A" w:rsidRPr="00F76B8A" w:rsidRDefault="00F76B8A" w:rsidP="00F76B8A">
            <w:pPr>
              <w:pStyle w:val="TableText"/>
              <w:rPr>
                <w:rFonts w:asciiTheme="majorHAnsi" w:eastAsia="Verdana" w:hAnsiTheme="majorHAnsi" w:cs="Verdana"/>
                <w:szCs w:val="16"/>
              </w:rPr>
            </w:pPr>
            <w:r>
              <w:rPr>
                <w:rFonts w:ascii="Verdana" w:hAnsi="Verdana" w:cs="Tahoma"/>
                <w:szCs w:val="16"/>
              </w:rPr>
              <w:t>-</w:t>
            </w:r>
            <w:r w:rsidRPr="00F76B8A">
              <w:rPr>
                <w:rFonts w:ascii="Verdana" w:hAnsi="Verdana" w:cs="Tahoma"/>
                <w:szCs w:val="16"/>
              </w:rPr>
              <w:t>1.9</w:t>
            </w:r>
          </w:p>
        </w:tc>
        <w:tc>
          <w:tcPr>
            <w:tcW w:w="1258" w:type="dxa"/>
            <w:vAlign w:val="center"/>
          </w:tcPr>
          <w:p w14:paraId="470CE933"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 </w:t>
            </w:r>
          </w:p>
        </w:tc>
        <w:tc>
          <w:tcPr>
            <w:tcW w:w="1258" w:type="dxa"/>
            <w:vAlign w:val="center"/>
          </w:tcPr>
          <w:p w14:paraId="555B32CD"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 </w:t>
            </w:r>
          </w:p>
        </w:tc>
        <w:tc>
          <w:tcPr>
            <w:tcW w:w="1258" w:type="dxa"/>
            <w:vAlign w:val="center"/>
          </w:tcPr>
          <w:p w14:paraId="26B8C42E"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 </w:t>
            </w:r>
          </w:p>
        </w:tc>
        <w:tc>
          <w:tcPr>
            <w:tcW w:w="1258" w:type="dxa"/>
            <w:vAlign w:val="center"/>
          </w:tcPr>
          <w:p w14:paraId="194AED28"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 </w:t>
            </w:r>
          </w:p>
        </w:tc>
        <w:tc>
          <w:tcPr>
            <w:tcW w:w="1258" w:type="dxa"/>
            <w:vAlign w:val="center"/>
          </w:tcPr>
          <w:p w14:paraId="6A78E634" w14:textId="77777777" w:rsidR="00F76B8A" w:rsidRPr="00F76B8A" w:rsidRDefault="00F76B8A" w:rsidP="00F76B8A">
            <w:pPr>
              <w:pStyle w:val="TableText"/>
              <w:rPr>
                <w:rFonts w:asciiTheme="majorHAnsi" w:eastAsia="Verdana" w:hAnsiTheme="majorHAnsi" w:cs="Verdana"/>
                <w:szCs w:val="16"/>
              </w:rPr>
            </w:pPr>
            <w:r w:rsidRPr="00F76B8A">
              <w:rPr>
                <w:rFonts w:ascii="Verdana" w:hAnsi="Verdana" w:cs="Tahoma"/>
                <w:szCs w:val="16"/>
              </w:rPr>
              <w:t xml:space="preserve"> - </w:t>
            </w:r>
          </w:p>
        </w:tc>
      </w:tr>
      <w:tr w:rsidR="00F76B8A" w:rsidRPr="00F76B8A" w14:paraId="67FF600A" w14:textId="77777777" w:rsidTr="00ED094E">
        <w:trPr>
          <w:cantSplit/>
          <w:trHeight w:val="255"/>
        </w:trPr>
        <w:tc>
          <w:tcPr>
            <w:tcW w:w="1980" w:type="dxa"/>
          </w:tcPr>
          <w:p w14:paraId="7AE291C0" w14:textId="77777777" w:rsidR="00F76B8A" w:rsidRPr="00F76B8A" w:rsidRDefault="00F76B8A" w:rsidP="00F76B8A">
            <w:pPr>
              <w:pStyle w:val="TableText"/>
              <w:rPr>
                <w:rFonts w:asciiTheme="majorHAnsi" w:eastAsia="Verdana" w:hAnsiTheme="majorHAnsi"/>
                <w:b/>
                <w:bCs/>
                <w:szCs w:val="16"/>
              </w:rPr>
            </w:pPr>
            <w:r w:rsidRPr="00F76B8A">
              <w:rPr>
                <w:rFonts w:asciiTheme="majorHAnsi" w:eastAsia="Verdana" w:hAnsiTheme="majorHAnsi"/>
                <w:b/>
                <w:bCs/>
                <w:szCs w:val="16"/>
              </w:rPr>
              <w:t xml:space="preserve">Total </w:t>
            </w:r>
          </w:p>
        </w:tc>
        <w:tc>
          <w:tcPr>
            <w:tcW w:w="1258" w:type="dxa"/>
            <w:tcBorders>
              <w:top w:val="nil"/>
              <w:left w:val="single" w:sz="4" w:space="0" w:color="auto"/>
              <w:bottom w:val="single" w:sz="4" w:space="0" w:color="auto"/>
              <w:right w:val="single" w:sz="4" w:space="0" w:color="auto"/>
            </w:tcBorders>
            <w:vAlign w:val="center"/>
          </w:tcPr>
          <w:p w14:paraId="60FE7C3E" w14:textId="23D25FC9" w:rsidR="00F76B8A" w:rsidRPr="00F76B8A" w:rsidRDefault="00F76B8A" w:rsidP="00F76B8A">
            <w:pPr>
              <w:pStyle w:val="TableText"/>
              <w:rPr>
                <w:rFonts w:asciiTheme="majorHAnsi" w:eastAsia="Verdana" w:hAnsiTheme="majorHAnsi" w:cs="Verdana"/>
                <w:b/>
                <w:bCs/>
                <w:szCs w:val="16"/>
              </w:rPr>
            </w:pPr>
            <w:r w:rsidRPr="00F76B8A">
              <w:rPr>
                <w:rFonts w:ascii="Verdana" w:hAnsi="Verdana" w:cs="Tahoma"/>
                <w:b/>
                <w:bCs/>
                <w:szCs w:val="16"/>
              </w:rPr>
              <w:t xml:space="preserve"> 1,929.6 </w:t>
            </w:r>
          </w:p>
        </w:tc>
        <w:tc>
          <w:tcPr>
            <w:tcW w:w="1258" w:type="dxa"/>
            <w:tcBorders>
              <w:top w:val="nil"/>
              <w:left w:val="nil"/>
              <w:bottom w:val="single" w:sz="4" w:space="0" w:color="auto"/>
              <w:right w:val="single" w:sz="4" w:space="0" w:color="auto"/>
            </w:tcBorders>
            <w:vAlign w:val="center"/>
          </w:tcPr>
          <w:p w14:paraId="1DF13C5A" w14:textId="58B15B90" w:rsidR="00F76B8A" w:rsidRPr="00F76B8A" w:rsidRDefault="00F76B8A" w:rsidP="00F76B8A">
            <w:pPr>
              <w:pStyle w:val="TableText"/>
              <w:rPr>
                <w:rFonts w:asciiTheme="majorHAnsi" w:eastAsia="Verdana" w:hAnsiTheme="majorHAnsi" w:cs="Verdana"/>
                <w:b/>
                <w:bCs/>
                <w:szCs w:val="16"/>
              </w:rPr>
            </w:pPr>
            <w:r w:rsidRPr="00F76B8A">
              <w:rPr>
                <w:rFonts w:ascii="Verdana" w:hAnsi="Verdana" w:cs="Tahoma"/>
                <w:b/>
                <w:bCs/>
                <w:szCs w:val="16"/>
              </w:rPr>
              <w:t xml:space="preserve"> 1,983.0 </w:t>
            </w:r>
          </w:p>
        </w:tc>
        <w:tc>
          <w:tcPr>
            <w:tcW w:w="1258" w:type="dxa"/>
            <w:tcBorders>
              <w:top w:val="nil"/>
              <w:left w:val="nil"/>
              <w:bottom w:val="single" w:sz="4" w:space="0" w:color="auto"/>
              <w:right w:val="single" w:sz="4" w:space="0" w:color="auto"/>
            </w:tcBorders>
            <w:vAlign w:val="center"/>
          </w:tcPr>
          <w:p w14:paraId="4AA51CC4" w14:textId="27129056" w:rsidR="00F76B8A" w:rsidRPr="00F76B8A" w:rsidRDefault="00F76B8A" w:rsidP="00F76B8A">
            <w:pPr>
              <w:pStyle w:val="TableText"/>
              <w:rPr>
                <w:rFonts w:asciiTheme="majorHAnsi" w:eastAsia="Verdana" w:hAnsiTheme="majorHAnsi" w:cs="Verdana"/>
                <w:b/>
                <w:bCs/>
                <w:szCs w:val="16"/>
              </w:rPr>
            </w:pPr>
            <w:r w:rsidRPr="00F76B8A">
              <w:rPr>
                <w:rFonts w:ascii="Verdana" w:hAnsi="Verdana" w:cs="Tahoma"/>
                <w:b/>
                <w:bCs/>
                <w:szCs w:val="16"/>
              </w:rPr>
              <w:t xml:space="preserve"> 2,046.3 </w:t>
            </w:r>
          </w:p>
        </w:tc>
        <w:tc>
          <w:tcPr>
            <w:tcW w:w="1258" w:type="dxa"/>
            <w:tcBorders>
              <w:top w:val="nil"/>
              <w:left w:val="nil"/>
              <w:bottom w:val="single" w:sz="4" w:space="0" w:color="auto"/>
              <w:right w:val="single" w:sz="4" w:space="0" w:color="auto"/>
            </w:tcBorders>
            <w:vAlign w:val="center"/>
          </w:tcPr>
          <w:p w14:paraId="3B4D5D66" w14:textId="0E37F1BC" w:rsidR="00F76B8A" w:rsidRPr="00F76B8A" w:rsidRDefault="00F76B8A" w:rsidP="00F76B8A">
            <w:pPr>
              <w:pStyle w:val="TableText"/>
              <w:rPr>
                <w:rFonts w:asciiTheme="majorHAnsi" w:eastAsia="Verdana" w:hAnsiTheme="majorHAnsi" w:cs="Verdana"/>
                <w:b/>
                <w:bCs/>
                <w:szCs w:val="16"/>
              </w:rPr>
            </w:pPr>
            <w:r w:rsidRPr="00F76B8A">
              <w:rPr>
                <w:rFonts w:ascii="Verdana" w:hAnsi="Verdana" w:cs="Tahoma"/>
                <w:b/>
                <w:bCs/>
                <w:szCs w:val="16"/>
              </w:rPr>
              <w:t xml:space="preserve"> 2,066.0 </w:t>
            </w:r>
          </w:p>
        </w:tc>
        <w:tc>
          <w:tcPr>
            <w:tcW w:w="1258" w:type="dxa"/>
            <w:tcBorders>
              <w:top w:val="nil"/>
              <w:left w:val="nil"/>
              <w:bottom w:val="single" w:sz="4" w:space="0" w:color="auto"/>
              <w:right w:val="single" w:sz="4" w:space="0" w:color="auto"/>
            </w:tcBorders>
            <w:vAlign w:val="center"/>
          </w:tcPr>
          <w:p w14:paraId="2204F5DC" w14:textId="13417F82" w:rsidR="00F76B8A" w:rsidRPr="00F76B8A" w:rsidRDefault="00F76B8A" w:rsidP="00F76B8A">
            <w:pPr>
              <w:pStyle w:val="TableText"/>
              <w:rPr>
                <w:rFonts w:asciiTheme="majorHAnsi" w:eastAsia="Verdana" w:hAnsiTheme="majorHAnsi" w:cs="Verdana"/>
                <w:b/>
                <w:bCs/>
                <w:szCs w:val="16"/>
              </w:rPr>
            </w:pPr>
            <w:r w:rsidRPr="00F76B8A">
              <w:rPr>
                <w:rFonts w:ascii="Verdana" w:hAnsi="Verdana" w:cs="Tahoma"/>
                <w:b/>
                <w:bCs/>
                <w:szCs w:val="16"/>
              </w:rPr>
              <w:t xml:space="preserve"> 2,107.4 </w:t>
            </w:r>
          </w:p>
        </w:tc>
        <w:tc>
          <w:tcPr>
            <w:tcW w:w="1258" w:type="dxa"/>
            <w:tcBorders>
              <w:top w:val="nil"/>
              <w:left w:val="nil"/>
              <w:bottom w:val="single" w:sz="4" w:space="0" w:color="auto"/>
              <w:right w:val="single" w:sz="4" w:space="0" w:color="auto"/>
            </w:tcBorders>
            <w:vAlign w:val="center"/>
          </w:tcPr>
          <w:p w14:paraId="3358D0AA" w14:textId="52C55945" w:rsidR="00F76B8A" w:rsidRPr="00F76B8A" w:rsidRDefault="00F76B8A" w:rsidP="00F76B8A">
            <w:pPr>
              <w:pStyle w:val="TableText"/>
              <w:rPr>
                <w:rFonts w:asciiTheme="majorHAnsi" w:eastAsia="Verdana" w:hAnsiTheme="majorHAnsi" w:cs="Verdana"/>
                <w:b/>
                <w:bCs/>
                <w:szCs w:val="16"/>
              </w:rPr>
            </w:pPr>
            <w:r w:rsidRPr="00F76B8A">
              <w:rPr>
                <w:rFonts w:ascii="Verdana" w:hAnsi="Verdana" w:cs="Tahoma"/>
                <w:b/>
                <w:bCs/>
                <w:szCs w:val="16"/>
              </w:rPr>
              <w:t xml:space="preserve"> 2,174.3 </w:t>
            </w:r>
          </w:p>
        </w:tc>
        <w:tc>
          <w:tcPr>
            <w:tcW w:w="1258" w:type="dxa"/>
            <w:tcBorders>
              <w:top w:val="nil"/>
              <w:left w:val="nil"/>
              <w:bottom w:val="single" w:sz="4" w:space="0" w:color="auto"/>
              <w:right w:val="single" w:sz="4" w:space="0" w:color="auto"/>
            </w:tcBorders>
            <w:vAlign w:val="center"/>
          </w:tcPr>
          <w:p w14:paraId="7149D821" w14:textId="77FE8AFF" w:rsidR="00F76B8A" w:rsidRPr="00F76B8A" w:rsidRDefault="00F76B8A" w:rsidP="00F76B8A">
            <w:pPr>
              <w:pStyle w:val="TableText"/>
              <w:rPr>
                <w:rFonts w:asciiTheme="majorHAnsi" w:eastAsia="Verdana" w:hAnsiTheme="majorHAnsi" w:cs="Verdana"/>
                <w:b/>
                <w:bCs/>
                <w:szCs w:val="16"/>
              </w:rPr>
            </w:pPr>
            <w:r w:rsidRPr="00F76B8A">
              <w:rPr>
                <w:rFonts w:ascii="Verdana" w:hAnsi="Verdana" w:cs="Tahoma"/>
                <w:b/>
                <w:bCs/>
                <w:szCs w:val="16"/>
              </w:rPr>
              <w:t xml:space="preserve"> 2,253.7 </w:t>
            </w:r>
          </w:p>
        </w:tc>
        <w:tc>
          <w:tcPr>
            <w:tcW w:w="1258" w:type="dxa"/>
            <w:tcBorders>
              <w:top w:val="nil"/>
              <w:left w:val="nil"/>
              <w:bottom w:val="single" w:sz="4" w:space="0" w:color="auto"/>
              <w:right w:val="single" w:sz="4" w:space="0" w:color="auto"/>
            </w:tcBorders>
            <w:vAlign w:val="center"/>
          </w:tcPr>
          <w:p w14:paraId="38F56A0B" w14:textId="7B275E28" w:rsidR="00F76B8A" w:rsidRPr="00F76B8A" w:rsidRDefault="00F76B8A" w:rsidP="00F76B8A">
            <w:pPr>
              <w:pStyle w:val="TableText"/>
              <w:rPr>
                <w:rFonts w:asciiTheme="majorHAnsi" w:eastAsia="Verdana" w:hAnsiTheme="majorHAnsi" w:cs="Verdana"/>
                <w:b/>
                <w:bCs/>
                <w:szCs w:val="16"/>
              </w:rPr>
            </w:pPr>
            <w:r w:rsidRPr="00F76B8A">
              <w:rPr>
                <w:rFonts w:ascii="Verdana" w:hAnsi="Verdana" w:cs="Tahoma"/>
                <w:b/>
                <w:bCs/>
                <w:szCs w:val="16"/>
              </w:rPr>
              <w:t xml:space="preserve"> 2,275.4 </w:t>
            </w:r>
          </w:p>
        </w:tc>
        <w:tc>
          <w:tcPr>
            <w:tcW w:w="1258" w:type="dxa"/>
            <w:tcBorders>
              <w:top w:val="nil"/>
              <w:left w:val="nil"/>
              <w:bottom w:val="single" w:sz="4" w:space="0" w:color="auto"/>
              <w:right w:val="single" w:sz="4" w:space="0" w:color="auto"/>
            </w:tcBorders>
            <w:vAlign w:val="center"/>
          </w:tcPr>
          <w:p w14:paraId="39F1EBCF" w14:textId="305418BF" w:rsidR="00F76B8A" w:rsidRPr="00F76B8A" w:rsidRDefault="00F76B8A" w:rsidP="00F76B8A">
            <w:pPr>
              <w:pStyle w:val="TableText"/>
              <w:rPr>
                <w:rFonts w:asciiTheme="majorHAnsi" w:eastAsia="Verdana" w:hAnsiTheme="majorHAnsi" w:cs="Verdana"/>
                <w:b/>
                <w:bCs/>
                <w:szCs w:val="16"/>
              </w:rPr>
            </w:pPr>
            <w:r w:rsidRPr="00F76B8A">
              <w:rPr>
                <w:rFonts w:ascii="Verdana" w:hAnsi="Verdana" w:cs="Tahoma"/>
                <w:b/>
                <w:bCs/>
                <w:szCs w:val="16"/>
              </w:rPr>
              <w:t xml:space="preserve"> 2,312.4 </w:t>
            </w:r>
          </w:p>
        </w:tc>
        <w:tc>
          <w:tcPr>
            <w:tcW w:w="1258" w:type="dxa"/>
            <w:tcBorders>
              <w:top w:val="nil"/>
              <w:left w:val="nil"/>
              <w:bottom w:val="single" w:sz="4" w:space="0" w:color="auto"/>
              <w:right w:val="single" w:sz="4" w:space="0" w:color="auto"/>
            </w:tcBorders>
            <w:vAlign w:val="center"/>
          </w:tcPr>
          <w:p w14:paraId="10F02670" w14:textId="254626BD" w:rsidR="00F76B8A" w:rsidRPr="00F76B8A" w:rsidRDefault="00F76B8A" w:rsidP="00F76B8A">
            <w:pPr>
              <w:pStyle w:val="TableText"/>
              <w:rPr>
                <w:rFonts w:asciiTheme="majorHAnsi" w:eastAsia="Verdana" w:hAnsiTheme="majorHAnsi" w:cs="Verdana"/>
                <w:b/>
                <w:bCs/>
                <w:szCs w:val="16"/>
              </w:rPr>
            </w:pPr>
            <w:r w:rsidRPr="00F76B8A">
              <w:rPr>
                <w:rFonts w:ascii="Verdana" w:hAnsi="Verdana" w:cs="Tahoma"/>
                <w:b/>
                <w:bCs/>
                <w:szCs w:val="16"/>
              </w:rPr>
              <w:t xml:space="preserve"> 2,359.7 </w:t>
            </w:r>
          </w:p>
        </w:tc>
      </w:tr>
    </w:tbl>
    <w:p w14:paraId="4B14592B" w14:textId="77777777" w:rsidR="00046BD5" w:rsidRPr="00DE108C" w:rsidRDefault="00046BD5" w:rsidP="00ED094E">
      <w:pPr>
        <w:sectPr w:rsidR="00046BD5" w:rsidRPr="00DE108C" w:rsidSect="00046BD5">
          <w:pgSz w:w="16838" w:h="11906" w:orient="landscape" w:code="9"/>
          <w:pgMar w:top="1134" w:right="1134" w:bottom="1134" w:left="1134" w:header="567" w:footer="680" w:gutter="0"/>
          <w:cols w:space="708"/>
          <w:docGrid w:linePitch="360"/>
        </w:sectPr>
      </w:pPr>
      <w:bookmarkStart w:id="942" w:name="_Toc196745281"/>
    </w:p>
    <w:p w14:paraId="66AD91EC" w14:textId="635D860F" w:rsidR="00046BD5" w:rsidRPr="00DE108C" w:rsidRDefault="00046BD5">
      <w:pPr>
        <w:pStyle w:val="Heading3"/>
      </w:pPr>
      <w:r w:rsidRPr="00DE108C">
        <w:lastRenderedPageBreak/>
        <w:t>9.</w:t>
      </w:r>
      <w:r w:rsidR="00CE1E61">
        <w:t>1</w:t>
      </w:r>
      <w:r w:rsidRPr="00DE108C">
        <w:t>.1 Benchmark tax allowance</w:t>
      </w:r>
      <w:bookmarkEnd w:id="942"/>
    </w:p>
    <w:p w14:paraId="2BC3F9A1" w14:textId="77777777" w:rsidR="00046BD5" w:rsidRPr="00DE108C" w:rsidRDefault="00046BD5" w:rsidP="00ED094E">
      <w:r w:rsidRPr="00DE108C">
        <w:t xml:space="preserve">The regulated return on assets is expressed in post-tax terms, rather than a tax adjustment included in the specification. Therefore, it is necessary to include an estimate of tax liabilities in the revenue requirement. The tax liability has been calculated in accordance with the ESC’s Guidance Paper. </w:t>
      </w:r>
    </w:p>
    <w:p w14:paraId="184C68BD" w14:textId="6A5742D9" w:rsidR="00046BD5" w:rsidRPr="00DE108C" w:rsidRDefault="00046BD5" w:rsidP="00ED094E">
      <w:r w:rsidRPr="00DE108C">
        <w:t xml:space="preserve">Our proposed tax allowance for the next regulatory period is </w:t>
      </w:r>
      <w:r w:rsidRPr="001164EE">
        <w:t>$129.</w:t>
      </w:r>
      <w:r w:rsidR="006404F4" w:rsidRPr="001164EE">
        <w:t>2</w:t>
      </w:r>
      <w:r w:rsidRPr="00DE108C">
        <w:t> million (as shown in Table 9.1). This is the estimate determined in the ESC’s financial model and assumes the corporate tax rate remains at 30 per cent for the duration of the next regulatory period.</w:t>
      </w:r>
    </w:p>
    <w:p w14:paraId="465AC691" w14:textId="4050BC0D" w:rsidR="00046BD5" w:rsidRPr="00DE108C" w:rsidRDefault="00046BD5" w:rsidP="00ED094E">
      <w:r w:rsidRPr="00DE108C">
        <w:t xml:space="preserve">The tax allowance is allocated based on the value of the </w:t>
      </w:r>
      <w:r w:rsidR="6DAF76C1">
        <w:t>R</w:t>
      </w:r>
      <w:r w:rsidR="4542EB1B">
        <w:t>egulat</w:t>
      </w:r>
      <w:r w:rsidR="5921E3EC">
        <w:t>ory</w:t>
      </w:r>
      <w:r w:rsidR="4542EB1B">
        <w:t xml:space="preserve"> </w:t>
      </w:r>
      <w:r w:rsidR="6DAF76C1">
        <w:t>A</w:t>
      </w:r>
      <w:r w:rsidR="40A05B42">
        <w:t xml:space="preserve">sset </w:t>
      </w:r>
      <w:r w:rsidR="6DAF76C1">
        <w:t>B</w:t>
      </w:r>
      <w:r w:rsidR="52A99FF0">
        <w:t>ase (</w:t>
      </w:r>
      <w:r w:rsidRPr="00DE108C">
        <w:t>RAB</w:t>
      </w:r>
      <w:r w:rsidR="52A99FF0">
        <w:t>)</w:t>
      </w:r>
      <w:r w:rsidRPr="00DE108C">
        <w:t xml:space="preserve"> to each of our four main products – waterways and drainage, water, sewerage and recycled water. Diversions do not receive a tax allowance allocation. </w:t>
      </w:r>
    </w:p>
    <w:p w14:paraId="23809373" w14:textId="77777777" w:rsidR="00046BD5" w:rsidRPr="00DE108C" w:rsidRDefault="00046BD5" w:rsidP="00ED094E">
      <w:pPr>
        <w:sectPr w:rsidR="00046BD5" w:rsidRPr="00DE108C" w:rsidSect="00046BD5">
          <w:pgSz w:w="11906" w:h="16838" w:code="9"/>
          <w:pgMar w:top="1134" w:right="1134" w:bottom="1134" w:left="1134" w:header="567" w:footer="680" w:gutter="0"/>
          <w:cols w:space="708"/>
          <w:docGrid w:linePitch="360"/>
        </w:sectPr>
      </w:pPr>
    </w:p>
    <w:p w14:paraId="16A57666" w14:textId="6AD3B7CE" w:rsidR="00046BD5" w:rsidRPr="00DE108C" w:rsidRDefault="00046BD5" w:rsidP="00CE1E61">
      <w:pPr>
        <w:pStyle w:val="Heading2"/>
      </w:pPr>
      <w:bookmarkStart w:id="943" w:name="_Toc196745283"/>
      <w:r w:rsidRPr="00DE108C">
        <w:lastRenderedPageBreak/>
        <w:t>9.2 Water</w:t>
      </w:r>
      <w:bookmarkEnd w:id="943"/>
      <w:r w:rsidRPr="00DE108C">
        <w:t xml:space="preserve"> </w:t>
      </w:r>
    </w:p>
    <w:p w14:paraId="64BBF5CD" w14:textId="603D3BB7" w:rsidR="00046BD5" w:rsidRPr="00DE108C" w:rsidRDefault="00046BD5" w:rsidP="00ED094E">
      <w:r w:rsidRPr="00DE108C">
        <w:t xml:space="preserve">Our forecast revenue requirement for the regulatory period </w:t>
      </w:r>
      <w:r w:rsidRPr="001164EE">
        <w:t>is $5,066 million</w:t>
      </w:r>
      <w:r w:rsidRPr="00DE108C">
        <w:t xml:space="preserve"> for water</w:t>
      </w:r>
      <w:r w:rsidR="004C704C" w:rsidRPr="00DE108C">
        <w:t xml:space="preserve"> (provided annually in Table 9.2)</w:t>
      </w:r>
      <w:r w:rsidRPr="00DE108C">
        <w:t xml:space="preserve">. It is based on meeting legislative, regulatory and policy obligations, as well as delivering the outcomes customers told us they value. </w:t>
      </w:r>
    </w:p>
    <w:p w14:paraId="19D1B602" w14:textId="77777777" w:rsidR="00046BD5" w:rsidRPr="00DE108C" w:rsidRDefault="00046BD5" w:rsidP="00ED094E">
      <w:pPr>
        <w:pStyle w:val="Caption"/>
      </w:pPr>
      <w:bookmarkStart w:id="944" w:name="_Toc190878429"/>
      <w:bookmarkStart w:id="945" w:name="_Toc207893086"/>
      <w:bookmarkStart w:id="946" w:name="_Toc208490610"/>
      <w:bookmarkStart w:id="947" w:name="_Toc208490948"/>
      <w:bookmarkStart w:id="948" w:name="_Toc208911106"/>
      <w:bookmarkStart w:id="949" w:name="_Toc210051412"/>
      <w:r w:rsidRPr="001164EE">
        <w:t>Table 9.2: Water revenue requirement</w:t>
      </w:r>
      <w:bookmarkEnd w:id="944"/>
      <w:r w:rsidRPr="001164EE">
        <w:t xml:space="preserve"> ($millions, real 2025-26)</w:t>
      </w:r>
      <w:bookmarkEnd w:id="945"/>
      <w:bookmarkEnd w:id="946"/>
      <w:bookmarkEnd w:id="947"/>
      <w:bookmarkEnd w:id="948"/>
      <w:bookmarkEnd w:id="949"/>
    </w:p>
    <w:tbl>
      <w:tblPr>
        <w:tblStyle w:val="MWTableGrid"/>
        <w:tblW w:w="5000" w:type="pct"/>
        <w:tblLayout w:type="fixed"/>
        <w:tblLook w:val="0420" w:firstRow="1" w:lastRow="0" w:firstColumn="0" w:lastColumn="0" w:noHBand="0" w:noVBand="1"/>
      </w:tblPr>
      <w:tblGrid>
        <w:gridCol w:w="1980"/>
        <w:gridCol w:w="1258"/>
        <w:gridCol w:w="1258"/>
        <w:gridCol w:w="1258"/>
        <w:gridCol w:w="1258"/>
        <w:gridCol w:w="1258"/>
        <w:gridCol w:w="1258"/>
        <w:gridCol w:w="1258"/>
        <w:gridCol w:w="1258"/>
        <w:gridCol w:w="1258"/>
        <w:gridCol w:w="1258"/>
      </w:tblGrid>
      <w:tr w:rsidR="0069661E" w:rsidRPr="00825AD0" w14:paraId="16554A5C" w14:textId="77777777" w:rsidTr="00B46F82">
        <w:trPr>
          <w:cnfStyle w:val="100000000000" w:firstRow="1" w:lastRow="0" w:firstColumn="0" w:lastColumn="0" w:oddVBand="0" w:evenVBand="0" w:oddHBand="0" w:evenHBand="0" w:firstRowFirstColumn="0" w:firstRowLastColumn="0" w:lastRowFirstColumn="0" w:lastRowLastColumn="0"/>
        </w:trPr>
        <w:tc>
          <w:tcPr>
            <w:tcW w:w="1980" w:type="dxa"/>
          </w:tcPr>
          <w:p w14:paraId="1D4019DC" w14:textId="77777777" w:rsidR="00046BD5" w:rsidRPr="00825AD0" w:rsidRDefault="00046BD5" w:rsidP="00ED094E">
            <w:pPr>
              <w:pStyle w:val="TableHeading"/>
              <w:rPr>
                <w:rFonts w:asciiTheme="majorHAnsi" w:eastAsia="Verdana" w:hAnsiTheme="majorHAnsi"/>
                <w:szCs w:val="16"/>
              </w:rPr>
            </w:pPr>
          </w:p>
        </w:tc>
        <w:tc>
          <w:tcPr>
            <w:tcW w:w="1258" w:type="dxa"/>
          </w:tcPr>
          <w:p w14:paraId="3F2CCA10" w14:textId="77777777" w:rsidR="00046BD5" w:rsidRPr="00825AD0" w:rsidRDefault="00046BD5" w:rsidP="00ED094E">
            <w:pPr>
              <w:pStyle w:val="TableHeading"/>
              <w:rPr>
                <w:rFonts w:asciiTheme="majorHAnsi" w:eastAsia="Verdana" w:hAnsiTheme="majorHAnsi"/>
                <w:szCs w:val="16"/>
              </w:rPr>
            </w:pPr>
            <w:r w:rsidRPr="00825AD0">
              <w:rPr>
                <w:rFonts w:asciiTheme="majorHAnsi" w:hAnsiTheme="majorHAnsi" w:cs="Tahoma"/>
                <w:szCs w:val="16"/>
              </w:rPr>
              <w:t>2026-27 </w:t>
            </w:r>
          </w:p>
        </w:tc>
        <w:tc>
          <w:tcPr>
            <w:tcW w:w="1258" w:type="dxa"/>
          </w:tcPr>
          <w:p w14:paraId="3450AA0B" w14:textId="77777777" w:rsidR="00046BD5" w:rsidRPr="00825AD0" w:rsidRDefault="00046BD5" w:rsidP="00ED094E">
            <w:pPr>
              <w:pStyle w:val="TableHeading"/>
              <w:rPr>
                <w:rFonts w:asciiTheme="majorHAnsi" w:eastAsia="Verdana" w:hAnsiTheme="majorHAnsi"/>
                <w:szCs w:val="16"/>
              </w:rPr>
            </w:pPr>
            <w:r w:rsidRPr="00825AD0">
              <w:rPr>
                <w:rFonts w:asciiTheme="majorHAnsi" w:hAnsiTheme="majorHAnsi" w:cs="Tahoma"/>
                <w:szCs w:val="16"/>
              </w:rPr>
              <w:t>2027-28 </w:t>
            </w:r>
          </w:p>
        </w:tc>
        <w:tc>
          <w:tcPr>
            <w:tcW w:w="1258" w:type="dxa"/>
          </w:tcPr>
          <w:p w14:paraId="159846DC" w14:textId="77777777" w:rsidR="00046BD5" w:rsidRPr="00825AD0" w:rsidRDefault="00046BD5" w:rsidP="00ED094E">
            <w:pPr>
              <w:pStyle w:val="TableHeading"/>
              <w:rPr>
                <w:rFonts w:asciiTheme="majorHAnsi" w:eastAsia="Verdana" w:hAnsiTheme="majorHAnsi"/>
                <w:szCs w:val="16"/>
              </w:rPr>
            </w:pPr>
            <w:r w:rsidRPr="00825AD0">
              <w:rPr>
                <w:rFonts w:asciiTheme="majorHAnsi" w:hAnsiTheme="majorHAnsi" w:cs="Tahoma"/>
                <w:szCs w:val="16"/>
              </w:rPr>
              <w:t>2028-29 </w:t>
            </w:r>
          </w:p>
        </w:tc>
        <w:tc>
          <w:tcPr>
            <w:tcW w:w="1258" w:type="dxa"/>
          </w:tcPr>
          <w:p w14:paraId="0DE317C1" w14:textId="77777777" w:rsidR="00046BD5" w:rsidRPr="00825AD0" w:rsidRDefault="00046BD5" w:rsidP="00ED094E">
            <w:pPr>
              <w:pStyle w:val="TableHeading"/>
              <w:rPr>
                <w:rFonts w:asciiTheme="majorHAnsi" w:eastAsia="Verdana" w:hAnsiTheme="majorHAnsi"/>
                <w:szCs w:val="16"/>
              </w:rPr>
            </w:pPr>
            <w:r w:rsidRPr="00825AD0">
              <w:rPr>
                <w:rFonts w:asciiTheme="majorHAnsi" w:hAnsiTheme="majorHAnsi" w:cs="Tahoma"/>
                <w:szCs w:val="16"/>
              </w:rPr>
              <w:t>2029-30 </w:t>
            </w:r>
          </w:p>
        </w:tc>
        <w:tc>
          <w:tcPr>
            <w:tcW w:w="1258" w:type="dxa"/>
          </w:tcPr>
          <w:p w14:paraId="5C12F292" w14:textId="77777777" w:rsidR="00046BD5" w:rsidRPr="00825AD0" w:rsidRDefault="00046BD5" w:rsidP="00ED094E">
            <w:pPr>
              <w:pStyle w:val="TableHeading"/>
              <w:rPr>
                <w:rFonts w:asciiTheme="majorHAnsi" w:eastAsia="Verdana" w:hAnsiTheme="majorHAnsi"/>
                <w:szCs w:val="16"/>
              </w:rPr>
            </w:pPr>
            <w:r w:rsidRPr="00825AD0">
              <w:rPr>
                <w:rFonts w:asciiTheme="majorHAnsi" w:hAnsiTheme="majorHAnsi" w:cs="Tahoma"/>
                <w:szCs w:val="16"/>
              </w:rPr>
              <w:t>2030-31 </w:t>
            </w:r>
          </w:p>
        </w:tc>
        <w:tc>
          <w:tcPr>
            <w:tcW w:w="1258" w:type="dxa"/>
          </w:tcPr>
          <w:p w14:paraId="5DF0B25D" w14:textId="77777777" w:rsidR="00046BD5" w:rsidRPr="00825AD0" w:rsidRDefault="00046BD5" w:rsidP="00ED094E">
            <w:pPr>
              <w:pStyle w:val="TableHeading"/>
              <w:rPr>
                <w:rFonts w:asciiTheme="majorHAnsi" w:eastAsia="Verdana" w:hAnsiTheme="majorHAnsi"/>
                <w:szCs w:val="16"/>
              </w:rPr>
            </w:pPr>
            <w:r w:rsidRPr="00825AD0">
              <w:rPr>
                <w:rFonts w:asciiTheme="majorHAnsi" w:hAnsiTheme="majorHAnsi" w:cs="Tahoma"/>
                <w:szCs w:val="16"/>
              </w:rPr>
              <w:t>2031-32</w:t>
            </w:r>
          </w:p>
        </w:tc>
        <w:tc>
          <w:tcPr>
            <w:tcW w:w="1258" w:type="dxa"/>
          </w:tcPr>
          <w:p w14:paraId="75F78621" w14:textId="77777777" w:rsidR="00046BD5" w:rsidRPr="00825AD0" w:rsidRDefault="00046BD5" w:rsidP="00ED094E">
            <w:pPr>
              <w:pStyle w:val="TableHeading"/>
              <w:rPr>
                <w:rFonts w:asciiTheme="majorHAnsi" w:eastAsia="Verdana" w:hAnsiTheme="majorHAnsi"/>
                <w:szCs w:val="16"/>
              </w:rPr>
            </w:pPr>
            <w:r w:rsidRPr="00825AD0">
              <w:rPr>
                <w:rFonts w:asciiTheme="majorHAnsi" w:hAnsiTheme="majorHAnsi" w:cs="Tahoma"/>
                <w:szCs w:val="16"/>
              </w:rPr>
              <w:t>2032-33</w:t>
            </w:r>
          </w:p>
        </w:tc>
        <w:tc>
          <w:tcPr>
            <w:tcW w:w="1258" w:type="dxa"/>
          </w:tcPr>
          <w:p w14:paraId="33E192DB" w14:textId="77777777" w:rsidR="00046BD5" w:rsidRPr="00825AD0" w:rsidRDefault="00046BD5" w:rsidP="00ED094E">
            <w:pPr>
              <w:pStyle w:val="TableHeading"/>
              <w:rPr>
                <w:rFonts w:asciiTheme="majorHAnsi" w:eastAsia="Verdana" w:hAnsiTheme="majorHAnsi"/>
                <w:szCs w:val="16"/>
              </w:rPr>
            </w:pPr>
            <w:r w:rsidRPr="00825AD0">
              <w:rPr>
                <w:rFonts w:asciiTheme="majorHAnsi" w:hAnsiTheme="majorHAnsi" w:cs="Tahoma"/>
                <w:szCs w:val="16"/>
              </w:rPr>
              <w:t>2033-34</w:t>
            </w:r>
          </w:p>
        </w:tc>
        <w:tc>
          <w:tcPr>
            <w:tcW w:w="1258" w:type="dxa"/>
          </w:tcPr>
          <w:p w14:paraId="6FCBA091" w14:textId="77777777" w:rsidR="00046BD5" w:rsidRPr="00825AD0" w:rsidRDefault="00046BD5" w:rsidP="00ED094E">
            <w:pPr>
              <w:pStyle w:val="TableHeading"/>
              <w:rPr>
                <w:rFonts w:asciiTheme="majorHAnsi" w:eastAsia="Verdana" w:hAnsiTheme="majorHAnsi"/>
                <w:szCs w:val="16"/>
              </w:rPr>
            </w:pPr>
            <w:r w:rsidRPr="00825AD0">
              <w:rPr>
                <w:rFonts w:asciiTheme="majorHAnsi" w:hAnsiTheme="majorHAnsi" w:cs="Tahoma"/>
                <w:szCs w:val="16"/>
              </w:rPr>
              <w:t>2034-35</w:t>
            </w:r>
          </w:p>
        </w:tc>
        <w:tc>
          <w:tcPr>
            <w:tcW w:w="1258" w:type="dxa"/>
          </w:tcPr>
          <w:p w14:paraId="71DBBFAD" w14:textId="77777777" w:rsidR="00046BD5" w:rsidRPr="00825AD0" w:rsidRDefault="00046BD5" w:rsidP="00ED094E">
            <w:pPr>
              <w:pStyle w:val="TableHeading"/>
              <w:rPr>
                <w:rFonts w:asciiTheme="majorHAnsi" w:eastAsia="Verdana" w:hAnsiTheme="majorHAnsi"/>
                <w:szCs w:val="16"/>
              </w:rPr>
            </w:pPr>
            <w:r w:rsidRPr="00825AD0">
              <w:rPr>
                <w:rFonts w:asciiTheme="majorHAnsi" w:hAnsiTheme="majorHAnsi" w:cs="Tahoma"/>
                <w:szCs w:val="16"/>
              </w:rPr>
              <w:t>2035-36</w:t>
            </w:r>
          </w:p>
        </w:tc>
      </w:tr>
      <w:tr w:rsidR="00825AD0" w:rsidRPr="00825AD0" w14:paraId="3AB9C095" w14:textId="77777777" w:rsidTr="00245EE3">
        <w:tc>
          <w:tcPr>
            <w:tcW w:w="1980" w:type="dxa"/>
          </w:tcPr>
          <w:p w14:paraId="61125E4C" w14:textId="77777777" w:rsidR="00825AD0" w:rsidRPr="00825AD0" w:rsidRDefault="00825AD0" w:rsidP="00825AD0">
            <w:pPr>
              <w:pStyle w:val="TableText"/>
              <w:rPr>
                <w:rFonts w:asciiTheme="majorHAnsi" w:eastAsia="Verdana" w:hAnsiTheme="majorHAnsi"/>
                <w:szCs w:val="16"/>
              </w:rPr>
            </w:pPr>
            <w:r w:rsidRPr="00825AD0">
              <w:rPr>
                <w:rFonts w:asciiTheme="majorHAnsi" w:eastAsia="Verdana" w:hAnsiTheme="majorHAnsi"/>
                <w:szCs w:val="16"/>
              </w:rPr>
              <w:t xml:space="preserve">Opex </w:t>
            </w:r>
          </w:p>
        </w:tc>
        <w:tc>
          <w:tcPr>
            <w:tcW w:w="1258" w:type="dxa"/>
            <w:vAlign w:val="center"/>
          </w:tcPr>
          <w:p w14:paraId="18B87044"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176.6 </w:t>
            </w:r>
          </w:p>
        </w:tc>
        <w:tc>
          <w:tcPr>
            <w:tcW w:w="1258" w:type="dxa"/>
            <w:vAlign w:val="center"/>
          </w:tcPr>
          <w:p w14:paraId="76B78E55"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178.8 </w:t>
            </w:r>
          </w:p>
        </w:tc>
        <w:tc>
          <w:tcPr>
            <w:tcW w:w="1258" w:type="dxa"/>
            <w:vAlign w:val="center"/>
          </w:tcPr>
          <w:p w14:paraId="7ADC4478"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180.9 </w:t>
            </w:r>
          </w:p>
        </w:tc>
        <w:tc>
          <w:tcPr>
            <w:tcW w:w="1258" w:type="dxa"/>
            <w:vAlign w:val="center"/>
          </w:tcPr>
          <w:p w14:paraId="6F3B9784"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180.6 </w:t>
            </w:r>
          </w:p>
        </w:tc>
        <w:tc>
          <w:tcPr>
            <w:tcW w:w="1258" w:type="dxa"/>
            <w:vAlign w:val="center"/>
          </w:tcPr>
          <w:p w14:paraId="5C30A0C2"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180.4 </w:t>
            </w:r>
          </w:p>
        </w:tc>
        <w:tc>
          <w:tcPr>
            <w:tcW w:w="1258" w:type="dxa"/>
            <w:vAlign w:val="center"/>
          </w:tcPr>
          <w:p w14:paraId="50940B6A"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180.5 </w:t>
            </w:r>
          </w:p>
        </w:tc>
        <w:tc>
          <w:tcPr>
            <w:tcW w:w="1258" w:type="dxa"/>
            <w:vAlign w:val="center"/>
          </w:tcPr>
          <w:p w14:paraId="5A86D2A6"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180.4 </w:t>
            </w:r>
          </w:p>
        </w:tc>
        <w:tc>
          <w:tcPr>
            <w:tcW w:w="1258" w:type="dxa"/>
            <w:vAlign w:val="center"/>
          </w:tcPr>
          <w:p w14:paraId="014C0ECA"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180.3 </w:t>
            </w:r>
          </w:p>
        </w:tc>
        <w:tc>
          <w:tcPr>
            <w:tcW w:w="1258" w:type="dxa"/>
            <w:vAlign w:val="center"/>
          </w:tcPr>
          <w:p w14:paraId="5DDFFEBF"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180.0 </w:t>
            </w:r>
          </w:p>
        </w:tc>
        <w:tc>
          <w:tcPr>
            <w:tcW w:w="1258" w:type="dxa"/>
            <w:vAlign w:val="center"/>
          </w:tcPr>
          <w:p w14:paraId="753CDB66"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179.6 </w:t>
            </w:r>
          </w:p>
        </w:tc>
      </w:tr>
      <w:tr w:rsidR="0069661E" w:rsidRPr="00825AD0" w14:paraId="3C88A257" w14:textId="77777777" w:rsidTr="00825AD0">
        <w:trPr>
          <w:cnfStyle w:val="000000010000" w:firstRow="0" w:lastRow="0" w:firstColumn="0" w:lastColumn="0" w:oddVBand="0" w:evenVBand="0" w:oddHBand="0" w:evenHBand="1" w:firstRowFirstColumn="0" w:firstRowLastColumn="0" w:lastRowFirstColumn="0" w:lastRowLastColumn="0"/>
        </w:trPr>
        <w:tc>
          <w:tcPr>
            <w:tcW w:w="1980" w:type="dxa"/>
          </w:tcPr>
          <w:p w14:paraId="031DD698" w14:textId="77777777" w:rsidR="00825AD0" w:rsidRPr="00825AD0" w:rsidRDefault="00825AD0" w:rsidP="00825AD0">
            <w:pPr>
              <w:pStyle w:val="TableText"/>
              <w:rPr>
                <w:rFonts w:asciiTheme="majorHAnsi" w:eastAsia="Verdana" w:hAnsiTheme="majorHAnsi"/>
                <w:szCs w:val="16"/>
              </w:rPr>
            </w:pPr>
            <w:r w:rsidRPr="00825AD0">
              <w:rPr>
                <w:rFonts w:asciiTheme="majorHAnsi" w:eastAsia="Verdana" w:hAnsiTheme="majorHAnsi"/>
                <w:szCs w:val="16"/>
              </w:rPr>
              <w:t>VDP opex</w:t>
            </w:r>
            <w:r w:rsidRPr="00825AD0">
              <w:rPr>
                <w:rFonts w:asciiTheme="majorHAnsi" w:eastAsia="Verdana" w:hAnsiTheme="majorHAnsi"/>
                <w:szCs w:val="16"/>
                <w:vertAlign w:val="superscript"/>
              </w:rPr>
              <w:t>a</w:t>
            </w:r>
            <w:r w:rsidRPr="00825AD0">
              <w:rPr>
                <w:rFonts w:asciiTheme="majorHAnsi" w:eastAsia="Verdana" w:hAnsiTheme="majorHAnsi"/>
                <w:szCs w:val="16"/>
              </w:rPr>
              <w:t xml:space="preserve"> </w:t>
            </w:r>
          </w:p>
        </w:tc>
        <w:tc>
          <w:tcPr>
            <w:tcW w:w="1258" w:type="dxa"/>
            <w:vAlign w:val="center"/>
          </w:tcPr>
          <w:p w14:paraId="2ABE3D1E" w14:textId="77777777" w:rsidR="00825AD0" w:rsidRPr="00825AD0" w:rsidRDefault="00825AD0" w:rsidP="00825AD0">
            <w:pPr>
              <w:pStyle w:val="TableText"/>
              <w:rPr>
                <w:rFonts w:asciiTheme="majorHAnsi" w:eastAsia="Verdana" w:hAnsiTheme="majorHAnsi" w:cs="Verdana"/>
                <w:i/>
                <w:iCs/>
                <w:szCs w:val="16"/>
              </w:rPr>
            </w:pPr>
            <w:r w:rsidRPr="00825AD0">
              <w:rPr>
                <w:rFonts w:ascii="Verdana" w:hAnsi="Verdana" w:cs="Tahoma"/>
                <w:szCs w:val="16"/>
              </w:rPr>
              <w:t xml:space="preserve"> 519.7 </w:t>
            </w:r>
          </w:p>
        </w:tc>
        <w:tc>
          <w:tcPr>
            <w:tcW w:w="1258" w:type="dxa"/>
            <w:vAlign w:val="center"/>
          </w:tcPr>
          <w:p w14:paraId="5F3B6EB5"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507.2 </w:t>
            </w:r>
          </w:p>
        </w:tc>
        <w:tc>
          <w:tcPr>
            <w:tcW w:w="1258" w:type="dxa"/>
            <w:vAlign w:val="center"/>
          </w:tcPr>
          <w:p w14:paraId="0612F930"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502.1 </w:t>
            </w:r>
          </w:p>
        </w:tc>
        <w:tc>
          <w:tcPr>
            <w:tcW w:w="1258" w:type="dxa"/>
            <w:vAlign w:val="center"/>
          </w:tcPr>
          <w:p w14:paraId="20EE5B57"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481.0 </w:t>
            </w:r>
          </w:p>
        </w:tc>
        <w:tc>
          <w:tcPr>
            <w:tcW w:w="1258" w:type="dxa"/>
            <w:vAlign w:val="center"/>
          </w:tcPr>
          <w:p w14:paraId="7332D538"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460.3 </w:t>
            </w:r>
          </w:p>
        </w:tc>
        <w:tc>
          <w:tcPr>
            <w:tcW w:w="1258" w:type="dxa"/>
            <w:vAlign w:val="center"/>
          </w:tcPr>
          <w:p w14:paraId="002AC387"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438.0 </w:t>
            </w:r>
          </w:p>
        </w:tc>
        <w:tc>
          <w:tcPr>
            <w:tcW w:w="1258" w:type="dxa"/>
            <w:vAlign w:val="center"/>
          </w:tcPr>
          <w:p w14:paraId="039BC107"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414.0 </w:t>
            </w:r>
          </w:p>
        </w:tc>
        <w:tc>
          <w:tcPr>
            <w:tcW w:w="1258" w:type="dxa"/>
            <w:vAlign w:val="center"/>
          </w:tcPr>
          <w:p w14:paraId="0948D8C1"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378.8 </w:t>
            </w:r>
          </w:p>
        </w:tc>
        <w:tc>
          <w:tcPr>
            <w:tcW w:w="1258" w:type="dxa"/>
            <w:vAlign w:val="center"/>
          </w:tcPr>
          <w:p w14:paraId="4AB0103B"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351.9 </w:t>
            </w:r>
          </w:p>
        </w:tc>
        <w:tc>
          <w:tcPr>
            <w:tcW w:w="1258" w:type="dxa"/>
            <w:vAlign w:val="center"/>
          </w:tcPr>
          <w:p w14:paraId="5F6B9038"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323.9 </w:t>
            </w:r>
          </w:p>
        </w:tc>
      </w:tr>
      <w:tr w:rsidR="00825AD0" w:rsidRPr="00825AD0" w14:paraId="1E76C79D" w14:textId="77777777" w:rsidTr="00245EE3">
        <w:tc>
          <w:tcPr>
            <w:tcW w:w="1980" w:type="dxa"/>
          </w:tcPr>
          <w:p w14:paraId="60C8AFF5" w14:textId="77777777" w:rsidR="00825AD0" w:rsidRPr="00825AD0" w:rsidRDefault="00825AD0" w:rsidP="00825AD0">
            <w:pPr>
              <w:pStyle w:val="TableText"/>
              <w:rPr>
                <w:rFonts w:asciiTheme="majorHAnsi" w:eastAsia="Verdana" w:hAnsiTheme="majorHAnsi"/>
                <w:szCs w:val="16"/>
              </w:rPr>
            </w:pPr>
            <w:r w:rsidRPr="00825AD0">
              <w:rPr>
                <w:rFonts w:asciiTheme="majorHAnsi" w:eastAsia="Verdana" w:hAnsiTheme="majorHAnsi"/>
                <w:szCs w:val="16"/>
              </w:rPr>
              <w:t xml:space="preserve">Return on assets </w:t>
            </w:r>
          </w:p>
        </w:tc>
        <w:tc>
          <w:tcPr>
            <w:tcW w:w="1258" w:type="dxa"/>
            <w:vAlign w:val="center"/>
          </w:tcPr>
          <w:p w14:paraId="0E13275E"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185.3 </w:t>
            </w:r>
          </w:p>
        </w:tc>
        <w:tc>
          <w:tcPr>
            <w:tcW w:w="1258" w:type="dxa"/>
            <w:vAlign w:val="center"/>
          </w:tcPr>
          <w:p w14:paraId="0FDA0111"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198.4 </w:t>
            </w:r>
          </w:p>
        </w:tc>
        <w:tc>
          <w:tcPr>
            <w:tcW w:w="1258" w:type="dxa"/>
            <w:vAlign w:val="center"/>
          </w:tcPr>
          <w:p w14:paraId="39679A54"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218.5 </w:t>
            </w:r>
          </w:p>
        </w:tc>
        <w:tc>
          <w:tcPr>
            <w:tcW w:w="1258" w:type="dxa"/>
            <w:vAlign w:val="center"/>
          </w:tcPr>
          <w:p w14:paraId="56986859"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240.3 </w:t>
            </w:r>
          </w:p>
        </w:tc>
        <w:tc>
          <w:tcPr>
            <w:tcW w:w="1258" w:type="dxa"/>
            <w:vAlign w:val="center"/>
          </w:tcPr>
          <w:p w14:paraId="2FE80463"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269.3 </w:t>
            </w:r>
          </w:p>
        </w:tc>
        <w:tc>
          <w:tcPr>
            <w:tcW w:w="1258" w:type="dxa"/>
            <w:vAlign w:val="center"/>
          </w:tcPr>
          <w:p w14:paraId="72FD0C93"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303.7 </w:t>
            </w:r>
          </w:p>
        </w:tc>
        <w:tc>
          <w:tcPr>
            <w:tcW w:w="1258" w:type="dxa"/>
            <w:vAlign w:val="center"/>
          </w:tcPr>
          <w:p w14:paraId="70D84F99"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339.0 </w:t>
            </w:r>
          </w:p>
        </w:tc>
        <w:tc>
          <w:tcPr>
            <w:tcW w:w="1258" w:type="dxa"/>
            <w:vAlign w:val="center"/>
          </w:tcPr>
          <w:p w14:paraId="35728583"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363.0 </w:t>
            </w:r>
          </w:p>
        </w:tc>
        <w:tc>
          <w:tcPr>
            <w:tcW w:w="1258" w:type="dxa"/>
            <w:vAlign w:val="center"/>
          </w:tcPr>
          <w:p w14:paraId="0578BFD8"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389.2 </w:t>
            </w:r>
          </w:p>
        </w:tc>
        <w:tc>
          <w:tcPr>
            <w:tcW w:w="1258" w:type="dxa"/>
            <w:vAlign w:val="center"/>
          </w:tcPr>
          <w:p w14:paraId="04647F5D"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417.9 </w:t>
            </w:r>
          </w:p>
        </w:tc>
      </w:tr>
      <w:tr w:rsidR="0069661E" w:rsidRPr="00825AD0" w14:paraId="0EA319A8" w14:textId="77777777" w:rsidTr="00825AD0">
        <w:trPr>
          <w:cnfStyle w:val="000000010000" w:firstRow="0" w:lastRow="0" w:firstColumn="0" w:lastColumn="0" w:oddVBand="0" w:evenVBand="0" w:oddHBand="0" w:evenHBand="1" w:firstRowFirstColumn="0" w:firstRowLastColumn="0" w:lastRowFirstColumn="0" w:lastRowLastColumn="0"/>
        </w:trPr>
        <w:tc>
          <w:tcPr>
            <w:tcW w:w="1980" w:type="dxa"/>
          </w:tcPr>
          <w:p w14:paraId="4DD487AF" w14:textId="3398BE5C" w:rsidR="00825AD0" w:rsidRPr="00825AD0" w:rsidRDefault="00825AD0" w:rsidP="00825AD0">
            <w:pPr>
              <w:pStyle w:val="TableText"/>
              <w:rPr>
                <w:rFonts w:asciiTheme="majorHAnsi" w:eastAsia="Verdana" w:hAnsiTheme="majorHAnsi"/>
                <w:szCs w:val="16"/>
              </w:rPr>
            </w:pPr>
            <w:r w:rsidRPr="00825AD0">
              <w:rPr>
                <w:rFonts w:asciiTheme="majorHAnsi" w:eastAsia="Verdana" w:hAnsiTheme="majorHAnsi"/>
                <w:szCs w:val="16"/>
              </w:rPr>
              <w:t xml:space="preserve">Regulatory depreciation </w:t>
            </w:r>
          </w:p>
        </w:tc>
        <w:tc>
          <w:tcPr>
            <w:tcW w:w="1258" w:type="dxa"/>
            <w:vAlign w:val="center"/>
          </w:tcPr>
          <w:p w14:paraId="6D662082"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99.3 </w:t>
            </w:r>
          </w:p>
        </w:tc>
        <w:tc>
          <w:tcPr>
            <w:tcW w:w="1258" w:type="dxa"/>
            <w:vAlign w:val="center"/>
          </w:tcPr>
          <w:p w14:paraId="01FA1690"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107.5 </w:t>
            </w:r>
          </w:p>
        </w:tc>
        <w:tc>
          <w:tcPr>
            <w:tcW w:w="1258" w:type="dxa"/>
            <w:vAlign w:val="center"/>
          </w:tcPr>
          <w:p w14:paraId="72404530" w14:textId="04FF8CF6"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112.3 </w:t>
            </w:r>
          </w:p>
        </w:tc>
        <w:tc>
          <w:tcPr>
            <w:tcW w:w="1258" w:type="dxa"/>
            <w:vAlign w:val="center"/>
          </w:tcPr>
          <w:p w14:paraId="26AB2918"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106.3 </w:t>
            </w:r>
          </w:p>
        </w:tc>
        <w:tc>
          <w:tcPr>
            <w:tcW w:w="1258" w:type="dxa"/>
            <w:vAlign w:val="center"/>
          </w:tcPr>
          <w:p w14:paraId="0F54426E"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117.3 </w:t>
            </w:r>
          </w:p>
        </w:tc>
        <w:tc>
          <w:tcPr>
            <w:tcW w:w="1258" w:type="dxa"/>
            <w:vAlign w:val="center"/>
          </w:tcPr>
          <w:p w14:paraId="2E853F18"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130.0 </w:t>
            </w:r>
          </w:p>
        </w:tc>
        <w:tc>
          <w:tcPr>
            <w:tcW w:w="1258" w:type="dxa"/>
            <w:vAlign w:val="center"/>
          </w:tcPr>
          <w:p w14:paraId="48D239FC"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146.4 </w:t>
            </w:r>
          </w:p>
        </w:tc>
        <w:tc>
          <w:tcPr>
            <w:tcW w:w="1258" w:type="dxa"/>
            <w:vAlign w:val="center"/>
          </w:tcPr>
          <w:p w14:paraId="44075037"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166.0 </w:t>
            </w:r>
          </w:p>
        </w:tc>
        <w:tc>
          <w:tcPr>
            <w:tcW w:w="1258" w:type="dxa"/>
            <w:vAlign w:val="center"/>
          </w:tcPr>
          <w:p w14:paraId="679D1563"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182.9 </w:t>
            </w:r>
          </w:p>
        </w:tc>
        <w:tc>
          <w:tcPr>
            <w:tcW w:w="1258" w:type="dxa"/>
            <w:vAlign w:val="center"/>
          </w:tcPr>
          <w:p w14:paraId="104A54C7"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200.4 </w:t>
            </w:r>
          </w:p>
        </w:tc>
      </w:tr>
      <w:tr w:rsidR="00825AD0" w:rsidRPr="00825AD0" w14:paraId="0BCC9BFF" w14:textId="77777777" w:rsidTr="00245EE3">
        <w:tc>
          <w:tcPr>
            <w:tcW w:w="1980" w:type="dxa"/>
          </w:tcPr>
          <w:p w14:paraId="221C00D3" w14:textId="77777777" w:rsidR="00825AD0" w:rsidRPr="00825AD0" w:rsidRDefault="00825AD0" w:rsidP="00825AD0">
            <w:pPr>
              <w:pStyle w:val="TableText"/>
              <w:rPr>
                <w:rFonts w:asciiTheme="majorHAnsi" w:eastAsia="Verdana" w:hAnsiTheme="majorHAnsi"/>
                <w:szCs w:val="16"/>
              </w:rPr>
            </w:pPr>
            <w:r w:rsidRPr="00825AD0">
              <w:rPr>
                <w:rFonts w:asciiTheme="majorHAnsi" w:eastAsia="Verdana" w:hAnsiTheme="majorHAnsi"/>
                <w:szCs w:val="16"/>
              </w:rPr>
              <w:t xml:space="preserve">Tax </w:t>
            </w:r>
          </w:p>
        </w:tc>
        <w:tc>
          <w:tcPr>
            <w:tcW w:w="1258" w:type="dxa"/>
            <w:vAlign w:val="center"/>
          </w:tcPr>
          <w:p w14:paraId="27585A5F"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12.4 </w:t>
            </w:r>
          </w:p>
        </w:tc>
        <w:tc>
          <w:tcPr>
            <w:tcW w:w="1258" w:type="dxa"/>
            <w:vAlign w:val="center"/>
          </w:tcPr>
          <w:p w14:paraId="038FBF70"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12.9 </w:t>
            </w:r>
          </w:p>
        </w:tc>
        <w:tc>
          <w:tcPr>
            <w:tcW w:w="1258" w:type="dxa"/>
            <w:vAlign w:val="center"/>
          </w:tcPr>
          <w:p w14:paraId="3CAFE5C2"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11.1 </w:t>
            </w:r>
          </w:p>
        </w:tc>
        <w:tc>
          <w:tcPr>
            <w:tcW w:w="1258" w:type="dxa"/>
            <w:vAlign w:val="center"/>
          </w:tcPr>
          <w:p w14:paraId="430E148D"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9.4 </w:t>
            </w:r>
          </w:p>
        </w:tc>
        <w:tc>
          <w:tcPr>
            <w:tcW w:w="1258" w:type="dxa"/>
            <w:vAlign w:val="center"/>
          </w:tcPr>
          <w:p w14:paraId="0E372D3B" w14:textId="3E4FF6EB"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7.6 </w:t>
            </w:r>
          </w:p>
        </w:tc>
        <w:tc>
          <w:tcPr>
            <w:tcW w:w="1258" w:type="dxa"/>
            <w:vAlign w:val="center"/>
          </w:tcPr>
          <w:p w14:paraId="75CEF943"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7.1 </w:t>
            </w:r>
          </w:p>
        </w:tc>
        <w:tc>
          <w:tcPr>
            <w:tcW w:w="1258" w:type="dxa"/>
            <w:vAlign w:val="center"/>
          </w:tcPr>
          <w:p w14:paraId="203D6E76"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8.8 </w:t>
            </w:r>
          </w:p>
        </w:tc>
        <w:tc>
          <w:tcPr>
            <w:tcW w:w="1258" w:type="dxa"/>
            <w:vAlign w:val="center"/>
          </w:tcPr>
          <w:p w14:paraId="6FC366BA"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6.7 </w:t>
            </w:r>
          </w:p>
        </w:tc>
        <w:tc>
          <w:tcPr>
            <w:tcW w:w="1258" w:type="dxa"/>
            <w:vAlign w:val="center"/>
          </w:tcPr>
          <w:p w14:paraId="3648E0D0"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7.3 </w:t>
            </w:r>
          </w:p>
        </w:tc>
        <w:tc>
          <w:tcPr>
            <w:tcW w:w="1258" w:type="dxa"/>
            <w:vAlign w:val="center"/>
          </w:tcPr>
          <w:p w14:paraId="24E54D20"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8.2 </w:t>
            </w:r>
          </w:p>
        </w:tc>
      </w:tr>
      <w:tr w:rsidR="0069661E" w:rsidRPr="00825AD0" w14:paraId="28EC8FD7" w14:textId="77777777" w:rsidTr="00825AD0">
        <w:trPr>
          <w:cnfStyle w:val="000000010000" w:firstRow="0" w:lastRow="0" w:firstColumn="0" w:lastColumn="0" w:oddVBand="0" w:evenVBand="0" w:oddHBand="0" w:evenHBand="1" w:firstRowFirstColumn="0" w:firstRowLastColumn="0" w:lastRowFirstColumn="0" w:lastRowLastColumn="0"/>
        </w:trPr>
        <w:tc>
          <w:tcPr>
            <w:tcW w:w="1980" w:type="dxa"/>
          </w:tcPr>
          <w:p w14:paraId="4389312C" w14:textId="77777777" w:rsidR="00825AD0" w:rsidRPr="00825AD0" w:rsidRDefault="00825AD0" w:rsidP="00825AD0">
            <w:pPr>
              <w:pStyle w:val="TableText"/>
              <w:rPr>
                <w:rFonts w:asciiTheme="majorHAnsi" w:eastAsia="Verdana" w:hAnsiTheme="majorHAnsi"/>
                <w:szCs w:val="16"/>
                <w:vertAlign w:val="superscript"/>
              </w:rPr>
            </w:pPr>
            <w:r w:rsidRPr="00825AD0">
              <w:rPr>
                <w:rFonts w:asciiTheme="majorHAnsi" w:eastAsia="Verdana" w:hAnsiTheme="majorHAnsi"/>
                <w:szCs w:val="16"/>
              </w:rPr>
              <w:t xml:space="preserve">Prior Period Adjustment </w:t>
            </w:r>
            <w:r w:rsidRPr="00825AD0">
              <w:rPr>
                <w:rFonts w:asciiTheme="majorHAnsi" w:eastAsia="Verdana" w:hAnsiTheme="majorHAnsi"/>
                <w:szCs w:val="16"/>
                <w:vertAlign w:val="superscript"/>
              </w:rPr>
              <w:t>b</w:t>
            </w:r>
          </w:p>
        </w:tc>
        <w:tc>
          <w:tcPr>
            <w:tcW w:w="1258" w:type="dxa"/>
            <w:vAlign w:val="center"/>
          </w:tcPr>
          <w:p w14:paraId="01302CEB" w14:textId="6D79EEBD"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-1.9</w:t>
            </w:r>
          </w:p>
        </w:tc>
        <w:tc>
          <w:tcPr>
            <w:tcW w:w="1258" w:type="dxa"/>
            <w:vAlign w:val="center"/>
          </w:tcPr>
          <w:p w14:paraId="3037F53C"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-1.9</w:t>
            </w:r>
          </w:p>
        </w:tc>
        <w:tc>
          <w:tcPr>
            <w:tcW w:w="1258" w:type="dxa"/>
            <w:vAlign w:val="center"/>
          </w:tcPr>
          <w:p w14:paraId="6DC7CBAC"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-1.9</w:t>
            </w:r>
          </w:p>
        </w:tc>
        <w:tc>
          <w:tcPr>
            <w:tcW w:w="1258" w:type="dxa"/>
            <w:vAlign w:val="center"/>
          </w:tcPr>
          <w:p w14:paraId="24DD78C3"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-1.9</w:t>
            </w:r>
          </w:p>
        </w:tc>
        <w:tc>
          <w:tcPr>
            <w:tcW w:w="1258" w:type="dxa"/>
            <w:vAlign w:val="center"/>
          </w:tcPr>
          <w:p w14:paraId="5F6EA907"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-1.9</w:t>
            </w:r>
          </w:p>
        </w:tc>
        <w:tc>
          <w:tcPr>
            <w:tcW w:w="1258" w:type="dxa"/>
            <w:vAlign w:val="center"/>
          </w:tcPr>
          <w:p w14:paraId="335769BB"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 </w:t>
            </w:r>
          </w:p>
        </w:tc>
        <w:tc>
          <w:tcPr>
            <w:tcW w:w="1258" w:type="dxa"/>
            <w:vAlign w:val="center"/>
          </w:tcPr>
          <w:p w14:paraId="3B7FEBE6"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 </w:t>
            </w:r>
          </w:p>
        </w:tc>
        <w:tc>
          <w:tcPr>
            <w:tcW w:w="1258" w:type="dxa"/>
            <w:vAlign w:val="center"/>
          </w:tcPr>
          <w:p w14:paraId="35899C8A"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 </w:t>
            </w:r>
          </w:p>
        </w:tc>
        <w:tc>
          <w:tcPr>
            <w:tcW w:w="1258" w:type="dxa"/>
            <w:vAlign w:val="center"/>
          </w:tcPr>
          <w:p w14:paraId="7B4726A2"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 </w:t>
            </w:r>
          </w:p>
        </w:tc>
        <w:tc>
          <w:tcPr>
            <w:tcW w:w="1258" w:type="dxa"/>
            <w:vAlign w:val="center"/>
          </w:tcPr>
          <w:p w14:paraId="73A20025" w14:textId="77777777" w:rsidR="00825AD0" w:rsidRPr="00825AD0" w:rsidRDefault="00825AD0" w:rsidP="00825AD0">
            <w:pPr>
              <w:pStyle w:val="TableText"/>
              <w:rPr>
                <w:rFonts w:asciiTheme="majorHAnsi" w:eastAsia="Verdana" w:hAnsiTheme="majorHAnsi" w:cs="Verdana"/>
                <w:szCs w:val="16"/>
              </w:rPr>
            </w:pPr>
            <w:r w:rsidRPr="00825AD0">
              <w:rPr>
                <w:rFonts w:ascii="Verdana" w:hAnsi="Verdana" w:cs="Tahoma"/>
                <w:szCs w:val="16"/>
              </w:rPr>
              <w:t xml:space="preserve"> - </w:t>
            </w:r>
          </w:p>
        </w:tc>
      </w:tr>
      <w:tr w:rsidR="00825AD0" w:rsidRPr="00825AD0" w14:paraId="5526C623" w14:textId="77777777" w:rsidTr="51429AD1">
        <w:trPr>
          <w:trHeight w:val="255"/>
        </w:trPr>
        <w:tc>
          <w:tcPr>
            <w:tcW w:w="1980" w:type="dxa"/>
            <w:tcBorders>
              <w:bottom w:val="single" w:sz="4" w:space="0" w:color="231F20" w:themeColor="text1"/>
            </w:tcBorders>
          </w:tcPr>
          <w:p w14:paraId="16570373" w14:textId="77777777" w:rsidR="00825AD0" w:rsidRPr="00825AD0" w:rsidRDefault="00825AD0" w:rsidP="00825AD0">
            <w:pPr>
              <w:pStyle w:val="TableText"/>
              <w:rPr>
                <w:rFonts w:asciiTheme="majorHAnsi" w:eastAsia="Verdana" w:hAnsiTheme="majorHAnsi"/>
                <w:b/>
                <w:bCs/>
                <w:szCs w:val="16"/>
              </w:rPr>
            </w:pPr>
            <w:r w:rsidRPr="00825AD0">
              <w:rPr>
                <w:rFonts w:asciiTheme="majorHAnsi" w:eastAsia="Verdana" w:hAnsiTheme="majorHAnsi"/>
                <w:b/>
                <w:bCs/>
                <w:szCs w:val="16"/>
              </w:rPr>
              <w:t xml:space="preserve">Total </w:t>
            </w:r>
          </w:p>
        </w:tc>
        <w:tc>
          <w:tcPr>
            <w:tcW w:w="1258" w:type="dxa"/>
            <w:tcBorders>
              <w:bottom w:val="single" w:sz="4" w:space="0" w:color="231F20" w:themeColor="text1"/>
            </w:tcBorders>
            <w:vAlign w:val="center"/>
          </w:tcPr>
          <w:p w14:paraId="232C0C2D" w14:textId="77777777" w:rsidR="00825AD0" w:rsidRPr="00825AD0" w:rsidRDefault="00825AD0" w:rsidP="00825AD0">
            <w:pPr>
              <w:pStyle w:val="TableText"/>
              <w:rPr>
                <w:rFonts w:asciiTheme="majorHAnsi" w:eastAsia="Verdana" w:hAnsiTheme="majorHAnsi" w:cs="Verdana"/>
                <w:b/>
                <w:bCs/>
                <w:szCs w:val="16"/>
              </w:rPr>
            </w:pPr>
            <w:r w:rsidRPr="00825AD0">
              <w:rPr>
                <w:rFonts w:ascii="Verdana" w:hAnsi="Verdana" w:cs="Tahoma"/>
                <w:b/>
                <w:bCs/>
                <w:szCs w:val="16"/>
              </w:rPr>
              <w:t xml:space="preserve"> 991.3 </w:t>
            </w:r>
          </w:p>
        </w:tc>
        <w:tc>
          <w:tcPr>
            <w:tcW w:w="1258" w:type="dxa"/>
            <w:tcBorders>
              <w:bottom w:val="single" w:sz="4" w:space="0" w:color="231F20" w:themeColor="text1"/>
            </w:tcBorders>
            <w:vAlign w:val="center"/>
          </w:tcPr>
          <w:p w14:paraId="6BDBD311" w14:textId="77777777" w:rsidR="00825AD0" w:rsidRPr="00825AD0" w:rsidRDefault="00825AD0" w:rsidP="00825AD0">
            <w:pPr>
              <w:pStyle w:val="TableText"/>
              <w:rPr>
                <w:rFonts w:asciiTheme="majorHAnsi" w:eastAsia="Verdana" w:hAnsiTheme="majorHAnsi" w:cs="Verdana"/>
                <w:b/>
                <w:bCs/>
                <w:szCs w:val="16"/>
              </w:rPr>
            </w:pPr>
            <w:r w:rsidRPr="00825AD0">
              <w:rPr>
                <w:rFonts w:ascii="Verdana" w:hAnsi="Verdana" w:cs="Tahoma"/>
                <w:b/>
                <w:bCs/>
                <w:szCs w:val="16"/>
              </w:rPr>
              <w:t xml:space="preserve"> 1,002.9 </w:t>
            </w:r>
          </w:p>
        </w:tc>
        <w:tc>
          <w:tcPr>
            <w:tcW w:w="1258" w:type="dxa"/>
            <w:tcBorders>
              <w:bottom w:val="single" w:sz="4" w:space="0" w:color="231F20" w:themeColor="text1"/>
            </w:tcBorders>
            <w:vAlign w:val="center"/>
          </w:tcPr>
          <w:p w14:paraId="6B3D2045" w14:textId="352C8B5B" w:rsidR="00825AD0" w:rsidRPr="00825AD0" w:rsidRDefault="00825AD0" w:rsidP="00825AD0">
            <w:pPr>
              <w:pStyle w:val="TableText"/>
              <w:rPr>
                <w:rFonts w:asciiTheme="majorHAnsi" w:eastAsia="Verdana" w:hAnsiTheme="majorHAnsi" w:cs="Verdana"/>
                <w:b/>
                <w:bCs/>
                <w:szCs w:val="16"/>
              </w:rPr>
            </w:pPr>
            <w:r w:rsidRPr="00825AD0">
              <w:rPr>
                <w:rFonts w:ascii="Verdana" w:hAnsi="Verdana" w:cs="Tahoma"/>
                <w:b/>
                <w:bCs/>
                <w:szCs w:val="16"/>
              </w:rPr>
              <w:t xml:space="preserve"> 1,023.0 </w:t>
            </w:r>
          </w:p>
        </w:tc>
        <w:tc>
          <w:tcPr>
            <w:tcW w:w="1258" w:type="dxa"/>
            <w:tcBorders>
              <w:bottom w:val="single" w:sz="4" w:space="0" w:color="231F20" w:themeColor="text1"/>
            </w:tcBorders>
            <w:vAlign w:val="center"/>
          </w:tcPr>
          <w:p w14:paraId="230BE2E4" w14:textId="77777777" w:rsidR="00825AD0" w:rsidRPr="00825AD0" w:rsidRDefault="00825AD0" w:rsidP="00825AD0">
            <w:pPr>
              <w:pStyle w:val="TableText"/>
              <w:rPr>
                <w:rFonts w:asciiTheme="majorHAnsi" w:eastAsia="Verdana" w:hAnsiTheme="majorHAnsi" w:cs="Verdana"/>
                <w:b/>
                <w:bCs/>
                <w:szCs w:val="16"/>
              </w:rPr>
            </w:pPr>
            <w:r w:rsidRPr="00825AD0">
              <w:rPr>
                <w:rFonts w:ascii="Verdana" w:hAnsi="Verdana" w:cs="Tahoma"/>
                <w:b/>
                <w:bCs/>
                <w:szCs w:val="16"/>
              </w:rPr>
              <w:t xml:space="preserve"> 1,015.6 </w:t>
            </w:r>
          </w:p>
        </w:tc>
        <w:tc>
          <w:tcPr>
            <w:tcW w:w="1258" w:type="dxa"/>
            <w:tcBorders>
              <w:bottom w:val="single" w:sz="4" w:space="0" w:color="231F20" w:themeColor="text1"/>
            </w:tcBorders>
            <w:vAlign w:val="center"/>
          </w:tcPr>
          <w:p w14:paraId="1A0C06FE" w14:textId="77777777" w:rsidR="00825AD0" w:rsidRPr="00825AD0" w:rsidRDefault="00825AD0" w:rsidP="00825AD0">
            <w:pPr>
              <w:pStyle w:val="TableText"/>
              <w:rPr>
                <w:rFonts w:asciiTheme="majorHAnsi" w:eastAsia="Verdana" w:hAnsiTheme="majorHAnsi" w:cs="Verdana"/>
                <w:b/>
                <w:bCs/>
                <w:szCs w:val="16"/>
              </w:rPr>
            </w:pPr>
            <w:r w:rsidRPr="00825AD0">
              <w:rPr>
                <w:rFonts w:ascii="Verdana" w:hAnsi="Verdana" w:cs="Tahoma"/>
                <w:b/>
                <w:bCs/>
                <w:szCs w:val="16"/>
              </w:rPr>
              <w:t xml:space="preserve"> 1,033.1 </w:t>
            </w:r>
          </w:p>
        </w:tc>
        <w:tc>
          <w:tcPr>
            <w:tcW w:w="1258" w:type="dxa"/>
            <w:tcBorders>
              <w:bottom w:val="single" w:sz="4" w:space="0" w:color="231F20" w:themeColor="text1"/>
            </w:tcBorders>
            <w:vAlign w:val="center"/>
          </w:tcPr>
          <w:p w14:paraId="5A7500A9" w14:textId="77777777" w:rsidR="00825AD0" w:rsidRPr="00825AD0" w:rsidRDefault="00825AD0" w:rsidP="00825AD0">
            <w:pPr>
              <w:pStyle w:val="TableText"/>
              <w:rPr>
                <w:rFonts w:asciiTheme="majorHAnsi" w:eastAsia="Verdana" w:hAnsiTheme="majorHAnsi" w:cs="Verdana"/>
                <w:b/>
                <w:bCs/>
                <w:szCs w:val="16"/>
              </w:rPr>
            </w:pPr>
            <w:r w:rsidRPr="00825AD0">
              <w:rPr>
                <w:rFonts w:ascii="Verdana" w:hAnsi="Verdana" w:cs="Tahoma"/>
                <w:b/>
                <w:bCs/>
                <w:szCs w:val="16"/>
              </w:rPr>
              <w:t xml:space="preserve"> 1,059.4 </w:t>
            </w:r>
          </w:p>
        </w:tc>
        <w:tc>
          <w:tcPr>
            <w:tcW w:w="1258" w:type="dxa"/>
            <w:tcBorders>
              <w:bottom w:val="single" w:sz="4" w:space="0" w:color="231F20" w:themeColor="text1"/>
            </w:tcBorders>
            <w:vAlign w:val="center"/>
          </w:tcPr>
          <w:p w14:paraId="55A72AAF" w14:textId="77777777" w:rsidR="00825AD0" w:rsidRPr="00825AD0" w:rsidRDefault="00825AD0" w:rsidP="00825AD0">
            <w:pPr>
              <w:pStyle w:val="TableText"/>
              <w:rPr>
                <w:rFonts w:asciiTheme="majorHAnsi" w:eastAsia="Verdana" w:hAnsiTheme="majorHAnsi" w:cs="Verdana"/>
                <w:b/>
                <w:bCs/>
                <w:szCs w:val="16"/>
              </w:rPr>
            </w:pPr>
            <w:r w:rsidRPr="00825AD0">
              <w:rPr>
                <w:rFonts w:ascii="Verdana" w:hAnsi="Verdana" w:cs="Tahoma"/>
                <w:b/>
                <w:bCs/>
                <w:szCs w:val="16"/>
              </w:rPr>
              <w:t xml:space="preserve"> 1,088.6 </w:t>
            </w:r>
          </w:p>
        </w:tc>
        <w:tc>
          <w:tcPr>
            <w:tcW w:w="1258" w:type="dxa"/>
            <w:tcBorders>
              <w:bottom w:val="single" w:sz="4" w:space="0" w:color="231F20" w:themeColor="text1"/>
            </w:tcBorders>
            <w:vAlign w:val="center"/>
          </w:tcPr>
          <w:p w14:paraId="091D6CDF" w14:textId="77777777" w:rsidR="00825AD0" w:rsidRPr="00825AD0" w:rsidRDefault="00825AD0" w:rsidP="00825AD0">
            <w:pPr>
              <w:pStyle w:val="TableText"/>
              <w:rPr>
                <w:rFonts w:asciiTheme="majorHAnsi" w:eastAsia="Verdana" w:hAnsiTheme="majorHAnsi" w:cs="Verdana"/>
                <w:b/>
                <w:bCs/>
                <w:szCs w:val="16"/>
              </w:rPr>
            </w:pPr>
            <w:r w:rsidRPr="00825AD0">
              <w:rPr>
                <w:rFonts w:ascii="Verdana" w:hAnsi="Verdana" w:cs="Tahoma"/>
                <w:b/>
                <w:bCs/>
                <w:szCs w:val="16"/>
              </w:rPr>
              <w:t xml:space="preserve"> 1,094.9 </w:t>
            </w:r>
          </w:p>
        </w:tc>
        <w:tc>
          <w:tcPr>
            <w:tcW w:w="1258" w:type="dxa"/>
            <w:tcBorders>
              <w:bottom w:val="single" w:sz="4" w:space="0" w:color="231F20" w:themeColor="text1"/>
            </w:tcBorders>
            <w:vAlign w:val="center"/>
          </w:tcPr>
          <w:p w14:paraId="48E64CB3" w14:textId="77777777" w:rsidR="00825AD0" w:rsidRPr="00825AD0" w:rsidRDefault="00825AD0" w:rsidP="00825AD0">
            <w:pPr>
              <w:pStyle w:val="TableText"/>
              <w:rPr>
                <w:rFonts w:asciiTheme="majorHAnsi" w:eastAsia="Verdana" w:hAnsiTheme="majorHAnsi" w:cs="Verdana"/>
                <w:b/>
                <w:bCs/>
                <w:szCs w:val="16"/>
              </w:rPr>
            </w:pPr>
            <w:r w:rsidRPr="00825AD0">
              <w:rPr>
                <w:rFonts w:ascii="Verdana" w:hAnsi="Verdana" w:cs="Tahoma"/>
                <w:b/>
                <w:bCs/>
                <w:szCs w:val="16"/>
              </w:rPr>
              <w:t xml:space="preserve"> 1,111.4 </w:t>
            </w:r>
          </w:p>
        </w:tc>
        <w:tc>
          <w:tcPr>
            <w:tcW w:w="1258" w:type="dxa"/>
            <w:tcBorders>
              <w:bottom w:val="single" w:sz="4" w:space="0" w:color="231F20" w:themeColor="text1"/>
            </w:tcBorders>
            <w:vAlign w:val="center"/>
          </w:tcPr>
          <w:p w14:paraId="461956E1" w14:textId="77777777" w:rsidR="00825AD0" w:rsidRPr="00825AD0" w:rsidRDefault="00825AD0" w:rsidP="00825AD0">
            <w:pPr>
              <w:pStyle w:val="TableText"/>
              <w:rPr>
                <w:rFonts w:asciiTheme="majorHAnsi" w:eastAsia="Verdana" w:hAnsiTheme="majorHAnsi" w:cs="Verdana"/>
                <w:b/>
                <w:bCs/>
                <w:szCs w:val="16"/>
              </w:rPr>
            </w:pPr>
            <w:r w:rsidRPr="00825AD0">
              <w:rPr>
                <w:rFonts w:ascii="Verdana" w:hAnsi="Verdana" w:cs="Tahoma"/>
                <w:b/>
                <w:bCs/>
                <w:szCs w:val="16"/>
              </w:rPr>
              <w:t xml:space="preserve"> 1,130.0 </w:t>
            </w:r>
          </w:p>
        </w:tc>
      </w:tr>
      <w:tr w:rsidR="003368B1" w:rsidRPr="00825AD0" w14:paraId="5551ADDA" w14:textId="77777777" w:rsidTr="51429AD1">
        <w:trPr>
          <w:cnfStyle w:val="000000010000" w:firstRow="0" w:lastRow="0" w:firstColumn="0" w:lastColumn="0" w:oddVBand="0" w:evenVBand="0" w:oddHBand="0" w:evenHBand="1" w:firstRowFirstColumn="0" w:firstRowLastColumn="0" w:lastRowFirstColumn="0" w:lastRowLastColumn="0"/>
          <w:trHeight w:val="255"/>
        </w:trPr>
        <w:tc>
          <w:tcPr>
            <w:tcW w:w="14560" w:type="dxa"/>
            <w:gridSpan w:val="11"/>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8C02BB" w14:textId="14CACB4F" w:rsidR="00046BD5" w:rsidRPr="00825AD0" w:rsidRDefault="00046BD5" w:rsidP="00ED094E">
            <w:pPr>
              <w:pStyle w:val="TableText"/>
              <w:rPr>
                <w:rFonts w:asciiTheme="majorHAnsi" w:hAnsiTheme="majorHAnsi" w:cs="Tahoma"/>
                <w:szCs w:val="16"/>
              </w:rPr>
            </w:pPr>
            <w:r w:rsidRPr="00825AD0">
              <w:rPr>
                <w:rFonts w:asciiTheme="majorHAnsi" w:hAnsiTheme="majorHAnsi" w:cs="Tahoma"/>
                <w:szCs w:val="16"/>
                <w:vertAlign w:val="superscript"/>
              </w:rPr>
              <w:t xml:space="preserve">a </w:t>
            </w:r>
            <w:r w:rsidRPr="00825AD0">
              <w:rPr>
                <w:rFonts w:asciiTheme="majorHAnsi" w:hAnsiTheme="majorHAnsi" w:cs="Tahoma"/>
                <w:szCs w:val="16"/>
              </w:rPr>
              <w:t>Excludes VDP order costs</w:t>
            </w:r>
            <w:r w:rsidRPr="00825AD0">
              <w:rPr>
                <w:rFonts w:asciiTheme="majorHAnsi" w:hAnsiTheme="majorHAnsi" w:cs="Tahoma"/>
                <w:szCs w:val="16"/>
              </w:rPr>
              <w:br/>
            </w:r>
            <w:r w:rsidRPr="00825AD0">
              <w:rPr>
                <w:rFonts w:asciiTheme="majorHAnsi" w:hAnsiTheme="majorHAnsi" w:cs="Tahoma"/>
                <w:szCs w:val="16"/>
                <w:vertAlign w:val="superscript"/>
              </w:rPr>
              <w:t>b</w:t>
            </w:r>
            <w:r w:rsidRPr="00825AD0">
              <w:rPr>
                <w:rFonts w:asciiTheme="majorHAnsi" w:hAnsiTheme="majorHAnsi" w:cs="Tahoma"/>
                <w:szCs w:val="16"/>
              </w:rPr>
              <w:t xml:space="preserve"> To correct VDP that was inadvertently depreciated during the 2021-26 regulatory period. </w:t>
            </w:r>
          </w:p>
        </w:tc>
      </w:tr>
    </w:tbl>
    <w:p w14:paraId="39876FF1" w14:textId="68564B32" w:rsidR="00046BD5" w:rsidRPr="00DE108C" w:rsidRDefault="00046BD5" w:rsidP="00CE1E61">
      <w:pPr>
        <w:pStyle w:val="Heading2"/>
      </w:pPr>
      <w:bookmarkStart w:id="950" w:name="_Toc196745284"/>
      <w:r w:rsidRPr="00DE108C">
        <w:t>9.</w:t>
      </w:r>
      <w:r w:rsidR="00CE1E61">
        <w:t>3</w:t>
      </w:r>
      <w:r w:rsidRPr="00DE108C">
        <w:t xml:space="preserve"> Sewerage</w:t>
      </w:r>
      <w:bookmarkEnd w:id="950"/>
    </w:p>
    <w:p w14:paraId="1BDE5209" w14:textId="0152AE4E" w:rsidR="00046BD5" w:rsidRPr="00DE108C" w:rsidRDefault="00046BD5" w:rsidP="00ED094E">
      <w:r w:rsidRPr="00DE108C">
        <w:t>Our forecast revenue requirement for the regulatory period is $</w:t>
      </w:r>
      <w:r w:rsidRPr="001164EE">
        <w:t>3,27</w:t>
      </w:r>
      <w:r w:rsidR="00A82334" w:rsidRPr="001164EE">
        <w:t>3</w:t>
      </w:r>
      <w:r w:rsidRPr="001164EE">
        <w:t> million</w:t>
      </w:r>
      <w:r w:rsidRPr="00DE108C">
        <w:t xml:space="preserve"> for sewerage</w:t>
      </w:r>
      <w:r w:rsidR="004C704C" w:rsidRPr="00DE108C">
        <w:t xml:space="preserve"> (provided annually in Table 9.3)</w:t>
      </w:r>
      <w:r w:rsidRPr="00DE108C">
        <w:t xml:space="preserve">. It is based on meeting legislative, regulatory and policy obligations, as well as delivering the outcomes customers told us they value. </w:t>
      </w:r>
    </w:p>
    <w:p w14:paraId="2AB3FEC1" w14:textId="77777777" w:rsidR="002C153C" w:rsidRPr="00DE108C" w:rsidRDefault="002C153C">
      <w:pPr>
        <w:spacing w:before="0" w:after="0" w:line="320" w:lineRule="atLeast"/>
      </w:pPr>
      <w:r w:rsidRPr="00DE108C">
        <w:br w:type="page"/>
      </w:r>
    </w:p>
    <w:p w14:paraId="3AFDE2CF" w14:textId="77777777" w:rsidR="00046BD5" w:rsidRPr="00DE108C" w:rsidRDefault="00046BD5">
      <w:pPr>
        <w:pStyle w:val="Caption"/>
      </w:pPr>
      <w:bookmarkStart w:id="951" w:name="_Toc190878430"/>
      <w:bookmarkStart w:id="952" w:name="_Toc207893087"/>
      <w:bookmarkStart w:id="953" w:name="_Toc208490611"/>
      <w:bookmarkStart w:id="954" w:name="_Toc208490949"/>
      <w:bookmarkStart w:id="955" w:name="_Toc208911107"/>
      <w:bookmarkStart w:id="956" w:name="_Toc210051413"/>
      <w:r w:rsidRPr="001164EE">
        <w:lastRenderedPageBreak/>
        <w:t>Table 9.3: Sewerage revenue requirement</w:t>
      </w:r>
      <w:bookmarkEnd w:id="951"/>
      <w:r w:rsidRPr="001164EE">
        <w:t xml:space="preserve"> ($millions, real 2025-26)</w:t>
      </w:r>
      <w:bookmarkEnd w:id="952"/>
      <w:bookmarkEnd w:id="953"/>
      <w:bookmarkEnd w:id="954"/>
      <w:bookmarkEnd w:id="955"/>
      <w:bookmarkEnd w:id="956"/>
    </w:p>
    <w:tbl>
      <w:tblPr>
        <w:tblStyle w:val="MWTableGrid"/>
        <w:tblW w:w="5000" w:type="pct"/>
        <w:tblLayout w:type="fixed"/>
        <w:tblLook w:val="0420" w:firstRow="1" w:lastRow="0" w:firstColumn="0" w:lastColumn="0" w:noHBand="0" w:noVBand="1"/>
      </w:tblPr>
      <w:tblGrid>
        <w:gridCol w:w="1980"/>
        <w:gridCol w:w="1258"/>
        <w:gridCol w:w="1258"/>
        <w:gridCol w:w="1258"/>
        <w:gridCol w:w="1258"/>
        <w:gridCol w:w="1258"/>
        <w:gridCol w:w="1258"/>
        <w:gridCol w:w="1258"/>
        <w:gridCol w:w="1258"/>
        <w:gridCol w:w="1258"/>
        <w:gridCol w:w="1258"/>
      </w:tblGrid>
      <w:tr w:rsidR="0069661E" w:rsidRPr="00942BBC" w14:paraId="065104E0" w14:textId="77777777" w:rsidTr="00B46F82">
        <w:trPr>
          <w:cnfStyle w:val="100000000000" w:firstRow="1" w:lastRow="0" w:firstColumn="0" w:lastColumn="0" w:oddVBand="0" w:evenVBand="0" w:oddHBand="0" w:evenHBand="0" w:firstRowFirstColumn="0" w:firstRowLastColumn="0" w:lastRowFirstColumn="0" w:lastRowLastColumn="0"/>
        </w:trPr>
        <w:tc>
          <w:tcPr>
            <w:tcW w:w="1980" w:type="dxa"/>
          </w:tcPr>
          <w:p w14:paraId="38F2FA3D" w14:textId="77777777" w:rsidR="00046BD5" w:rsidRPr="00942BBC" w:rsidRDefault="00046BD5" w:rsidP="00ED094E">
            <w:pPr>
              <w:pStyle w:val="TableHeading"/>
              <w:rPr>
                <w:rFonts w:asciiTheme="majorHAnsi" w:eastAsia="Verdana" w:hAnsiTheme="majorHAnsi"/>
                <w:szCs w:val="16"/>
              </w:rPr>
            </w:pPr>
          </w:p>
        </w:tc>
        <w:tc>
          <w:tcPr>
            <w:tcW w:w="1258" w:type="dxa"/>
          </w:tcPr>
          <w:p w14:paraId="5C76C43C" w14:textId="77777777" w:rsidR="00046BD5" w:rsidRPr="00942BBC" w:rsidRDefault="00046BD5" w:rsidP="00ED094E">
            <w:pPr>
              <w:pStyle w:val="TableHeading"/>
              <w:rPr>
                <w:rFonts w:asciiTheme="majorHAnsi" w:eastAsia="Verdana" w:hAnsiTheme="majorHAnsi"/>
                <w:szCs w:val="16"/>
              </w:rPr>
            </w:pPr>
            <w:r w:rsidRPr="00942BBC">
              <w:rPr>
                <w:rFonts w:asciiTheme="majorHAnsi" w:hAnsiTheme="majorHAnsi" w:cs="Tahoma"/>
                <w:szCs w:val="16"/>
              </w:rPr>
              <w:t>2026-27 </w:t>
            </w:r>
          </w:p>
        </w:tc>
        <w:tc>
          <w:tcPr>
            <w:tcW w:w="1258" w:type="dxa"/>
          </w:tcPr>
          <w:p w14:paraId="535315FA" w14:textId="77777777" w:rsidR="00046BD5" w:rsidRPr="00942BBC" w:rsidRDefault="00046BD5" w:rsidP="00ED094E">
            <w:pPr>
              <w:pStyle w:val="TableHeading"/>
              <w:rPr>
                <w:rFonts w:asciiTheme="majorHAnsi" w:eastAsia="Verdana" w:hAnsiTheme="majorHAnsi"/>
                <w:szCs w:val="16"/>
              </w:rPr>
            </w:pPr>
            <w:r w:rsidRPr="00942BBC">
              <w:rPr>
                <w:rFonts w:asciiTheme="majorHAnsi" w:hAnsiTheme="majorHAnsi" w:cs="Tahoma"/>
                <w:szCs w:val="16"/>
              </w:rPr>
              <w:t>2027-28 </w:t>
            </w:r>
          </w:p>
        </w:tc>
        <w:tc>
          <w:tcPr>
            <w:tcW w:w="1258" w:type="dxa"/>
          </w:tcPr>
          <w:p w14:paraId="357EEC0A" w14:textId="77777777" w:rsidR="00046BD5" w:rsidRPr="00942BBC" w:rsidRDefault="00046BD5" w:rsidP="00ED094E">
            <w:pPr>
              <w:pStyle w:val="TableHeading"/>
              <w:rPr>
                <w:rFonts w:asciiTheme="majorHAnsi" w:eastAsia="Verdana" w:hAnsiTheme="majorHAnsi"/>
                <w:szCs w:val="16"/>
              </w:rPr>
            </w:pPr>
            <w:r w:rsidRPr="00942BBC">
              <w:rPr>
                <w:rFonts w:asciiTheme="majorHAnsi" w:hAnsiTheme="majorHAnsi" w:cs="Tahoma"/>
                <w:szCs w:val="16"/>
              </w:rPr>
              <w:t>2028-29 </w:t>
            </w:r>
          </w:p>
        </w:tc>
        <w:tc>
          <w:tcPr>
            <w:tcW w:w="1258" w:type="dxa"/>
          </w:tcPr>
          <w:p w14:paraId="61321BC4" w14:textId="77777777" w:rsidR="00046BD5" w:rsidRPr="00942BBC" w:rsidRDefault="00046BD5" w:rsidP="00ED094E">
            <w:pPr>
              <w:pStyle w:val="TableHeading"/>
              <w:rPr>
                <w:rFonts w:asciiTheme="majorHAnsi" w:eastAsia="Verdana" w:hAnsiTheme="majorHAnsi"/>
                <w:szCs w:val="16"/>
              </w:rPr>
            </w:pPr>
            <w:r w:rsidRPr="00942BBC">
              <w:rPr>
                <w:rFonts w:asciiTheme="majorHAnsi" w:hAnsiTheme="majorHAnsi" w:cs="Tahoma"/>
                <w:szCs w:val="16"/>
              </w:rPr>
              <w:t>2029-30 </w:t>
            </w:r>
          </w:p>
        </w:tc>
        <w:tc>
          <w:tcPr>
            <w:tcW w:w="1258" w:type="dxa"/>
          </w:tcPr>
          <w:p w14:paraId="5A6009C4" w14:textId="77777777" w:rsidR="00046BD5" w:rsidRPr="00942BBC" w:rsidRDefault="00046BD5" w:rsidP="00ED094E">
            <w:pPr>
              <w:pStyle w:val="TableHeading"/>
              <w:rPr>
                <w:rFonts w:asciiTheme="majorHAnsi" w:eastAsia="Verdana" w:hAnsiTheme="majorHAnsi"/>
                <w:szCs w:val="16"/>
              </w:rPr>
            </w:pPr>
            <w:r w:rsidRPr="00942BBC">
              <w:rPr>
                <w:rFonts w:asciiTheme="majorHAnsi" w:hAnsiTheme="majorHAnsi" w:cs="Tahoma"/>
                <w:szCs w:val="16"/>
              </w:rPr>
              <w:t>2030-31 </w:t>
            </w:r>
          </w:p>
        </w:tc>
        <w:tc>
          <w:tcPr>
            <w:tcW w:w="1258" w:type="dxa"/>
          </w:tcPr>
          <w:p w14:paraId="31637CB2" w14:textId="77777777" w:rsidR="00046BD5" w:rsidRPr="00942BBC" w:rsidRDefault="00046BD5" w:rsidP="00ED094E">
            <w:pPr>
              <w:pStyle w:val="TableHeading"/>
              <w:rPr>
                <w:rFonts w:asciiTheme="majorHAnsi" w:eastAsia="Verdana" w:hAnsiTheme="majorHAnsi"/>
                <w:szCs w:val="16"/>
              </w:rPr>
            </w:pPr>
            <w:r w:rsidRPr="00942BBC">
              <w:rPr>
                <w:rFonts w:asciiTheme="majorHAnsi" w:hAnsiTheme="majorHAnsi" w:cs="Tahoma"/>
                <w:szCs w:val="16"/>
              </w:rPr>
              <w:t>2031-32</w:t>
            </w:r>
          </w:p>
        </w:tc>
        <w:tc>
          <w:tcPr>
            <w:tcW w:w="1258" w:type="dxa"/>
          </w:tcPr>
          <w:p w14:paraId="50B37FFF" w14:textId="77777777" w:rsidR="00046BD5" w:rsidRPr="00942BBC" w:rsidRDefault="00046BD5" w:rsidP="00ED094E">
            <w:pPr>
              <w:pStyle w:val="TableHeading"/>
              <w:rPr>
                <w:rFonts w:asciiTheme="majorHAnsi" w:eastAsia="Verdana" w:hAnsiTheme="majorHAnsi"/>
                <w:szCs w:val="16"/>
              </w:rPr>
            </w:pPr>
            <w:r w:rsidRPr="00942BBC">
              <w:rPr>
                <w:rFonts w:asciiTheme="majorHAnsi" w:hAnsiTheme="majorHAnsi" w:cs="Tahoma"/>
                <w:szCs w:val="16"/>
              </w:rPr>
              <w:t>2032-33</w:t>
            </w:r>
          </w:p>
        </w:tc>
        <w:tc>
          <w:tcPr>
            <w:tcW w:w="1258" w:type="dxa"/>
          </w:tcPr>
          <w:p w14:paraId="1142307B" w14:textId="77777777" w:rsidR="00046BD5" w:rsidRPr="00942BBC" w:rsidRDefault="00046BD5" w:rsidP="00ED094E">
            <w:pPr>
              <w:pStyle w:val="TableHeading"/>
              <w:rPr>
                <w:rFonts w:asciiTheme="majorHAnsi" w:eastAsia="Verdana" w:hAnsiTheme="majorHAnsi"/>
                <w:szCs w:val="16"/>
              </w:rPr>
            </w:pPr>
            <w:r w:rsidRPr="00942BBC">
              <w:rPr>
                <w:rFonts w:asciiTheme="majorHAnsi" w:hAnsiTheme="majorHAnsi" w:cs="Tahoma"/>
                <w:szCs w:val="16"/>
              </w:rPr>
              <w:t>2033-34</w:t>
            </w:r>
          </w:p>
        </w:tc>
        <w:tc>
          <w:tcPr>
            <w:tcW w:w="1258" w:type="dxa"/>
          </w:tcPr>
          <w:p w14:paraId="334AA62B" w14:textId="77777777" w:rsidR="00046BD5" w:rsidRPr="00942BBC" w:rsidRDefault="00046BD5" w:rsidP="00ED094E">
            <w:pPr>
              <w:pStyle w:val="TableHeading"/>
              <w:rPr>
                <w:rFonts w:asciiTheme="majorHAnsi" w:eastAsia="Verdana" w:hAnsiTheme="majorHAnsi"/>
                <w:szCs w:val="16"/>
              </w:rPr>
            </w:pPr>
            <w:r w:rsidRPr="00942BBC">
              <w:rPr>
                <w:rFonts w:asciiTheme="majorHAnsi" w:hAnsiTheme="majorHAnsi" w:cs="Tahoma"/>
                <w:szCs w:val="16"/>
              </w:rPr>
              <w:t>2034-35</w:t>
            </w:r>
          </w:p>
        </w:tc>
        <w:tc>
          <w:tcPr>
            <w:tcW w:w="1258" w:type="dxa"/>
          </w:tcPr>
          <w:p w14:paraId="51D57E09" w14:textId="77777777" w:rsidR="00046BD5" w:rsidRPr="00942BBC" w:rsidRDefault="00046BD5" w:rsidP="00ED094E">
            <w:pPr>
              <w:pStyle w:val="TableHeading"/>
              <w:rPr>
                <w:rFonts w:asciiTheme="majorHAnsi" w:eastAsia="Verdana" w:hAnsiTheme="majorHAnsi"/>
                <w:szCs w:val="16"/>
              </w:rPr>
            </w:pPr>
            <w:r w:rsidRPr="00942BBC">
              <w:rPr>
                <w:rFonts w:asciiTheme="majorHAnsi" w:hAnsiTheme="majorHAnsi" w:cs="Tahoma"/>
                <w:szCs w:val="16"/>
              </w:rPr>
              <w:t>2035-36</w:t>
            </w:r>
          </w:p>
        </w:tc>
      </w:tr>
      <w:tr w:rsidR="00942BBC" w:rsidRPr="00942BBC" w14:paraId="2F2CDFB6" w14:textId="77777777" w:rsidTr="00ED094E">
        <w:tc>
          <w:tcPr>
            <w:tcW w:w="1980" w:type="dxa"/>
          </w:tcPr>
          <w:p w14:paraId="6D34C48A" w14:textId="77777777" w:rsidR="00942BBC" w:rsidRPr="00942BBC" w:rsidRDefault="00942BBC" w:rsidP="00942BBC">
            <w:pPr>
              <w:pStyle w:val="TableText"/>
              <w:rPr>
                <w:rFonts w:asciiTheme="majorHAnsi" w:eastAsia="Verdana" w:hAnsiTheme="majorHAnsi"/>
                <w:szCs w:val="16"/>
              </w:rPr>
            </w:pPr>
            <w:r w:rsidRPr="00942BBC">
              <w:rPr>
                <w:rFonts w:asciiTheme="majorHAnsi" w:eastAsia="Verdana" w:hAnsiTheme="majorHAnsi"/>
                <w:szCs w:val="16"/>
              </w:rPr>
              <w:t xml:space="preserve">Opex </w:t>
            </w:r>
          </w:p>
        </w:tc>
        <w:tc>
          <w:tcPr>
            <w:tcW w:w="1258" w:type="dxa"/>
            <w:vAlign w:val="center"/>
          </w:tcPr>
          <w:p w14:paraId="1C64C0B2" w14:textId="5A03E699"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213.1 </w:t>
            </w:r>
          </w:p>
        </w:tc>
        <w:tc>
          <w:tcPr>
            <w:tcW w:w="1258" w:type="dxa"/>
            <w:vAlign w:val="center"/>
          </w:tcPr>
          <w:p w14:paraId="60412921" w14:textId="71C29C8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214.8 </w:t>
            </w:r>
          </w:p>
        </w:tc>
        <w:tc>
          <w:tcPr>
            <w:tcW w:w="1258" w:type="dxa"/>
            <w:vAlign w:val="center"/>
          </w:tcPr>
          <w:p w14:paraId="3ED3C73B" w14:textId="478FD175"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222.4 </w:t>
            </w:r>
          </w:p>
        </w:tc>
        <w:tc>
          <w:tcPr>
            <w:tcW w:w="1258" w:type="dxa"/>
            <w:vAlign w:val="center"/>
          </w:tcPr>
          <w:p w14:paraId="5D8F0004" w14:textId="4696B5BB"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227.1 </w:t>
            </w:r>
          </w:p>
        </w:tc>
        <w:tc>
          <w:tcPr>
            <w:tcW w:w="1258" w:type="dxa"/>
            <w:vAlign w:val="center"/>
          </w:tcPr>
          <w:p w14:paraId="520094A2" w14:textId="46E448A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228.1 </w:t>
            </w:r>
          </w:p>
        </w:tc>
        <w:tc>
          <w:tcPr>
            <w:tcW w:w="1258" w:type="dxa"/>
            <w:vAlign w:val="center"/>
          </w:tcPr>
          <w:p w14:paraId="7B52FC5D" w14:textId="7F25D050"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227.6 </w:t>
            </w:r>
          </w:p>
        </w:tc>
        <w:tc>
          <w:tcPr>
            <w:tcW w:w="1258" w:type="dxa"/>
            <w:vAlign w:val="center"/>
          </w:tcPr>
          <w:p w14:paraId="39A8831B" w14:textId="169A8B3B"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227.2 </w:t>
            </w:r>
          </w:p>
        </w:tc>
        <w:tc>
          <w:tcPr>
            <w:tcW w:w="1258" w:type="dxa"/>
            <w:vAlign w:val="center"/>
          </w:tcPr>
          <w:p w14:paraId="10BA7E73" w14:textId="330A4F15"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226.3 </w:t>
            </w:r>
          </w:p>
        </w:tc>
        <w:tc>
          <w:tcPr>
            <w:tcW w:w="1258" w:type="dxa"/>
            <w:vAlign w:val="center"/>
          </w:tcPr>
          <w:p w14:paraId="5D91BADF" w14:textId="6F4AA1BD"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227.6 </w:t>
            </w:r>
          </w:p>
        </w:tc>
        <w:tc>
          <w:tcPr>
            <w:tcW w:w="1258" w:type="dxa"/>
            <w:vAlign w:val="center"/>
          </w:tcPr>
          <w:p w14:paraId="3ABAE696" w14:textId="33091785"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226.0 </w:t>
            </w:r>
          </w:p>
        </w:tc>
      </w:tr>
      <w:tr w:rsidR="0069661E" w:rsidRPr="00942BBC" w14:paraId="3C90E4EB" w14:textId="77777777" w:rsidTr="00B46F82">
        <w:trPr>
          <w:cnfStyle w:val="000000010000" w:firstRow="0" w:lastRow="0" w:firstColumn="0" w:lastColumn="0" w:oddVBand="0" w:evenVBand="0" w:oddHBand="0" w:evenHBand="1" w:firstRowFirstColumn="0" w:firstRowLastColumn="0" w:lastRowFirstColumn="0" w:lastRowLastColumn="0"/>
        </w:trPr>
        <w:tc>
          <w:tcPr>
            <w:tcW w:w="1980" w:type="dxa"/>
          </w:tcPr>
          <w:p w14:paraId="678F0D13" w14:textId="77777777" w:rsidR="00942BBC" w:rsidRPr="00942BBC" w:rsidRDefault="00942BBC" w:rsidP="00942BBC">
            <w:pPr>
              <w:pStyle w:val="TableText"/>
              <w:rPr>
                <w:rFonts w:asciiTheme="majorHAnsi" w:eastAsia="Verdana" w:hAnsiTheme="majorHAnsi"/>
                <w:szCs w:val="16"/>
              </w:rPr>
            </w:pPr>
            <w:r w:rsidRPr="00942BBC">
              <w:rPr>
                <w:rFonts w:asciiTheme="majorHAnsi" w:eastAsia="Verdana" w:hAnsiTheme="majorHAnsi"/>
                <w:szCs w:val="16"/>
              </w:rPr>
              <w:t xml:space="preserve">Return on assets </w:t>
            </w:r>
          </w:p>
        </w:tc>
        <w:tc>
          <w:tcPr>
            <w:tcW w:w="1258" w:type="dxa"/>
            <w:vAlign w:val="center"/>
          </w:tcPr>
          <w:p w14:paraId="75F58870" w14:textId="452E22AD"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206.4 </w:t>
            </w:r>
          </w:p>
        </w:tc>
        <w:tc>
          <w:tcPr>
            <w:tcW w:w="1258" w:type="dxa"/>
            <w:vAlign w:val="center"/>
          </w:tcPr>
          <w:p w14:paraId="67801829" w14:textId="79470259"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221.0 </w:t>
            </w:r>
          </w:p>
        </w:tc>
        <w:tc>
          <w:tcPr>
            <w:tcW w:w="1258" w:type="dxa"/>
            <w:vAlign w:val="center"/>
          </w:tcPr>
          <w:p w14:paraId="382BD741" w14:textId="7BBD5709"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237.3 </w:t>
            </w:r>
          </w:p>
        </w:tc>
        <w:tc>
          <w:tcPr>
            <w:tcW w:w="1258" w:type="dxa"/>
            <w:vAlign w:val="center"/>
          </w:tcPr>
          <w:p w14:paraId="04EDA3D8" w14:textId="6A55B8F1"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254.6 </w:t>
            </w:r>
          </w:p>
        </w:tc>
        <w:tc>
          <w:tcPr>
            <w:tcW w:w="1258" w:type="dxa"/>
            <w:vAlign w:val="center"/>
          </w:tcPr>
          <w:p w14:paraId="2BB35708"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278.2 </w:t>
            </w:r>
          </w:p>
        </w:tc>
        <w:tc>
          <w:tcPr>
            <w:tcW w:w="1258" w:type="dxa"/>
            <w:vAlign w:val="center"/>
          </w:tcPr>
          <w:p w14:paraId="1A1EA546" w14:textId="1D71597A"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305.8 </w:t>
            </w:r>
          </w:p>
        </w:tc>
        <w:tc>
          <w:tcPr>
            <w:tcW w:w="1258" w:type="dxa"/>
            <w:vAlign w:val="center"/>
          </w:tcPr>
          <w:p w14:paraId="24B74054" w14:textId="459E4E89"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329.1 </w:t>
            </w:r>
          </w:p>
        </w:tc>
        <w:tc>
          <w:tcPr>
            <w:tcW w:w="1258" w:type="dxa"/>
            <w:vAlign w:val="center"/>
          </w:tcPr>
          <w:p w14:paraId="252B9E73" w14:textId="25D669FC"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329.0 </w:t>
            </w:r>
          </w:p>
        </w:tc>
        <w:tc>
          <w:tcPr>
            <w:tcW w:w="1258" w:type="dxa"/>
            <w:vAlign w:val="center"/>
          </w:tcPr>
          <w:p w14:paraId="156A63A4" w14:textId="5309D6EB"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328.3 </w:t>
            </w:r>
          </w:p>
        </w:tc>
        <w:tc>
          <w:tcPr>
            <w:tcW w:w="1258" w:type="dxa"/>
            <w:vAlign w:val="center"/>
          </w:tcPr>
          <w:p w14:paraId="2D7D5775" w14:textId="3F324BFF"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338.3 </w:t>
            </w:r>
          </w:p>
        </w:tc>
      </w:tr>
      <w:tr w:rsidR="00942BBC" w:rsidRPr="00942BBC" w14:paraId="3BDE45AD" w14:textId="77777777" w:rsidTr="00ED094E">
        <w:tc>
          <w:tcPr>
            <w:tcW w:w="1980" w:type="dxa"/>
          </w:tcPr>
          <w:p w14:paraId="1DAAD4CE" w14:textId="7062E9EF" w:rsidR="00942BBC" w:rsidRPr="00942BBC" w:rsidRDefault="00942BBC" w:rsidP="00942BBC">
            <w:pPr>
              <w:pStyle w:val="TableText"/>
              <w:rPr>
                <w:rFonts w:asciiTheme="majorHAnsi" w:eastAsia="Verdana" w:hAnsiTheme="majorHAnsi"/>
                <w:szCs w:val="16"/>
              </w:rPr>
            </w:pPr>
            <w:r w:rsidRPr="00942BBC">
              <w:rPr>
                <w:rFonts w:asciiTheme="majorHAnsi" w:eastAsia="Verdana" w:hAnsiTheme="majorHAnsi"/>
                <w:szCs w:val="16"/>
              </w:rPr>
              <w:t xml:space="preserve">Regulatory depreciation </w:t>
            </w:r>
          </w:p>
        </w:tc>
        <w:tc>
          <w:tcPr>
            <w:tcW w:w="1258" w:type="dxa"/>
            <w:vAlign w:val="center"/>
          </w:tcPr>
          <w:p w14:paraId="3DB2969D"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161.3 </w:t>
            </w:r>
          </w:p>
        </w:tc>
        <w:tc>
          <w:tcPr>
            <w:tcW w:w="1258" w:type="dxa"/>
            <w:vAlign w:val="center"/>
          </w:tcPr>
          <w:p w14:paraId="0748CC39"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171.3 </w:t>
            </w:r>
          </w:p>
        </w:tc>
        <w:tc>
          <w:tcPr>
            <w:tcW w:w="1258" w:type="dxa"/>
            <w:vAlign w:val="center"/>
          </w:tcPr>
          <w:p w14:paraId="0ECF4941"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182.5 </w:t>
            </w:r>
          </w:p>
        </w:tc>
        <w:tc>
          <w:tcPr>
            <w:tcW w:w="1258" w:type="dxa"/>
            <w:vAlign w:val="center"/>
          </w:tcPr>
          <w:p w14:paraId="4139EBF9"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199.3 </w:t>
            </w:r>
          </w:p>
        </w:tc>
        <w:tc>
          <w:tcPr>
            <w:tcW w:w="1258" w:type="dxa"/>
            <w:vAlign w:val="center"/>
          </w:tcPr>
          <w:p w14:paraId="661E937C" w14:textId="7AFDEE21"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197.9 </w:t>
            </w:r>
          </w:p>
        </w:tc>
        <w:tc>
          <w:tcPr>
            <w:tcW w:w="1258" w:type="dxa"/>
            <w:vAlign w:val="center"/>
          </w:tcPr>
          <w:p w14:paraId="3E0CE8B1"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201.4 </w:t>
            </w:r>
          </w:p>
        </w:tc>
        <w:tc>
          <w:tcPr>
            <w:tcW w:w="1258" w:type="dxa"/>
            <w:vAlign w:val="center"/>
          </w:tcPr>
          <w:p w14:paraId="1047B6AE"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214.8 </w:t>
            </w:r>
          </w:p>
        </w:tc>
        <w:tc>
          <w:tcPr>
            <w:tcW w:w="1258" w:type="dxa"/>
            <w:vAlign w:val="center"/>
          </w:tcPr>
          <w:p w14:paraId="2A37E5AA"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227.0 </w:t>
            </w:r>
          </w:p>
        </w:tc>
        <w:tc>
          <w:tcPr>
            <w:tcW w:w="1258" w:type="dxa"/>
            <w:vAlign w:val="center"/>
          </w:tcPr>
          <w:p w14:paraId="3D7263EE"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239.3 </w:t>
            </w:r>
          </w:p>
        </w:tc>
        <w:tc>
          <w:tcPr>
            <w:tcW w:w="1258" w:type="dxa"/>
            <w:vAlign w:val="center"/>
          </w:tcPr>
          <w:p w14:paraId="68706BA3"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250.6 </w:t>
            </w:r>
          </w:p>
        </w:tc>
      </w:tr>
      <w:tr w:rsidR="0069661E" w:rsidRPr="00942BBC" w14:paraId="492A25BC" w14:textId="77777777" w:rsidTr="00B46F82">
        <w:trPr>
          <w:cnfStyle w:val="000000010000" w:firstRow="0" w:lastRow="0" w:firstColumn="0" w:lastColumn="0" w:oddVBand="0" w:evenVBand="0" w:oddHBand="0" w:evenHBand="1" w:firstRowFirstColumn="0" w:firstRowLastColumn="0" w:lastRowFirstColumn="0" w:lastRowLastColumn="0"/>
        </w:trPr>
        <w:tc>
          <w:tcPr>
            <w:tcW w:w="1980" w:type="dxa"/>
          </w:tcPr>
          <w:p w14:paraId="5923C22E" w14:textId="77777777" w:rsidR="00942BBC" w:rsidRPr="00942BBC" w:rsidRDefault="00942BBC" w:rsidP="00942BBC">
            <w:pPr>
              <w:pStyle w:val="TableText"/>
              <w:rPr>
                <w:rFonts w:asciiTheme="majorHAnsi" w:eastAsia="Verdana" w:hAnsiTheme="majorHAnsi"/>
                <w:szCs w:val="16"/>
              </w:rPr>
            </w:pPr>
            <w:r w:rsidRPr="00942BBC">
              <w:rPr>
                <w:rFonts w:asciiTheme="majorHAnsi" w:eastAsia="Verdana" w:hAnsiTheme="majorHAnsi"/>
                <w:szCs w:val="16"/>
              </w:rPr>
              <w:t xml:space="preserve">Tax </w:t>
            </w:r>
          </w:p>
        </w:tc>
        <w:tc>
          <w:tcPr>
            <w:tcW w:w="1258" w:type="dxa"/>
            <w:vAlign w:val="center"/>
          </w:tcPr>
          <w:p w14:paraId="4BDD51BA"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13.9 </w:t>
            </w:r>
          </w:p>
        </w:tc>
        <w:tc>
          <w:tcPr>
            <w:tcW w:w="1258" w:type="dxa"/>
            <w:vAlign w:val="center"/>
          </w:tcPr>
          <w:p w14:paraId="04951F72"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14.3 </w:t>
            </w:r>
          </w:p>
        </w:tc>
        <w:tc>
          <w:tcPr>
            <w:tcW w:w="1258" w:type="dxa"/>
            <w:vAlign w:val="center"/>
          </w:tcPr>
          <w:p w14:paraId="67E407D7"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12.1 </w:t>
            </w:r>
          </w:p>
        </w:tc>
        <w:tc>
          <w:tcPr>
            <w:tcW w:w="1258" w:type="dxa"/>
            <w:vAlign w:val="center"/>
          </w:tcPr>
          <w:p w14:paraId="320DC27C" w14:textId="62C5E5DA"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9.9 </w:t>
            </w:r>
          </w:p>
        </w:tc>
        <w:tc>
          <w:tcPr>
            <w:tcW w:w="1258" w:type="dxa"/>
            <w:vAlign w:val="center"/>
          </w:tcPr>
          <w:p w14:paraId="54EAE0CB"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7.9 </w:t>
            </w:r>
          </w:p>
        </w:tc>
        <w:tc>
          <w:tcPr>
            <w:tcW w:w="1258" w:type="dxa"/>
            <w:vAlign w:val="center"/>
          </w:tcPr>
          <w:p w14:paraId="51BEAC1A"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7.2 </w:t>
            </w:r>
          </w:p>
        </w:tc>
        <w:tc>
          <w:tcPr>
            <w:tcW w:w="1258" w:type="dxa"/>
            <w:vAlign w:val="center"/>
          </w:tcPr>
          <w:p w14:paraId="1ADD51EA"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8.6 </w:t>
            </w:r>
          </w:p>
        </w:tc>
        <w:tc>
          <w:tcPr>
            <w:tcW w:w="1258" w:type="dxa"/>
            <w:vAlign w:val="center"/>
          </w:tcPr>
          <w:p w14:paraId="379C4A23"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6.1 </w:t>
            </w:r>
          </w:p>
        </w:tc>
        <w:tc>
          <w:tcPr>
            <w:tcW w:w="1258" w:type="dxa"/>
            <w:vAlign w:val="center"/>
          </w:tcPr>
          <w:p w14:paraId="01D4E92D"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6.2 </w:t>
            </w:r>
          </w:p>
        </w:tc>
        <w:tc>
          <w:tcPr>
            <w:tcW w:w="1258" w:type="dxa"/>
            <w:vAlign w:val="center"/>
          </w:tcPr>
          <w:p w14:paraId="60020942" w14:textId="77777777" w:rsidR="00942BBC" w:rsidRPr="00942BBC" w:rsidRDefault="00942BBC" w:rsidP="00942BBC">
            <w:pPr>
              <w:pStyle w:val="TableText"/>
              <w:rPr>
                <w:rFonts w:asciiTheme="majorHAnsi" w:eastAsia="Verdana" w:hAnsiTheme="majorHAnsi" w:cs="Verdana"/>
                <w:szCs w:val="16"/>
              </w:rPr>
            </w:pPr>
            <w:r w:rsidRPr="00942BBC">
              <w:rPr>
                <w:rFonts w:ascii="Verdana" w:hAnsi="Verdana" w:cs="Tahoma"/>
                <w:szCs w:val="16"/>
              </w:rPr>
              <w:t xml:space="preserve"> 6.6 </w:t>
            </w:r>
          </w:p>
        </w:tc>
      </w:tr>
      <w:tr w:rsidR="00942BBC" w:rsidRPr="00942BBC" w14:paraId="2A857C49" w14:textId="77777777" w:rsidTr="00ED094E">
        <w:trPr>
          <w:trHeight w:val="255"/>
        </w:trPr>
        <w:tc>
          <w:tcPr>
            <w:tcW w:w="1980" w:type="dxa"/>
            <w:tcBorders>
              <w:bottom w:val="single" w:sz="4" w:space="0" w:color="231F20"/>
            </w:tcBorders>
          </w:tcPr>
          <w:p w14:paraId="70F67855" w14:textId="77777777" w:rsidR="00942BBC" w:rsidRPr="00942BBC" w:rsidRDefault="00942BBC" w:rsidP="00942BBC">
            <w:pPr>
              <w:pStyle w:val="TableText"/>
              <w:rPr>
                <w:rFonts w:asciiTheme="majorHAnsi" w:eastAsia="Verdana" w:hAnsiTheme="majorHAnsi"/>
                <w:b/>
                <w:bCs/>
                <w:szCs w:val="16"/>
              </w:rPr>
            </w:pPr>
            <w:r w:rsidRPr="00942BBC">
              <w:rPr>
                <w:rFonts w:asciiTheme="majorHAnsi" w:eastAsia="Verdana" w:hAnsiTheme="majorHAnsi"/>
                <w:b/>
                <w:bCs/>
                <w:szCs w:val="16"/>
              </w:rPr>
              <w:t xml:space="preserve">Total </w:t>
            </w:r>
          </w:p>
        </w:tc>
        <w:tc>
          <w:tcPr>
            <w:tcW w:w="1258" w:type="dxa"/>
            <w:tcBorders>
              <w:bottom w:val="single" w:sz="4" w:space="0" w:color="231F20"/>
            </w:tcBorders>
            <w:vAlign w:val="center"/>
          </w:tcPr>
          <w:p w14:paraId="3A734951" w14:textId="42DD5BB1" w:rsidR="00942BBC" w:rsidRPr="00942BBC" w:rsidRDefault="00942BBC" w:rsidP="00942BBC">
            <w:pPr>
              <w:pStyle w:val="TableText"/>
              <w:rPr>
                <w:rFonts w:asciiTheme="majorHAnsi" w:eastAsia="Verdana" w:hAnsiTheme="majorHAnsi" w:cs="Verdana"/>
                <w:b/>
                <w:bCs/>
                <w:szCs w:val="16"/>
              </w:rPr>
            </w:pPr>
            <w:r w:rsidRPr="00942BBC">
              <w:rPr>
                <w:rFonts w:ascii="Verdana" w:hAnsi="Verdana" w:cs="Tahoma"/>
                <w:b/>
                <w:bCs/>
                <w:szCs w:val="16"/>
              </w:rPr>
              <w:t xml:space="preserve"> 594.7 </w:t>
            </w:r>
          </w:p>
        </w:tc>
        <w:tc>
          <w:tcPr>
            <w:tcW w:w="1258" w:type="dxa"/>
            <w:tcBorders>
              <w:bottom w:val="single" w:sz="4" w:space="0" w:color="231F20"/>
            </w:tcBorders>
            <w:vAlign w:val="center"/>
          </w:tcPr>
          <w:p w14:paraId="73D08CC0" w14:textId="1F56E3E0" w:rsidR="00942BBC" w:rsidRPr="00942BBC" w:rsidRDefault="00942BBC" w:rsidP="00942BBC">
            <w:pPr>
              <w:pStyle w:val="TableText"/>
              <w:rPr>
                <w:rFonts w:asciiTheme="majorHAnsi" w:eastAsia="Verdana" w:hAnsiTheme="majorHAnsi" w:cs="Verdana"/>
                <w:b/>
                <w:bCs/>
                <w:szCs w:val="16"/>
              </w:rPr>
            </w:pPr>
            <w:r w:rsidRPr="00942BBC">
              <w:rPr>
                <w:rFonts w:ascii="Verdana" w:hAnsi="Verdana" w:cs="Tahoma"/>
                <w:b/>
                <w:bCs/>
                <w:szCs w:val="16"/>
              </w:rPr>
              <w:t xml:space="preserve"> 621.4 </w:t>
            </w:r>
          </w:p>
        </w:tc>
        <w:tc>
          <w:tcPr>
            <w:tcW w:w="1258" w:type="dxa"/>
            <w:tcBorders>
              <w:bottom w:val="single" w:sz="4" w:space="0" w:color="231F20"/>
            </w:tcBorders>
            <w:vAlign w:val="center"/>
          </w:tcPr>
          <w:p w14:paraId="22B4AA45" w14:textId="7AD73E57" w:rsidR="00942BBC" w:rsidRPr="00942BBC" w:rsidRDefault="00942BBC" w:rsidP="00942BBC">
            <w:pPr>
              <w:pStyle w:val="TableText"/>
              <w:rPr>
                <w:rFonts w:asciiTheme="majorHAnsi" w:eastAsia="Verdana" w:hAnsiTheme="majorHAnsi" w:cs="Verdana"/>
                <w:b/>
                <w:bCs/>
                <w:szCs w:val="16"/>
              </w:rPr>
            </w:pPr>
            <w:r w:rsidRPr="00942BBC">
              <w:rPr>
                <w:rFonts w:ascii="Verdana" w:hAnsi="Verdana" w:cs="Tahoma"/>
                <w:b/>
                <w:bCs/>
                <w:szCs w:val="16"/>
              </w:rPr>
              <w:t xml:space="preserve"> 654.3 </w:t>
            </w:r>
          </w:p>
        </w:tc>
        <w:tc>
          <w:tcPr>
            <w:tcW w:w="1258" w:type="dxa"/>
            <w:tcBorders>
              <w:bottom w:val="single" w:sz="4" w:space="0" w:color="231F20"/>
            </w:tcBorders>
            <w:vAlign w:val="center"/>
          </w:tcPr>
          <w:p w14:paraId="07F4F11C" w14:textId="6FBF7E4E" w:rsidR="00942BBC" w:rsidRPr="00942BBC" w:rsidRDefault="00942BBC" w:rsidP="00942BBC">
            <w:pPr>
              <w:pStyle w:val="TableText"/>
              <w:rPr>
                <w:rFonts w:asciiTheme="majorHAnsi" w:eastAsia="Verdana" w:hAnsiTheme="majorHAnsi" w:cs="Verdana"/>
                <w:b/>
                <w:bCs/>
                <w:szCs w:val="16"/>
              </w:rPr>
            </w:pPr>
            <w:r w:rsidRPr="00942BBC">
              <w:rPr>
                <w:rFonts w:ascii="Verdana" w:hAnsi="Verdana" w:cs="Tahoma"/>
                <w:b/>
                <w:bCs/>
                <w:szCs w:val="16"/>
              </w:rPr>
              <w:t xml:space="preserve"> 690.9 </w:t>
            </w:r>
          </w:p>
        </w:tc>
        <w:tc>
          <w:tcPr>
            <w:tcW w:w="1258" w:type="dxa"/>
            <w:tcBorders>
              <w:bottom w:val="single" w:sz="4" w:space="0" w:color="231F20"/>
            </w:tcBorders>
            <w:vAlign w:val="center"/>
          </w:tcPr>
          <w:p w14:paraId="5AD2830E" w14:textId="39BC5EC9" w:rsidR="00942BBC" w:rsidRPr="00942BBC" w:rsidRDefault="00942BBC" w:rsidP="00942BBC">
            <w:pPr>
              <w:pStyle w:val="TableText"/>
              <w:rPr>
                <w:rFonts w:asciiTheme="majorHAnsi" w:eastAsia="Verdana" w:hAnsiTheme="majorHAnsi" w:cs="Verdana"/>
                <w:b/>
                <w:bCs/>
                <w:szCs w:val="16"/>
              </w:rPr>
            </w:pPr>
            <w:r w:rsidRPr="00942BBC">
              <w:rPr>
                <w:rFonts w:ascii="Verdana" w:hAnsi="Verdana" w:cs="Tahoma"/>
                <w:b/>
                <w:bCs/>
                <w:szCs w:val="16"/>
              </w:rPr>
              <w:t xml:space="preserve"> 712.1 </w:t>
            </w:r>
          </w:p>
        </w:tc>
        <w:tc>
          <w:tcPr>
            <w:tcW w:w="1258" w:type="dxa"/>
            <w:tcBorders>
              <w:bottom w:val="single" w:sz="4" w:space="0" w:color="231F20"/>
            </w:tcBorders>
            <w:vAlign w:val="center"/>
          </w:tcPr>
          <w:p w14:paraId="58FA9FA7" w14:textId="5F567897" w:rsidR="00942BBC" w:rsidRPr="00942BBC" w:rsidRDefault="00942BBC" w:rsidP="00942BBC">
            <w:pPr>
              <w:pStyle w:val="TableText"/>
              <w:rPr>
                <w:rFonts w:asciiTheme="majorHAnsi" w:eastAsia="Verdana" w:hAnsiTheme="majorHAnsi" w:cs="Verdana"/>
                <w:b/>
                <w:bCs/>
                <w:szCs w:val="16"/>
              </w:rPr>
            </w:pPr>
            <w:r w:rsidRPr="00942BBC">
              <w:rPr>
                <w:rFonts w:ascii="Verdana" w:hAnsi="Verdana" w:cs="Tahoma"/>
                <w:b/>
                <w:bCs/>
                <w:szCs w:val="16"/>
              </w:rPr>
              <w:t xml:space="preserve"> 742.1 </w:t>
            </w:r>
          </w:p>
        </w:tc>
        <w:tc>
          <w:tcPr>
            <w:tcW w:w="1258" w:type="dxa"/>
            <w:tcBorders>
              <w:bottom w:val="single" w:sz="4" w:space="0" w:color="231F20"/>
            </w:tcBorders>
            <w:vAlign w:val="center"/>
          </w:tcPr>
          <w:p w14:paraId="21CBB544" w14:textId="74DF659E" w:rsidR="00942BBC" w:rsidRPr="00942BBC" w:rsidRDefault="00942BBC" w:rsidP="00942BBC">
            <w:pPr>
              <w:pStyle w:val="TableText"/>
              <w:rPr>
                <w:rFonts w:asciiTheme="majorHAnsi" w:eastAsia="Verdana" w:hAnsiTheme="majorHAnsi" w:cs="Verdana"/>
                <w:b/>
                <w:bCs/>
                <w:szCs w:val="16"/>
              </w:rPr>
            </w:pPr>
            <w:r w:rsidRPr="00942BBC">
              <w:rPr>
                <w:rFonts w:ascii="Verdana" w:hAnsi="Verdana" w:cs="Tahoma"/>
                <w:b/>
                <w:bCs/>
                <w:szCs w:val="16"/>
              </w:rPr>
              <w:t xml:space="preserve"> 779.7 </w:t>
            </w:r>
          </w:p>
        </w:tc>
        <w:tc>
          <w:tcPr>
            <w:tcW w:w="1258" w:type="dxa"/>
            <w:tcBorders>
              <w:bottom w:val="single" w:sz="4" w:space="0" w:color="231F20"/>
            </w:tcBorders>
            <w:vAlign w:val="center"/>
          </w:tcPr>
          <w:p w14:paraId="1EF5C540" w14:textId="73923D7B" w:rsidR="00942BBC" w:rsidRPr="00942BBC" w:rsidRDefault="00942BBC" w:rsidP="00942BBC">
            <w:pPr>
              <w:pStyle w:val="TableText"/>
              <w:rPr>
                <w:rFonts w:asciiTheme="majorHAnsi" w:eastAsia="Verdana" w:hAnsiTheme="majorHAnsi" w:cs="Verdana"/>
                <w:b/>
                <w:bCs/>
                <w:szCs w:val="16"/>
              </w:rPr>
            </w:pPr>
            <w:r w:rsidRPr="00942BBC">
              <w:rPr>
                <w:rFonts w:ascii="Verdana" w:hAnsi="Verdana" w:cs="Tahoma"/>
                <w:b/>
                <w:bCs/>
                <w:szCs w:val="16"/>
              </w:rPr>
              <w:t xml:space="preserve"> 788.4 </w:t>
            </w:r>
          </w:p>
        </w:tc>
        <w:tc>
          <w:tcPr>
            <w:tcW w:w="1258" w:type="dxa"/>
            <w:tcBorders>
              <w:bottom w:val="single" w:sz="4" w:space="0" w:color="231F20"/>
            </w:tcBorders>
            <w:vAlign w:val="center"/>
          </w:tcPr>
          <w:p w14:paraId="559CF008" w14:textId="582D4CC2" w:rsidR="00942BBC" w:rsidRPr="00942BBC" w:rsidRDefault="00942BBC" w:rsidP="00942BBC">
            <w:pPr>
              <w:pStyle w:val="TableText"/>
              <w:rPr>
                <w:rFonts w:asciiTheme="majorHAnsi" w:eastAsia="Verdana" w:hAnsiTheme="majorHAnsi" w:cs="Verdana"/>
                <w:b/>
                <w:bCs/>
                <w:szCs w:val="16"/>
              </w:rPr>
            </w:pPr>
            <w:r w:rsidRPr="00942BBC">
              <w:rPr>
                <w:rFonts w:ascii="Verdana" w:hAnsi="Verdana" w:cs="Tahoma"/>
                <w:b/>
                <w:bCs/>
                <w:szCs w:val="16"/>
              </w:rPr>
              <w:t xml:space="preserve"> 801.4 </w:t>
            </w:r>
          </w:p>
        </w:tc>
        <w:tc>
          <w:tcPr>
            <w:tcW w:w="1258" w:type="dxa"/>
            <w:tcBorders>
              <w:bottom w:val="single" w:sz="4" w:space="0" w:color="231F20"/>
            </w:tcBorders>
            <w:vAlign w:val="center"/>
          </w:tcPr>
          <w:p w14:paraId="00B13D33" w14:textId="166F55EA" w:rsidR="00942BBC" w:rsidRPr="00942BBC" w:rsidRDefault="00942BBC" w:rsidP="00942BBC">
            <w:pPr>
              <w:pStyle w:val="TableText"/>
              <w:rPr>
                <w:rFonts w:asciiTheme="majorHAnsi" w:eastAsia="Verdana" w:hAnsiTheme="majorHAnsi" w:cs="Verdana"/>
                <w:b/>
                <w:bCs/>
                <w:szCs w:val="16"/>
              </w:rPr>
            </w:pPr>
            <w:r w:rsidRPr="00942BBC">
              <w:rPr>
                <w:rFonts w:ascii="Verdana" w:hAnsi="Verdana" w:cs="Tahoma"/>
                <w:b/>
                <w:bCs/>
                <w:szCs w:val="16"/>
              </w:rPr>
              <w:t xml:space="preserve"> 821.5 </w:t>
            </w:r>
          </w:p>
        </w:tc>
      </w:tr>
    </w:tbl>
    <w:p w14:paraId="5DFDBD2F" w14:textId="0F24B612" w:rsidR="00046BD5" w:rsidRPr="00DE108C" w:rsidRDefault="00046BD5" w:rsidP="00CE1E61">
      <w:pPr>
        <w:pStyle w:val="Heading2"/>
      </w:pPr>
      <w:bookmarkStart w:id="957" w:name="_Toc196745282"/>
      <w:r w:rsidRPr="00DE108C">
        <w:t>9.</w:t>
      </w:r>
      <w:r w:rsidR="00CE1E61">
        <w:t>4</w:t>
      </w:r>
      <w:r w:rsidRPr="00DE108C">
        <w:t xml:space="preserve"> </w:t>
      </w:r>
      <w:bookmarkEnd w:id="957"/>
      <w:r w:rsidRPr="00DE108C">
        <w:t>Recycled Water</w:t>
      </w:r>
    </w:p>
    <w:p w14:paraId="6A4F900C" w14:textId="5580C797" w:rsidR="00046BD5" w:rsidRPr="00DE108C" w:rsidRDefault="00046BD5" w:rsidP="00ED094E">
      <w:r w:rsidRPr="00DE108C">
        <w:t xml:space="preserve">Our forecast revenue requirement for the regulatory period is </w:t>
      </w:r>
      <w:r w:rsidRPr="001164EE">
        <w:t>$42</w:t>
      </w:r>
      <w:r w:rsidRPr="00DE108C">
        <w:t> million for recycled water (as shown in Table 9.</w:t>
      </w:r>
      <w:r w:rsidR="005836D6" w:rsidRPr="00DE108C">
        <w:t>4</w:t>
      </w:r>
      <w:r w:rsidRPr="00DE108C">
        <w:t xml:space="preserve">). </w:t>
      </w:r>
    </w:p>
    <w:p w14:paraId="095607F6" w14:textId="77777777" w:rsidR="00046BD5" w:rsidRPr="00DE108C" w:rsidRDefault="00046BD5" w:rsidP="00ED094E">
      <w:pPr>
        <w:pStyle w:val="Caption"/>
      </w:pPr>
      <w:bookmarkStart w:id="958" w:name="_Toc207893088"/>
      <w:bookmarkStart w:id="959" w:name="_Toc208490612"/>
      <w:bookmarkStart w:id="960" w:name="_Toc208490950"/>
      <w:bookmarkStart w:id="961" w:name="_Toc208911108"/>
      <w:bookmarkStart w:id="962" w:name="_Toc210051414"/>
      <w:r w:rsidRPr="001164EE">
        <w:t>Table 9.4: Recycled Water revenue requirement ($millions, real 2025-26)</w:t>
      </w:r>
      <w:bookmarkEnd w:id="958"/>
      <w:bookmarkEnd w:id="959"/>
      <w:bookmarkEnd w:id="960"/>
      <w:bookmarkEnd w:id="961"/>
      <w:bookmarkEnd w:id="962"/>
    </w:p>
    <w:tbl>
      <w:tblPr>
        <w:tblStyle w:val="MWTableGrid"/>
        <w:tblW w:w="5000" w:type="pct"/>
        <w:tblLayout w:type="fixed"/>
        <w:tblLook w:val="0420" w:firstRow="1" w:lastRow="0" w:firstColumn="0" w:lastColumn="0" w:noHBand="0" w:noVBand="1"/>
      </w:tblPr>
      <w:tblGrid>
        <w:gridCol w:w="1980"/>
        <w:gridCol w:w="1258"/>
        <w:gridCol w:w="1258"/>
        <w:gridCol w:w="1258"/>
        <w:gridCol w:w="1258"/>
        <w:gridCol w:w="1258"/>
        <w:gridCol w:w="1258"/>
        <w:gridCol w:w="1258"/>
        <w:gridCol w:w="1258"/>
        <w:gridCol w:w="1258"/>
        <w:gridCol w:w="1258"/>
      </w:tblGrid>
      <w:tr w:rsidR="0069661E" w:rsidRPr="000F78A7" w14:paraId="64AAEFF8" w14:textId="77777777" w:rsidTr="00B46F82">
        <w:trPr>
          <w:cnfStyle w:val="100000000000" w:firstRow="1" w:lastRow="0" w:firstColumn="0" w:lastColumn="0" w:oddVBand="0" w:evenVBand="0" w:oddHBand="0" w:evenHBand="0" w:firstRowFirstColumn="0" w:firstRowLastColumn="0" w:lastRowFirstColumn="0" w:lastRowLastColumn="0"/>
        </w:trPr>
        <w:tc>
          <w:tcPr>
            <w:tcW w:w="1980" w:type="dxa"/>
          </w:tcPr>
          <w:p w14:paraId="447C158D" w14:textId="77777777" w:rsidR="00046BD5" w:rsidRPr="000F78A7" w:rsidRDefault="00046BD5" w:rsidP="00ED094E">
            <w:pPr>
              <w:pStyle w:val="TableHeading"/>
              <w:rPr>
                <w:rFonts w:asciiTheme="majorHAnsi" w:eastAsia="Verdana" w:hAnsiTheme="majorHAnsi"/>
                <w:szCs w:val="16"/>
              </w:rPr>
            </w:pPr>
          </w:p>
        </w:tc>
        <w:tc>
          <w:tcPr>
            <w:tcW w:w="1258" w:type="dxa"/>
          </w:tcPr>
          <w:p w14:paraId="67538A00" w14:textId="77777777" w:rsidR="00046BD5" w:rsidRPr="000F78A7" w:rsidRDefault="00046BD5" w:rsidP="00ED094E">
            <w:pPr>
              <w:pStyle w:val="TableHeading"/>
              <w:rPr>
                <w:rFonts w:asciiTheme="majorHAnsi" w:eastAsia="Verdana" w:hAnsiTheme="majorHAnsi"/>
                <w:szCs w:val="16"/>
              </w:rPr>
            </w:pPr>
            <w:r w:rsidRPr="000F78A7">
              <w:rPr>
                <w:rFonts w:asciiTheme="majorHAnsi" w:hAnsiTheme="majorHAnsi" w:cs="Tahoma"/>
                <w:szCs w:val="16"/>
              </w:rPr>
              <w:t>2026-27 </w:t>
            </w:r>
          </w:p>
        </w:tc>
        <w:tc>
          <w:tcPr>
            <w:tcW w:w="1258" w:type="dxa"/>
          </w:tcPr>
          <w:p w14:paraId="0AE222A8" w14:textId="77777777" w:rsidR="00046BD5" w:rsidRPr="000F78A7" w:rsidRDefault="00046BD5" w:rsidP="00ED094E">
            <w:pPr>
              <w:pStyle w:val="TableHeading"/>
              <w:rPr>
                <w:rFonts w:asciiTheme="majorHAnsi" w:eastAsia="Verdana" w:hAnsiTheme="majorHAnsi"/>
                <w:szCs w:val="16"/>
              </w:rPr>
            </w:pPr>
            <w:r w:rsidRPr="000F78A7">
              <w:rPr>
                <w:rFonts w:asciiTheme="majorHAnsi" w:hAnsiTheme="majorHAnsi" w:cs="Tahoma"/>
                <w:szCs w:val="16"/>
              </w:rPr>
              <w:t>2027-28 </w:t>
            </w:r>
          </w:p>
        </w:tc>
        <w:tc>
          <w:tcPr>
            <w:tcW w:w="1258" w:type="dxa"/>
          </w:tcPr>
          <w:p w14:paraId="205835CA" w14:textId="77777777" w:rsidR="00046BD5" w:rsidRPr="000F78A7" w:rsidRDefault="00046BD5" w:rsidP="00ED094E">
            <w:pPr>
              <w:pStyle w:val="TableHeading"/>
              <w:rPr>
                <w:rFonts w:asciiTheme="majorHAnsi" w:eastAsia="Verdana" w:hAnsiTheme="majorHAnsi"/>
                <w:szCs w:val="16"/>
              </w:rPr>
            </w:pPr>
            <w:r w:rsidRPr="000F78A7">
              <w:rPr>
                <w:rFonts w:asciiTheme="majorHAnsi" w:hAnsiTheme="majorHAnsi" w:cs="Tahoma"/>
                <w:szCs w:val="16"/>
              </w:rPr>
              <w:t>2028-29 </w:t>
            </w:r>
          </w:p>
        </w:tc>
        <w:tc>
          <w:tcPr>
            <w:tcW w:w="1258" w:type="dxa"/>
          </w:tcPr>
          <w:p w14:paraId="7314470B" w14:textId="77777777" w:rsidR="00046BD5" w:rsidRPr="000F78A7" w:rsidRDefault="00046BD5" w:rsidP="00ED094E">
            <w:pPr>
              <w:pStyle w:val="TableHeading"/>
              <w:rPr>
                <w:rFonts w:asciiTheme="majorHAnsi" w:eastAsia="Verdana" w:hAnsiTheme="majorHAnsi"/>
                <w:szCs w:val="16"/>
              </w:rPr>
            </w:pPr>
            <w:r w:rsidRPr="000F78A7">
              <w:rPr>
                <w:rFonts w:asciiTheme="majorHAnsi" w:hAnsiTheme="majorHAnsi" w:cs="Tahoma"/>
                <w:szCs w:val="16"/>
              </w:rPr>
              <w:t>2029-30 </w:t>
            </w:r>
          </w:p>
        </w:tc>
        <w:tc>
          <w:tcPr>
            <w:tcW w:w="1258" w:type="dxa"/>
          </w:tcPr>
          <w:p w14:paraId="6BF667D4" w14:textId="77777777" w:rsidR="00046BD5" w:rsidRPr="000F78A7" w:rsidRDefault="00046BD5" w:rsidP="00ED094E">
            <w:pPr>
              <w:pStyle w:val="TableHeading"/>
              <w:rPr>
                <w:rFonts w:asciiTheme="majorHAnsi" w:eastAsia="Verdana" w:hAnsiTheme="majorHAnsi"/>
                <w:szCs w:val="16"/>
              </w:rPr>
            </w:pPr>
            <w:r w:rsidRPr="000F78A7">
              <w:rPr>
                <w:rFonts w:asciiTheme="majorHAnsi" w:hAnsiTheme="majorHAnsi" w:cs="Tahoma"/>
                <w:szCs w:val="16"/>
              </w:rPr>
              <w:t>2030-31 </w:t>
            </w:r>
          </w:p>
        </w:tc>
        <w:tc>
          <w:tcPr>
            <w:tcW w:w="1258" w:type="dxa"/>
          </w:tcPr>
          <w:p w14:paraId="66FA3383" w14:textId="77777777" w:rsidR="00046BD5" w:rsidRPr="000F78A7" w:rsidRDefault="00046BD5" w:rsidP="00ED094E">
            <w:pPr>
              <w:pStyle w:val="TableHeading"/>
              <w:rPr>
                <w:rFonts w:asciiTheme="majorHAnsi" w:eastAsia="Verdana" w:hAnsiTheme="majorHAnsi"/>
                <w:szCs w:val="16"/>
              </w:rPr>
            </w:pPr>
            <w:r w:rsidRPr="000F78A7">
              <w:rPr>
                <w:rFonts w:asciiTheme="majorHAnsi" w:hAnsiTheme="majorHAnsi" w:cs="Tahoma"/>
                <w:szCs w:val="16"/>
              </w:rPr>
              <w:t>2031-32</w:t>
            </w:r>
          </w:p>
        </w:tc>
        <w:tc>
          <w:tcPr>
            <w:tcW w:w="1258" w:type="dxa"/>
          </w:tcPr>
          <w:p w14:paraId="27972067" w14:textId="77777777" w:rsidR="00046BD5" w:rsidRPr="000F78A7" w:rsidRDefault="00046BD5" w:rsidP="00ED094E">
            <w:pPr>
              <w:pStyle w:val="TableHeading"/>
              <w:rPr>
                <w:rFonts w:asciiTheme="majorHAnsi" w:eastAsia="Verdana" w:hAnsiTheme="majorHAnsi"/>
                <w:szCs w:val="16"/>
              </w:rPr>
            </w:pPr>
            <w:r w:rsidRPr="000F78A7">
              <w:rPr>
                <w:rFonts w:asciiTheme="majorHAnsi" w:hAnsiTheme="majorHAnsi" w:cs="Tahoma"/>
                <w:szCs w:val="16"/>
              </w:rPr>
              <w:t>2032-33</w:t>
            </w:r>
          </w:p>
        </w:tc>
        <w:tc>
          <w:tcPr>
            <w:tcW w:w="1258" w:type="dxa"/>
          </w:tcPr>
          <w:p w14:paraId="6BC2D3E6" w14:textId="77777777" w:rsidR="00046BD5" w:rsidRPr="000F78A7" w:rsidRDefault="00046BD5" w:rsidP="00ED094E">
            <w:pPr>
              <w:pStyle w:val="TableHeading"/>
              <w:rPr>
                <w:rFonts w:asciiTheme="majorHAnsi" w:eastAsia="Verdana" w:hAnsiTheme="majorHAnsi"/>
                <w:szCs w:val="16"/>
              </w:rPr>
            </w:pPr>
            <w:r w:rsidRPr="000F78A7">
              <w:rPr>
                <w:rFonts w:asciiTheme="majorHAnsi" w:hAnsiTheme="majorHAnsi" w:cs="Tahoma"/>
                <w:szCs w:val="16"/>
              </w:rPr>
              <w:t>2033-34</w:t>
            </w:r>
          </w:p>
        </w:tc>
        <w:tc>
          <w:tcPr>
            <w:tcW w:w="1258" w:type="dxa"/>
          </w:tcPr>
          <w:p w14:paraId="2C481F82" w14:textId="77777777" w:rsidR="00046BD5" w:rsidRPr="000F78A7" w:rsidRDefault="00046BD5" w:rsidP="00ED094E">
            <w:pPr>
              <w:pStyle w:val="TableHeading"/>
              <w:rPr>
                <w:rFonts w:asciiTheme="majorHAnsi" w:eastAsia="Verdana" w:hAnsiTheme="majorHAnsi"/>
                <w:szCs w:val="16"/>
              </w:rPr>
            </w:pPr>
            <w:r w:rsidRPr="000F78A7">
              <w:rPr>
                <w:rFonts w:asciiTheme="majorHAnsi" w:hAnsiTheme="majorHAnsi" w:cs="Tahoma"/>
                <w:szCs w:val="16"/>
              </w:rPr>
              <w:t>2034-35</w:t>
            </w:r>
          </w:p>
        </w:tc>
        <w:tc>
          <w:tcPr>
            <w:tcW w:w="1258" w:type="dxa"/>
          </w:tcPr>
          <w:p w14:paraId="65ED88EE" w14:textId="77777777" w:rsidR="00046BD5" w:rsidRPr="000F78A7" w:rsidRDefault="00046BD5" w:rsidP="00ED094E">
            <w:pPr>
              <w:pStyle w:val="TableHeading"/>
              <w:rPr>
                <w:rFonts w:asciiTheme="majorHAnsi" w:eastAsia="Verdana" w:hAnsiTheme="majorHAnsi"/>
                <w:szCs w:val="16"/>
              </w:rPr>
            </w:pPr>
            <w:r w:rsidRPr="000F78A7">
              <w:rPr>
                <w:rFonts w:asciiTheme="majorHAnsi" w:hAnsiTheme="majorHAnsi" w:cs="Tahoma"/>
                <w:szCs w:val="16"/>
              </w:rPr>
              <w:t>2035-36</w:t>
            </w:r>
          </w:p>
        </w:tc>
      </w:tr>
      <w:tr w:rsidR="000F78A7" w:rsidRPr="000F78A7" w14:paraId="28E9F4FB" w14:textId="77777777" w:rsidTr="00ED094E">
        <w:tc>
          <w:tcPr>
            <w:tcW w:w="1980" w:type="dxa"/>
          </w:tcPr>
          <w:p w14:paraId="0CC4F150" w14:textId="77777777" w:rsidR="000F78A7" w:rsidRPr="000F78A7" w:rsidRDefault="000F78A7" w:rsidP="000F78A7">
            <w:pPr>
              <w:pStyle w:val="TableText"/>
              <w:rPr>
                <w:rFonts w:asciiTheme="majorHAnsi" w:eastAsia="Verdana" w:hAnsiTheme="majorHAnsi"/>
                <w:szCs w:val="16"/>
              </w:rPr>
            </w:pPr>
            <w:r w:rsidRPr="000F78A7">
              <w:rPr>
                <w:rFonts w:asciiTheme="majorHAnsi" w:eastAsia="Verdana" w:hAnsiTheme="majorHAnsi"/>
                <w:szCs w:val="16"/>
              </w:rPr>
              <w:t xml:space="preserve">Opex </w:t>
            </w:r>
          </w:p>
        </w:tc>
        <w:tc>
          <w:tcPr>
            <w:tcW w:w="1258" w:type="dxa"/>
            <w:vAlign w:val="center"/>
          </w:tcPr>
          <w:p w14:paraId="7A6A32F8"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3.9 </w:t>
            </w:r>
          </w:p>
        </w:tc>
        <w:tc>
          <w:tcPr>
            <w:tcW w:w="1258" w:type="dxa"/>
            <w:vAlign w:val="center"/>
          </w:tcPr>
          <w:p w14:paraId="57325B0A"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4.0 </w:t>
            </w:r>
          </w:p>
        </w:tc>
        <w:tc>
          <w:tcPr>
            <w:tcW w:w="1258" w:type="dxa"/>
            <w:vAlign w:val="center"/>
          </w:tcPr>
          <w:p w14:paraId="41DB6DB8"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4.0 </w:t>
            </w:r>
          </w:p>
        </w:tc>
        <w:tc>
          <w:tcPr>
            <w:tcW w:w="1258" w:type="dxa"/>
            <w:vAlign w:val="center"/>
          </w:tcPr>
          <w:p w14:paraId="1A0CF294"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4.0 </w:t>
            </w:r>
          </w:p>
        </w:tc>
        <w:tc>
          <w:tcPr>
            <w:tcW w:w="1258" w:type="dxa"/>
            <w:vAlign w:val="center"/>
          </w:tcPr>
          <w:p w14:paraId="7DC2DD39"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3.9 </w:t>
            </w:r>
          </w:p>
        </w:tc>
        <w:tc>
          <w:tcPr>
            <w:tcW w:w="1258" w:type="dxa"/>
            <w:vAlign w:val="center"/>
          </w:tcPr>
          <w:p w14:paraId="37ADBC28"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3.9 </w:t>
            </w:r>
          </w:p>
        </w:tc>
        <w:tc>
          <w:tcPr>
            <w:tcW w:w="1258" w:type="dxa"/>
            <w:vAlign w:val="center"/>
          </w:tcPr>
          <w:p w14:paraId="1F182C77"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3.9 </w:t>
            </w:r>
          </w:p>
        </w:tc>
        <w:tc>
          <w:tcPr>
            <w:tcW w:w="1258" w:type="dxa"/>
            <w:vAlign w:val="center"/>
          </w:tcPr>
          <w:p w14:paraId="7D6E9437"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3.9 </w:t>
            </w:r>
          </w:p>
        </w:tc>
        <w:tc>
          <w:tcPr>
            <w:tcW w:w="1258" w:type="dxa"/>
            <w:vAlign w:val="center"/>
          </w:tcPr>
          <w:p w14:paraId="1638EAA8"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4.0 </w:t>
            </w:r>
          </w:p>
        </w:tc>
        <w:tc>
          <w:tcPr>
            <w:tcW w:w="1258" w:type="dxa"/>
            <w:vAlign w:val="center"/>
          </w:tcPr>
          <w:p w14:paraId="208EFF6E"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3.9 </w:t>
            </w:r>
          </w:p>
        </w:tc>
      </w:tr>
      <w:tr w:rsidR="0069661E" w:rsidRPr="000F78A7" w14:paraId="2BD54BCE" w14:textId="77777777" w:rsidTr="00B46F82">
        <w:trPr>
          <w:cnfStyle w:val="000000010000" w:firstRow="0" w:lastRow="0" w:firstColumn="0" w:lastColumn="0" w:oddVBand="0" w:evenVBand="0" w:oddHBand="0" w:evenHBand="1" w:firstRowFirstColumn="0" w:firstRowLastColumn="0" w:lastRowFirstColumn="0" w:lastRowLastColumn="0"/>
        </w:trPr>
        <w:tc>
          <w:tcPr>
            <w:tcW w:w="1980" w:type="dxa"/>
          </w:tcPr>
          <w:p w14:paraId="326808BE" w14:textId="77777777" w:rsidR="000F78A7" w:rsidRPr="000F78A7" w:rsidRDefault="000F78A7" w:rsidP="000F78A7">
            <w:pPr>
              <w:pStyle w:val="TableText"/>
              <w:rPr>
                <w:rFonts w:asciiTheme="majorHAnsi" w:eastAsia="Verdana" w:hAnsiTheme="majorHAnsi"/>
                <w:szCs w:val="16"/>
              </w:rPr>
            </w:pPr>
            <w:r w:rsidRPr="000F78A7">
              <w:rPr>
                <w:rFonts w:asciiTheme="majorHAnsi" w:eastAsia="Verdana" w:hAnsiTheme="majorHAnsi"/>
                <w:szCs w:val="16"/>
              </w:rPr>
              <w:t xml:space="preserve">Return on assets </w:t>
            </w:r>
          </w:p>
        </w:tc>
        <w:tc>
          <w:tcPr>
            <w:tcW w:w="1258" w:type="dxa"/>
            <w:vAlign w:val="center"/>
          </w:tcPr>
          <w:p w14:paraId="5C242668"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1.7 </w:t>
            </w:r>
          </w:p>
        </w:tc>
        <w:tc>
          <w:tcPr>
            <w:tcW w:w="1258" w:type="dxa"/>
            <w:vAlign w:val="center"/>
          </w:tcPr>
          <w:p w14:paraId="71E24543"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1.7 </w:t>
            </w:r>
          </w:p>
        </w:tc>
        <w:tc>
          <w:tcPr>
            <w:tcW w:w="1258" w:type="dxa"/>
            <w:vAlign w:val="center"/>
          </w:tcPr>
          <w:p w14:paraId="1088013F"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1.8 </w:t>
            </w:r>
          </w:p>
        </w:tc>
        <w:tc>
          <w:tcPr>
            <w:tcW w:w="1258" w:type="dxa"/>
            <w:vAlign w:val="center"/>
          </w:tcPr>
          <w:p w14:paraId="4CA48290"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1.9 </w:t>
            </w:r>
          </w:p>
        </w:tc>
        <w:tc>
          <w:tcPr>
            <w:tcW w:w="1258" w:type="dxa"/>
            <w:vAlign w:val="center"/>
          </w:tcPr>
          <w:p w14:paraId="5E319C63"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2.0 </w:t>
            </w:r>
          </w:p>
        </w:tc>
        <w:tc>
          <w:tcPr>
            <w:tcW w:w="1258" w:type="dxa"/>
            <w:vAlign w:val="center"/>
          </w:tcPr>
          <w:p w14:paraId="30496625"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2.2 </w:t>
            </w:r>
          </w:p>
        </w:tc>
        <w:tc>
          <w:tcPr>
            <w:tcW w:w="1258" w:type="dxa"/>
            <w:vAlign w:val="center"/>
          </w:tcPr>
          <w:p w14:paraId="0AE06DAA"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2.4 </w:t>
            </w:r>
          </w:p>
        </w:tc>
        <w:tc>
          <w:tcPr>
            <w:tcW w:w="1258" w:type="dxa"/>
            <w:vAlign w:val="center"/>
          </w:tcPr>
          <w:p w14:paraId="5EDBCC87"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2.8 </w:t>
            </w:r>
          </w:p>
        </w:tc>
        <w:tc>
          <w:tcPr>
            <w:tcW w:w="1258" w:type="dxa"/>
            <w:vAlign w:val="center"/>
          </w:tcPr>
          <w:p w14:paraId="3142329B"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3.3 </w:t>
            </w:r>
          </w:p>
        </w:tc>
        <w:tc>
          <w:tcPr>
            <w:tcW w:w="1258" w:type="dxa"/>
            <w:vAlign w:val="center"/>
          </w:tcPr>
          <w:p w14:paraId="539C3CCC"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3.8 </w:t>
            </w:r>
          </w:p>
        </w:tc>
      </w:tr>
      <w:tr w:rsidR="000F78A7" w:rsidRPr="000F78A7" w14:paraId="7A845B8D" w14:textId="77777777" w:rsidTr="00ED094E">
        <w:tc>
          <w:tcPr>
            <w:tcW w:w="1980" w:type="dxa"/>
          </w:tcPr>
          <w:p w14:paraId="30C9F4AE" w14:textId="520B43EB" w:rsidR="000F78A7" w:rsidRPr="000F78A7" w:rsidRDefault="000F78A7" w:rsidP="000F78A7">
            <w:pPr>
              <w:pStyle w:val="TableText"/>
              <w:rPr>
                <w:rFonts w:asciiTheme="majorHAnsi" w:eastAsia="Verdana" w:hAnsiTheme="majorHAnsi"/>
                <w:szCs w:val="16"/>
              </w:rPr>
            </w:pPr>
            <w:r w:rsidRPr="000F78A7">
              <w:rPr>
                <w:rFonts w:asciiTheme="majorHAnsi" w:eastAsia="Verdana" w:hAnsiTheme="majorHAnsi"/>
                <w:szCs w:val="16"/>
              </w:rPr>
              <w:t xml:space="preserve">Regulatory depreciation </w:t>
            </w:r>
          </w:p>
        </w:tc>
        <w:tc>
          <w:tcPr>
            <w:tcW w:w="1258" w:type="dxa"/>
            <w:vAlign w:val="center"/>
          </w:tcPr>
          <w:p w14:paraId="4EBC7EB1"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2.4 </w:t>
            </w:r>
          </w:p>
        </w:tc>
        <w:tc>
          <w:tcPr>
            <w:tcW w:w="1258" w:type="dxa"/>
            <w:vAlign w:val="center"/>
          </w:tcPr>
          <w:p w14:paraId="30553115"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2.5 </w:t>
            </w:r>
          </w:p>
        </w:tc>
        <w:tc>
          <w:tcPr>
            <w:tcW w:w="1258" w:type="dxa"/>
            <w:vAlign w:val="center"/>
          </w:tcPr>
          <w:p w14:paraId="4F48B1DE"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2.6 </w:t>
            </w:r>
          </w:p>
        </w:tc>
        <w:tc>
          <w:tcPr>
            <w:tcW w:w="1258" w:type="dxa"/>
            <w:vAlign w:val="center"/>
          </w:tcPr>
          <w:p w14:paraId="32DC772D"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2.7 </w:t>
            </w:r>
          </w:p>
        </w:tc>
        <w:tc>
          <w:tcPr>
            <w:tcW w:w="1258" w:type="dxa"/>
            <w:vAlign w:val="center"/>
          </w:tcPr>
          <w:p w14:paraId="4ED4D7E8"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2.9 </w:t>
            </w:r>
          </w:p>
        </w:tc>
        <w:tc>
          <w:tcPr>
            <w:tcW w:w="1258" w:type="dxa"/>
            <w:vAlign w:val="center"/>
          </w:tcPr>
          <w:p w14:paraId="566BC1F6"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3.0 </w:t>
            </w:r>
          </w:p>
        </w:tc>
        <w:tc>
          <w:tcPr>
            <w:tcW w:w="1258" w:type="dxa"/>
            <w:vAlign w:val="center"/>
          </w:tcPr>
          <w:p w14:paraId="7EFCDCAB"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3.3 </w:t>
            </w:r>
          </w:p>
        </w:tc>
        <w:tc>
          <w:tcPr>
            <w:tcW w:w="1258" w:type="dxa"/>
            <w:vAlign w:val="center"/>
          </w:tcPr>
          <w:p w14:paraId="45AA9850"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3.8 </w:t>
            </w:r>
          </w:p>
        </w:tc>
        <w:tc>
          <w:tcPr>
            <w:tcW w:w="1258" w:type="dxa"/>
            <w:vAlign w:val="center"/>
          </w:tcPr>
          <w:p w14:paraId="3CA20935"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4.3 </w:t>
            </w:r>
          </w:p>
        </w:tc>
        <w:tc>
          <w:tcPr>
            <w:tcW w:w="1258" w:type="dxa"/>
            <w:vAlign w:val="center"/>
          </w:tcPr>
          <w:p w14:paraId="2F480F6B"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4.9 </w:t>
            </w:r>
          </w:p>
        </w:tc>
      </w:tr>
      <w:tr w:rsidR="0069661E" w:rsidRPr="000F78A7" w14:paraId="5A184EB6" w14:textId="77777777" w:rsidTr="00B46F82">
        <w:trPr>
          <w:cnfStyle w:val="000000010000" w:firstRow="0" w:lastRow="0" w:firstColumn="0" w:lastColumn="0" w:oddVBand="0" w:evenVBand="0" w:oddHBand="0" w:evenHBand="1" w:firstRowFirstColumn="0" w:firstRowLastColumn="0" w:lastRowFirstColumn="0" w:lastRowLastColumn="0"/>
        </w:trPr>
        <w:tc>
          <w:tcPr>
            <w:tcW w:w="1980" w:type="dxa"/>
          </w:tcPr>
          <w:p w14:paraId="42B92EB4" w14:textId="77777777" w:rsidR="000F78A7" w:rsidRPr="000F78A7" w:rsidRDefault="000F78A7" w:rsidP="000F78A7">
            <w:pPr>
              <w:pStyle w:val="TableText"/>
              <w:rPr>
                <w:rFonts w:asciiTheme="majorHAnsi" w:eastAsia="Verdana" w:hAnsiTheme="majorHAnsi"/>
                <w:szCs w:val="16"/>
              </w:rPr>
            </w:pPr>
            <w:r w:rsidRPr="000F78A7">
              <w:rPr>
                <w:rFonts w:asciiTheme="majorHAnsi" w:eastAsia="Verdana" w:hAnsiTheme="majorHAnsi"/>
                <w:szCs w:val="16"/>
              </w:rPr>
              <w:t xml:space="preserve">Tax </w:t>
            </w:r>
          </w:p>
        </w:tc>
        <w:tc>
          <w:tcPr>
            <w:tcW w:w="1258" w:type="dxa"/>
            <w:vAlign w:val="center"/>
          </w:tcPr>
          <w:p w14:paraId="55417A3E"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0.1 </w:t>
            </w:r>
          </w:p>
        </w:tc>
        <w:tc>
          <w:tcPr>
            <w:tcW w:w="1258" w:type="dxa"/>
            <w:vAlign w:val="center"/>
          </w:tcPr>
          <w:p w14:paraId="4BFB87F8"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0.1 </w:t>
            </w:r>
          </w:p>
        </w:tc>
        <w:tc>
          <w:tcPr>
            <w:tcW w:w="1258" w:type="dxa"/>
            <w:vAlign w:val="center"/>
          </w:tcPr>
          <w:p w14:paraId="0B9C2112"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0.1 </w:t>
            </w:r>
          </w:p>
        </w:tc>
        <w:tc>
          <w:tcPr>
            <w:tcW w:w="1258" w:type="dxa"/>
            <w:vAlign w:val="center"/>
          </w:tcPr>
          <w:p w14:paraId="7FAD5932"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0.1 </w:t>
            </w:r>
          </w:p>
        </w:tc>
        <w:tc>
          <w:tcPr>
            <w:tcW w:w="1258" w:type="dxa"/>
            <w:vAlign w:val="center"/>
          </w:tcPr>
          <w:p w14:paraId="3843D311"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0.1 </w:t>
            </w:r>
          </w:p>
        </w:tc>
        <w:tc>
          <w:tcPr>
            <w:tcW w:w="1258" w:type="dxa"/>
            <w:vAlign w:val="center"/>
          </w:tcPr>
          <w:p w14:paraId="1D050F6A"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0.1 </w:t>
            </w:r>
          </w:p>
        </w:tc>
        <w:tc>
          <w:tcPr>
            <w:tcW w:w="1258" w:type="dxa"/>
            <w:vAlign w:val="center"/>
          </w:tcPr>
          <w:p w14:paraId="662D1FFC"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0.1 </w:t>
            </w:r>
          </w:p>
        </w:tc>
        <w:tc>
          <w:tcPr>
            <w:tcW w:w="1258" w:type="dxa"/>
            <w:vAlign w:val="center"/>
          </w:tcPr>
          <w:p w14:paraId="6C30F583"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0.1 </w:t>
            </w:r>
          </w:p>
        </w:tc>
        <w:tc>
          <w:tcPr>
            <w:tcW w:w="1258" w:type="dxa"/>
            <w:vAlign w:val="center"/>
          </w:tcPr>
          <w:p w14:paraId="2D47A32B"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0.1 </w:t>
            </w:r>
          </w:p>
        </w:tc>
        <w:tc>
          <w:tcPr>
            <w:tcW w:w="1258" w:type="dxa"/>
            <w:vAlign w:val="center"/>
          </w:tcPr>
          <w:p w14:paraId="304B76C6" w14:textId="77777777" w:rsidR="000F78A7" w:rsidRPr="000F78A7" w:rsidRDefault="000F78A7" w:rsidP="000F78A7">
            <w:pPr>
              <w:pStyle w:val="TableText"/>
              <w:rPr>
                <w:rFonts w:asciiTheme="majorHAnsi" w:eastAsia="Verdana" w:hAnsiTheme="majorHAnsi" w:cs="Verdana"/>
                <w:szCs w:val="16"/>
              </w:rPr>
            </w:pPr>
            <w:r w:rsidRPr="000F78A7">
              <w:rPr>
                <w:rFonts w:ascii="Verdana" w:hAnsi="Verdana" w:cs="Tahoma"/>
                <w:szCs w:val="16"/>
              </w:rPr>
              <w:t xml:space="preserve"> 0.1 </w:t>
            </w:r>
          </w:p>
        </w:tc>
      </w:tr>
      <w:tr w:rsidR="000F78A7" w:rsidRPr="000F78A7" w14:paraId="4581A5C4" w14:textId="77777777" w:rsidTr="00ED094E">
        <w:trPr>
          <w:trHeight w:val="255"/>
        </w:trPr>
        <w:tc>
          <w:tcPr>
            <w:tcW w:w="1980" w:type="dxa"/>
            <w:tcBorders>
              <w:bottom w:val="single" w:sz="4" w:space="0" w:color="231F20"/>
            </w:tcBorders>
          </w:tcPr>
          <w:p w14:paraId="71909293" w14:textId="77777777" w:rsidR="000F78A7" w:rsidRPr="000F78A7" w:rsidRDefault="000F78A7" w:rsidP="000F78A7">
            <w:pPr>
              <w:pStyle w:val="TableText"/>
              <w:rPr>
                <w:rFonts w:asciiTheme="majorHAnsi" w:eastAsia="Verdana" w:hAnsiTheme="majorHAnsi"/>
                <w:b/>
                <w:bCs/>
                <w:szCs w:val="16"/>
              </w:rPr>
            </w:pPr>
            <w:r w:rsidRPr="000F78A7">
              <w:rPr>
                <w:rFonts w:asciiTheme="majorHAnsi" w:eastAsia="Verdana" w:hAnsiTheme="majorHAnsi"/>
                <w:b/>
                <w:bCs/>
                <w:szCs w:val="16"/>
              </w:rPr>
              <w:t xml:space="preserve">Total </w:t>
            </w:r>
          </w:p>
        </w:tc>
        <w:tc>
          <w:tcPr>
            <w:tcW w:w="1258" w:type="dxa"/>
            <w:tcBorders>
              <w:bottom w:val="single" w:sz="4" w:space="0" w:color="231F20"/>
            </w:tcBorders>
            <w:vAlign w:val="center"/>
          </w:tcPr>
          <w:p w14:paraId="52541846" w14:textId="77777777" w:rsidR="000F78A7" w:rsidRPr="000F78A7" w:rsidRDefault="000F78A7" w:rsidP="000F78A7">
            <w:pPr>
              <w:pStyle w:val="TableText"/>
              <w:rPr>
                <w:rFonts w:asciiTheme="majorHAnsi" w:eastAsia="Verdana" w:hAnsiTheme="majorHAnsi" w:cs="Verdana"/>
                <w:b/>
                <w:bCs/>
                <w:szCs w:val="16"/>
              </w:rPr>
            </w:pPr>
            <w:r w:rsidRPr="000F78A7">
              <w:rPr>
                <w:rFonts w:ascii="Verdana" w:hAnsi="Verdana" w:cs="Tahoma"/>
                <w:b/>
                <w:bCs/>
                <w:szCs w:val="16"/>
              </w:rPr>
              <w:t xml:space="preserve"> 8.1 </w:t>
            </w:r>
          </w:p>
        </w:tc>
        <w:tc>
          <w:tcPr>
            <w:tcW w:w="1258" w:type="dxa"/>
            <w:tcBorders>
              <w:bottom w:val="single" w:sz="4" w:space="0" w:color="231F20"/>
            </w:tcBorders>
            <w:vAlign w:val="center"/>
          </w:tcPr>
          <w:p w14:paraId="7F340D78" w14:textId="77777777" w:rsidR="000F78A7" w:rsidRPr="000F78A7" w:rsidRDefault="000F78A7" w:rsidP="000F78A7">
            <w:pPr>
              <w:pStyle w:val="TableText"/>
              <w:rPr>
                <w:rFonts w:asciiTheme="majorHAnsi" w:eastAsia="Verdana" w:hAnsiTheme="majorHAnsi" w:cs="Verdana"/>
                <w:b/>
                <w:bCs/>
                <w:szCs w:val="16"/>
              </w:rPr>
            </w:pPr>
            <w:r w:rsidRPr="000F78A7">
              <w:rPr>
                <w:rFonts w:ascii="Verdana" w:hAnsi="Verdana" w:cs="Tahoma"/>
                <w:b/>
                <w:bCs/>
                <w:szCs w:val="16"/>
              </w:rPr>
              <w:t xml:space="preserve"> 8.2 </w:t>
            </w:r>
          </w:p>
        </w:tc>
        <w:tc>
          <w:tcPr>
            <w:tcW w:w="1258" w:type="dxa"/>
            <w:tcBorders>
              <w:bottom w:val="single" w:sz="4" w:space="0" w:color="231F20"/>
            </w:tcBorders>
            <w:vAlign w:val="center"/>
          </w:tcPr>
          <w:p w14:paraId="0AF59ED8" w14:textId="77777777" w:rsidR="000F78A7" w:rsidRPr="000F78A7" w:rsidRDefault="000F78A7" w:rsidP="000F78A7">
            <w:pPr>
              <w:pStyle w:val="TableText"/>
              <w:rPr>
                <w:rFonts w:asciiTheme="majorHAnsi" w:eastAsia="Verdana" w:hAnsiTheme="majorHAnsi" w:cs="Verdana"/>
                <w:b/>
                <w:bCs/>
                <w:szCs w:val="16"/>
              </w:rPr>
            </w:pPr>
            <w:r w:rsidRPr="000F78A7">
              <w:rPr>
                <w:rFonts w:ascii="Verdana" w:hAnsi="Verdana" w:cs="Tahoma"/>
                <w:b/>
                <w:bCs/>
                <w:szCs w:val="16"/>
              </w:rPr>
              <w:t xml:space="preserve"> 8.4 </w:t>
            </w:r>
          </w:p>
        </w:tc>
        <w:tc>
          <w:tcPr>
            <w:tcW w:w="1258" w:type="dxa"/>
            <w:tcBorders>
              <w:bottom w:val="single" w:sz="4" w:space="0" w:color="231F20"/>
            </w:tcBorders>
            <w:vAlign w:val="center"/>
          </w:tcPr>
          <w:p w14:paraId="0BDB8DD4" w14:textId="77777777" w:rsidR="000F78A7" w:rsidRPr="000F78A7" w:rsidRDefault="000F78A7" w:rsidP="000F78A7">
            <w:pPr>
              <w:pStyle w:val="TableText"/>
              <w:rPr>
                <w:rFonts w:asciiTheme="majorHAnsi" w:eastAsia="Verdana" w:hAnsiTheme="majorHAnsi" w:cs="Verdana"/>
                <w:b/>
                <w:bCs/>
                <w:szCs w:val="16"/>
              </w:rPr>
            </w:pPr>
            <w:r w:rsidRPr="000F78A7">
              <w:rPr>
                <w:rFonts w:ascii="Verdana" w:hAnsi="Verdana" w:cs="Tahoma"/>
                <w:b/>
                <w:bCs/>
                <w:szCs w:val="16"/>
              </w:rPr>
              <w:t xml:space="preserve"> 8.6 </w:t>
            </w:r>
          </w:p>
        </w:tc>
        <w:tc>
          <w:tcPr>
            <w:tcW w:w="1258" w:type="dxa"/>
            <w:tcBorders>
              <w:bottom w:val="single" w:sz="4" w:space="0" w:color="231F20"/>
            </w:tcBorders>
            <w:vAlign w:val="center"/>
          </w:tcPr>
          <w:p w14:paraId="00DCAAD4" w14:textId="77777777" w:rsidR="000F78A7" w:rsidRPr="000F78A7" w:rsidRDefault="000F78A7" w:rsidP="000F78A7">
            <w:pPr>
              <w:pStyle w:val="TableText"/>
              <w:rPr>
                <w:rFonts w:asciiTheme="majorHAnsi" w:eastAsia="Verdana" w:hAnsiTheme="majorHAnsi" w:cs="Verdana"/>
                <w:b/>
                <w:bCs/>
                <w:szCs w:val="16"/>
              </w:rPr>
            </w:pPr>
            <w:r w:rsidRPr="000F78A7">
              <w:rPr>
                <w:rFonts w:ascii="Verdana" w:hAnsi="Verdana" w:cs="Tahoma"/>
                <w:b/>
                <w:bCs/>
                <w:szCs w:val="16"/>
              </w:rPr>
              <w:t xml:space="preserve"> 8.9 </w:t>
            </w:r>
          </w:p>
        </w:tc>
        <w:tc>
          <w:tcPr>
            <w:tcW w:w="1258" w:type="dxa"/>
            <w:tcBorders>
              <w:bottom w:val="single" w:sz="4" w:space="0" w:color="231F20"/>
            </w:tcBorders>
            <w:vAlign w:val="center"/>
          </w:tcPr>
          <w:p w14:paraId="2C922BF5" w14:textId="77777777" w:rsidR="000F78A7" w:rsidRPr="000F78A7" w:rsidRDefault="000F78A7" w:rsidP="000F78A7">
            <w:pPr>
              <w:pStyle w:val="TableText"/>
              <w:rPr>
                <w:rFonts w:asciiTheme="majorHAnsi" w:eastAsia="Verdana" w:hAnsiTheme="majorHAnsi" w:cs="Verdana"/>
                <w:b/>
                <w:bCs/>
                <w:szCs w:val="16"/>
              </w:rPr>
            </w:pPr>
            <w:r w:rsidRPr="000F78A7">
              <w:rPr>
                <w:rFonts w:ascii="Verdana" w:hAnsi="Verdana" w:cs="Tahoma"/>
                <w:b/>
                <w:bCs/>
                <w:szCs w:val="16"/>
              </w:rPr>
              <w:t xml:space="preserve"> 9.2 </w:t>
            </w:r>
          </w:p>
        </w:tc>
        <w:tc>
          <w:tcPr>
            <w:tcW w:w="1258" w:type="dxa"/>
            <w:tcBorders>
              <w:bottom w:val="single" w:sz="4" w:space="0" w:color="231F20"/>
            </w:tcBorders>
            <w:vAlign w:val="center"/>
          </w:tcPr>
          <w:p w14:paraId="7EAD1E88" w14:textId="77777777" w:rsidR="000F78A7" w:rsidRPr="000F78A7" w:rsidRDefault="000F78A7" w:rsidP="000F78A7">
            <w:pPr>
              <w:pStyle w:val="TableText"/>
              <w:rPr>
                <w:rFonts w:asciiTheme="majorHAnsi" w:eastAsia="Verdana" w:hAnsiTheme="majorHAnsi" w:cs="Verdana"/>
                <w:b/>
                <w:bCs/>
                <w:szCs w:val="16"/>
              </w:rPr>
            </w:pPr>
            <w:r w:rsidRPr="000F78A7">
              <w:rPr>
                <w:rFonts w:ascii="Verdana" w:hAnsi="Verdana" w:cs="Tahoma"/>
                <w:b/>
                <w:bCs/>
                <w:szCs w:val="16"/>
              </w:rPr>
              <w:t xml:space="preserve"> 9.7 </w:t>
            </w:r>
          </w:p>
        </w:tc>
        <w:tc>
          <w:tcPr>
            <w:tcW w:w="1258" w:type="dxa"/>
            <w:tcBorders>
              <w:bottom w:val="single" w:sz="4" w:space="0" w:color="231F20"/>
            </w:tcBorders>
            <w:vAlign w:val="center"/>
          </w:tcPr>
          <w:p w14:paraId="52794C84" w14:textId="77777777" w:rsidR="000F78A7" w:rsidRPr="000F78A7" w:rsidRDefault="000F78A7" w:rsidP="000F78A7">
            <w:pPr>
              <w:pStyle w:val="TableText"/>
              <w:rPr>
                <w:rFonts w:asciiTheme="majorHAnsi" w:eastAsia="Verdana" w:hAnsiTheme="majorHAnsi" w:cs="Verdana"/>
                <w:b/>
                <w:bCs/>
                <w:szCs w:val="16"/>
              </w:rPr>
            </w:pPr>
            <w:r w:rsidRPr="000F78A7">
              <w:rPr>
                <w:rFonts w:ascii="Verdana" w:hAnsi="Verdana" w:cs="Tahoma"/>
                <w:b/>
                <w:bCs/>
                <w:szCs w:val="16"/>
              </w:rPr>
              <w:t xml:space="preserve"> 10.6 </w:t>
            </w:r>
          </w:p>
        </w:tc>
        <w:tc>
          <w:tcPr>
            <w:tcW w:w="1258" w:type="dxa"/>
            <w:tcBorders>
              <w:bottom w:val="single" w:sz="4" w:space="0" w:color="231F20"/>
            </w:tcBorders>
            <w:vAlign w:val="center"/>
          </w:tcPr>
          <w:p w14:paraId="127944FD" w14:textId="77777777" w:rsidR="000F78A7" w:rsidRPr="000F78A7" w:rsidRDefault="000F78A7" w:rsidP="000F78A7">
            <w:pPr>
              <w:pStyle w:val="TableText"/>
              <w:rPr>
                <w:rFonts w:asciiTheme="majorHAnsi" w:eastAsia="Verdana" w:hAnsiTheme="majorHAnsi" w:cs="Verdana"/>
                <w:b/>
                <w:bCs/>
                <w:szCs w:val="16"/>
              </w:rPr>
            </w:pPr>
            <w:r w:rsidRPr="000F78A7">
              <w:rPr>
                <w:rFonts w:ascii="Verdana" w:hAnsi="Verdana" w:cs="Tahoma"/>
                <w:b/>
                <w:bCs/>
                <w:szCs w:val="16"/>
              </w:rPr>
              <w:t xml:space="preserve"> 11.6 </w:t>
            </w:r>
          </w:p>
        </w:tc>
        <w:tc>
          <w:tcPr>
            <w:tcW w:w="1258" w:type="dxa"/>
            <w:tcBorders>
              <w:bottom w:val="single" w:sz="4" w:space="0" w:color="231F20"/>
            </w:tcBorders>
            <w:vAlign w:val="center"/>
          </w:tcPr>
          <w:p w14:paraId="51585A00" w14:textId="77777777" w:rsidR="000F78A7" w:rsidRPr="000F78A7" w:rsidRDefault="000F78A7" w:rsidP="000F78A7">
            <w:pPr>
              <w:pStyle w:val="TableText"/>
              <w:rPr>
                <w:rFonts w:asciiTheme="majorHAnsi" w:eastAsia="Verdana" w:hAnsiTheme="majorHAnsi" w:cs="Verdana"/>
                <w:b/>
                <w:bCs/>
                <w:szCs w:val="16"/>
              </w:rPr>
            </w:pPr>
            <w:r w:rsidRPr="000F78A7">
              <w:rPr>
                <w:rFonts w:ascii="Verdana" w:hAnsi="Verdana" w:cs="Tahoma"/>
                <w:b/>
                <w:bCs/>
                <w:szCs w:val="16"/>
              </w:rPr>
              <w:t xml:space="preserve"> 12.8 </w:t>
            </w:r>
          </w:p>
        </w:tc>
      </w:tr>
    </w:tbl>
    <w:p w14:paraId="324E54F5" w14:textId="4B8D33EE" w:rsidR="00046BD5" w:rsidRPr="00DE108C" w:rsidRDefault="00046BD5" w:rsidP="00CE1E61">
      <w:pPr>
        <w:pStyle w:val="Heading2"/>
      </w:pPr>
      <w:r w:rsidRPr="00DE108C">
        <w:t>9.</w:t>
      </w:r>
      <w:r w:rsidR="00CE1E61">
        <w:t>5</w:t>
      </w:r>
      <w:r w:rsidRPr="00DE108C">
        <w:t xml:space="preserve"> Waterways and Drainage</w:t>
      </w:r>
    </w:p>
    <w:p w14:paraId="021E0FE7" w14:textId="380FCFF6" w:rsidR="00046BD5" w:rsidRPr="00DE108C" w:rsidRDefault="00046BD5" w:rsidP="00ED094E">
      <w:r w:rsidRPr="00DE108C">
        <w:t>Our forecast revenue requirement for the regulatory period is $</w:t>
      </w:r>
      <w:r w:rsidRPr="001164EE">
        <w:t>1,743 millio</w:t>
      </w:r>
      <w:r w:rsidRPr="00DE108C">
        <w:t>n for waterways and drainage (as shown in Table 9.</w:t>
      </w:r>
      <w:r w:rsidR="002E11B3" w:rsidRPr="00DE108C">
        <w:t>5</w:t>
      </w:r>
      <w:r w:rsidRPr="00DE108C">
        <w:t xml:space="preserve">). It is based on meeting legislative, regulatory and policy obligations, as well as delivering the outcomes customers told us they value. </w:t>
      </w:r>
    </w:p>
    <w:p w14:paraId="5654BCAD" w14:textId="7D7FFE9C" w:rsidR="00046BD5" w:rsidRPr="00DE108C" w:rsidRDefault="00046BD5" w:rsidP="00ED094E">
      <w:pPr>
        <w:pStyle w:val="Caption"/>
      </w:pPr>
      <w:bookmarkStart w:id="963" w:name="_Ref192603770"/>
      <w:bookmarkStart w:id="964" w:name="_Toc190878428"/>
      <w:bookmarkStart w:id="965" w:name="_Toc207893089"/>
      <w:bookmarkStart w:id="966" w:name="_Toc208490613"/>
      <w:bookmarkStart w:id="967" w:name="_Toc208490951"/>
      <w:bookmarkStart w:id="968" w:name="_Toc208911109"/>
      <w:bookmarkStart w:id="969" w:name="_Toc210051415"/>
      <w:r w:rsidRPr="001164EE">
        <w:lastRenderedPageBreak/>
        <w:t>Table 9.</w:t>
      </w:r>
      <w:bookmarkEnd w:id="963"/>
      <w:r w:rsidR="002E11B3" w:rsidRPr="001164EE">
        <w:t>5</w:t>
      </w:r>
      <w:r w:rsidRPr="001164EE">
        <w:t>: Waterways and drainage revenue requirement</w:t>
      </w:r>
      <w:bookmarkEnd w:id="964"/>
      <w:r w:rsidRPr="001164EE">
        <w:t xml:space="preserve"> ($millions, real 2025-26)</w:t>
      </w:r>
      <w:bookmarkEnd w:id="965"/>
      <w:bookmarkEnd w:id="966"/>
      <w:bookmarkEnd w:id="967"/>
      <w:bookmarkEnd w:id="968"/>
      <w:bookmarkEnd w:id="969"/>
    </w:p>
    <w:tbl>
      <w:tblPr>
        <w:tblStyle w:val="MWTableGrid"/>
        <w:tblW w:w="5000" w:type="pct"/>
        <w:tblLayout w:type="fixed"/>
        <w:tblLook w:val="0420" w:firstRow="1" w:lastRow="0" w:firstColumn="0" w:lastColumn="0" w:noHBand="0" w:noVBand="1"/>
      </w:tblPr>
      <w:tblGrid>
        <w:gridCol w:w="1980"/>
        <w:gridCol w:w="1258"/>
        <w:gridCol w:w="1258"/>
        <w:gridCol w:w="1258"/>
        <w:gridCol w:w="1258"/>
        <w:gridCol w:w="1258"/>
        <w:gridCol w:w="1258"/>
        <w:gridCol w:w="1258"/>
        <w:gridCol w:w="1258"/>
        <w:gridCol w:w="1258"/>
        <w:gridCol w:w="1258"/>
      </w:tblGrid>
      <w:tr w:rsidR="0069661E" w:rsidRPr="00C32277" w14:paraId="3AE6623B" w14:textId="77777777" w:rsidTr="00B46F82">
        <w:trPr>
          <w:cnfStyle w:val="100000000000" w:firstRow="1" w:lastRow="0" w:firstColumn="0" w:lastColumn="0" w:oddVBand="0" w:evenVBand="0" w:oddHBand="0" w:evenHBand="0" w:firstRowFirstColumn="0" w:firstRowLastColumn="0" w:lastRowFirstColumn="0" w:lastRowLastColumn="0"/>
        </w:trPr>
        <w:tc>
          <w:tcPr>
            <w:tcW w:w="1980" w:type="dxa"/>
          </w:tcPr>
          <w:p w14:paraId="0BD715B1" w14:textId="77777777" w:rsidR="00046BD5" w:rsidRPr="00C32277" w:rsidRDefault="00046BD5" w:rsidP="00ED094E">
            <w:pPr>
              <w:pStyle w:val="TableHeading"/>
              <w:rPr>
                <w:rFonts w:asciiTheme="majorHAnsi" w:eastAsia="Verdana" w:hAnsiTheme="majorHAnsi"/>
                <w:szCs w:val="16"/>
              </w:rPr>
            </w:pPr>
          </w:p>
        </w:tc>
        <w:tc>
          <w:tcPr>
            <w:tcW w:w="1258" w:type="dxa"/>
          </w:tcPr>
          <w:p w14:paraId="5567CD70" w14:textId="77777777" w:rsidR="00046BD5" w:rsidRPr="00C32277" w:rsidRDefault="00046BD5" w:rsidP="00ED094E">
            <w:pPr>
              <w:pStyle w:val="TableHeading"/>
              <w:rPr>
                <w:rFonts w:asciiTheme="majorHAnsi" w:eastAsia="Verdana" w:hAnsiTheme="majorHAnsi"/>
                <w:szCs w:val="16"/>
              </w:rPr>
            </w:pPr>
            <w:r w:rsidRPr="00C32277">
              <w:rPr>
                <w:rFonts w:asciiTheme="majorHAnsi" w:hAnsiTheme="majorHAnsi" w:cs="Tahoma"/>
                <w:szCs w:val="16"/>
              </w:rPr>
              <w:t>2026-27 </w:t>
            </w:r>
          </w:p>
        </w:tc>
        <w:tc>
          <w:tcPr>
            <w:tcW w:w="1258" w:type="dxa"/>
          </w:tcPr>
          <w:p w14:paraId="0A412CFD" w14:textId="77777777" w:rsidR="00046BD5" w:rsidRPr="00C32277" w:rsidRDefault="00046BD5" w:rsidP="00ED094E">
            <w:pPr>
              <w:pStyle w:val="TableHeading"/>
              <w:rPr>
                <w:rFonts w:asciiTheme="majorHAnsi" w:eastAsia="Verdana" w:hAnsiTheme="majorHAnsi"/>
                <w:szCs w:val="16"/>
              </w:rPr>
            </w:pPr>
            <w:r w:rsidRPr="00C32277">
              <w:rPr>
                <w:rFonts w:asciiTheme="majorHAnsi" w:hAnsiTheme="majorHAnsi" w:cs="Tahoma"/>
                <w:szCs w:val="16"/>
              </w:rPr>
              <w:t>2027-28 </w:t>
            </w:r>
          </w:p>
        </w:tc>
        <w:tc>
          <w:tcPr>
            <w:tcW w:w="1258" w:type="dxa"/>
          </w:tcPr>
          <w:p w14:paraId="01679D96" w14:textId="77777777" w:rsidR="00046BD5" w:rsidRPr="00C32277" w:rsidRDefault="00046BD5" w:rsidP="00ED094E">
            <w:pPr>
              <w:pStyle w:val="TableHeading"/>
              <w:rPr>
                <w:rFonts w:asciiTheme="majorHAnsi" w:eastAsia="Verdana" w:hAnsiTheme="majorHAnsi"/>
                <w:szCs w:val="16"/>
              </w:rPr>
            </w:pPr>
            <w:r w:rsidRPr="00C32277">
              <w:rPr>
                <w:rFonts w:asciiTheme="majorHAnsi" w:hAnsiTheme="majorHAnsi" w:cs="Tahoma"/>
                <w:szCs w:val="16"/>
              </w:rPr>
              <w:t>2028-29 </w:t>
            </w:r>
          </w:p>
        </w:tc>
        <w:tc>
          <w:tcPr>
            <w:tcW w:w="1258" w:type="dxa"/>
          </w:tcPr>
          <w:p w14:paraId="7F153564" w14:textId="77777777" w:rsidR="00046BD5" w:rsidRPr="00C32277" w:rsidRDefault="00046BD5" w:rsidP="00ED094E">
            <w:pPr>
              <w:pStyle w:val="TableHeading"/>
              <w:rPr>
                <w:rFonts w:asciiTheme="majorHAnsi" w:eastAsia="Verdana" w:hAnsiTheme="majorHAnsi"/>
                <w:szCs w:val="16"/>
              </w:rPr>
            </w:pPr>
            <w:r w:rsidRPr="00C32277">
              <w:rPr>
                <w:rFonts w:asciiTheme="majorHAnsi" w:hAnsiTheme="majorHAnsi" w:cs="Tahoma"/>
                <w:szCs w:val="16"/>
              </w:rPr>
              <w:t>2029-30 </w:t>
            </w:r>
          </w:p>
        </w:tc>
        <w:tc>
          <w:tcPr>
            <w:tcW w:w="1258" w:type="dxa"/>
          </w:tcPr>
          <w:p w14:paraId="6BAE3C7B" w14:textId="77777777" w:rsidR="00046BD5" w:rsidRPr="00C32277" w:rsidRDefault="00046BD5" w:rsidP="00ED094E">
            <w:pPr>
              <w:pStyle w:val="TableHeading"/>
              <w:rPr>
                <w:rFonts w:asciiTheme="majorHAnsi" w:eastAsia="Verdana" w:hAnsiTheme="majorHAnsi"/>
                <w:szCs w:val="16"/>
              </w:rPr>
            </w:pPr>
            <w:r w:rsidRPr="00C32277">
              <w:rPr>
                <w:rFonts w:asciiTheme="majorHAnsi" w:hAnsiTheme="majorHAnsi" w:cs="Tahoma"/>
                <w:szCs w:val="16"/>
              </w:rPr>
              <w:t>2030-31 </w:t>
            </w:r>
          </w:p>
        </w:tc>
        <w:tc>
          <w:tcPr>
            <w:tcW w:w="1258" w:type="dxa"/>
          </w:tcPr>
          <w:p w14:paraId="16532981" w14:textId="77777777" w:rsidR="00046BD5" w:rsidRPr="00C32277" w:rsidRDefault="00046BD5" w:rsidP="00ED094E">
            <w:pPr>
              <w:pStyle w:val="TableHeading"/>
              <w:rPr>
                <w:rFonts w:asciiTheme="majorHAnsi" w:eastAsia="Verdana" w:hAnsiTheme="majorHAnsi"/>
                <w:szCs w:val="16"/>
              </w:rPr>
            </w:pPr>
            <w:r w:rsidRPr="00C32277">
              <w:rPr>
                <w:rFonts w:asciiTheme="majorHAnsi" w:hAnsiTheme="majorHAnsi" w:cs="Tahoma"/>
                <w:szCs w:val="16"/>
              </w:rPr>
              <w:t>2031-32</w:t>
            </w:r>
          </w:p>
        </w:tc>
        <w:tc>
          <w:tcPr>
            <w:tcW w:w="1258" w:type="dxa"/>
          </w:tcPr>
          <w:p w14:paraId="0F6C0638" w14:textId="77777777" w:rsidR="00046BD5" w:rsidRPr="00C32277" w:rsidRDefault="00046BD5" w:rsidP="00ED094E">
            <w:pPr>
              <w:pStyle w:val="TableHeading"/>
              <w:rPr>
                <w:rFonts w:asciiTheme="majorHAnsi" w:eastAsia="Verdana" w:hAnsiTheme="majorHAnsi"/>
                <w:szCs w:val="16"/>
              </w:rPr>
            </w:pPr>
            <w:r w:rsidRPr="00C32277">
              <w:rPr>
                <w:rFonts w:asciiTheme="majorHAnsi" w:hAnsiTheme="majorHAnsi" w:cs="Tahoma"/>
                <w:szCs w:val="16"/>
              </w:rPr>
              <w:t>2032-33</w:t>
            </w:r>
          </w:p>
        </w:tc>
        <w:tc>
          <w:tcPr>
            <w:tcW w:w="1258" w:type="dxa"/>
          </w:tcPr>
          <w:p w14:paraId="3E374957" w14:textId="77777777" w:rsidR="00046BD5" w:rsidRPr="00C32277" w:rsidRDefault="00046BD5" w:rsidP="00ED094E">
            <w:pPr>
              <w:pStyle w:val="TableHeading"/>
              <w:rPr>
                <w:rFonts w:asciiTheme="majorHAnsi" w:eastAsia="Verdana" w:hAnsiTheme="majorHAnsi"/>
                <w:szCs w:val="16"/>
              </w:rPr>
            </w:pPr>
            <w:r w:rsidRPr="00C32277">
              <w:rPr>
                <w:rFonts w:asciiTheme="majorHAnsi" w:hAnsiTheme="majorHAnsi" w:cs="Tahoma"/>
                <w:szCs w:val="16"/>
              </w:rPr>
              <w:t>2033-34</w:t>
            </w:r>
          </w:p>
        </w:tc>
        <w:tc>
          <w:tcPr>
            <w:tcW w:w="1258" w:type="dxa"/>
          </w:tcPr>
          <w:p w14:paraId="6A0574E1" w14:textId="77777777" w:rsidR="00046BD5" w:rsidRPr="00C32277" w:rsidRDefault="00046BD5" w:rsidP="00ED094E">
            <w:pPr>
              <w:pStyle w:val="TableHeading"/>
              <w:rPr>
                <w:rFonts w:asciiTheme="majorHAnsi" w:eastAsia="Verdana" w:hAnsiTheme="majorHAnsi"/>
                <w:szCs w:val="16"/>
              </w:rPr>
            </w:pPr>
            <w:r w:rsidRPr="00C32277">
              <w:rPr>
                <w:rFonts w:asciiTheme="majorHAnsi" w:hAnsiTheme="majorHAnsi" w:cs="Tahoma"/>
                <w:szCs w:val="16"/>
              </w:rPr>
              <w:t>2034-35</w:t>
            </w:r>
          </w:p>
        </w:tc>
        <w:tc>
          <w:tcPr>
            <w:tcW w:w="1258" w:type="dxa"/>
          </w:tcPr>
          <w:p w14:paraId="6E61D99E" w14:textId="77777777" w:rsidR="00046BD5" w:rsidRPr="00C32277" w:rsidRDefault="00046BD5" w:rsidP="00ED094E">
            <w:pPr>
              <w:pStyle w:val="TableHeading"/>
              <w:rPr>
                <w:rFonts w:asciiTheme="majorHAnsi" w:eastAsia="Verdana" w:hAnsiTheme="majorHAnsi"/>
                <w:szCs w:val="16"/>
              </w:rPr>
            </w:pPr>
            <w:r w:rsidRPr="00C32277">
              <w:rPr>
                <w:rFonts w:asciiTheme="majorHAnsi" w:hAnsiTheme="majorHAnsi" w:cs="Tahoma"/>
                <w:szCs w:val="16"/>
              </w:rPr>
              <w:t>2035-36</w:t>
            </w:r>
          </w:p>
        </w:tc>
      </w:tr>
      <w:tr w:rsidR="00C32277" w:rsidRPr="00C32277" w14:paraId="1D039E94" w14:textId="77777777" w:rsidTr="00ED094E">
        <w:tc>
          <w:tcPr>
            <w:tcW w:w="1980" w:type="dxa"/>
          </w:tcPr>
          <w:p w14:paraId="33535790" w14:textId="77777777" w:rsidR="00C32277" w:rsidRPr="00C32277" w:rsidRDefault="00C32277" w:rsidP="00C32277">
            <w:pPr>
              <w:pStyle w:val="TableText"/>
              <w:rPr>
                <w:rFonts w:asciiTheme="majorHAnsi" w:eastAsia="Verdana" w:hAnsiTheme="majorHAnsi"/>
                <w:szCs w:val="16"/>
              </w:rPr>
            </w:pPr>
            <w:r w:rsidRPr="00C32277">
              <w:rPr>
                <w:rFonts w:asciiTheme="majorHAnsi" w:eastAsia="Verdana" w:hAnsiTheme="majorHAnsi"/>
                <w:szCs w:val="16"/>
              </w:rPr>
              <w:t xml:space="preserve">Opex </w:t>
            </w:r>
          </w:p>
        </w:tc>
        <w:tc>
          <w:tcPr>
            <w:tcW w:w="1258" w:type="dxa"/>
            <w:vAlign w:val="center"/>
          </w:tcPr>
          <w:p w14:paraId="1F52F8E5"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200.5 </w:t>
            </w:r>
          </w:p>
        </w:tc>
        <w:tc>
          <w:tcPr>
            <w:tcW w:w="1258" w:type="dxa"/>
            <w:vAlign w:val="center"/>
          </w:tcPr>
          <w:p w14:paraId="4D232AE7"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202.5 </w:t>
            </w:r>
          </w:p>
        </w:tc>
        <w:tc>
          <w:tcPr>
            <w:tcW w:w="1258" w:type="dxa"/>
            <w:vAlign w:val="center"/>
          </w:tcPr>
          <w:p w14:paraId="5931C538" w14:textId="33564A40"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203.7 </w:t>
            </w:r>
          </w:p>
        </w:tc>
        <w:tc>
          <w:tcPr>
            <w:tcW w:w="1258" w:type="dxa"/>
            <w:vAlign w:val="center"/>
          </w:tcPr>
          <w:p w14:paraId="6567E55C"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202.9 </w:t>
            </w:r>
          </w:p>
        </w:tc>
        <w:tc>
          <w:tcPr>
            <w:tcW w:w="1258" w:type="dxa"/>
            <w:vAlign w:val="center"/>
          </w:tcPr>
          <w:p w14:paraId="5DD6E977"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202.9 </w:t>
            </w:r>
          </w:p>
        </w:tc>
        <w:tc>
          <w:tcPr>
            <w:tcW w:w="1258" w:type="dxa"/>
            <w:vAlign w:val="center"/>
          </w:tcPr>
          <w:p w14:paraId="18C75B6A"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202.9 </w:t>
            </w:r>
          </w:p>
        </w:tc>
        <w:tc>
          <w:tcPr>
            <w:tcW w:w="1258" w:type="dxa"/>
            <w:vAlign w:val="center"/>
          </w:tcPr>
          <w:p w14:paraId="330ABB8A"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202.6 </w:t>
            </w:r>
          </w:p>
        </w:tc>
        <w:tc>
          <w:tcPr>
            <w:tcW w:w="1258" w:type="dxa"/>
            <w:vAlign w:val="center"/>
          </w:tcPr>
          <w:p w14:paraId="3DC9624B"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202.5 </w:t>
            </w:r>
          </w:p>
        </w:tc>
        <w:tc>
          <w:tcPr>
            <w:tcW w:w="1258" w:type="dxa"/>
            <w:vAlign w:val="center"/>
          </w:tcPr>
          <w:p w14:paraId="71CCA3D2"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202.4 </w:t>
            </w:r>
          </w:p>
        </w:tc>
        <w:tc>
          <w:tcPr>
            <w:tcW w:w="1258" w:type="dxa"/>
            <w:vAlign w:val="center"/>
          </w:tcPr>
          <w:p w14:paraId="52B5A18E"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202.1 </w:t>
            </w:r>
          </w:p>
        </w:tc>
      </w:tr>
      <w:tr w:rsidR="0069661E" w:rsidRPr="00C32277" w14:paraId="2AE8DEA1" w14:textId="77777777" w:rsidTr="00B46F82">
        <w:trPr>
          <w:cnfStyle w:val="000000010000" w:firstRow="0" w:lastRow="0" w:firstColumn="0" w:lastColumn="0" w:oddVBand="0" w:evenVBand="0" w:oddHBand="0" w:evenHBand="1" w:firstRowFirstColumn="0" w:firstRowLastColumn="0" w:lastRowFirstColumn="0" w:lastRowLastColumn="0"/>
        </w:trPr>
        <w:tc>
          <w:tcPr>
            <w:tcW w:w="1980" w:type="dxa"/>
          </w:tcPr>
          <w:p w14:paraId="2EE74D03" w14:textId="77777777" w:rsidR="00C32277" w:rsidRPr="00C32277" w:rsidRDefault="00C32277" w:rsidP="00C32277">
            <w:pPr>
              <w:pStyle w:val="TableText"/>
              <w:rPr>
                <w:rFonts w:asciiTheme="majorHAnsi" w:eastAsia="Verdana" w:hAnsiTheme="majorHAnsi"/>
                <w:szCs w:val="16"/>
              </w:rPr>
            </w:pPr>
            <w:r w:rsidRPr="00C32277">
              <w:rPr>
                <w:rFonts w:asciiTheme="majorHAnsi" w:eastAsia="Verdana" w:hAnsiTheme="majorHAnsi"/>
                <w:szCs w:val="16"/>
              </w:rPr>
              <w:t xml:space="preserve">Return on assets </w:t>
            </w:r>
          </w:p>
        </w:tc>
        <w:tc>
          <w:tcPr>
            <w:tcW w:w="1258" w:type="dxa"/>
            <w:vAlign w:val="center"/>
          </w:tcPr>
          <w:p w14:paraId="7A823D3C"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60.2 </w:t>
            </w:r>
          </w:p>
        </w:tc>
        <w:tc>
          <w:tcPr>
            <w:tcW w:w="1258" w:type="dxa"/>
            <w:vAlign w:val="center"/>
          </w:tcPr>
          <w:p w14:paraId="71741C22" w14:textId="0C438614"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67.1 </w:t>
            </w:r>
          </w:p>
        </w:tc>
        <w:tc>
          <w:tcPr>
            <w:tcW w:w="1258" w:type="dxa"/>
            <w:vAlign w:val="center"/>
          </w:tcPr>
          <w:p w14:paraId="0E682F94"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72.1 </w:t>
            </w:r>
          </w:p>
        </w:tc>
        <w:tc>
          <w:tcPr>
            <w:tcW w:w="1258" w:type="dxa"/>
            <w:vAlign w:val="center"/>
          </w:tcPr>
          <w:p w14:paraId="4DF5F18B"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75.0 </w:t>
            </w:r>
          </w:p>
        </w:tc>
        <w:tc>
          <w:tcPr>
            <w:tcW w:w="1258" w:type="dxa"/>
            <w:vAlign w:val="center"/>
          </w:tcPr>
          <w:p w14:paraId="6F4044D9"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79.7 </w:t>
            </w:r>
          </w:p>
        </w:tc>
        <w:tc>
          <w:tcPr>
            <w:tcW w:w="1258" w:type="dxa"/>
            <w:vAlign w:val="center"/>
          </w:tcPr>
          <w:p w14:paraId="0F9E337E"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86.2 </w:t>
            </w:r>
          </w:p>
        </w:tc>
        <w:tc>
          <w:tcPr>
            <w:tcW w:w="1258" w:type="dxa"/>
            <w:vAlign w:val="center"/>
          </w:tcPr>
          <w:p w14:paraId="432A2996"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92.8 </w:t>
            </w:r>
          </w:p>
        </w:tc>
        <w:tc>
          <w:tcPr>
            <w:tcW w:w="1258" w:type="dxa"/>
            <w:vAlign w:val="center"/>
          </w:tcPr>
          <w:p w14:paraId="438A3DE7"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94.6 </w:t>
            </w:r>
          </w:p>
        </w:tc>
        <w:tc>
          <w:tcPr>
            <w:tcW w:w="1258" w:type="dxa"/>
            <w:vAlign w:val="center"/>
          </w:tcPr>
          <w:p w14:paraId="29759BAA"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96.6 </w:t>
            </w:r>
          </w:p>
        </w:tc>
        <w:tc>
          <w:tcPr>
            <w:tcW w:w="1258" w:type="dxa"/>
            <w:vAlign w:val="center"/>
          </w:tcPr>
          <w:p w14:paraId="1FE18CF2"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99.7 </w:t>
            </w:r>
          </w:p>
        </w:tc>
      </w:tr>
      <w:tr w:rsidR="00C32277" w:rsidRPr="00C32277" w14:paraId="20364ECF" w14:textId="77777777" w:rsidTr="00ED094E">
        <w:tc>
          <w:tcPr>
            <w:tcW w:w="1980" w:type="dxa"/>
          </w:tcPr>
          <w:p w14:paraId="42B1A19A" w14:textId="562ED37D" w:rsidR="00C32277" w:rsidRPr="00C32277" w:rsidRDefault="00C32277" w:rsidP="00C32277">
            <w:pPr>
              <w:pStyle w:val="TableText"/>
              <w:rPr>
                <w:rFonts w:asciiTheme="majorHAnsi" w:eastAsia="Verdana" w:hAnsiTheme="majorHAnsi"/>
                <w:szCs w:val="16"/>
              </w:rPr>
            </w:pPr>
            <w:r w:rsidRPr="00C32277">
              <w:rPr>
                <w:rFonts w:asciiTheme="majorHAnsi" w:eastAsia="Verdana" w:hAnsiTheme="majorHAnsi"/>
                <w:szCs w:val="16"/>
              </w:rPr>
              <w:t xml:space="preserve">Regulatory depreciation </w:t>
            </w:r>
          </w:p>
        </w:tc>
        <w:tc>
          <w:tcPr>
            <w:tcW w:w="1258" w:type="dxa"/>
            <w:vAlign w:val="center"/>
          </w:tcPr>
          <w:p w14:paraId="339165FD"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69.3 </w:t>
            </w:r>
          </w:p>
        </w:tc>
        <w:tc>
          <w:tcPr>
            <w:tcW w:w="1258" w:type="dxa"/>
            <w:vAlign w:val="center"/>
          </w:tcPr>
          <w:p w14:paraId="6C027AF7"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74.9 </w:t>
            </w:r>
          </w:p>
        </w:tc>
        <w:tc>
          <w:tcPr>
            <w:tcW w:w="1258" w:type="dxa"/>
            <w:vAlign w:val="center"/>
          </w:tcPr>
          <w:p w14:paraId="363450B0"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79.5 </w:t>
            </w:r>
          </w:p>
        </w:tc>
        <w:tc>
          <w:tcPr>
            <w:tcW w:w="1258" w:type="dxa"/>
            <w:vAlign w:val="center"/>
          </w:tcPr>
          <w:p w14:paraId="10084CA1" w14:textId="558EB7E2"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68.4 </w:t>
            </w:r>
          </w:p>
        </w:tc>
        <w:tc>
          <w:tcPr>
            <w:tcW w:w="1258" w:type="dxa"/>
            <w:vAlign w:val="center"/>
          </w:tcPr>
          <w:p w14:paraId="2970640D"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66.8 </w:t>
            </w:r>
          </w:p>
        </w:tc>
        <w:tc>
          <w:tcPr>
            <w:tcW w:w="1258" w:type="dxa"/>
            <w:vAlign w:val="center"/>
          </w:tcPr>
          <w:p w14:paraId="57BB1CF7"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70.8 </w:t>
            </w:r>
          </w:p>
        </w:tc>
        <w:tc>
          <w:tcPr>
            <w:tcW w:w="1258" w:type="dxa"/>
            <w:vAlign w:val="center"/>
          </w:tcPr>
          <w:p w14:paraId="40530C31"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76.1 </w:t>
            </w:r>
          </w:p>
        </w:tc>
        <w:tc>
          <w:tcPr>
            <w:tcW w:w="1258" w:type="dxa"/>
            <w:vAlign w:val="center"/>
          </w:tcPr>
          <w:p w14:paraId="4D07932F"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81.0 </w:t>
            </w:r>
          </w:p>
        </w:tc>
        <w:tc>
          <w:tcPr>
            <w:tcW w:w="1258" w:type="dxa"/>
            <w:vAlign w:val="center"/>
          </w:tcPr>
          <w:p w14:paraId="36A654AE"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85.4 </w:t>
            </w:r>
          </w:p>
        </w:tc>
        <w:tc>
          <w:tcPr>
            <w:tcW w:w="1258" w:type="dxa"/>
            <w:vAlign w:val="center"/>
          </w:tcPr>
          <w:p w14:paraId="260B728D"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89.9 </w:t>
            </w:r>
          </w:p>
        </w:tc>
      </w:tr>
      <w:tr w:rsidR="0069661E" w:rsidRPr="00C32277" w14:paraId="3A5FE726" w14:textId="77777777" w:rsidTr="00B46F82">
        <w:trPr>
          <w:cnfStyle w:val="000000010000" w:firstRow="0" w:lastRow="0" w:firstColumn="0" w:lastColumn="0" w:oddVBand="0" w:evenVBand="0" w:oddHBand="0" w:evenHBand="1" w:firstRowFirstColumn="0" w:firstRowLastColumn="0" w:lastRowFirstColumn="0" w:lastRowLastColumn="0"/>
        </w:trPr>
        <w:tc>
          <w:tcPr>
            <w:tcW w:w="1980" w:type="dxa"/>
          </w:tcPr>
          <w:p w14:paraId="5E7A2EE5" w14:textId="77777777" w:rsidR="00C32277" w:rsidRPr="00C32277" w:rsidRDefault="00C32277" w:rsidP="00C32277">
            <w:pPr>
              <w:pStyle w:val="TableText"/>
              <w:rPr>
                <w:rFonts w:asciiTheme="majorHAnsi" w:eastAsia="Verdana" w:hAnsiTheme="majorHAnsi"/>
                <w:szCs w:val="16"/>
              </w:rPr>
            </w:pPr>
            <w:r w:rsidRPr="00C32277">
              <w:rPr>
                <w:rFonts w:asciiTheme="majorHAnsi" w:eastAsia="Verdana" w:hAnsiTheme="majorHAnsi"/>
                <w:szCs w:val="16"/>
              </w:rPr>
              <w:t xml:space="preserve">Tax </w:t>
            </w:r>
          </w:p>
        </w:tc>
        <w:tc>
          <w:tcPr>
            <w:tcW w:w="1258" w:type="dxa"/>
            <w:vAlign w:val="center"/>
          </w:tcPr>
          <w:p w14:paraId="1065DCEA"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4.0 </w:t>
            </w:r>
          </w:p>
        </w:tc>
        <w:tc>
          <w:tcPr>
            <w:tcW w:w="1258" w:type="dxa"/>
            <w:vAlign w:val="center"/>
          </w:tcPr>
          <w:p w14:paraId="2ED8A8B1"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4.4 </w:t>
            </w:r>
          </w:p>
        </w:tc>
        <w:tc>
          <w:tcPr>
            <w:tcW w:w="1258" w:type="dxa"/>
            <w:vAlign w:val="center"/>
          </w:tcPr>
          <w:p w14:paraId="48CC642B"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3.7 </w:t>
            </w:r>
          </w:p>
        </w:tc>
        <w:tc>
          <w:tcPr>
            <w:tcW w:w="1258" w:type="dxa"/>
            <w:vAlign w:val="center"/>
          </w:tcPr>
          <w:p w14:paraId="642BA59A"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2.9 </w:t>
            </w:r>
          </w:p>
        </w:tc>
        <w:tc>
          <w:tcPr>
            <w:tcW w:w="1258" w:type="dxa"/>
            <w:vAlign w:val="center"/>
          </w:tcPr>
          <w:p w14:paraId="797CF8EE"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2.3 </w:t>
            </w:r>
          </w:p>
        </w:tc>
        <w:tc>
          <w:tcPr>
            <w:tcW w:w="1258" w:type="dxa"/>
            <w:vAlign w:val="center"/>
          </w:tcPr>
          <w:p w14:paraId="4A66C98E"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2.0 </w:t>
            </w:r>
          </w:p>
        </w:tc>
        <w:tc>
          <w:tcPr>
            <w:tcW w:w="1258" w:type="dxa"/>
            <w:vAlign w:val="center"/>
          </w:tcPr>
          <w:p w14:paraId="644F399B"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2.4 </w:t>
            </w:r>
          </w:p>
        </w:tc>
        <w:tc>
          <w:tcPr>
            <w:tcW w:w="1258" w:type="dxa"/>
            <w:vAlign w:val="center"/>
          </w:tcPr>
          <w:p w14:paraId="4E61D429"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1.7 </w:t>
            </w:r>
          </w:p>
        </w:tc>
        <w:tc>
          <w:tcPr>
            <w:tcW w:w="1258" w:type="dxa"/>
            <w:vAlign w:val="center"/>
          </w:tcPr>
          <w:p w14:paraId="1A151578"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1.8 </w:t>
            </w:r>
          </w:p>
        </w:tc>
        <w:tc>
          <w:tcPr>
            <w:tcW w:w="1258" w:type="dxa"/>
            <w:vAlign w:val="center"/>
          </w:tcPr>
          <w:p w14:paraId="35E557A3" w14:textId="77777777" w:rsidR="00C32277" w:rsidRPr="00C32277" w:rsidRDefault="00C32277" w:rsidP="00C32277">
            <w:pPr>
              <w:pStyle w:val="TableText"/>
              <w:rPr>
                <w:rFonts w:asciiTheme="majorHAnsi" w:eastAsia="Verdana" w:hAnsiTheme="majorHAnsi" w:cs="Verdana"/>
                <w:szCs w:val="16"/>
              </w:rPr>
            </w:pPr>
            <w:r w:rsidRPr="00C32277">
              <w:rPr>
                <w:rFonts w:ascii="Verdana" w:hAnsi="Verdana" w:cs="Tahoma"/>
                <w:szCs w:val="16"/>
              </w:rPr>
              <w:t xml:space="preserve"> 1.9 </w:t>
            </w:r>
          </w:p>
        </w:tc>
      </w:tr>
      <w:tr w:rsidR="00C32277" w:rsidRPr="00C32277" w14:paraId="5EC89CEE" w14:textId="77777777" w:rsidTr="00ED094E">
        <w:trPr>
          <w:trHeight w:val="255"/>
        </w:trPr>
        <w:tc>
          <w:tcPr>
            <w:tcW w:w="1980" w:type="dxa"/>
            <w:tcBorders>
              <w:bottom w:val="single" w:sz="4" w:space="0" w:color="231F20"/>
            </w:tcBorders>
          </w:tcPr>
          <w:p w14:paraId="0C337BF8" w14:textId="77777777" w:rsidR="00C32277" w:rsidRPr="00C32277" w:rsidRDefault="00C32277" w:rsidP="00C32277">
            <w:pPr>
              <w:pStyle w:val="TableText"/>
              <w:rPr>
                <w:rFonts w:asciiTheme="majorHAnsi" w:eastAsia="Verdana" w:hAnsiTheme="majorHAnsi"/>
                <w:b/>
                <w:bCs/>
                <w:szCs w:val="16"/>
              </w:rPr>
            </w:pPr>
            <w:r w:rsidRPr="00C32277">
              <w:rPr>
                <w:rFonts w:asciiTheme="majorHAnsi" w:eastAsia="Verdana" w:hAnsiTheme="majorHAnsi"/>
                <w:b/>
                <w:bCs/>
                <w:szCs w:val="16"/>
              </w:rPr>
              <w:t xml:space="preserve">Total </w:t>
            </w:r>
          </w:p>
        </w:tc>
        <w:tc>
          <w:tcPr>
            <w:tcW w:w="1258" w:type="dxa"/>
            <w:tcBorders>
              <w:bottom w:val="single" w:sz="4" w:space="0" w:color="231F20"/>
            </w:tcBorders>
            <w:vAlign w:val="center"/>
          </w:tcPr>
          <w:p w14:paraId="2E27806F" w14:textId="77777777" w:rsidR="00C32277" w:rsidRPr="00C32277" w:rsidRDefault="00C32277" w:rsidP="00C32277">
            <w:pPr>
              <w:pStyle w:val="TableText"/>
              <w:rPr>
                <w:rFonts w:asciiTheme="majorHAnsi" w:eastAsia="Verdana" w:hAnsiTheme="majorHAnsi" w:cs="Verdana"/>
                <w:b/>
                <w:bCs/>
                <w:szCs w:val="16"/>
              </w:rPr>
            </w:pPr>
            <w:r w:rsidRPr="00C32277">
              <w:rPr>
                <w:rFonts w:ascii="Verdana" w:hAnsi="Verdana" w:cs="Tahoma"/>
                <w:b/>
                <w:bCs/>
                <w:szCs w:val="16"/>
              </w:rPr>
              <w:t xml:space="preserve"> 334.0 </w:t>
            </w:r>
          </w:p>
        </w:tc>
        <w:tc>
          <w:tcPr>
            <w:tcW w:w="1258" w:type="dxa"/>
            <w:tcBorders>
              <w:bottom w:val="single" w:sz="4" w:space="0" w:color="231F20"/>
            </w:tcBorders>
            <w:vAlign w:val="center"/>
          </w:tcPr>
          <w:p w14:paraId="3C76E3AA" w14:textId="77777777" w:rsidR="00C32277" w:rsidRPr="00C32277" w:rsidRDefault="00C32277" w:rsidP="00C32277">
            <w:pPr>
              <w:pStyle w:val="TableText"/>
              <w:rPr>
                <w:rFonts w:asciiTheme="majorHAnsi" w:eastAsia="Verdana" w:hAnsiTheme="majorHAnsi" w:cs="Verdana"/>
                <w:b/>
                <w:bCs/>
                <w:szCs w:val="16"/>
              </w:rPr>
            </w:pPr>
            <w:r w:rsidRPr="00C32277">
              <w:rPr>
                <w:rFonts w:ascii="Verdana" w:hAnsi="Verdana" w:cs="Tahoma"/>
                <w:b/>
                <w:bCs/>
                <w:szCs w:val="16"/>
              </w:rPr>
              <w:t xml:space="preserve"> 348.9 </w:t>
            </w:r>
          </w:p>
        </w:tc>
        <w:tc>
          <w:tcPr>
            <w:tcW w:w="1258" w:type="dxa"/>
            <w:tcBorders>
              <w:bottom w:val="single" w:sz="4" w:space="0" w:color="231F20"/>
            </w:tcBorders>
            <w:vAlign w:val="center"/>
          </w:tcPr>
          <w:p w14:paraId="3808B338" w14:textId="77777777" w:rsidR="00C32277" w:rsidRPr="00C32277" w:rsidRDefault="00C32277" w:rsidP="00C32277">
            <w:pPr>
              <w:pStyle w:val="TableText"/>
              <w:rPr>
                <w:rFonts w:asciiTheme="majorHAnsi" w:eastAsia="Verdana" w:hAnsiTheme="majorHAnsi" w:cs="Verdana"/>
                <w:b/>
                <w:bCs/>
                <w:szCs w:val="16"/>
              </w:rPr>
            </w:pPr>
            <w:r w:rsidRPr="00C32277">
              <w:rPr>
                <w:rFonts w:ascii="Verdana" w:hAnsi="Verdana" w:cs="Tahoma"/>
                <w:b/>
                <w:bCs/>
                <w:szCs w:val="16"/>
              </w:rPr>
              <w:t xml:space="preserve"> 359.0 </w:t>
            </w:r>
          </w:p>
        </w:tc>
        <w:tc>
          <w:tcPr>
            <w:tcW w:w="1258" w:type="dxa"/>
            <w:tcBorders>
              <w:bottom w:val="single" w:sz="4" w:space="0" w:color="231F20"/>
            </w:tcBorders>
            <w:vAlign w:val="center"/>
          </w:tcPr>
          <w:p w14:paraId="40D0499B" w14:textId="6EC306B1" w:rsidR="00C32277" w:rsidRPr="00C32277" w:rsidRDefault="00C32277" w:rsidP="00C32277">
            <w:pPr>
              <w:pStyle w:val="TableText"/>
              <w:rPr>
                <w:rFonts w:asciiTheme="majorHAnsi" w:eastAsia="Verdana" w:hAnsiTheme="majorHAnsi" w:cs="Verdana"/>
                <w:b/>
                <w:bCs/>
                <w:szCs w:val="16"/>
              </w:rPr>
            </w:pPr>
            <w:r w:rsidRPr="00C32277">
              <w:rPr>
                <w:rFonts w:ascii="Verdana" w:hAnsi="Verdana" w:cs="Tahoma"/>
                <w:b/>
                <w:bCs/>
                <w:szCs w:val="16"/>
              </w:rPr>
              <w:t xml:space="preserve"> 349.2 </w:t>
            </w:r>
          </w:p>
        </w:tc>
        <w:tc>
          <w:tcPr>
            <w:tcW w:w="1258" w:type="dxa"/>
            <w:tcBorders>
              <w:bottom w:val="single" w:sz="4" w:space="0" w:color="231F20"/>
            </w:tcBorders>
            <w:vAlign w:val="center"/>
          </w:tcPr>
          <w:p w14:paraId="11A4861E" w14:textId="77777777" w:rsidR="00C32277" w:rsidRPr="00C32277" w:rsidRDefault="00C32277" w:rsidP="00C32277">
            <w:pPr>
              <w:pStyle w:val="TableText"/>
              <w:rPr>
                <w:rFonts w:asciiTheme="majorHAnsi" w:eastAsia="Verdana" w:hAnsiTheme="majorHAnsi" w:cs="Verdana"/>
                <w:b/>
                <w:bCs/>
                <w:szCs w:val="16"/>
              </w:rPr>
            </w:pPr>
            <w:r w:rsidRPr="00C32277">
              <w:rPr>
                <w:rFonts w:ascii="Verdana" w:hAnsi="Verdana" w:cs="Tahoma"/>
                <w:b/>
                <w:bCs/>
                <w:szCs w:val="16"/>
              </w:rPr>
              <w:t xml:space="preserve"> 351.6 </w:t>
            </w:r>
          </w:p>
        </w:tc>
        <w:tc>
          <w:tcPr>
            <w:tcW w:w="1258" w:type="dxa"/>
            <w:tcBorders>
              <w:bottom w:val="single" w:sz="4" w:space="0" w:color="231F20"/>
            </w:tcBorders>
            <w:vAlign w:val="center"/>
          </w:tcPr>
          <w:p w14:paraId="6FB9F953" w14:textId="77777777" w:rsidR="00C32277" w:rsidRPr="00C32277" w:rsidRDefault="00C32277" w:rsidP="00C32277">
            <w:pPr>
              <w:pStyle w:val="TableText"/>
              <w:rPr>
                <w:rFonts w:asciiTheme="majorHAnsi" w:eastAsia="Verdana" w:hAnsiTheme="majorHAnsi" w:cs="Verdana"/>
                <w:b/>
                <w:bCs/>
                <w:szCs w:val="16"/>
              </w:rPr>
            </w:pPr>
            <w:r w:rsidRPr="00C32277">
              <w:rPr>
                <w:rFonts w:ascii="Verdana" w:hAnsi="Verdana" w:cs="Tahoma"/>
                <w:b/>
                <w:bCs/>
                <w:szCs w:val="16"/>
              </w:rPr>
              <w:t xml:space="preserve"> 362.0 </w:t>
            </w:r>
          </w:p>
        </w:tc>
        <w:tc>
          <w:tcPr>
            <w:tcW w:w="1258" w:type="dxa"/>
            <w:tcBorders>
              <w:bottom w:val="single" w:sz="4" w:space="0" w:color="231F20"/>
            </w:tcBorders>
            <w:vAlign w:val="center"/>
          </w:tcPr>
          <w:p w14:paraId="4C9EC97B" w14:textId="77777777" w:rsidR="00C32277" w:rsidRPr="00C32277" w:rsidRDefault="00C32277" w:rsidP="00C32277">
            <w:pPr>
              <w:pStyle w:val="TableText"/>
              <w:rPr>
                <w:rFonts w:asciiTheme="majorHAnsi" w:eastAsia="Verdana" w:hAnsiTheme="majorHAnsi" w:cs="Verdana"/>
                <w:b/>
                <w:bCs/>
                <w:szCs w:val="16"/>
              </w:rPr>
            </w:pPr>
            <w:r w:rsidRPr="00C32277">
              <w:rPr>
                <w:rFonts w:ascii="Verdana" w:hAnsi="Verdana" w:cs="Tahoma"/>
                <w:b/>
                <w:bCs/>
                <w:szCs w:val="16"/>
              </w:rPr>
              <w:t xml:space="preserve"> 374.0 </w:t>
            </w:r>
          </w:p>
        </w:tc>
        <w:tc>
          <w:tcPr>
            <w:tcW w:w="1258" w:type="dxa"/>
            <w:tcBorders>
              <w:bottom w:val="single" w:sz="4" w:space="0" w:color="231F20"/>
            </w:tcBorders>
            <w:vAlign w:val="center"/>
          </w:tcPr>
          <w:p w14:paraId="02A455EB" w14:textId="77777777" w:rsidR="00C32277" w:rsidRPr="00C32277" w:rsidRDefault="00C32277" w:rsidP="00C32277">
            <w:pPr>
              <w:pStyle w:val="TableText"/>
              <w:rPr>
                <w:rFonts w:asciiTheme="majorHAnsi" w:eastAsia="Verdana" w:hAnsiTheme="majorHAnsi" w:cs="Verdana"/>
                <w:b/>
                <w:bCs/>
                <w:szCs w:val="16"/>
              </w:rPr>
            </w:pPr>
            <w:r w:rsidRPr="00C32277">
              <w:rPr>
                <w:rFonts w:ascii="Verdana" w:hAnsi="Verdana" w:cs="Tahoma"/>
                <w:b/>
                <w:bCs/>
                <w:szCs w:val="16"/>
              </w:rPr>
              <w:t xml:space="preserve"> 379.8 </w:t>
            </w:r>
          </w:p>
        </w:tc>
        <w:tc>
          <w:tcPr>
            <w:tcW w:w="1258" w:type="dxa"/>
            <w:tcBorders>
              <w:bottom w:val="single" w:sz="4" w:space="0" w:color="231F20"/>
            </w:tcBorders>
            <w:vAlign w:val="center"/>
          </w:tcPr>
          <w:p w14:paraId="7580D0DD" w14:textId="77777777" w:rsidR="00C32277" w:rsidRPr="00C32277" w:rsidRDefault="00C32277" w:rsidP="00C32277">
            <w:pPr>
              <w:pStyle w:val="TableText"/>
              <w:rPr>
                <w:rFonts w:asciiTheme="majorHAnsi" w:eastAsia="Verdana" w:hAnsiTheme="majorHAnsi" w:cs="Verdana"/>
                <w:b/>
                <w:bCs/>
                <w:szCs w:val="16"/>
              </w:rPr>
            </w:pPr>
            <w:r w:rsidRPr="00C32277">
              <w:rPr>
                <w:rFonts w:ascii="Verdana" w:hAnsi="Verdana" w:cs="Tahoma"/>
                <w:b/>
                <w:bCs/>
                <w:szCs w:val="16"/>
              </w:rPr>
              <w:t xml:space="preserve"> 386.3 </w:t>
            </w:r>
          </w:p>
        </w:tc>
        <w:tc>
          <w:tcPr>
            <w:tcW w:w="1258" w:type="dxa"/>
            <w:tcBorders>
              <w:bottom w:val="single" w:sz="4" w:space="0" w:color="231F20"/>
            </w:tcBorders>
            <w:vAlign w:val="center"/>
          </w:tcPr>
          <w:p w14:paraId="69D9ACD7" w14:textId="77777777" w:rsidR="00C32277" w:rsidRPr="00C32277" w:rsidRDefault="00C32277" w:rsidP="00C32277">
            <w:pPr>
              <w:pStyle w:val="TableText"/>
              <w:rPr>
                <w:rFonts w:asciiTheme="majorHAnsi" w:eastAsia="Verdana" w:hAnsiTheme="majorHAnsi" w:cs="Verdana"/>
                <w:b/>
                <w:bCs/>
                <w:szCs w:val="16"/>
              </w:rPr>
            </w:pPr>
            <w:r w:rsidRPr="00C32277">
              <w:rPr>
                <w:rFonts w:ascii="Verdana" w:hAnsi="Verdana" w:cs="Tahoma"/>
                <w:b/>
                <w:bCs/>
                <w:szCs w:val="16"/>
              </w:rPr>
              <w:t xml:space="preserve"> 393.6 </w:t>
            </w:r>
          </w:p>
        </w:tc>
      </w:tr>
    </w:tbl>
    <w:p w14:paraId="513934B8" w14:textId="4AFA0FFC" w:rsidR="00046BD5" w:rsidRPr="00DE108C" w:rsidRDefault="00046BD5" w:rsidP="00CE1E61">
      <w:pPr>
        <w:pStyle w:val="Heading2"/>
      </w:pPr>
      <w:r w:rsidRPr="00DE108C">
        <w:t>9.</w:t>
      </w:r>
      <w:r w:rsidR="00CE1E61">
        <w:t>6</w:t>
      </w:r>
      <w:r w:rsidRPr="00DE108C">
        <w:t xml:space="preserve"> Diversions</w:t>
      </w:r>
    </w:p>
    <w:p w14:paraId="1AA86404" w14:textId="6AF8A196" w:rsidR="00046BD5" w:rsidRPr="00DE108C" w:rsidRDefault="00046BD5" w:rsidP="00ED094E">
      <w:r w:rsidRPr="00DE108C">
        <w:t>The total diversions revenue requirement for the 2026-31 regulatory period is $</w:t>
      </w:r>
      <w:r w:rsidRPr="001164EE">
        <w:t>8 million</w:t>
      </w:r>
      <w:r w:rsidRPr="00DE108C">
        <w:t xml:space="preserve"> (as shown in Table 9.</w:t>
      </w:r>
      <w:r w:rsidR="00261C23" w:rsidRPr="00DE108C">
        <w:t>6</w:t>
      </w:r>
      <w:r w:rsidRPr="00DE108C">
        <w:t xml:space="preserve">). </w:t>
      </w:r>
    </w:p>
    <w:p w14:paraId="4911B9E1" w14:textId="794E66A3" w:rsidR="00046BD5" w:rsidRPr="00DE108C" w:rsidRDefault="00046BD5" w:rsidP="00ED094E">
      <w:pPr>
        <w:pStyle w:val="Caption"/>
      </w:pPr>
      <w:bookmarkStart w:id="970" w:name="_Ref192603878"/>
      <w:bookmarkStart w:id="971" w:name="_Toc207893090"/>
      <w:bookmarkStart w:id="972" w:name="_Toc208490614"/>
      <w:bookmarkStart w:id="973" w:name="_Toc208490952"/>
      <w:bookmarkStart w:id="974" w:name="_Toc208911110"/>
      <w:bookmarkStart w:id="975" w:name="_Toc210051416"/>
      <w:r w:rsidRPr="001164EE">
        <w:t>Table 9.</w:t>
      </w:r>
      <w:bookmarkEnd w:id="970"/>
      <w:r w:rsidR="00261C23" w:rsidRPr="001164EE">
        <w:t>6</w:t>
      </w:r>
      <w:r w:rsidRPr="001164EE">
        <w:t>: Diversions revenue requirement ($millions, real 2025-26)</w:t>
      </w:r>
      <w:bookmarkEnd w:id="971"/>
      <w:bookmarkEnd w:id="972"/>
      <w:bookmarkEnd w:id="973"/>
      <w:bookmarkEnd w:id="974"/>
      <w:bookmarkEnd w:id="975"/>
    </w:p>
    <w:tbl>
      <w:tblPr>
        <w:tblStyle w:val="MWTableGrid"/>
        <w:tblW w:w="5000" w:type="pct"/>
        <w:tblLayout w:type="fixed"/>
        <w:tblLook w:val="0420" w:firstRow="1" w:lastRow="0" w:firstColumn="0" w:lastColumn="0" w:noHBand="0" w:noVBand="1"/>
      </w:tblPr>
      <w:tblGrid>
        <w:gridCol w:w="1980"/>
        <w:gridCol w:w="1258"/>
        <w:gridCol w:w="1258"/>
        <w:gridCol w:w="1258"/>
        <w:gridCol w:w="1258"/>
        <w:gridCol w:w="1258"/>
        <w:gridCol w:w="1258"/>
        <w:gridCol w:w="1258"/>
        <w:gridCol w:w="1258"/>
        <w:gridCol w:w="1258"/>
        <w:gridCol w:w="1258"/>
      </w:tblGrid>
      <w:tr w:rsidR="0069661E" w:rsidRPr="000D5C71" w14:paraId="7C6B215A" w14:textId="77777777" w:rsidTr="00B46F82">
        <w:trPr>
          <w:cnfStyle w:val="100000000000" w:firstRow="1" w:lastRow="0" w:firstColumn="0" w:lastColumn="0" w:oddVBand="0" w:evenVBand="0" w:oddHBand="0" w:evenHBand="0" w:firstRowFirstColumn="0" w:firstRowLastColumn="0" w:lastRowFirstColumn="0" w:lastRowLastColumn="0"/>
        </w:trPr>
        <w:tc>
          <w:tcPr>
            <w:tcW w:w="1980" w:type="dxa"/>
          </w:tcPr>
          <w:p w14:paraId="4814D111" w14:textId="77777777" w:rsidR="00046BD5" w:rsidRPr="000D5C71" w:rsidRDefault="00046BD5" w:rsidP="00ED094E">
            <w:pPr>
              <w:pStyle w:val="TableHeading"/>
              <w:rPr>
                <w:rFonts w:asciiTheme="majorHAnsi" w:eastAsia="Verdana" w:hAnsiTheme="majorHAnsi"/>
                <w:szCs w:val="16"/>
              </w:rPr>
            </w:pPr>
          </w:p>
        </w:tc>
        <w:tc>
          <w:tcPr>
            <w:tcW w:w="1258" w:type="dxa"/>
          </w:tcPr>
          <w:p w14:paraId="61A55B55" w14:textId="77777777" w:rsidR="00046BD5" w:rsidRPr="000D5C71" w:rsidRDefault="00046BD5" w:rsidP="00ED094E">
            <w:pPr>
              <w:pStyle w:val="TableHeading"/>
              <w:rPr>
                <w:rFonts w:asciiTheme="majorHAnsi" w:eastAsia="Verdana" w:hAnsiTheme="majorHAnsi"/>
                <w:szCs w:val="16"/>
              </w:rPr>
            </w:pPr>
            <w:r w:rsidRPr="000D5C71">
              <w:rPr>
                <w:rFonts w:asciiTheme="majorHAnsi" w:hAnsiTheme="majorHAnsi" w:cs="Tahoma"/>
                <w:szCs w:val="16"/>
              </w:rPr>
              <w:t>2026-27 </w:t>
            </w:r>
          </w:p>
        </w:tc>
        <w:tc>
          <w:tcPr>
            <w:tcW w:w="1258" w:type="dxa"/>
          </w:tcPr>
          <w:p w14:paraId="1FADA3C6" w14:textId="77777777" w:rsidR="00046BD5" w:rsidRPr="000D5C71" w:rsidRDefault="00046BD5" w:rsidP="00ED094E">
            <w:pPr>
              <w:pStyle w:val="TableHeading"/>
              <w:rPr>
                <w:rFonts w:asciiTheme="majorHAnsi" w:eastAsia="Verdana" w:hAnsiTheme="majorHAnsi"/>
                <w:szCs w:val="16"/>
              </w:rPr>
            </w:pPr>
            <w:r w:rsidRPr="000D5C71">
              <w:rPr>
                <w:rFonts w:asciiTheme="majorHAnsi" w:hAnsiTheme="majorHAnsi" w:cs="Tahoma"/>
                <w:szCs w:val="16"/>
              </w:rPr>
              <w:t>2027-28 </w:t>
            </w:r>
          </w:p>
        </w:tc>
        <w:tc>
          <w:tcPr>
            <w:tcW w:w="1258" w:type="dxa"/>
          </w:tcPr>
          <w:p w14:paraId="637098E0" w14:textId="77777777" w:rsidR="00046BD5" w:rsidRPr="000D5C71" w:rsidRDefault="00046BD5" w:rsidP="00ED094E">
            <w:pPr>
              <w:pStyle w:val="TableHeading"/>
              <w:rPr>
                <w:rFonts w:asciiTheme="majorHAnsi" w:eastAsia="Verdana" w:hAnsiTheme="majorHAnsi"/>
                <w:szCs w:val="16"/>
              </w:rPr>
            </w:pPr>
            <w:r w:rsidRPr="000D5C71">
              <w:rPr>
                <w:rFonts w:asciiTheme="majorHAnsi" w:hAnsiTheme="majorHAnsi" w:cs="Tahoma"/>
                <w:szCs w:val="16"/>
              </w:rPr>
              <w:t>2028-29 </w:t>
            </w:r>
          </w:p>
        </w:tc>
        <w:tc>
          <w:tcPr>
            <w:tcW w:w="1258" w:type="dxa"/>
          </w:tcPr>
          <w:p w14:paraId="71A5C12F" w14:textId="77777777" w:rsidR="00046BD5" w:rsidRPr="000D5C71" w:rsidRDefault="00046BD5" w:rsidP="00ED094E">
            <w:pPr>
              <w:pStyle w:val="TableHeading"/>
              <w:rPr>
                <w:rFonts w:asciiTheme="majorHAnsi" w:eastAsia="Verdana" w:hAnsiTheme="majorHAnsi"/>
                <w:szCs w:val="16"/>
              </w:rPr>
            </w:pPr>
            <w:r w:rsidRPr="000D5C71">
              <w:rPr>
                <w:rFonts w:asciiTheme="majorHAnsi" w:hAnsiTheme="majorHAnsi" w:cs="Tahoma"/>
                <w:szCs w:val="16"/>
              </w:rPr>
              <w:t>2029-30 </w:t>
            </w:r>
          </w:p>
        </w:tc>
        <w:tc>
          <w:tcPr>
            <w:tcW w:w="1258" w:type="dxa"/>
          </w:tcPr>
          <w:p w14:paraId="7EF112EB" w14:textId="77777777" w:rsidR="00046BD5" w:rsidRPr="000D5C71" w:rsidRDefault="00046BD5" w:rsidP="00ED094E">
            <w:pPr>
              <w:pStyle w:val="TableHeading"/>
              <w:rPr>
                <w:rFonts w:asciiTheme="majorHAnsi" w:eastAsia="Verdana" w:hAnsiTheme="majorHAnsi"/>
                <w:szCs w:val="16"/>
              </w:rPr>
            </w:pPr>
            <w:r w:rsidRPr="000D5C71">
              <w:rPr>
                <w:rFonts w:asciiTheme="majorHAnsi" w:hAnsiTheme="majorHAnsi" w:cs="Tahoma"/>
                <w:szCs w:val="16"/>
              </w:rPr>
              <w:t>2030-31 </w:t>
            </w:r>
          </w:p>
        </w:tc>
        <w:tc>
          <w:tcPr>
            <w:tcW w:w="1258" w:type="dxa"/>
          </w:tcPr>
          <w:p w14:paraId="016FC27A" w14:textId="77777777" w:rsidR="00046BD5" w:rsidRPr="000D5C71" w:rsidRDefault="00046BD5" w:rsidP="00ED094E">
            <w:pPr>
              <w:pStyle w:val="TableHeading"/>
              <w:rPr>
                <w:rFonts w:asciiTheme="majorHAnsi" w:eastAsia="Verdana" w:hAnsiTheme="majorHAnsi"/>
                <w:szCs w:val="16"/>
              </w:rPr>
            </w:pPr>
            <w:r w:rsidRPr="000D5C71">
              <w:rPr>
                <w:rFonts w:asciiTheme="majorHAnsi" w:hAnsiTheme="majorHAnsi" w:cs="Tahoma"/>
                <w:szCs w:val="16"/>
              </w:rPr>
              <w:t>2031-32</w:t>
            </w:r>
          </w:p>
        </w:tc>
        <w:tc>
          <w:tcPr>
            <w:tcW w:w="1258" w:type="dxa"/>
          </w:tcPr>
          <w:p w14:paraId="37847499" w14:textId="77777777" w:rsidR="00046BD5" w:rsidRPr="000D5C71" w:rsidRDefault="00046BD5" w:rsidP="00ED094E">
            <w:pPr>
              <w:pStyle w:val="TableHeading"/>
              <w:rPr>
                <w:rFonts w:asciiTheme="majorHAnsi" w:eastAsia="Verdana" w:hAnsiTheme="majorHAnsi"/>
                <w:szCs w:val="16"/>
              </w:rPr>
            </w:pPr>
            <w:r w:rsidRPr="000D5C71">
              <w:rPr>
                <w:rFonts w:asciiTheme="majorHAnsi" w:hAnsiTheme="majorHAnsi" w:cs="Tahoma"/>
                <w:szCs w:val="16"/>
              </w:rPr>
              <w:t>2032-33</w:t>
            </w:r>
          </w:p>
        </w:tc>
        <w:tc>
          <w:tcPr>
            <w:tcW w:w="1258" w:type="dxa"/>
          </w:tcPr>
          <w:p w14:paraId="6F79E6D9" w14:textId="77777777" w:rsidR="00046BD5" w:rsidRPr="000D5C71" w:rsidRDefault="00046BD5" w:rsidP="00ED094E">
            <w:pPr>
              <w:pStyle w:val="TableHeading"/>
              <w:rPr>
                <w:rFonts w:asciiTheme="majorHAnsi" w:eastAsia="Verdana" w:hAnsiTheme="majorHAnsi"/>
                <w:szCs w:val="16"/>
              </w:rPr>
            </w:pPr>
            <w:r w:rsidRPr="000D5C71">
              <w:rPr>
                <w:rFonts w:asciiTheme="majorHAnsi" w:hAnsiTheme="majorHAnsi" w:cs="Tahoma"/>
                <w:szCs w:val="16"/>
              </w:rPr>
              <w:t>2033-34</w:t>
            </w:r>
          </w:p>
        </w:tc>
        <w:tc>
          <w:tcPr>
            <w:tcW w:w="1258" w:type="dxa"/>
          </w:tcPr>
          <w:p w14:paraId="329A1343" w14:textId="77777777" w:rsidR="00046BD5" w:rsidRPr="000D5C71" w:rsidRDefault="00046BD5" w:rsidP="00ED094E">
            <w:pPr>
              <w:pStyle w:val="TableHeading"/>
              <w:rPr>
                <w:rFonts w:asciiTheme="majorHAnsi" w:eastAsia="Verdana" w:hAnsiTheme="majorHAnsi"/>
                <w:szCs w:val="16"/>
              </w:rPr>
            </w:pPr>
            <w:r w:rsidRPr="000D5C71">
              <w:rPr>
                <w:rFonts w:asciiTheme="majorHAnsi" w:hAnsiTheme="majorHAnsi" w:cs="Tahoma"/>
                <w:szCs w:val="16"/>
              </w:rPr>
              <w:t>2034-35</w:t>
            </w:r>
          </w:p>
        </w:tc>
        <w:tc>
          <w:tcPr>
            <w:tcW w:w="1258" w:type="dxa"/>
          </w:tcPr>
          <w:p w14:paraId="5BE1B1B4" w14:textId="77777777" w:rsidR="00046BD5" w:rsidRPr="000D5C71" w:rsidRDefault="00046BD5" w:rsidP="00ED094E">
            <w:pPr>
              <w:pStyle w:val="TableHeading"/>
              <w:rPr>
                <w:rFonts w:asciiTheme="majorHAnsi" w:eastAsia="Verdana" w:hAnsiTheme="majorHAnsi"/>
                <w:szCs w:val="16"/>
              </w:rPr>
            </w:pPr>
            <w:r w:rsidRPr="000D5C71">
              <w:rPr>
                <w:rFonts w:asciiTheme="majorHAnsi" w:hAnsiTheme="majorHAnsi" w:cs="Tahoma"/>
                <w:szCs w:val="16"/>
              </w:rPr>
              <w:t>2035-36</w:t>
            </w:r>
          </w:p>
        </w:tc>
      </w:tr>
      <w:tr w:rsidR="000D5C71" w:rsidRPr="000D5C71" w14:paraId="0FC04035" w14:textId="77777777" w:rsidTr="00ED094E">
        <w:tc>
          <w:tcPr>
            <w:tcW w:w="1980" w:type="dxa"/>
          </w:tcPr>
          <w:p w14:paraId="34EB672B" w14:textId="77777777" w:rsidR="000D5C71" w:rsidRPr="000D5C71" w:rsidRDefault="000D5C71" w:rsidP="000D5C71">
            <w:pPr>
              <w:pStyle w:val="TableText"/>
              <w:rPr>
                <w:rFonts w:asciiTheme="majorHAnsi" w:eastAsia="Verdana" w:hAnsiTheme="majorHAnsi"/>
                <w:szCs w:val="16"/>
              </w:rPr>
            </w:pPr>
            <w:r w:rsidRPr="000D5C71">
              <w:rPr>
                <w:rFonts w:asciiTheme="majorHAnsi" w:eastAsia="Verdana" w:hAnsiTheme="majorHAnsi"/>
                <w:szCs w:val="16"/>
              </w:rPr>
              <w:t xml:space="preserve">Opex </w:t>
            </w:r>
          </w:p>
        </w:tc>
        <w:tc>
          <w:tcPr>
            <w:tcW w:w="1258" w:type="dxa"/>
            <w:vAlign w:val="center"/>
          </w:tcPr>
          <w:p w14:paraId="45E19EA2"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1.3 </w:t>
            </w:r>
          </w:p>
        </w:tc>
        <w:tc>
          <w:tcPr>
            <w:tcW w:w="1258" w:type="dxa"/>
            <w:vAlign w:val="center"/>
          </w:tcPr>
          <w:p w14:paraId="7B8F87A9"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1.3 </w:t>
            </w:r>
          </w:p>
        </w:tc>
        <w:tc>
          <w:tcPr>
            <w:tcW w:w="1258" w:type="dxa"/>
            <w:vAlign w:val="center"/>
          </w:tcPr>
          <w:p w14:paraId="4C54644A"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1.3 </w:t>
            </w:r>
          </w:p>
        </w:tc>
        <w:tc>
          <w:tcPr>
            <w:tcW w:w="1258" w:type="dxa"/>
            <w:vAlign w:val="center"/>
          </w:tcPr>
          <w:p w14:paraId="5C985B80"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1.3 </w:t>
            </w:r>
          </w:p>
        </w:tc>
        <w:tc>
          <w:tcPr>
            <w:tcW w:w="1258" w:type="dxa"/>
            <w:vAlign w:val="center"/>
          </w:tcPr>
          <w:p w14:paraId="5BFB1790"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1.3 </w:t>
            </w:r>
          </w:p>
        </w:tc>
        <w:tc>
          <w:tcPr>
            <w:tcW w:w="1258" w:type="dxa"/>
            <w:vAlign w:val="center"/>
          </w:tcPr>
          <w:p w14:paraId="4AC3D5E4"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1.3 </w:t>
            </w:r>
          </w:p>
        </w:tc>
        <w:tc>
          <w:tcPr>
            <w:tcW w:w="1258" w:type="dxa"/>
            <w:vAlign w:val="center"/>
          </w:tcPr>
          <w:p w14:paraId="55F158DA"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1.3 </w:t>
            </w:r>
          </w:p>
        </w:tc>
        <w:tc>
          <w:tcPr>
            <w:tcW w:w="1258" w:type="dxa"/>
            <w:vAlign w:val="center"/>
          </w:tcPr>
          <w:p w14:paraId="26EA98E9"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1.3 </w:t>
            </w:r>
          </w:p>
        </w:tc>
        <w:tc>
          <w:tcPr>
            <w:tcW w:w="1258" w:type="dxa"/>
            <w:vAlign w:val="center"/>
          </w:tcPr>
          <w:p w14:paraId="10F8E3D6"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1.3 </w:t>
            </w:r>
          </w:p>
        </w:tc>
        <w:tc>
          <w:tcPr>
            <w:tcW w:w="1258" w:type="dxa"/>
            <w:vAlign w:val="center"/>
          </w:tcPr>
          <w:p w14:paraId="37493D45"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1.3 </w:t>
            </w:r>
          </w:p>
        </w:tc>
      </w:tr>
      <w:tr w:rsidR="0069661E" w:rsidRPr="000D5C71" w14:paraId="41837A16" w14:textId="77777777" w:rsidTr="00B46F82">
        <w:trPr>
          <w:cnfStyle w:val="000000010000" w:firstRow="0" w:lastRow="0" w:firstColumn="0" w:lastColumn="0" w:oddVBand="0" w:evenVBand="0" w:oddHBand="0" w:evenHBand="1" w:firstRowFirstColumn="0" w:firstRowLastColumn="0" w:lastRowFirstColumn="0" w:lastRowLastColumn="0"/>
        </w:trPr>
        <w:tc>
          <w:tcPr>
            <w:tcW w:w="1980" w:type="dxa"/>
          </w:tcPr>
          <w:p w14:paraId="5D6BF74F" w14:textId="77777777" w:rsidR="000D5C71" w:rsidRPr="000D5C71" w:rsidRDefault="000D5C71" w:rsidP="000D5C71">
            <w:pPr>
              <w:pStyle w:val="TableText"/>
              <w:rPr>
                <w:rFonts w:asciiTheme="majorHAnsi" w:eastAsia="Verdana" w:hAnsiTheme="majorHAnsi"/>
                <w:szCs w:val="16"/>
              </w:rPr>
            </w:pPr>
            <w:r w:rsidRPr="000D5C71">
              <w:rPr>
                <w:rFonts w:asciiTheme="majorHAnsi" w:eastAsia="Verdana" w:hAnsiTheme="majorHAnsi"/>
                <w:szCs w:val="16"/>
              </w:rPr>
              <w:t xml:space="preserve">Return on assets </w:t>
            </w:r>
          </w:p>
        </w:tc>
        <w:tc>
          <w:tcPr>
            <w:tcW w:w="1258" w:type="dxa"/>
            <w:vAlign w:val="center"/>
          </w:tcPr>
          <w:p w14:paraId="11FB8B89"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0.1 </w:t>
            </w:r>
          </w:p>
        </w:tc>
        <w:tc>
          <w:tcPr>
            <w:tcW w:w="1258" w:type="dxa"/>
            <w:vAlign w:val="center"/>
          </w:tcPr>
          <w:p w14:paraId="7A24C794"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0.1 </w:t>
            </w:r>
          </w:p>
        </w:tc>
        <w:tc>
          <w:tcPr>
            <w:tcW w:w="1258" w:type="dxa"/>
            <w:vAlign w:val="center"/>
          </w:tcPr>
          <w:p w14:paraId="70097D89"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0.1 </w:t>
            </w:r>
          </w:p>
        </w:tc>
        <w:tc>
          <w:tcPr>
            <w:tcW w:w="1258" w:type="dxa"/>
            <w:vAlign w:val="center"/>
          </w:tcPr>
          <w:p w14:paraId="3721EBE1"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0.1 </w:t>
            </w:r>
          </w:p>
        </w:tc>
        <w:tc>
          <w:tcPr>
            <w:tcW w:w="1258" w:type="dxa"/>
            <w:vAlign w:val="center"/>
          </w:tcPr>
          <w:p w14:paraId="2B62DB00"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0.2 </w:t>
            </w:r>
          </w:p>
        </w:tc>
        <w:tc>
          <w:tcPr>
            <w:tcW w:w="1258" w:type="dxa"/>
            <w:vAlign w:val="center"/>
          </w:tcPr>
          <w:p w14:paraId="0A7854B0"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0.2 </w:t>
            </w:r>
          </w:p>
        </w:tc>
        <w:tc>
          <w:tcPr>
            <w:tcW w:w="1258" w:type="dxa"/>
            <w:vAlign w:val="center"/>
          </w:tcPr>
          <w:p w14:paraId="45559491"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0.2 </w:t>
            </w:r>
          </w:p>
        </w:tc>
        <w:tc>
          <w:tcPr>
            <w:tcW w:w="1258" w:type="dxa"/>
            <w:vAlign w:val="center"/>
          </w:tcPr>
          <w:p w14:paraId="7F315417"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0.2 </w:t>
            </w:r>
          </w:p>
        </w:tc>
        <w:tc>
          <w:tcPr>
            <w:tcW w:w="1258" w:type="dxa"/>
            <w:vAlign w:val="center"/>
          </w:tcPr>
          <w:p w14:paraId="2273F942"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0.2 </w:t>
            </w:r>
          </w:p>
        </w:tc>
        <w:tc>
          <w:tcPr>
            <w:tcW w:w="1258" w:type="dxa"/>
            <w:vAlign w:val="center"/>
          </w:tcPr>
          <w:p w14:paraId="562E190A"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0.2 </w:t>
            </w:r>
          </w:p>
        </w:tc>
      </w:tr>
      <w:tr w:rsidR="000D5C71" w:rsidRPr="000D5C71" w14:paraId="35A19C9E" w14:textId="77777777" w:rsidTr="00ED094E">
        <w:tc>
          <w:tcPr>
            <w:tcW w:w="1980" w:type="dxa"/>
          </w:tcPr>
          <w:p w14:paraId="6BEF7595" w14:textId="4E272135" w:rsidR="000D5C71" w:rsidRPr="000D5C71" w:rsidRDefault="000D5C71" w:rsidP="000D5C71">
            <w:pPr>
              <w:pStyle w:val="TableText"/>
              <w:rPr>
                <w:rFonts w:asciiTheme="majorHAnsi" w:eastAsia="Verdana" w:hAnsiTheme="majorHAnsi"/>
                <w:szCs w:val="16"/>
              </w:rPr>
            </w:pPr>
            <w:r w:rsidRPr="000D5C71">
              <w:rPr>
                <w:rFonts w:asciiTheme="majorHAnsi" w:eastAsia="Verdana" w:hAnsiTheme="majorHAnsi"/>
                <w:szCs w:val="16"/>
              </w:rPr>
              <w:t xml:space="preserve">Regulatory depreciation </w:t>
            </w:r>
          </w:p>
        </w:tc>
        <w:tc>
          <w:tcPr>
            <w:tcW w:w="1258" w:type="dxa"/>
            <w:vAlign w:val="center"/>
          </w:tcPr>
          <w:p w14:paraId="5C7EBBEE"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0.1 </w:t>
            </w:r>
          </w:p>
        </w:tc>
        <w:tc>
          <w:tcPr>
            <w:tcW w:w="1258" w:type="dxa"/>
            <w:vAlign w:val="center"/>
          </w:tcPr>
          <w:p w14:paraId="04FC7B65"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0.1 </w:t>
            </w:r>
          </w:p>
        </w:tc>
        <w:tc>
          <w:tcPr>
            <w:tcW w:w="1258" w:type="dxa"/>
            <w:vAlign w:val="center"/>
          </w:tcPr>
          <w:p w14:paraId="651694AD"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0.1 </w:t>
            </w:r>
          </w:p>
        </w:tc>
        <w:tc>
          <w:tcPr>
            <w:tcW w:w="1258" w:type="dxa"/>
            <w:vAlign w:val="center"/>
          </w:tcPr>
          <w:p w14:paraId="2E529986"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0.2 </w:t>
            </w:r>
          </w:p>
        </w:tc>
        <w:tc>
          <w:tcPr>
            <w:tcW w:w="1258" w:type="dxa"/>
            <w:vAlign w:val="center"/>
          </w:tcPr>
          <w:p w14:paraId="31D87A01"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0.2 </w:t>
            </w:r>
          </w:p>
        </w:tc>
        <w:tc>
          <w:tcPr>
            <w:tcW w:w="1258" w:type="dxa"/>
            <w:vAlign w:val="center"/>
          </w:tcPr>
          <w:p w14:paraId="58CD4769"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0.2 </w:t>
            </w:r>
          </w:p>
        </w:tc>
        <w:tc>
          <w:tcPr>
            <w:tcW w:w="1258" w:type="dxa"/>
            <w:vAlign w:val="center"/>
          </w:tcPr>
          <w:p w14:paraId="5639792F"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0.2 </w:t>
            </w:r>
          </w:p>
        </w:tc>
        <w:tc>
          <w:tcPr>
            <w:tcW w:w="1258" w:type="dxa"/>
            <w:vAlign w:val="center"/>
          </w:tcPr>
          <w:p w14:paraId="75EAEB72"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0.2 </w:t>
            </w:r>
          </w:p>
        </w:tc>
        <w:tc>
          <w:tcPr>
            <w:tcW w:w="1258" w:type="dxa"/>
            <w:vAlign w:val="center"/>
          </w:tcPr>
          <w:p w14:paraId="5057596B"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0.2 </w:t>
            </w:r>
          </w:p>
        </w:tc>
        <w:tc>
          <w:tcPr>
            <w:tcW w:w="1258" w:type="dxa"/>
            <w:vAlign w:val="center"/>
          </w:tcPr>
          <w:p w14:paraId="420E3204"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xml:space="preserve"> 0.2 </w:t>
            </w:r>
          </w:p>
        </w:tc>
      </w:tr>
      <w:tr w:rsidR="0069661E" w:rsidRPr="000D5C71" w14:paraId="129B82AE" w14:textId="77777777" w:rsidTr="00B46F82">
        <w:trPr>
          <w:cnfStyle w:val="000000010000" w:firstRow="0" w:lastRow="0" w:firstColumn="0" w:lastColumn="0" w:oddVBand="0" w:evenVBand="0" w:oddHBand="0" w:evenHBand="1" w:firstRowFirstColumn="0" w:firstRowLastColumn="0" w:lastRowFirstColumn="0" w:lastRowLastColumn="0"/>
        </w:trPr>
        <w:tc>
          <w:tcPr>
            <w:tcW w:w="1980" w:type="dxa"/>
          </w:tcPr>
          <w:p w14:paraId="14023916" w14:textId="77777777" w:rsidR="000D5C71" w:rsidRPr="000D5C71" w:rsidRDefault="000D5C71" w:rsidP="000D5C71">
            <w:pPr>
              <w:pStyle w:val="TableText"/>
              <w:rPr>
                <w:rFonts w:asciiTheme="majorHAnsi" w:eastAsia="Verdana" w:hAnsiTheme="majorHAnsi"/>
                <w:szCs w:val="16"/>
              </w:rPr>
            </w:pPr>
            <w:r w:rsidRPr="000D5C71">
              <w:rPr>
                <w:rFonts w:asciiTheme="majorHAnsi" w:eastAsia="Verdana" w:hAnsiTheme="majorHAnsi"/>
                <w:szCs w:val="16"/>
              </w:rPr>
              <w:t xml:space="preserve">Tax </w:t>
            </w:r>
          </w:p>
        </w:tc>
        <w:tc>
          <w:tcPr>
            <w:tcW w:w="1258" w:type="dxa"/>
            <w:vAlign w:val="center"/>
          </w:tcPr>
          <w:p w14:paraId="3454B2BF"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w:t>
            </w:r>
          </w:p>
        </w:tc>
        <w:tc>
          <w:tcPr>
            <w:tcW w:w="1258" w:type="dxa"/>
            <w:vAlign w:val="center"/>
          </w:tcPr>
          <w:p w14:paraId="305A143E"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w:t>
            </w:r>
          </w:p>
        </w:tc>
        <w:tc>
          <w:tcPr>
            <w:tcW w:w="1258" w:type="dxa"/>
            <w:vAlign w:val="center"/>
          </w:tcPr>
          <w:p w14:paraId="0AC7539C"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w:t>
            </w:r>
          </w:p>
        </w:tc>
        <w:tc>
          <w:tcPr>
            <w:tcW w:w="1258" w:type="dxa"/>
            <w:vAlign w:val="center"/>
          </w:tcPr>
          <w:p w14:paraId="1BDF4D48"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w:t>
            </w:r>
          </w:p>
        </w:tc>
        <w:tc>
          <w:tcPr>
            <w:tcW w:w="1258" w:type="dxa"/>
            <w:vAlign w:val="center"/>
          </w:tcPr>
          <w:p w14:paraId="60A4932E"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w:t>
            </w:r>
          </w:p>
        </w:tc>
        <w:tc>
          <w:tcPr>
            <w:tcW w:w="1258" w:type="dxa"/>
            <w:vAlign w:val="center"/>
          </w:tcPr>
          <w:p w14:paraId="24AF2541"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w:t>
            </w:r>
          </w:p>
        </w:tc>
        <w:tc>
          <w:tcPr>
            <w:tcW w:w="1258" w:type="dxa"/>
            <w:vAlign w:val="center"/>
          </w:tcPr>
          <w:p w14:paraId="6E34E469"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w:t>
            </w:r>
          </w:p>
        </w:tc>
        <w:tc>
          <w:tcPr>
            <w:tcW w:w="1258" w:type="dxa"/>
            <w:vAlign w:val="center"/>
          </w:tcPr>
          <w:p w14:paraId="7E2B7A04"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w:t>
            </w:r>
          </w:p>
        </w:tc>
        <w:tc>
          <w:tcPr>
            <w:tcW w:w="1258" w:type="dxa"/>
            <w:vAlign w:val="center"/>
          </w:tcPr>
          <w:p w14:paraId="64F4DE9E"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w:t>
            </w:r>
          </w:p>
        </w:tc>
        <w:tc>
          <w:tcPr>
            <w:tcW w:w="1258" w:type="dxa"/>
            <w:vAlign w:val="center"/>
          </w:tcPr>
          <w:p w14:paraId="210D3448" w14:textId="77777777" w:rsidR="000D5C71" w:rsidRPr="000D5C71" w:rsidRDefault="000D5C71" w:rsidP="000D5C71">
            <w:pPr>
              <w:pStyle w:val="TableText"/>
              <w:rPr>
                <w:rFonts w:asciiTheme="majorHAnsi" w:eastAsia="Verdana" w:hAnsiTheme="majorHAnsi" w:cs="Verdana"/>
                <w:szCs w:val="16"/>
              </w:rPr>
            </w:pPr>
            <w:r w:rsidRPr="000D5C71">
              <w:rPr>
                <w:rFonts w:ascii="Verdana" w:hAnsi="Verdana" w:cs="Tahoma"/>
                <w:szCs w:val="16"/>
              </w:rPr>
              <w:t> </w:t>
            </w:r>
          </w:p>
        </w:tc>
      </w:tr>
      <w:tr w:rsidR="000D5C71" w:rsidRPr="000D5C71" w14:paraId="7F52DC53" w14:textId="77777777" w:rsidTr="00ED094E">
        <w:trPr>
          <w:trHeight w:val="255"/>
        </w:trPr>
        <w:tc>
          <w:tcPr>
            <w:tcW w:w="1980" w:type="dxa"/>
            <w:tcBorders>
              <w:bottom w:val="single" w:sz="4" w:space="0" w:color="231F20"/>
            </w:tcBorders>
          </w:tcPr>
          <w:p w14:paraId="72F0FC7D" w14:textId="77777777" w:rsidR="000D5C71" w:rsidRPr="000D5C71" w:rsidRDefault="000D5C71" w:rsidP="000D5C71">
            <w:pPr>
              <w:pStyle w:val="TableText"/>
              <w:rPr>
                <w:rFonts w:asciiTheme="majorHAnsi" w:eastAsia="Verdana" w:hAnsiTheme="majorHAnsi"/>
                <w:b/>
                <w:bCs/>
                <w:szCs w:val="16"/>
              </w:rPr>
            </w:pPr>
            <w:r w:rsidRPr="000D5C71">
              <w:rPr>
                <w:rFonts w:asciiTheme="majorHAnsi" w:eastAsia="Verdana" w:hAnsiTheme="majorHAnsi"/>
                <w:b/>
                <w:bCs/>
                <w:szCs w:val="16"/>
              </w:rPr>
              <w:t xml:space="preserve">Total </w:t>
            </w:r>
          </w:p>
        </w:tc>
        <w:tc>
          <w:tcPr>
            <w:tcW w:w="1258" w:type="dxa"/>
            <w:tcBorders>
              <w:bottom w:val="single" w:sz="4" w:space="0" w:color="231F20"/>
            </w:tcBorders>
            <w:vAlign w:val="center"/>
          </w:tcPr>
          <w:p w14:paraId="221338DB" w14:textId="77777777" w:rsidR="000D5C71" w:rsidRPr="000D5C71" w:rsidRDefault="000D5C71" w:rsidP="000D5C71">
            <w:pPr>
              <w:pStyle w:val="TableText"/>
              <w:rPr>
                <w:rFonts w:asciiTheme="majorHAnsi" w:eastAsia="Verdana" w:hAnsiTheme="majorHAnsi" w:cs="Verdana"/>
                <w:b/>
                <w:bCs/>
                <w:szCs w:val="16"/>
              </w:rPr>
            </w:pPr>
            <w:r w:rsidRPr="000D5C71">
              <w:rPr>
                <w:rFonts w:ascii="Verdana" w:hAnsi="Verdana" w:cs="Tahoma"/>
                <w:b/>
                <w:bCs/>
                <w:szCs w:val="16"/>
              </w:rPr>
              <w:t xml:space="preserve"> 1.6 </w:t>
            </w:r>
          </w:p>
        </w:tc>
        <w:tc>
          <w:tcPr>
            <w:tcW w:w="1258" w:type="dxa"/>
            <w:tcBorders>
              <w:bottom w:val="single" w:sz="4" w:space="0" w:color="231F20"/>
            </w:tcBorders>
            <w:vAlign w:val="center"/>
          </w:tcPr>
          <w:p w14:paraId="5678DD55" w14:textId="77777777" w:rsidR="000D5C71" w:rsidRPr="000D5C71" w:rsidRDefault="000D5C71" w:rsidP="000D5C71">
            <w:pPr>
              <w:pStyle w:val="TableText"/>
              <w:rPr>
                <w:rFonts w:asciiTheme="majorHAnsi" w:eastAsia="Verdana" w:hAnsiTheme="majorHAnsi" w:cs="Verdana"/>
                <w:b/>
                <w:bCs/>
                <w:szCs w:val="16"/>
              </w:rPr>
            </w:pPr>
            <w:r w:rsidRPr="000D5C71">
              <w:rPr>
                <w:rFonts w:ascii="Verdana" w:hAnsi="Verdana" w:cs="Tahoma"/>
                <w:b/>
                <w:bCs/>
                <w:szCs w:val="16"/>
              </w:rPr>
              <w:t xml:space="preserve"> 1.6 </w:t>
            </w:r>
          </w:p>
        </w:tc>
        <w:tc>
          <w:tcPr>
            <w:tcW w:w="1258" w:type="dxa"/>
            <w:tcBorders>
              <w:bottom w:val="single" w:sz="4" w:space="0" w:color="231F20"/>
            </w:tcBorders>
            <w:vAlign w:val="center"/>
          </w:tcPr>
          <w:p w14:paraId="75CFF36C" w14:textId="77777777" w:rsidR="000D5C71" w:rsidRPr="000D5C71" w:rsidRDefault="000D5C71" w:rsidP="000D5C71">
            <w:pPr>
              <w:pStyle w:val="TableText"/>
              <w:rPr>
                <w:rFonts w:asciiTheme="majorHAnsi" w:eastAsia="Verdana" w:hAnsiTheme="majorHAnsi" w:cs="Verdana"/>
                <w:b/>
                <w:bCs/>
                <w:szCs w:val="16"/>
              </w:rPr>
            </w:pPr>
            <w:r w:rsidRPr="000D5C71">
              <w:rPr>
                <w:rFonts w:ascii="Verdana" w:hAnsi="Verdana" w:cs="Tahoma"/>
                <w:b/>
                <w:bCs/>
                <w:szCs w:val="16"/>
              </w:rPr>
              <w:t xml:space="preserve"> 1.6 </w:t>
            </w:r>
          </w:p>
        </w:tc>
        <w:tc>
          <w:tcPr>
            <w:tcW w:w="1258" w:type="dxa"/>
            <w:tcBorders>
              <w:bottom w:val="single" w:sz="4" w:space="0" w:color="231F20"/>
            </w:tcBorders>
            <w:vAlign w:val="center"/>
          </w:tcPr>
          <w:p w14:paraId="45BA6581" w14:textId="77777777" w:rsidR="000D5C71" w:rsidRPr="000D5C71" w:rsidRDefault="000D5C71" w:rsidP="000D5C71">
            <w:pPr>
              <w:pStyle w:val="TableText"/>
              <w:rPr>
                <w:rFonts w:asciiTheme="majorHAnsi" w:eastAsia="Verdana" w:hAnsiTheme="majorHAnsi" w:cs="Verdana"/>
                <w:b/>
                <w:bCs/>
                <w:szCs w:val="16"/>
              </w:rPr>
            </w:pPr>
            <w:r w:rsidRPr="000D5C71">
              <w:rPr>
                <w:rFonts w:ascii="Verdana" w:hAnsi="Verdana" w:cs="Tahoma"/>
                <w:b/>
                <w:bCs/>
                <w:szCs w:val="16"/>
              </w:rPr>
              <w:t xml:space="preserve"> 1.6 </w:t>
            </w:r>
          </w:p>
        </w:tc>
        <w:tc>
          <w:tcPr>
            <w:tcW w:w="1258" w:type="dxa"/>
            <w:tcBorders>
              <w:bottom w:val="single" w:sz="4" w:space="0" w:color="231F20"/>
            </w:tcBorders>
            <w:vAlign w:val="center"/>
          </w:tcPr>
          <w:p w14:paraId="1AD4D5AA" w14:textId="77777777" w:rsidR="000D5C71" w:rsidRPr="000D5C71" w:rsidRDefault="000D5C71" w:rsidP="000D5C71">
            <w:pPr>
              <w:pStyle w:val="TableText"/>
              <w:rPr>
                <w:rFonts w:asciiTheme="majorHAnsi" w:eastAsia="Verdana" w:hAnsiTheme="majorHAnsi" w:cs="Verdana"/>
                <w:b/>
                <w:bCs/>
                <w:szCs w:val="16"/>
              </w:rPr>
            </w:pPr>
            <w:r w:rsidRPr="000D5C71">
              <w:rPr>
                <w:rFonts w:ascii="Verdana" w:hAnsi="Verdana" w:cs="Tahoma"/>
                <w:b/>
                <w:bCs/>
                <w:szCs w:val="16"/>
              </w:rPr>
              <w:t xml:space="preserve"> 1.7 </w:t>
            </w:r>
          </w:p>
        </w:tc>
        <w:tc>
          <w:tcPr>
            <w:tcW w:w="1258" w:type="dxa"/>
            <w:tcBorders>
              <w:bottom w:val="single" w:sz="4" w:space="0" w:color="231F20"/>
            </w:tcBorders>
            <w:vAlign w:val="center"/>
          </w:tcPr>
          <w:p w14:paraId="72159F64" w14:textId="77777777" w:rsidR="000D5C71" w:rsidRPr="000D5C71" w:rsidRDefault="000D5C71" w:rsidP="000D5C71">
            <w:pPr>
              <w:pStyle w:val="TableText"/>
              <w:rPr>
                <w:rFonts w:asciiTheme="majorHAnsi" w:eastAsia="Verdana" w:hAnsiTheme="majorHAnsi" w:cs="Verdana"/>
                <w:b/>
                <w:bCs/>
                <w:szCs w:val="16"/>
              </w:rPr>
            </w:pPr>
            <w:r w:rsidRPr="000D5C71">
              <w:rPr>
                <w:rFonts w:ascii="Verdana" w:hAnsi="Verdana" w:cs="Tahoma"/>
                <w:b/>
                <w:bCs/>
                <w:szCs w:val="16"/>
              </w:rPr>
              <w:t xml:space="preserve"> 1.7 </w:t>
            </w:r>
          </w:p>
        </w:tc>
        <w:tc>
          <w:tcPr>
            <w:tcW w:w="1258" w:type="dxa"/>
            <w:tcBorders>
              <w:bottom w:val="single" w:sz="4" w:space="0" w:color="231F20"/>
            </w:tcBorders>
            <w:vAlign w:val="center"/>
          </w:tcPr>
          <w:p w14:paraId="4290A7DA" w14:textId="77777777" w:rsidR="000D5C71" w:rsidRPr="000D5C71" w:rsidRDefault="000D5C71" w:rsidP="000D5C71">
            <w:pPr>
              <w:pStyle w:val="TableText"/>
              <w:rPr>
                <w:rFonts w:asciiTheme="majorHAnsi" w:eastAsia="Verdana" w:hAnsiTheme="majorHAnsi" w:cs="Verdana"/>
                <w:b/>
                <w:bCs/>
                <w:szCs w:val="16"/>
              </w:rPr>
            </w:pPr>
            <w:r w:rsidRPr="000D5C71">
              <w:rPr>
                <w:rFonts w:ascii="Verdana" w:hAnsi="Verdana" w:cs="Tahoma"/>
                <w:b/>
                <w:bCs/>
                <w:szCs w:val="16"/>
              </w:rPr>
              <w:t xml:space="preserve"> 1.7 </w:t>
            </w:r>
          </w:p>
        </w:tc>
        <w:tc>
          <w:tcPr>
            <w:tcW w:w="1258" w:type="dxa"/>
            <w:tcBorders>
              <w:bottom w:val="single" w:sz="4" w:space="0" w:color="231F20"/>
            </w:tcBorders>
            <w:vAlign w:val="center"/>
          </w:tcPr>
          <w:p w14:paraId="42843F05" w14:textId="77777777" w:rsidR="000D5C71" w:rsidRPr="000D5C71" w:rsidRDefault="000D5C71" w:rsidP="000D5C71">
            <w:pPr>
              <w:pStyle w:val="TableText"/>
              <w:rPr>
                <w:rFonts w:asciiTheme="majorHAnsi" w:eastAsia="Verdana" w:hAnsiTheme="majorHAnsi" w:cs="Verdana"/>
                <w:b/>
                <w:bCs/>
                <w:szCs w:val="16"/>
              </w:rPr>
            </w:pPr>
            <w:r w:rsidRPr="000D5C71">
              <w:rPr>
                <w:rFonts w:ascii="Verdana" w:hAnsi="Verdana" w:cs="Tahoma"/>
                <w:b/>
                <w:bCs/>
                <w:szCs w:val="16"/>
              </w:rPr>
              <w:t xml:space="preserve"> 1.7 </w:t>
            </w:r>
          </w:p>
        </w:tc>
        <w:tc>
          <w:tcPr>
            <w:tcW w:w="1258" w:type="dxa"/>
            <w:tcBorders>
              <w:bottom w:val="single" w:sz="4" w:space="0" w:color="231F20"/>
            </w:tcBorders>
            <w:vAlign w:val="center"/>
          </w:tcPr>
          <w:p w14:paraId="66728113" w14:textId="77777777" w:rsidR="000D5C71" w:rsidRPr="000D5C71" w:rsidRDefault="000D5C71" w:rsidP="000D5C71">
            <w:pPr>
              <w:pStyle w:val="TableText"/>
              <w:rPr>
                <w:rFonts w:asciiTheme="majorHAnsi" w:eastAsia="Verdana" w:hAnsiTheme="majorHAnsi" w:cs="Verdana"/>
                <w:b/>
                <w:bCs/>
                <w:szCs w:val="16"/>
              </w:rPr>
            </w:pPr>
            <w:r w:rsidRPr="000D5C71">
              <w:rPr>
                <w:rFonts w:ascii="Verdana" w:hAnsi="Verdana" w:cs="Tahoma"/>
                <w:b/>
                <w:bCs/>
                <w:szCs w:val="16"/>
              </w:rPr>
              <w:t xml:space="preserve"> 1.7 </w:t>
            </w:r>
          </w:p>
        </w:tc>
        <w:tc>
          <w:tcPr>
            <w:tcW w:w="1258" w:type="dxa"/>
            <w:tcBorders>
              <w:bottom w:val="single" w:sz="4" w:space="0" w:color="231F20"/>
            </w:tcBorders>
            <w:vAlign w:val="center"/>
          </w:tcPr>
          <w:p w14:paraId="51CEA312" w14:textId="77777777" w:rsidR="000D5C71" w:rsidRPr="000D5C71" w:rsidRDefault="000D5C71" w:rsidP="000D5C71">
            <w:pPr>
              <w:pStyle w:val="TableText"/>
              <w:rPr>
                <w:rFonts w:asciiTheme="majorHAnsi" w:eastAsia="Verdana" w:hAnsiTheme="majorHAnsi" w:cs="Verdana"/>
                <w:b/>
                <w:bCs/>
                <w:szCs w:val="16"/>
              </w:rPr>
            </w:pPr>
            <w:r w:rsidRPr="000D5C71">
              <w:rPr>
                <w:rFonts w:ascii="Verdana" w:hAnsi="Verdana" w:cs="Tahoma"/>
                <w:b/>
                <w:bCs/>
                <w:szCs w:val="16"/>
              </w:rPr>
              <w:t xml:space="preserve"> 1.8 </w:t>
            </w:r>
          </w:p>
        </w:tc>
      </w:tr>
    </w:tbl>
    <w:p w14:paraId="28DB66D9" w14:textId="77777777" w:rsidR="00046BD5" w:rsidRPr="00DE108C" w:rsidRDefault="00046BD5" w:rsidP="00ED094E">
      <w:pPr>
        <w:pStyle w:val="BodyText"/>
        <w:rPr>
          <w:lang w:eastAsia="fr-CA"/>
        </w:rPr>
      </w:pPr>
    </w:p>
    <w:p w14:paraId="04054EB4" w14:textId="77777777" w:rsidR="00046BD5" w:rsidRPr="00DE108C" w:rsidRDefault="00046BD5" w:rsidP="00ED094E">
      <w:pPr>
        <w:sectPr w:rsidR="00046BD5" w:rsidRPr="00DE108C" w:rsidSect="00046BD5">
          <w:pgSz w:w="16838" w:h="11906" w:orient="landscape" w:code="9"/>
          <w:pgMar w:top="1134" w:right="1134" w:bottom="1134" w:left="1134" w:header="567" w:footer="680" w:gutter="0"/>
          <w:cols w:space="708"/>
          <w:docGrid w:linePitch="360"/>
        </w:sectPr>
      </w:pPr>
    </w:p>
    <w:bookmarkStart w:id="976" w:name="_Toc190876184"/>
    <w:bookmarkStart w:id="977" w:name="_Toc196745285"/>
    <w:bookmarkStart w:id="978" w:name="_Toc199757806"/>
    <w:bookmarkStart w:id="979" w:name="_Toc207892926"/>
    <w:bookmarkStart w:id="980" w:name="_Toc207853419"/>
    <w:bookmarkStart w:id="981" w:name="_Toc210229043"/>
    <w:p w14:paraId="5AA907E3" w14:textId="0D070055" w:rsidR="00046BD5" w:rsidRPr="00DE108C" w:rsidRDefault="005D47BE">
      <w:pPr>
        <w:pStyle w:val="Heading1"/>
        <w:rPr>
          <w:b w:val="0"/>
          <w:sz w:val="76"/>
          <w:szCs w:val="76"/>
        </w:rPr>
      </w:pPr>
      <w:r>
        <w:rPr>
          <w:noProof/>
        </w:rPr>
        <w:lastRenderedPageBreak/>
        <mc:AlternateContent>
          <mc:Choice Requires="wps">
            <w:drawing>
              <wp:anchor distT="45720" distB="45720" distL="114300" distR="114300" simplePos="0" relativeHeight="251658273" behindDoc="0" locked="0" layoutInCell="1" allowOverlap="1" wp14:anchorId="5C57765D" wp14:editId="265256A7">
                <wp:simplePos x="0" y="0"/>
                <wp:positionH relativeFrom="margin">
                  <wp:posOffset>0</wp:posOffset>
                </wp:positionH>
                <wp:positionV relativeFrom="margin">
                  <wp:posOffset>0</wp:posOffset>
                </wp:positionV>
                <wp:extent cx="4122000" cy="2192400"/>
                <wp:effectExtent l="0" t="0" r="0" b="0"/>
                <wp:wrapSquare wrapText="bothSides"/>
                <wp:docPr id="969084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000" cy="2192400"/>
                        </a:xfrm>
                        <a:prstGeom prst="rect">
                          <a:avLst/>
                        </a:prstGeom>
                        <a:noFill/>
                        <a:ln w="9525">
                          <a:noFill/>
                          <a:miter lim="800000"/>
                          <a:headEnd/>
                          <a:tailEnd/>
                        </a:ln>
                      </wps:spPr>
                      <wps:txbx>
                        <w:txbxContent>
                          <w:p w14:paraId="6E2A59C4" w14:textId="2F017FB4" w:rsidR="005D47BE" w:rsidRPr="00FA4200" w:rsidRDefault="005D47BE" w:rsidP="005D47BE">
                            <w:pPr>
                              <w:rPr>
                                <w:color w:val="FFFFFF" w:themeColor="background1"/>
                                <w:sz w:val="80"/>
                                <w:szCs w:val="80"/>
                              </w:rPr>
                            </w:pPr>
                            <w:r>
                              <w:rPr>
                                <w:color w:val="FFFFFF" w:themeColor="background1"/>
                                <w:sz w:val="80"/>
                                <w:szCs w:val="80"/>
                              </w:rPr>
                              <w:t>Demand forecasts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7765D" id="_x0000_s1052" type="#_x0000_t202" style="position:absolute;margin-left:0;margin-top:0;width:324.55pt;height:172.65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" filled="f" stroked="f">
                <v:textbox>
                  <w:txbxContent>
                    <w:p w14:paraId="6E2A59C4" w14:textId="2F017FB4" w:rsidR="005D47BE" w:rsidRPr="00FA4200" w:rsidRDefault="005D47BE" w:rsidP="005D47BE">
                      <w:pPr>
                        <w:rPr>
                          <w:color w:val="FFFFFF" w:themeColor="background1"/>
                          <w:sz w:val="80"/>
                          <w:szCs w:val="80"/>
                        </w:rPr>
                      </w:pPr>
                      <w:r>
                        <w:rPr>
                          <w:color w:val="FFFFFF" w:themeColor="background1"/>
                          <w:sz w:val="80"/>
                          <w:szCs w:val="80"/>
                        </w:rPr>
                        <w:t>Demand forecasts</w:t>
                      </w:r>
                    </w:p>
                  </w:txbxContent>
                </v:textbox>
                <w10:wrap type="square" anchorx="margin" anchory="margin"/>
              </v:shape>
            </w:pict>
          </mc:Fallback>
        </mc:AlternateContent>
      </w:r>
      <w:r w:rsidR="001F3F67" w:rsidRPr="00DE108C">
        <w:rPr>
          <w:b w:val="0"/>
          <w:bCs w:val="0"/>
          <w:noProof/>
          <w:color w:val="FFFFFF" w:themeColor="background1"/>
          <w:sz w:val="76"/>
          <w:szCs w:val="76"/>
        </w:rPr>
        <w:drawing>
          <wp:anchor distT="0" distB="0" distL="114300" distR="114300" simplePos="0" relativeHeight="251658266" behindDoc="0" locked="1" layoutInCell="1" allowOverlap="1" wp14:anchorId="60201B86" wp14:editId="1C9B8623">
            <wp:simplePos x="0" y="0"/>
            <wp:positionH relativeFrom="page">
              <wp:align>left</wp:align>
            </wp:positionH>
            <wp:positionV relativeFrom="page">
              <wp:posOffset>635</wp:posOffset>
            </wp:positionV>
            <wp:extent cx="7628255" cy="10781665"/>
            <wp:effectExtent l="0" t="0" r="0" b="635"/>
            <wp:wrapNone/>
            <wp:docPr id="110190228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02280" name="Picture 8">
                      <a:extLst>
                        <a:ext uri="{C183D7F6-B498-43B3-948B-1728B52AA6E4}">
                          <adec:decorative xmlns:adec="http://schemas.microsoft.com/office/drawing/2017/decorative" val="1"/>
                        </a:ext>
                      </a:extLst>
                    </pic:cNvPr>
                    <pic:cNvPicPr/>
                  </pic:nvPicPr>
                  <pic:blipFill>
                    <a:blip r:embed="rId108" cstate="email">
                      <a:extLst>
                        <a:ext uri="{28A0092B-C50C-407E-A947-70E740481C1C}">
                          <a14:useLocalDpi xmlns:a14="http://schemas.microsoft.com/office/drawing/2010/main"/>
                        </a:ext>
                      </a:extLst>
                    </a:blip>
                    <a:stretch>
                      <a:fillRect/>
                    </a:stretch>
                  </pic:blipFill>
                  <pic:spPr>
                    <a:xfrm>
                      <a:off x="0" y="0"/>
                      <a:ext cx="7628255" cy="10781665"/>
                    </a:xfrm>
                    <a:prstGeom prst="rect">
                      <a:avLst/>
                    </a:prstGeom>
                  </pic:spPr>
                </pic:pic>
              </a:graphicData>
            </a:graphic>
            <wp14:sizeRelH relativeFrom="page">
              <wp14:pctWidth>0</wp14:pctWidth>
            </wp14:sizeRelH>
            <wp14:sizeRelV relativeFrom="page">
              <wp14:pctHeight>0</wp14:pctHeight>
            </wp14:sizeRelV>
          </wp:anchor>
        </w:drawing>
      </w:r>
      <w:r w:rsidR="00046BD5" w:rsidRPr="00DE108C">
        <w:rPr>
          <w:b w:val="0"/>
          <w:color w:val="FFFFFF" w:themeColor="background1"/>
          <w:sz w:val="76"/>
          <w:szCs w:val="76"/>
        </w:rPr>
        <w:t>10. Demand forecasts</w:t>
      </w:r>
      <w:bookmarkEnd w:id="976"/>
      <w:bookmarkEnd w:id="977"/>
      <w:bookmarkEnd w:id="978"/>
      <w:bookmarkEnd w:id="979"/>
      <w:bookmarkEnd w:id="980"/>
      <w:bookmarkEnd w:id="981"/>
    </w:p>
    <w:p w14:paraId="21A067A8" w14:textId="77777777" w:rsidR="00046BD5" w:rsidRPr="00DE108C" w:rsidRDefault="00046BD5">
      <w:r w:rsidRPr="00DE108C">
        <w:br w:type="page"/>
      </w:r>
    </w:p>
    <w:p w14:paraId="21B569DB" w14:textId="77777777" w:rsidR="00046BD5" w:rsidRPr="00DE108C" w:rsidRDefault="00046BD5" w:rsidP="001F6530">
      <w:pPr>
        <w:pStyle w:val="HighlightBoxHeading"/>
      </w:pPr>
      <w:r w:rsidRPr="00DE108C">
        <w:lastRenderedPageBreak/>
        <w:t>In summary</w:t>
      </w:r>
    </w:p>
    <w:p w14:paraId="47AAB785" w14:textId="7DFCC181" w:rsidR="00046BD5" w:rsidRPr="00DE108C" w:rsidRDefault="00046BD5" w:rsidP="001F6530">
      <w:pPr>
        <w:pStyle w:val="HighlightBoxBullet"/>
      </w:pPr>
      <w:r w:rsidRPr="00DE108C">
        <w:t xml:space="preserve">Demand forecasts are based on growth projections </w:t>
      </w:r>
      <w:r w:rsidR="002D1321">
        <w:t>consistent with data provided by the Victorian Government</w:t>
      </w:r>
      <w:r w:rsidRPr="00DE108C">
        <w:t xml:space="preserve">. </w:t>
      </w:r>
    </w:p>
    <w:p w14:paraId="7B4F55A9" w14:textId="006D18D1" w:rsidR="00046BD5" w:rsidRPr="00DE108C" w:rsidRDefault="00046BD5" w:rsidP="001F6530">
      <w:pPr>
        <w:pStyle w:val="HighlightBoxBullet"/>
      </w:pPr>
      <w:r w:rsidRPr="00DE108C">
        <w:t xml:space="preserve">Our demand forecasts have been developed using models that have been iterated since the last 2021 </w:t>
      </w:r>
      <w:r w:rsidR="70494FC1">
        <w:t>P</w:t>
      </w:r>
      <w:r w:rsidR="6DAF76C1">
        <w:t>rice</w:t>
      </w:r>
      <w:r w:rsidRPr="00DE108C">
        <w:t xml:space="preserve"> </w:t>
      </w:r>
      <w:r w:rsidR="61F77197">
        <w:t>S</w:t>
      </w:r>
      <w:r w:rsidR="6DAF76C1">
        <w:t>ubmission.</w:t>
      </w:r>
      <w:r w:rsidRPr="00DE108C">
        <w:t xml:space="preserve"> These forecasts use inputs from our bulk water and sewerage customers, as well as our own modelling of historic trends. </w:t>
      </w:r>
    </w:p>
    <w:p w14:paraId="2D962743" w14:textId="77777777" w:rsidR="00046BD5" w:rsidRPr="00DE108C" w:rsidRDefault="00046BD5" w:rsidP="001F6530">
      <w:pPr>
        <w:pStyle w:val="HighlightBoxBullet"/>
      </w:pPr>
      <w:r w:rsidRPr="00DE108C">
        <w:t>Over the 2026-31 regulatory period we are forecasting that customer (property) growth will be 2.01 per cent per annum. This will see a bulk water demand grow by 0.80 per cent per annum, and bulk sewage grow by 0.54 per cent per annum.</w:t>
      </w:r>
    </w:p>
    <w:p w14:paraId="746CFA59" w14:textId="47193310" w:rsidR="00046BD5" w:rsidRPr="00DE108C" w:rsidRDefault="00046BD5" w:rsidP="00ED094E">
      <w:r w:rsidRPr="00DE108C">
        <w:t xml:space="preserve">Demand forecasts are central to our </w:t>
      </w:r>
      <w:r w:rsidR="1D526776">
        <w:t>P</w:t>
      </w:r>
      <w:r w:rsidR="6DAF76C1">
        <w:t>rice</w:t>
      </w:r>
      <w:r w:rsidRPr="00DE108C">
        <w:t xml:space="preserve"> </w:t>
      </w:r>
      <w:r w:rsidR="2B60B5EC">
        <w:t>S</w:t>
      </w:r>
      <w:r w:rsidR="6DAF76C1">
        <w:t>ubmission</w:t>
      </w:r>
      <w:r w:rsidRPr="00DE108C">
        <w:t xml:space="preserve">, as they are used to set prices and inform operating costs and the timing of prudent infrastructure investments and operating costs. We have taken on the feedback we received during our </w:t>
      </w:r>
      <w:r w:rsidR="5A57E923">
        <w:t>PS21</w:t>
      </w:r>
      <w:r w:rsidRPr="00DE108C">
        <w:t xml:space="preserve"> process to increase the robustness of our demand forecasts, particularly for sewage flow and loads. Demand forecasts are Melbourne Water’s best estimates, and supporting information is available to justify the assumptions and methodologies used.</w:t>
      </w:r>
    </w:p>
    <w:p w14:paraId="13CD0D57" w14:textId="13344DE2" w:rsidR="00046BD5" w:rsidRPr="00DE108C" w:rsidRDefault="00046BD5" w:rsidP="00ED094E">
      <w:r w:rsidRPr="00DE108C">
        <w:t xml:space="preserve">The COVID-19 pandemic presented an atypical level of uncertainty for our 2021 </w:t>
      </w:r>
      <w:r w:rsidR="22F75738">
        <w:t>P</w:t>
      </w:r>
      <w:r>
        <w:t xml:space="preserve">rice </w:t>
      </w:r>
      <w:r w:rsidR="305BD674">
        <w:t>S</w:t>
      </w:r>
      <w:r>
        <w:t>ubmission</w:t>
      </w:r>
      <w:r w:rsidR="0CF6F72E">
        <w:t>,</w:t>
      </w:r>
      <w:r w:rsidRPr="00DE108C">
        <w:t xml:space="preserve"> including demand forecasting and associated investment in service capacity, particularly sewerage, and we sought to avoid pushing COVID-19 risks onto our customers. Our expenditure proposal responds to growth drivers where we’ve seen demands exceed forecasts following the pandemic resulting in service deficit and deteriorating service performance.</w:t>
      </w:r>
    </w:p>
    <w:p w14:paraId="3C857063" w14:textId="77777777" w:rsidR="00046BD5" w:rsidRPr="00DE108C" w:rsidRDefault="00046BD5" w:rsidP="00ED094E">
      <w:r w:rsidRPr="00DE108C">
        <w:t>These key forecasts are discussed further below at a summary level and the demand forecasting approach and methodologies, comparisons of forecast against historical actual demand and final demand forecasts are detailed in our Demand Supplement, along with key reference documents that are available upon request.</w:t>
      </w:r>
    </w:p>
    <w:p w14:paraId="66355F21" w14:textId="77777777" w:rsidR="00046BD5" w:rsidRPr="00DE108C" w:rsidRDefault="00046BD5" w:rsidP="00ED094E"/>
    <w:p w14:paraId="288F54AC" w14:textId="77777777" w:rsidR="00046BD5" w:rsidRPr="00DE108C" w:rsidRDefault="00046BD5">
      <w:pPr>
        <w:pStyle w:val="Heading2"/>
      </w:pPr>
      <w:bookmarkStart w:id="982" w:name="_Toc196745286"/>
      <w:bookmarkStart w:id="983" w:name="_Toc207892927"/>
      <w:bookmarkStart w:id="984" w:name="_Toc207853420"/>
      <w:r w:rsidRPr="00DE108C">
        <w:t>10.1 Approach to forecasting</w:t>
      </w:r>
      <w:bookmarkEnd w:id="982"/>
      <w:bookmarkEnd w:id="983"/>
      <w:bookmarkEnd w:id="984"/>
    </w:p>
    <w:p w14:paraId="1DB0229A" w14:textId="1EBC7A46" w:rsidR="00046BD5" w:rsidRPr="00DE108C" w:rsidRDefault="00046BD5" w:rsidP="00ED094E">
      <w:r w:rsidRPr="00DE108C">
        <w:t xml:space="preserve">We undertook a robust demand forecasting approach for </w:t>
      </w:r>
      <w:r>
        <w:t>PS26</w:t>
      </w:r>
      <w:r w:rsidRPr="00DE108C">
        <w:t xml:space="preserve"> that was tailored to each of our three major program areas. Growth forecasts for each service are either underpinned by or aligned </w:t>
      </w:r>
      <w:r w:rsidR="005224DE">
        <w:t>to data provided by the Victorian Government</w:t>
      </w:r>
      <w:r w:rsidRPr="00DE108C">
        <w:t xml:space="preserve">. These projections have been supplied by the Department of Transport and Planning (DTP) and are based on unpublished internal DTP modelling. DTP is the agency responsible for the development of the official state government population projections, which incorporate the latest population estimates, evidence </w:t>
      </w:r>
      <w:r w:rsidR="00E56B3A" w:rsidRPr="00DE108C">
        <w:t>from</w:t>
      </w:r>
      <w:r w:rsidRPr="00DE108C">
        <w:t xml:space="preserve"> the latest Census </w:t>
      </w:r>
      <w:r w:rsidR="46170828">
        <w:t xml:space="preserve">and </w:t>
      </w:r>
      <w:r w:rsidRPr="00DE108C">
        <w:t>assumptions regarding future births, deaths, migration and local development trends. These are the latest available forecasts provided by the Victorian Government.</w:t>
      </w:r>
    </w:p>
    <w:p w14:paraId="092C38CD" w14:textId="7D422366" w:rsidR="00046BD5" w:rsidRPr="00DE108C" w:rsidRDefault="00046BD5" w:rsidP="00ED094E">
      <w:r w:rsidRPr="00DE108C">
        <w:t xml:space="preserve">As outlined in </w:t>
      </w:r>
      <w:r w:rsidR="00A84CF0">
        <w:t>Chapter</w:t>
      </w:r>
      <w:r w:rsidRPr="00DE108C">
        <w:t xml:space="preserve"> 5</w:t>
      </w:r>
      <w:r w:rsidR="646980FB">
        <w:t xml:space="preserve"> (Risk)</w:t>
      </w:r>
      <w:r>
        <w:t>,</w:t>
      </w:r>
      <w:r w:rsidRPr="00DE108C">
        <w:t xml:space="preserve"> and consistent with the ESC’s Guidance, our demand forecasts are based on average climatic conditions and Melbourne Water accepts financial risk during the regulatory period of changes in water usage and rainfall events that result in changes in water demand or sewage flows.</w:t>
      </w:r>
    </w:p>
    <w:p w14:paraId="008BD590" w14:textId="34C170C5" w:rsidR="00046BD5" w:rsidRPr="00DE108C" w:rsidRDefault="00046BD5" w:rsidP="00ED094E">
      <w:r w:rsidRPr="00DE108C">
        <w:t xml:space="preserve">Our forecasts use different inputs in their forecasting methodology but are aligned with </w:t>
      </w:r>
      <w:r w:rsidR="005224DE">
        <w:t>data provided by the Victorian Government</w:t>
      </w:r>
      <w:r w:rsidRPr="00DE108C">
        <w:t xml:space="preserve">. A high-level summary of the key demand forecasts for each service and how they align with </w:t>
      </w:r>
      <w:r w:rsidR="005224DE">
        <w:t>Victorian Government data</w:t>
      </w:r>
      <w:r w:rsidRPr="00DE108C">
        <w:t xml:space="preserve"> is shown in Table 10.1. </w:t>
      </w:r>
    </w:p>
    <w:p w14:paraId="0F8C9490" w14:textId="20CAED9B" w:rsidR="00046BD5" w:rsidRPr="00DE108C" w:rsidRDefault="00046BD5" w:rsidP="00ED094E">
      <w:r w:rsidRPr="00DE108C">
        <w:lastRenderedPageBreak/>
        <w:t xml:space="preserve">We also engaged an independent advisor to conduct a </w:t>
      </w:r>
      <w:r>
        <w:t>multi</w:t>
      </w:r>
      <w:r w:rsidR="682F0ED9">
        <w:t>-</w:t>
      </w:r>
      <w:r>
        <w:t>stage</w:t>
      </w:r>
      <w:r w:rsidRPr="00DE108C">
        <w:t xml:space="preserve"> review to test and challenge the demand forecasting process and underlying assumptions. Material improvements to the transparency and quality of supporting data were made following these reviews and a number of key assumptions were either revisited or amended.</w:t>
      </w:r>
    </w:p>
    <w:p w14:paraId="1F2C01FA" w14:textId="77777777" w:rsidR="00046BD5" w:rsidRPr="00DE108C" w:rsidRDefault="00046BD5">
      <w:pPr>
        <w:pStyle w:val="Caption"/>
      </w:pPr>
      <w:bookmarkStart w:id="985" w:name="_Ref202971522"/>
      <w:bookmarkStart w:id="986" w:name="_Toc207893091"/>
      <w:bookmarkStart w:id="987" w:name="_Toc208490615"/>
      <w:bookmarkStart w:id="988" w:name="_Toc208490953"/>
      <w:bookmarkStart w:id="989" w:name="_Toc208911111"/>
      <w:bookmarkStart w:id="990" w:name="_Toc210051417"/>
      <w:r w:rsidRPr="00DE108C">
        <w:t>Table 10.1</w:t>
      </w:r>
      <w:bookmarkEnd w:id="985"/>
      <w:r w:rsidRPr="00DE108C">
        <w:t>: Summary of key demand forecasts</w:t>
      </w:r>
      <w:bookmarkEnd w:id="986"/>
      <w:bookmarkEnd w:id="987"/>
      <w:bookmarkEnd w:id="988"/>
      <w:bookmarkEnd w:id="989"/>
      <w:bookmarkEnd w:id="990"/>
      <w:r w:rsidRPr="00DE108C">
        <w:t xml:space="preserve"> </w:t>
      </w:r>
    </w:p>
    <w:tbl>
      <w:tblPr>
        <w:tblStyle w:val="MWTableGrid"/>
        <w:tblW w:w="5000" w:type="pct"/>
        <w:tblLayout w:type="fixed"/>
        <w:tblLook w:val="0420" w:firstRow="1" w:lastRow="0" w:firstColumn="0" w:lastColumn="0" w:noHBand="0" w:noVBand="1"/>
      </w:tblPr>
      <w:tblGrid>
        <w:gridCol w:w="2122"/>
        <w:gridCol w:w="7506"/>
      </w:tblGrid>
      <w:tr w:rsidR="005B2F07" w:rsidRPr="00DE108C" w14:paraId="79E8BA3C" w14:textId="77777777">
        <w:trPr>
          <w:cnfStyle w:val="100000000000" w:firstRow="1" w:lastRow="0" w:firstColumn="0" w:lastColumn="0" w:oddVBand="0" w:evenVBand="0" w:oddHBand="0" w:evenHBand="0" w:firstRowFirstColumn="0" w:firstRowLastColumn="0" w:lastRowFirstColumn="0" w:lastRowLastColumn="0"/>
          <w:cantSplit/>
        </w:trPr>
        <w:tc>
          <w:tcPr>
            <w:tcW w:w="1102" w:type="pct"/>
          </w:tcPr>
          <w:p w14:paraId="7654927F" w14:textId="77777777" w:rsidR="00046BD5" w:rsidRPr="00DE108C" w:rsidRDefault="00046BD5">
            <w:pPr>
              <w:pStyle w:val="TableHeading"/>
            </w:pPr>
            <w:r w:rsidRPr="00DE108C">
              <w:t>Program area</w:t>
            </w:r>
          </w:p>
        </w:tc>
        <w:tc>
          <w:tcPr>
            <w:tcW w:w="3898" w:type="pct"/>
          </w:tcPr>
          <w:p w14:paraId="2584FCF3" w14:textId="77777777" w:rsidR="00046BD5" w:rsidRPr="00DE108C" w:rsidRDefault="00046BD5">
            <w:pPr>
              <w:pStyle w:val="TableHeading"/>
            </w:pPr>
            <w:r w:rsidRPr="00DE108C">
              <w:t>Alignment with Unpublished Victorian Government Projections, 2025</w:t>
            </w:r>
          </w:p>
        </w:tc>
      </w:tr>
      <w:tr w:rsidR="00046BD5" w:rsidRPr="00DE108C" w14:paraId="480500CB" w14:textId="77777777">
        <w:trPr>
          <w:cantSplit/>
        </w:trPr>
        <w:tc>
          <w:tcPr>
            <w:tcW w:w="1102" w:type="pct"/>
          </w:tcPr>
          <w:p w14:paraId="703D8655" w14:textId="77777777" w:rsidR="00046BD5" w:rsidRPr="00DE108C" w:rsidRDefault="00046BD5">
            <w:pPr>
              <w:pStyle w:val="TableText"/>
            </w:pPr>
            <w:r w:rsidRPr="00DE108C">
              <w:t>Waterways and drainage</w:t>
            </w:r>
          </w:p>
        </w:tc>
        <w:tc>
          <w:tcPr>
            <w:tcW w:w="3898" w:type="pct"/>
          </w:tcPr>
          <w:p w14:paraId="03575282" w14:textId="699DA728" w:rsidR="00046BD5" w:rsidRPr="00DE108C" w:rsidRDefault="00046BD5">
            <w:pPr>
              <w:pStyle w:val="TableText"/>
            </w:pPr>
            <w:r w:rsidRPr="00DE108C">
              <w:t>Residential waterways and drainage forecasts are based on dwelling forecast</w:t>
            </w:r>
            <w:r w:rsidR="00194183">
              <w:t xml:space="preserve"> data provided by the Victorian Government.</w:t>
            </w:r>
            <w:r w:rsidRPr="00DE108C">
              <w:t>.</w:t>
            </w:r>
          </w:p>
        </w:tc>
      </w:tr>
      <w:tr w:rsidR="005B2F07" w:rsidRPr="00DE108C" w14:paraId="71208D04" w14:textId="77777777">
        <w:trPr>
          <w:cnfStyle w:val="000000010000" w:firstRow="0" w:lastRow="0" w:firstColumn="0" w:lastColumn="0" w:oddVBand="0" w:evenVBand="0" w:oddHBand="0" w:evenHBand="1" w:firstRowFirstColumn="0" w:firstRowLastColumn="0" w:lastRowFirstColumn="0" w:lastRowLastColumn="0"/>
          <w:cantSplit/>
        </w:trPr>
        <w:tc>
          <w:tcPr>
            <w:tcW w:w="1102" w:type="pct"/>
          </w:tcPr>
          <w:p w14:paraId="02FC5519" w14:textId="77777777" w:rsidR="00046BD5" w:rsidRPr="00DE108C" w:rsidRDefault="00046BD5">
            <w:pPr>
              <w:pStyle w:val="TableText"/>
            </w:pPr>
            <w:r w:rsidRPr="00DE108C">
              <w:t>Bulk water</w:t>
            </w:r>
          </w:p>
        </w:tc>
        <w:tc>
          <w:tcPr>
            <w:tcW w:w="3898" w:type="pct"/>
          </w:tcPr>
          <w:p w14:paraId="25596265" w14:textId="4632100B" w:rsidR="00046BD5" w:rsidRPr="00DE108C" w:rsidRDefault="00046BD5">
            <w:pPr>
              <w:pStyle w:val="TableText"/>
            </w:pPr>
            <w:r w:rsidRPr="00DE108C">
              <w:t xml:space="preserve">Bulk water demand forecasts are compiled from demand forecasts of water corporations </w:t>
            </w:r>
            <w:r w:rsidR="00E56B3A" w:rsidRPr="00DE108C">
              <w:t>that</w:t>
            </w:r>
            <w:r w:rsidRPr="00DE108C">
              <w:t xml:space="preserve"> are connected to the Melbourne system which use population and dwelling forecasts</w:t>
            </w:r>
            <w:r w:rsidR="00F429EC">
              <w:t xml:space="preserve"> provided by the Victorian Government</w:t>
            </w:r>
            <w:r w:rsidRPr="00DE108C">
              <w:t xml:space="preserve"> as inputs to their forecasting models.</w:t>
            </w:r>
          </w:p>
        </w:tc>
      </w:tr>
      <w:tr w:rsidR="00046BD5" w:rsidRPr="00DE108C" w14:paraId="0F1D5EAF" w14:textId="77777777">
        <w:trPr>
          <w:cantSplit/>
        </w:trPr>
        <w:tc>
          <w:tcPr>
            <w:tcW w:w="1102" w:type="pct"/>
          </w:tcPr>
          <w:p w14:paraId="08CEB882" w14:textId="77777777" w:rsidR="00046BD5" w:rsidRPr="00DE108C" w:rsidRDefault="00046BD5">
            <w:pPr>
              <w:pStyle w:val="TableText"/>
            </w:pPr>
            <w:r w:rsidRPr="00DE108C">
              <w:t>Sewage demand</w:t>
            </w:r>
          </w:p>
        </w:tc>
        <w:tc>
          <w:tcPr>
            <w:tcW w:w="3898" w:type="pct"/>
          </w:tcPr>
          <w:p w14:paraId="7D8915FC" w14:textId="3429BBE1" w:rsidR="00046BD5" w:rsidRPr="00DE108C" w:rsidRDefault="00046BD5">
            <w:pPr>
              <w:pStyle w:val="TableText"/>
            </w:pPr>
            <w:r w:rsidRPr="00DE108C">
              <w:t>Sewage demand forecasts use population forecasts</w:t>
            </w:r>
            <w:r w:rsidR="00F429EC">
              <w:t xml:space="preserve"> provided by the Victorian Government</w:t>
            </w:r>
            <w:r w:rsidRPr="00DE108C">
              <w:t xml:space="preserve"> as inputs to the bulk sewage demand forecasting model.</w:t>
            </w:r>
          </w:p>
        </w:tc>
      </w:tr>
      <w:tr w:rsidR="005B2F07" w:rsidRPr="00DE108C" w14:paraId="741DA6DB" w14:textId="77777777">
        <w:trPr>
          <w:cnfStyle w:val="000000010000" w:firstRow="0" w:lastRow="0" w:firstColumn="0" w:lastColumn="0" w:oddVBand="0" w:evenVBand="0" w:oddHBand="0" w:evenHBand="1" w:firstRowFirstColumn="0" w:firstRowLastColumn="0" w:lastRowFirstColumn="0" w:lastRowLastColumn="0"/>
          <w:cantSplit/>
        </w:trPr>
        <w:tc>
          <w:tcPr>
            <w:tcW w:w="1102" w:type="pct"/>
          </w:tcPr>
          <w:p w14:paraId="74C6160B" w14:textId="77777777" w:rsidR="00046BD5" w:rsidRPr="00DE108C" w:rsidRDefault="00046BD5">
            <w:pPr>
              <w:pStyle w:val="TableText"/>
            </w:pPr>
            <w:r w:rsidRPr="00DE108C">
              <w:t>Developer contributions</w:t>
            </w:r>
          </w:p>
        </w:tc>
        <w:tc>
          <w:tcPr>
            <w:tcW w:w="3898" w:type="pct"/>
          </w:tcPr>
          <w:p w14:paraId="6E48A638" w14:textId="77777777" w:rsidR="00046BD5" w:rsidRPr="00DE108C" w:rsidRDefault="00046BD5">
            <w:pPr>
              <w:pStyle w:val="TableText"/>
            </w:pPr>
            <w:r w:rsidRPr="00DE108C">
              <w:t>Developer contributions were developed by SGS Economics and Planning distributed across geographical areas and are based on SGS Economics and Planning’s own internal forecasting model drawing upon data that is publicly available.</w:t>
            </w:r>
          </w:p>
        </w:tc>
      </w:tr>
    </w:tbl>
    <w:p w14:paraId="30970AC8" w14:textId="77777777" w:rsidR="00046BD5" w:rsidRPr="00DE108C" w:rsidRDefault="00046BD5" w:rsidP="00ED094E">
      <w:bookmarkStart w:id="991" w:name="_Toc196745287"/>
    </w:p>
    <w:p w14:paraId="2D8571CD" w14:textId="77777777" w:rsidR="00046BD5" w:rsidRPr="00DE108C" w:rsidRDefault="00046BD5">
      <w:pPr>
        <w:pStyle w:val="Heading3"/>
      </w:pPr>
      <w:r w:rsidRPr="00DE108C">
        <w:t>10.1.1 Considerations of price elasticity</w:t>
      </w:r>
      <w:bookmarkEnd w:id="991"/>
    </w:p>
    <w:p w14:paraId="736B8276" w14:textId="4B7DA536" w:rsidR="00046BD5" w:rsidRPr="00DE108C" w:rsidRDefault="00046BD5" w:rsidP="00ED094E">
      <w:r w:rsidRPr="00DE108C">
        <w:t>Previous studies indicate that price elasticity of demand is relatively inelastic for water (and sewage) services – levels of consumption do not vary materially as price goes up or down. For example, a previous Sydney Water study estimated that a 10 per cent price increase would lead to a 1 per cent decrease in residential water demand.</w:t>
      </w:r>
      <w:r w:rsidRPr="00DE108C">
        <w:rPr>
          <w:rStyle w:val="FootnoteReference"/>
          <w:sz w:val="22"/>
          <w:szCs w:val="22"/>
        </w:rPr>
        <w:footnoteReference w:id="26"/>
      </w:r>
    </w:p>
    <w:p w14:paraId="7D3460AD" w14:textId="77777777" w:rsidR="00A5565B" w:rsidRPr="00DE108C" w:rsidRDefault="00046BD5" w:rsidP="00ED094E">
      <w:r w:rsidRPr="00DE108C">
        <w:t xml:space="preserve">Consistent with our approach to PS21, we have not added any elasticity response to our forecast for the following reasons. Firstly, our water and sewerage demand forecasts are built on forecasts provided by the water corporations </w:t>
      </w:r>
      <w:r w:rsidR="00E56B3A" w:rsidRPr="00DE108C">
        <w:t>that</w:t>
      </w:r>
      <w:r w:rsidRPr="00DE108C">
        <w:t xml:space="preserve"> are connected to the Melbourne system. </w:t>
      </w:r>
    </w:p>
    <w:p w14:paraId="784BEB5C" w14:textId="5075821F" w:rsidR="006443C7" w:rsidRPr="00DE108C" w:rsidRDefault="00046BD5" w:rsidP="00ED094E">
      <w:r w:rsidRPr="00DE108C">
        <w:t xml:space="preserve">For all metropolitan Melbourne water corporations, water demands are prepared using end use models which make a number of assumptions about the uptake of water efficient appliances and changes in water use behaviour including expected wholesale prices. Furthermore, the water corporations allocate Melbourne Water’s costs individually and at different proportions to their fixed and variable tariffs. Given that price elasticity is only relevant to the water and sewage variable tariffs, the price elasticity impact </w:t>
      </w:r>
      <w:r w:rsidR="001363BF" w:rsidRPr="00DE108C">
        <w:t>on</w:t>
      </w:r>
      <w:r w:rsidRPr="00DE108C">
        <w:t xml:space="preserve"> each water corporation could be different</w:t>
      </w:r>
      <w:r w:rsidR="70912D67">
        <w:t>,</w:t>
      </w:r>
      <w:r w:rsidRPr="00DE108C">
        <w:t xml:space="preserve"> which we are not able to model for each water corporation with precision. </w:t>
      </w:r>
    </w:p>
    <w:p w14:paraId="40A2ACF6" w14:textId="3367381D" w:rsidR="006443C7" w:rsidRPr="00DE108C" w:rsidRDefault="00046BD5" w:rsidP="00ED094E">
      <w:r w:rsidRPr="00DE108C">
        <w:t>This is further complicated by the tariff reform to pool bulk water entitlements and rebase entitlements based on the 10-year average demand</w:t>
      </w:r>
      <w:r w:rsidR="036CD074">
        <w:t>,</w:t>
      </w:r>
      <w:r w:rsidRPr="00DE108C">
        <w:t xml:space="preserve"> which would lead to different impacts for different water corporations. The water corporations also consider price elasticity in their own </w:t>
      </w:r>
      <w:r w:rsidR="0A8CEB40">
        <w:t>P</w:t>
      </w:r>
      <w:r>
        <w:t xml:space="preserve">rice </w:t>
      </w:r>
      <w:r w:rsidR="7A33B65A">
        <w:t>S</w:t>
      </w:r>
      <w:r w:rsidRPr="00DE108C">
        <w:t xml:space="preserve">ubmissions and demand forecasts and </w:t>
      </w:r>
      <w:r w:rsidR="001363BF" w:rsidRPr="00DE108C">
        <w:t>accounting</w:t>
      </w:r>
      <w:r w:rsidRPr="00DE108C">
        <w:t xml:space="preserve"> for price elasticity in Melbourne Water’s demand forecasts could be double counting the impact. </w:t>
      </w:r>
    </w:p>
    <w:p w14:paraId="7E78E385" w14:textId="26906E30" w:rsidR="00046BD5" w:rsidRPr="00DE108C" w:rsidRDefault="4B904FAF" w:rsidP="00ED094E">
      <w:r>
        <w:lastRenderedPageBreak/>
        <w:t xml:space="preserve">Our </w:t>
      </w:r>
      <w:r w:rsidR="00046BD5" w:rsidRPr="00DE108C">
        <w:t>approach recognises that the water corporations have a direct relationship with end</w:t>
      </w:r>
      <w:r w:rsidR="18078E72">
        <w:t>-</w:t>
      </w:r>
      <w:r w:rsidR="00046BD5" w:rsidRPr="00DE108C">
        <w:t>users and are best placed to model the elasticity associated with the flow through of bulk water charges to consumers.</w:t>
      </w:r>
    </w:p>
    <w:p w14:paraId="7EBD72DA" w14:textId="345151D0" w:rsidR="00046BD5" w:rsidRPr="00DE108C" w:rsidRDefault="00046BD5" w:rsidP="00ED094E">
      <w:r w:rsidRPr="00DE108C">
        <w:t>For waterways and drainage, we consider the price to be perfectly inelastic</w:t>
      </w:r>
      <w:r w:rsidR="21689856">
        <w:t xml:space="preserve">- </w:t>
      </w:r>
      <w:r w:rsidRPr="00DE108C">
        <w:t xml:space="preserve">,changes in the waterways and drainage charge will have no impact on the number of residential, non-residential or rural dwellings that the charge is levied upon. The waterways and drainage charge is not considered in any way material to decisions about population growth or </w:t>
      </w:r>
      <w:r w:rsidR="00FF0C29" w:rsidRPr="00DE108C">
        <w:t xml:space="preserve">the </w:t>
      </w:r>
      <w:r w:rsidRPr="00DE108C">
        <w:t>development of new housing stock.</w:t>
      </w:r>
    </w:p>
    <w:p w14:paraId="30AFF3C9" w14:textId="77777777" w:rsidR="00046BD5" w:rsidRPr="00DE108C" w:rsidRDefault="00046BD5">
      <w:pPr>
        <w:pStyle w:val="Heading3"/>
      </w:pPr>
      <w:bookmarkStart w:id="992" w:name="_Toc190876186"/>
      <w:bookmarkStart w:id="993" w:name="_Toc196745288"/>
      <w:r w:rsidRPr="00DE108C">
        <w:t>10.1.2 Growth projections</w:t>
      </w:r>
      <w:bookmarkEnd w:id="992"/>
      <w:bookmarkEnd w:id="993"/>
    </w:p>
    <w:p w14:paraId="69282D0D" w14:textId="13C3E825" w:rsidR="00046BD5" w:rsidRPr="00DE108C" w:rsidRDefault="00046BD5" w:rsidP="00ED094E">
      <w:r w:rsidRPr="00DE108C">
        <w:t>Growth in demand for all of Melbourne Water’s services and activities is driven by changes in population size and where they live. A growing population leads to more residential and non-residential properties, which then add</w:t>
      </w:r>
      <w:r w:rsidR="00FF0C29" w:rsidRPr="00DE108C">
        <w:t>s</w:t>
      </w:r>
      <w:r w:rsidRPr="00DE108C">
        <w:t xml:space="preserve"> to the collective demand for water and sewage services. New properties lead directly to additional </w:t>
      </w:r>
      <w:r>
        <w:t>need</w:t>
      </w:r>
      <w:r w:rsidR="00C14D75">
        <w:t xml:space="preserve"> </w:t>
      </w:r>
      <w:r w:rsidRPr="00DE108C">
        <w:t xml:space="preserve">for activity for waterways and drainage services. </w:t>
      </w:r>
    </w:p>
    <w:p w14:paraId="45552D0E" w14:textId="77777777" w:rsidR="00046BD5" w:rsidRPr="00DE108C" w:rsidRDefault="00046BD5">
      <w:pPr>
        <w:pStyle w:val="Heading4"/>
      </w:pPr>
      <w:r w:rsidRPr="00DE108C">
        <w:t>10.1.2.1 Comparison of historical growth to PS21</w:t>
      </w:r>
    </w:p>
    <w:p w14:paraId="6FAE4A0D" w14:textId="4DDC9C17" w:rsidR="00046BD5" w:rsidRPr="00DE108C" w:rsidRDefault="00046BD5" w:rsidP="00ED094E">
      <w:r w:rsidRPr="00DE108C">
        <w:t xml:space="preserve">We first compare historical growth against the </w:t>
      </w:r>
      <w:r w:rsidR="0C95AE44">
        <w:t>2021</w:t>
      </w:r>
      <w:r w:rsidRPr="00DE108C">
        <w:t xml:space="preserve"> Determination exploring population and property numbers. </w:t>
      </w:r>
    </w:p>
    <w:p w14:paraId="0C5BB802" w14:textId="631DD485" w:rsidR="00046BD5" w:rsidRPr="00DE108C" w:rsidRDefault="00046BD5" w:rsidP="00ED094E">
      <w:r w:rsidRPr="00DE108C">
        <w:rPr>
          <w:rFonts w:eastAsia="Verdana"/>
        </w:rPr>
        <w:t xml:space="preserve">Table 10.2 shows that the adopted population forecast understated the actual population growth. This reflected the inherent uncertainty of population forecasts during the COVID-19 pandemic. </w:t>
      </w:r>
    </w:p>
    <w:p w14:paraId="35AECBC4" w14:textId="77777777" w:rsidR="00046BD5" w:rsidRPr="00DE108C" w:rsidRDefault="00046BD5" w:rsidP="00ED094E">
      <w:pPr>
        <w:pStyle w:val="Caption"/>
      </w:pPr>
      <w:bookmarkStart w:id="994" w:name="_Toc207893092"/>
      <w:bookmarkStart w:id="995" w:name="_Toc208490616"/>
      <w:bookmarkStart w:id="996" w:name="_Toc208490954"/>
      <w:bookmarkStart w:id="997" w:name="_Toc208911112"/>
      <w:bookmarkStart w:id="998" w:name="_Toc210051418"/>
      <w:r w:rsidRPr="00DE108C">
        <w:t>Table 10.2: Victorian population actuals against previous forecasts comparison</w:t>
      </w:r>
      <w:bookmarkEnd w:id="994"/>
      <w:bookmarkEnd w:id="995"/>
      <w:bookmarkEnd w:id="996"/>
      <w:bookmarkEnd w:id="997"/>
      <w:bookmarkEnd w:id="998"/>
    </w:p>
    <w:tbl>
      <w:tblPr>
        <w:tblStyle w:val="TableGrid"/>
        <w:tblW w:w="0" w:type="auto"/>
        <w:tblLayout w:type="fixed"/>
        <w:tblLook w:val="0420" w:firstRow="1" w:lastRow="0" w:firstColumn="0" w:lastColumn="0" w:noHBand="0" w:noVBand="1"/>
      </w:tblPr>
      <w:tblGrid>
        <w:gridCol w:w="5944"/>
        <w:gridCol w:w="3544"/>
      </w:tblGrid>
      <w:tr w:rsidR="00046BD5" w:rsidRPr="00DE108C" w14:paraId="7AE012F4" w14:textId="77777777" w:rsidTr="41977403">
        <w:trPr>
          <w:cnfStyle w:val="100000000000" w:firstRow="1" w:lastRow="0" w:firstColumn="0" w:lastColumn="0" w:oddVBand="0" w:evenVBand="0" w:oddHBand="0" w:evenHBand="0" w:firstRowFirstColumn="0" w:firstRowLastColumn="0" w:lastRowFirstColumn="0" w:lastRowLastColumn="0"/>
          <w:trHeight w:val="300"/>
        </w:trPr>
        <w:tc>
          <w:tcPr>
            <w:tcW w:w="5944"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vAlign w:val="center"/>
          </w:tcPr>
          <w:p w14:paraId="0DCBEA09" w14:textId="14BD1B5A" w:rsidR="00046BD5" w:rsidRPr="00DE108C" w:rsidRDefault="00FF0C29" w:rsidP="00ED094E">
            <w:pPr>
              <w:rPr>
                <w:b/>
                <w:color w:val="FFFFFF" w:themeColor="background1"/>
                <w:sz w:val="16"/>
                <w:szCs w:val="16"/>
              </w:rPr>
            </w:pPr>
            <w:r w:rsidRPr="00DE108C">
              <w:rPr>
                <w:rFonts w:eastAsia="Verdana"/>
                <w:b/>
                <w:color w:val="FFFFFF" w:themeColor="background1"/>
                <w:sz w:val="16"/>
                <w:szCs w:val="16"/>
              </w:rPr>
              <w:t xml:space="preserve">Forecast / </w:t>
            </w:r>
            <w:r w:rsidR="00046BD5" w:rsidRPr="00DE108C">
              <w:rPr>
                <w:rFonts w:eastAsia="Verdana"/>
                <w:b/>
                <w:color w:val="FFFFFF" w:themeColor="background1"/>
                <w:sz w:val="16"/>
                <w:szCs w:val="16"/>
              </w:rPr>
              <w:t>Actuals</w:t>
            </w:r>
          </w:p>
        </w:tc>
        <w:tc>
          <w:tcPr>
            <w:tcW w:w="3544"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vAlign w:val="center"/>
          </w:tcPr>
          <w:p w14:paraId="62DE07DA" w14:textId="77777777" w:rsidR="00046BD5" w:rsidRPr="00DE108C" w:rsidRDefault="00046BD5" w:rsidP="00ED094E">
            <w:pPr>
              <w:rPr>
                <w:b/>
                <w:color w:val="FFFFFF" w:themeColor="background1"/>
                <w:sz w:val="16"/>
                <w:szCs w:val="16"/>
              </w:rPr>
            </w:pPr>
            <w:r w:rsidRPr="00DE108C">
              <w:rPr>
                <w:rFonts w:eastAsia="Verdana"/>
                <w:b/>
                <w:color w:val="FFFFFF" w:themeColor="background1"/>
                <w:sz w:val="16"/>
                <w:szCs w:val="16"/>
              </w:rPr>
              <w:t>Measure</w:t>
            </w:r>
          </w:p>
        </w:tc>
      </w:tr>
      <w:tr w:rsidR="00046BD5" w:rsidRPr="00DE108C" w14:paraId="6D22AB8E" w14:textId="77777777" w:rsidTr="41977403">
        <w:trPr>
          <w:trHeight w:val="300"/>
        </w:trPr>
        <w:tc>
          <w:tcPr>
            <w:tcW w:w="594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014415E7" w14:textId="0DE6690A" w:rsidR="00046BD5" w:rsidRPr="00C14D75" w:rsidRDefault="370E911C" w:rsidP="00271C8E">
            <w:pPr>
              <w:pStyle w:val="ListBullet"/>
              <w:ind w:left="0" w:firstLine="0"/>
              <w:rPr>
                <w:rFonts w:eastAsia="Verdana"/>
                <w:sz w:val="16"/>
                <w:szCs w:val="16"/>
              </w:rPr>
            </w:pPr>
            <w:r w:rsidRPr="00C14D75">
              <w:rPr>
                <w:rFonts w:eastAsia="Verdana"/>
                <w:sz w:val="16"/>
                <w:szCs w:val="16"/>
              </w:rPr>
              <w:t xml:space="preserve">2021 </w:t>
            </w:r>
            <w:r w:rsidR="00046BD5" w:rsidRPr="00C14D75">
              <w:rPr>
                <w:rFonts w:eastAsia="Verdana"/>
                <w:sz w:val="16"/>
                <w:szCs w:val="16"/>
              </w:rPr>
              <w:t>Determination – Centre for Population Projections (Dec 2020) (</w:t>
            </w:r>
            <w:r w:rsidR="5F9BCC31" w:rsidRPr="00C14D75">
              <w:rPr>
                <w:rFonts w:eastAsia="Verdana"/>
                <w:sz w:val="16"/>
                <w:szCs w:val="16"/>
              </w:rPr>
              <w:t>C</w:t>
            </w:r>
            <w:r w:rsidR="5F9BCC31" w:rsidRPr="00C14D75">
              <w:rPr>
                <w:sz w:val="16"/>
                <w:szCs w:val="16"/>
              </w:rPr>
              <w:t>ompound annual growth rate (</w:t>
            </w:r>
            <w:r w:rsidR="00046BD5" w:rsidRPr="00C14D75">
              <w:rPr>
                <w:rFonts w:eastAsia="Verdana"/>
                <w:sz w:val="16"/>
                <w:szCs w:val="16"/>
              </w:rPr>
              <w:t>CAGR</w:t>
            </w:r>
            <w:r w:rsidR="5545CF35" w:rsidRPr="00C14D75">
              <w:rPr>
                <w:rFonts w:eastAsia="Verdana"/>
                <w:sz w:val="16"/>
                <w:szCs w:val="16"/>
              </w:rPr>
              <w:t>)</w:t>
            </w:r>
            <w:r w:rsidR="00046BD5" w:rsidRPr="00C14D75">
              <w:rPr>
                <w:rFonts w:eastAsia="Verdana"/>
                <w:sz w:val="16"/>
                <w:szCs w:val="16"/>
              </w:rPr>
              <w:t xml:space="preserve"> 2018-19 to 2023-24, 5 years)</w:t>
            </w:r>
          </w:p>
        </w:tc>
        <w:tc>
          <w:tcPr>
            <w:tcW w:w="354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2C08EAC1" w14:textId="77777777" w:rsidR="00046BD5" w:rsidRPr="00DE108C" w:rsidRDefault="00046BD5" w:rsidP="00ED094E">
            <w:pPr>
              <w:rPr>
                <w:sz w:val="16"/>
                <w:szCs w:val="16"/>
              </w:rPr>
            </w:pPr>
            <w:r w:rsidRPr="00DE108C">
              <w:rPr>
                <w:rFonts w:eastAsia="Verdana"/>
                <w:sz w:val="16"/>
                <w:szCs w:val="16"/>
              </w:rPr>
              <w:t>1.0%</w:t>
            </w:r>
          </w:p>
        </w:tc>
      </w:tr>
      <w:tr w:rsidR="00556A0D" w:rsidRPr="00DE108C" w14:paraId="1F6FD48B" w14:textId="77777777" w:rsidTr="41977403">
        <w:trPr>
          <w:cnfStyle w:val="000000010000" w:firstRow="0" w:lastRow="0" w:firstColumn="0" w:lastColumn="0" w:oddVBand="0" w:evenVBand="0" w:oddHBand="0" w:evenHBand="1" w:firstRowFirstColumn="0" w:firstRowLastColumn="0" w:lastRowFirstColumn="0" w:lastRowLastColumn="0"/>
          <w:trHeight w:val="300"/>
        </w:trPr>
        <w:tc>
          <w:tcPr>
            <w:tcW w:w="594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661C49D4" w14:textId="14B711C7" w:rsidR="00046BD5" w:rsidRPr="00DE108C" w:rsidRDefault="00046BD5" w:rsidP="00ED094E">
            <w:pPr>
              <w:rPr>
                <w:rFonts w:eastAsia="Verdana"/>
                <w:sz w:val="16"/>
                <w:szCs w:val="16"/>
              </w:rPr>
            </w:pPr>
            <w:r w:rsidRPr="00DE108C">
              <w:rPr>
                <w:rFonts w:eastAsia="Verdana"/>
                <w:sz w:val="16"/>
                <w:szCs w:val="16"/>
              </w:rPr>
              <w:t xml:space="preserve">Actuals – using </w:t>
            </w:r>
            <w:r w:rsidRPr="13D1F069">
              <w:rPr>
                <w:rFonts w:eastAsia="Verdana"/>
                <w:sz w:val="16"/>
                <w:szCs w:val="16"/>
              </w:rPr>
              <w:t>A</w:t>
            </w:r>
            <w:r w:rsidR="4E16696B" w:rsidRPr="13D1F069">
              <w:rPr>
                <w:rFonts w:eastAsia="Verdana"/>
                <w:sz w:val="16"/>
                <w:szCs w:val="16"/>
              </w:rPr>
              <w:t xml:space="preserve">ustralian </w:t>
            </w:r>
            <w:r w:rsidRPr="13D1F069">
              <w:rPr>
                <w:rFonts w:eastAsia="Verdana"/>
                <w:sz w:val="16"/>
                <w:szCs w:val="16"/>
              </w:rPr>
              <w:t>B</w:t>
            </w:r>
            <w:r w:rsidR="612314A3" w:rsidRPr="13D1F069">
              <w:rPr>
                <w:rFonts w:eastAsia="Verdana"/>
                <w:sz w:val="16"/>
                <w:szCs w:val="16"/>
              </w:rPr>
              <w:t xml:space="preserve">ureau of </w:t>
            </w:r>
            <w:r w:rsidRPr="13D1F069">
              <w:rPr>
                <w:rFonts w:eastAsia="Verdana"/>
                <w:sz w:val="16"/>
                <w:szCs w:val="16"/>
              </w:rPr>
              <w:t>S</w:t>
            </w:r>
            <w:r w:rsidR="7031D9E1" w:rsidRPr="13D1F069">
              <w:rPr>
                <w:rFonts w:eastAsia="Verdana"/>
                <w:sz w:val="16"/>
                <w:szCs w:val="16"/>
              </w:rPr>
              <w:t>tatistics (</w:t>
            </w:r>
            <w:r w:rsidRPr="00DE108C">
              <w:rPr>
                <w:rFonts w:eastAsia="Verdana"/>
                <w:sz w:val="16"/>
                <w:szCs w:val="16"/>
              </w:rPr>
              <w:t>ABS</w:t>
            </w:r>
            <w:r w:rsidR="7031D9E1" w:rsidRPr="13D1F069">
              <w:rPr>
                <w:rFonts w:eastAsia="Verdana"/>
                <w:sz w:val="16"/>
                <w:szCs w:val="16"/>
              </w:rPr>
              <w:t>)</w:t>
            </w:r>
            <w:r w:rsidRPr="00DE108C">
              <w:rPr>
                <w:rFonts w:eastAsia="Verdana"/>
                <w:sz w:val="16"/>
                <w:szCs w:val="16"/>
              </w:rPr>
              <w:t xml:space="preserve"> regional population estimates (CAGR 2018-19 to 2023-24, 5 years)</w:t>
            </w:r>
          </w:p>
        </w:tc>
        <w:tc>
          <w:tcPr>
            <w:tcW w:w="3544" w:type="dxa"/>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66492726" w14:textId="77777777" w:rsidR="00046BD5" w:rsidRPr="00DE108C" w:rsidRDefault="00046BD5" w:rsidP="00ED094E">
            <w:pPr>
              <w:rPr>
                <w:rFonts w:eastAsia="Verdana"/>
                <w:sz w:val="16"/>
                <w:szCs w:val="16"/>
              </w:rPr>
            </w:pPr>
            <w:r w:rsidRPr="00DE108C">
              <w:rPr>
                <w:rFonts w:eastAsia="Verdana"/>
                <w:sz w:val="16"/>
                <w:szCs w:val="16"/>
              </w:rPr>
              <w:t>1.3%</w:t>
            </w:r>
          </w:p>
        </w:tc>
      </w:tr>
      <w:tr w:rsidR="00046BD5" w:rsidRPr="00DE108C" w14:paraId="23FCB5BB" w14:textId="77777777" w:rsidTr="41977403">
        <w:trPr>
          <w:trHeight w:val="300"/>
        </w:trPr>
        <w:tc>
          <w:tcPr>
            <w:tcW w:w="5944"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EFF5FB" w:themeFill="background2"/>
            <w:tcMar>
              <w:top w:w="28" w:type="dxa"/>
              <w:left w:w="85" w:type="dxa"/>
              <w:bottom w:w="28" w:type="dxa"/>
              <w:right w:w="85" w:type="dxa"/>
            </w:tcMar>
            <w:vAlign w:val="center"/>
          </w:tcPr>
          <w:p w14:paraId="20399604" w14:textId="5703B82A" w:rsidR="00046BD5" w:rsidRPr="00DE108C" w:rsidRDefault="00046BD5" w:rsidP="00ED094E">
            <w:pPr>
              <w:rPr>
                <w:rFonts w:eastAsia="Verdana"/>
                <w:sz w:val="16"/>
                <w:szCs w:val="16"/>
              </w:rPr>
            </w:pPr>
            <w:r w:rsidRPr="00DE108C">
              <w:rPr>
                <w:rFonts w:eastAsia="Verdana"/>
                <w:sz w:val="16"/>
                <w:szCs w:val="16"/>
              </w:rPr>
              <w:t xml:space="preserve">Actuals – expected using </w:t>
            </w:r>
            <w:r w:rsidR="0001063F">
              <w:rPr>
                <w:rFonts w:eastAsia="Verdana"/>
                <w:sz w:val="16"/>
                <w:szCs w:val="16"/>
              </w:rPr>
              <w:t>data provided by the Victorian Government</w:t>
            </w:r>
            <w:r w:rsidRPr="00DE108C">
              <w:rPr>
                <w:rFonts w:eastAsia="Verdana"/>
                <w:sz w:val="16"/>
                <w:szCs w:val="16"/>
              </w:rPr>
              <w:t xml:space="preserve"> (CAGR 2020-21 to 2025-26, 5 years)</w:t>
            </w:r>
          </w:p>
        </w:tc>
        <w:tc>
          <w:tcPr>
            <w:tcW w:w="3544" w:type="dxa"/>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EFF5FB" w:themeFill="background2"/>
            <w:tcMar>
              <w:top w:w="28" w:type="dxa"/>
              <w:left w:w="85" w:type="dxa"/>
              <w:bottom w:w="28" w:type="dxa"/>
              <w:right w:w="85" w:type="dxa"/>
            </w:tcMar>
            <w:vAlign w:val="center"/>
          </w:tcPr>
          <w:p w14:paraId="5C3CCFCC" w14:textId="77777777" w:rsidR="00046BD5" w:rsidRPr="00DE108C" w:rsidRDefault="00046BD5" w:rsidP="00ED094E">
            <w:pPr>
              <w:rPr>
                <w:rFonts w:eastAsia="Verdana"/>
                <w:sz w:val="16"/>
                <w:szCs w:val="16"/>
              </w:rPr>
            </w:pPr>
            <w:r w:rsidRPr="00DE108C">
              <w:rPr>
                <w:rFonts w:eastAsia="Verdana"/>
                <w:sz w:val="16"/>
                <w:szCs w:val="16"/>
              </w:rPr>
              <w:t>2.2%</w:t>
            </w:r>
          </w:p>
        </w:tc>
      </w:tr>
    </w:tbl>
    <w:p w14:paraId="30D47AA3" w14:textId="61213C26" w:rsidR="00046BD5" w:rsidRPr="00DE108C" w:rsidRDefault="00046BD5" w:rsidP="00ED094E">
      <w:pPr>
        <w:rPr>
          <w:rFonts w:eastAsia="Verdana"/>
        </w:rPr>
      </w:pPr>
      <w:r w:rsidRPr="00DE108C">
        <w:rPr>
          <w:rFonts w:eastAsia="Verdana"/>
        </w:rPr>
        <w:t xml:space="preserve">Table 10.3 shows that the adopted property growth forecast was close to the actuals. This was the case despite of the impact of the COVID-19 pandemic, </w:t>
      </w:r>
      <w:r w:rsidR="00FF0C29" w:rsidRPr="00DE108C">
        <w:rPr>
          <w:rFonts w:eastAsia="Verdana"/>
        </w:rPr>
        <w:t xml:space="preserve">as </w:t>
      </w:r>
      <w:r w:rsidRPr="00DE108C">
        <w:rPr>
          <w:rFonts w:eastAsia="Verdana"/>
        </w:rPr>
        <w:t>the development sector operating in Melbourne’s growth areas experienced high demand.</w:t>
      </w:r>
    </w:p>
    <w:p w14:paraId="62717F6D" w14:textId="77777777" w:rsidR="00046BD5" w:rsidRPr="00DE108C" w:rsidRDefault="00046BD5" w:rsidP="00ED094E"/>
    <w:p w14:paraId="37326BFD" w14:textId="77777777" w:rsidR="00046BD5" w:rsidRPr="00DE108C" w:rsidRDefault="00046BD5" w:rsidP="00324A40">
      <w:pPr>
        <w:pStyle w:val="Caption"/>
      </w:pPr>
      <w:bookmarkStart w:id="999" w:name="_Toc207893093"/>
      <w:bookmarkStart w:id="1000" w:name="_Toc208490617"/>
      <w:bookmarkStart w:id="1001" w:name="_Toc208490955"/>
      <w:bookmarkStart w:id="1002" w:name="_Toc208911113"/>
      <w:bookmarkStart w:id="1003" w:name="_Toc210051419"/>
      <w:r w:rsidRPr="00DE108C">
        <w:lastRenderedPageBreak/>
        <w:t>Table 10.3: Greater Melbourne property lot forecasts comparison</w:t>
      </w:r>
      <w:bookmarkEnd w:id="999"/>
      <w:bookmarkEnd w:id="1000"/>
      <w:bookmarkEnd w:id="1001"/>
      <w:bookmarkEnd w:id="1002"/>
      <w:bookmarkEnd w:id="1003"/>
    </w:p>
    <w:tbl>
      <w:tblPr>
        <w:tblStyle w:val="TableGrid"/>
        <w:tblW w:w="5000" w:type="pct"/>
        <w:tblLook w:val="0420" w:firstRow="1" w:lastRow="0" w:firstColumn="0" w:lastColumn="0" w:noHBand="0" w:noVBand="1"/>
      </w:tblPr>
      <w:tblGrid>
        <w:gridCol w:w="6025"/>
        <w:gridCol w:w="3593"/>
      </w:tblGrid>
      <w:tr w:rsidR="00046BD5" w:rsidRPr="00DE108C" w14:paraId="51872CEE" w14:textId="77777777" w:rsidTr="00145973">
        <w:trPr>
          <w:cnfStyle w:val="100000000000" w:firstRow="1" w:lastRow="0" w:firstColumn="0" w:lastColumn="0" w:oddVBand="0" w:evenVBand="0" w:oddHBand="0" w:evenHBand="0" w:firstRowFirstColumn="0" w:firstRowLastColumn="0" w:lastRowFirstColumn="0" w:lastRowLastColumn="0"/>
          <w:trHeight w:val="300"/>
        </w:trPr>
        <w:tc>
          <w:tcPr>
            <w:tcW w:w="3132" w:type="pct"/>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tcPr>
          <w:p w14:paraId="24659843" w14:textId="53710AA5" w:rsidR="00046BD5" w:rsidRPr="00DE108C" w:rsidRDefault="00046BD5" w:rsidP="00324A40">
            <w:pPr>
              <w:keepLines/>
              <w:rPr>
                <w:b/>
                <w:color w:val="FFFFFF" w:themeColor="background1"/>
                <w:sz w:val="16"/>
                <w:szCs w:val="16"/>
              </w:rPr>
            </w:pPr>
            <w:r w:rsidRPr="00DE108C">
              <w:rPr>
                <w:rFonts w:eastAsia="Verdana"/>
                <w:b/>
                <w:color w:val="FFFFFF" w:themeColor="background1"/>
                <w:sz w:val="16"/>
                <w:szCs w:val="16"/>
              </w:rPr>
              <w:t xml:space="preserve">Forecast / </w:t>
            </w:r>
            <w:r w:rsidR="00324A40" w:rsidRPr="00DE108C">
              <w:rPr>
                <w:rFonts w:eastAsia="Verdana"/>
                <w:b/>
                <w:color w:val="FFFFFF" w:themeColor="background1"/>
                <w:sz w:val="16"/>
                <w:szCs w:val="16"/>
              </w:rPr>
              <w:t>A</w:t>
            </w:r>
            <w:r w:rsidRPr="00DE108C">
              <w:rPr>
                <w:rFonts w:eastAsia="Verdana"/>
                <w:b/>
                <w:color w:val="FFFFFF" w:themeColor="background1"/>
                <w:sz w:val="16"/>
                <w:szCs w:val="16"/>
              </w:rPr>
              <w:t>ctuals</w:t>
            </w:r>
          </w:p>
        </w:tc>
        <w:tc>
          <w:tcPr>
            <w:tcW w:w="1868" w:type="pct"/>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00428B" w:themeFill="accent1"/>
            <w:tcMar>
              <w:top w:w="28" w:type="dxa"/>
              <w:left w:w="85" w:type="dxa"/>
              <w:bottom w:w="28" w:type="dxa"/>
              <w:right w:w="85" w:type="dxa"/>
            </w:tcMar>
            <w:vAlign w:val="center"/>
          </w:tcPr>
          <w:p w14:paraId="688F0386" w14:textId="77777777" w:rsidR="00046BD5" w:rsidRPr="00DE108C" w:rsidRDefault="00046BD5" w:rsidP="00324A40">
            <w:pPr>
              <w:keepLines/>
              <w:rPr>
                <w:b/>
                <w:color w:val="FFFFFF" w:themeColor="background1"/>
                <w:sz w:val="16"/>
                <w:szCs w:val="16"/>
              </w:rPr>
            </w:pPr>
            <w:r w:rsidRPr="00DE108C">
              <w:rPr>
                <w:rFonts w:eastAsia="Verdana"/>
                <w:b/>
                <w:color w:val="FFFFFF" w:themeColor="background1"/>
                <w:sz w:val="16"/>
                <w:szCs w:val="16"/>
              </w:rPr>
              <w:t>CAGR 2018-19 to 2023-24 (5 years)</w:t>
            </w:r>
          </w:p>
        </w:tc>
      </w:tr>
      <w:tr w:rsidR="00046BD5" w:rsidRPr="00DE108C" w14:paraId="798C09DA" w14:textId="77777777" w:rsidTr="00145973">
        <w:trPr>
          <w:trHeight w:val="300"/>
        </w:trPr>
        <w:tc>
          <w:tcPr>
            <w:tcW w:w="3132" w:type="pct"/>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49D38CF6" w14:textId="65BD8CEA" w:rsidR="00046BD5" w:rsidRPr="00DE108C" w:rsidRDefault="167099B4" w:rsidP="00324A40">
            <w:pPr>
              <w:keepNext/>
              <w:keepLines/>
              <w:rPr>
                <w:rFonts w:eastAsia="Verdana"/>
                <w:sz w:val="16"/>
                <w:szCs w:val="16"/>
              </w:rPr>
            </w:pPr>
            <w:r w:rsidRPr="13D1F069">
              <w:rPr>
                <w:rFonts w:eastAsia="Verdana"/>
                <w:sz w:val="16"/>
                <w:szCs w:val="16"/>
              </w:rPr>
              <w:t>2021</w:t>
            </w:r>
            <w:r w:rsidR="00046BD5" w:rsidRPr="00DE108C">
              <w:rPr>
                <w:rFonts w:eastAsia="Verdana"/>
                <w:sz w:val="16"/>
                <w:szCs w:val="16"/>
              </w:rPr>
              <w:t xml:space="preserve"> Determination – residential waterways and drainage customers (CAGR 2018-19 to 2023-24, 5 years)</w:t>
            </w:r>
          </w:p>
        </w:tc>
        <w:tc>
          <w:tcPr>
            <w:tcW w:w="1868" w:type="pct"/>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53D3A5CA" w14:textId="77777777" w:rsidR="00046BD5" w:rsidRPr="00DE108C" w:rsidRDefault="00046BD5" w:rsidP="00324A40">
            <w:pPr>
              <w:keepNext/>
              <w:keepLines/>
              <w:rPr>
                <w:sz w:val="16"/>
                <w:szCs w:val="16"/>
              </w:rPr>
            </w:pPr>
            <w:r w:rsidRPr="00DE108C">
              <w:rPr>
                <w:rFonts w:eastAsia="Verdana"/>
                <w:sz w:val="16"/>
                <w:szCs w:val="16"/>
              </w:rPr>
              <w:t>2.1%</w:t>
            </w:r>
          </w:p>
        </w:tc>
      </w:tr>
      <w:tr w:rsidR="00556A0D" w:rsidRPr="00DE108C" w14:paraId="153D535A" w14:textId="77777777" w:rsidTr="00145973">
        <w:trPr>
          <w:cnfStyle w:val="000000010000" w:firstRow="0" w:lastRow="0" w:firstColumn="0" w:lastColumn="0" w:oddVBand="0" w:evenVBand="0" w:oddHBand="0" w:evenHBand="1" w:firstRowFirstColumn="0" w:firstRowLastColumn="0" w:lastRowFirstColumn="0" w:lastRowLastColumn="0"/>
          <w:trHeight w:val="300"/>
        </w:trPr>
        <w:tc>
          <w:tcPr>
            <w:tcW w:w="3132" w:type="pct"/>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0C62D760" w14:textId="77777777" w:rsidR="00046BD5" w:rsidRPr="00DE108C" w:rsidRDefault="00046BD5" w:rsidP="00324A40">
            <w:pPr>
              <w:keepNext/>
              <w:keepLines/>
              <w:rPr>
                <w:rFonts w:eastAsia="Verdana"/>
                <w:sz w:val="16"/>
                <w:szCs w:val="16"/>
              </w:rPr>
            </w:pPr>
            <w:r w:rsidRPr="00DE108C">
              <w:rPr>
                <w:rFonts w:eastAsia="Verdana"/>
                <w:sz w:val="16"/>
                <w:szCs w:val="16"/>
              </w:rPr>
              <w:t>Actuals – residential waterways and drainage customers (CAGR 2018-19 to 2023-24, 5 years)</w:t>
            </w:r>
          </w:p>
        </w:tc>
        <w:tc>
          <w:tcPr>
            <w:tcW w:w="1868" w:type="pct"/>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46ED35FF" w14:textId="77777777" w:rsidR="00046BD5" w:rsidRPr="00DE108C" w:rsidRDefault="00046BD5" w:rsidP="00324A40">
            <w:pPr>
              <w:keepNext/>
              <w:keepLines/>
              <w:rPr>
                <w:rFonts w:eastAsia="Verdana"/>
                <w:sz w:val="16"/>
                <w:szCs w:val="16"/>
              </w:rPr>
            </w:pPr>
            <w:r w:rsidRPr="00DE108C">
              <w:rPr>
                <w:rFonts w:eastAsia="Verdana"/>
                <w:sz w:val="16"/>
                <w:szCs w:val="16"/>
              </w:rPr>
              <w:t>2.0%</w:t>
            </w:r>
          </w:p>
        </w:tc>
      </w:tr>
      <w:tr w:rsidR="00046BD5" w:rsidRPr="00DE108C" w14:paraId="5A08F833" w14:textId="77777777" w:rsidTr="00145973">
        <w:trPr>
          <w:trHeight w:val="300"/>
        </w:trPr>
        <w:tc>
          <w:tcPr>
            <w:tcW w:w="3132" w:type="pct"/>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6CB363C2" w14:textId="488459D5" w:rsidR="00046BD5" w:rsidRPr="00DE108C" w:rsidRDefault="00046BD5" w:rsidP="00324A40">
            <w:pPr>
              <w:keepNext/>
              <w:keepLines/>
              <w:rPr>
                <w:rFonts w:eastAsia="Verdana"/>
                <w:sz w:val="16"/>
                <w:szCs w:val="16"/>
              </w:rPr>
            </w:pPr>
            <w:r w:rsidRPr="00DE108C">
              <w:rPr>
                <w:rFonts w:eastAsia="Verdana"/>
                <w:sz w:val="16"/>
                <w:szCs w:val="16"/>
              </w:rPr>
              <w:t xml:space="preserve">Actuals – </w:t>
            </w:r>
            <w:r w:rsidRPr="13D1F069">
              <w:rPr>
                <w:rFonts w:eastAsia="Verdana"/>
                <w:sz w:val="16"/>
                <w:szCs w:val="16"/>
              </w:rPr>
              <w:t>G</w:t>
            </w:r>
            <w:r w:rsidR="0167AD87" w:rsidRPr="13D1F069">
              <w:rPr>
                <w:rFonts w:eastAsia="Verdana"/>
                <w:sz w:val="16"/>
                <w:szCs w:val="16"/>
              </w:rPr>
              <w:t xml:space="preserve">reater </w:t>
            </w:r>
            <w:r w:rsidRPr="13D1F069">
              <w:rPr>
                <w:rFonts w:eastAsia="Verdana"/>
                <w:sz w:val="16"/>
                <w:szCs w:val="16"/>
              </w:rPr>
              <w:t>W</w:t>
            </w:r>
            <w:r w:rsidR="3A419977" w:rsidRPr="13D1F069">
              <w:rPr>
                <w:rFonts w:eastAsia="Verdana"/>
                <w:sz w:val="16"/>
                <w:szCs w:val="16"/>
              </w:rPr>
              <w:t xml:space="preserve">estern </w:t>
            </w:r>
            <w:r w:rsidRPr="13D1F069">
              <w:rPr>
                <w:rFonts w:eastAsia="Verdana"/>
                <w:sz w:val="16"/>
                <w:szCs w:val="16"/>
              </w:rPr>
              <w:t>W</w:t>
            </w:r>
            <w:r w:rsidR="0835D01E" w:rsidRPr="13D1F069">
              <w:rPr>
                <w:rFonts w:eastAsia="Verdana"/>
                <w:sz w:val="16"/>
                <w:szCs w:val="16"/>
              </w:rPr>
              <w:t>ater</w:t>
            </w:r>
            <w:r w:rsidR="6596DA1B" w:rsidRPr="1A4B1C65">
              <w:rPr>
                <w:rFonts w:eastAsia="Verdana"/>
                <w:sz w:val="16"/>
                <w:szCs w:val="16"/>
              </w:rPr>
              <w:t xml:space="preserve"> </w:t>
            </w:r>
            <w:r w:rsidR="6596DA1B" w:rsidRPr="4F5BF9CC">
              <w:rPr>
                <w:rFonts w:eastAsia="Verdana"/>
                <w:sz w:val="16"/>
                <w:szCs w:val="16"/>
              </w:rPr>
              <w:t>(</w:t>
            </w:r>
            <w:r w:rsidRPr="00DE108C">
              <w:rPr>
                <w:rFonts w:eastAsia="Verdana"/>
                <w:sz w:val="16"/>
                <w:szCs w:val="16"/>
              </w:rPr>
              <w:t>GWW</w:t>
            </w:r>
            <w:r w:rsidR="6596DA1B" w:rsidRPr="4F5BF9CC">
              <w:rPr>
                <w:rFonts w:eastAsia="Verdana"/>
                <w:sz w:val="16"/>
                <w:szCs w:val="16"/>
              </w:rPr>
              <w:t>)</w:t>
            </w:r>
            <w:r w:rsidRPr="4F5BF9CC">
              <w:rPr>
                <w:rFonts w:eastAsia="Verdana"/>
                <w:sz w:val="16"/>
                <w:szCs w:val="16"/>
              </w:rPr>
              <w:t>,</w:t>
            </w:r>
            <w:r w:rsidRPr="13D1F069">
              <w:rPr>
                <w:rFonts w:eastAsia="Verdana"/>
                <w:sz w:val="16"/>
                <w:szCs w:val="16"/>
              </w:rPr>
              <w:t xml:space="preserve"> S</w:t>
            </w:r>
            <w:r w:rsidR="0205C4EA" w:rsidRPr="13D1F069">
              <w:rPr>
                <w:rFonts w:eastAsia="Verdana"/>
                <w:sz w:val="16"/>
                <w:szCs w:val="16"/>
              </w:rPr>
              <w:t xml:space="preserve">outh </w:t>
            </w:r>
            <w:r w:rsidRPr="13D1F069">
              <w:rPr>
                <w:rFonts w:eastAsia="Verdana"/>
                <w:sz w:val="16"/>
                <w:szCs w:val="16"/>
              </w:rPr>
              <w:t>E</w:t>
            </w:r>
            <w:r w:rsidR="7A94DEB0" w:rsidRPr="13D1F069">
              <w:rPr>
                <w:rFonts w:eastAsia="Verdana"/>
                <w:sz w:val="16"/>
                <w:szCs w:val="16"/>
              </w:rPr>
              <w:t xml:space="preserve">ast </w:t>
            </w:r>
            <w:r w:rsidRPr="13D1F069">
              <w:rPr>
                <w:rFonts w:eastAsia="Verdana"/>
                <w:sz w:val="16"/>
                <w:szCs w:val="16"/>
              </w:rPr>
              <w:t>W</w:t>
            </w:r>
            <w:r w:rsidR="29DD0BCE" w:rsidRPr="13D1F069">
              <w:rPr>
                <w:rFonts w:eastAsia="Verdana"/>
                <w:sz w:val="16"/>
                <w:szCs w:val="16"/>
              </w:rPr>
              <w:t>ater</w:t>
            </w:r>
            <w:r w:rsidRPr="13D1F069">
              <w:rPr>
                <w:rFonts w:eastAsia="Verdana"/>
                <w:sz w:val="16"/>
                <w:szCs w:val="16"/>
              </w:rPr>
              <w:t xml:space="preserve"> </w:t>
            </w:r>
            <w:r w:rsidR="3330FB76" w:rsidRPr="1B265034">
              <w:rPr>
                <w:rFonts w:eastAsia="Verdana"/>
                <w:sz w:val="16"/>
                <w:szCs w:val="16"/>
              </w:rPr>
              <w:t>(</w:t>
            </w:r>
            <w:r w:rsidRPr="00DE108C">
              <w:rPr>
                <w:rFonts w:eastAsia="Verdana"/>
                <w:sz w:val="16"/>
                <w:szCs w:val="16"/>
              </w:rPr>
              <w:t>SEW</w:t>
            </w:r>
            <w:r w:rsidR="3330FB76" w:rsidRPr="1B265034">
              <w:rPr>
                <w:rFonts w:eastAsia="Verdana"/>
                <w:sz w:val="16"/>
                <w:szCs w:val="16"/>
              </w:rPr>
              <w:t>)</w:t>
            </w:r>
            <w:r w:rsidRPr="00DE108C">
              <w:rPr>
                <w:rFonts w:eastAsia="Verdana"/>
                <w:sz w:val="16"/>
                <w:szCs w:val="16"/>
              </w:rPr>
              <w:t xml:space="preserve"> and </w:t>
            </w:r>
            <w:r w:rsidRPr="13D1F069">
              <w:rPr>
                <w:rFonts w:eastAsia="Verdana"/>
                <w:sz w:val="16"/>
                <w:szCs w:val="16"/>
              </w:rPr>
              <w:t>Y</w:t>
            </w:r>
            <w:r w:rsidR="63903EB9" w:rsidRPr="13D1F069">
              <w:rPr>
                <w:rFonts w:eastAsia="Verdana"/>
                <w:sz w:val="16"/>
                <w:szCs w:val="16"/>
              </w:rPr>
              <w:t xml:space="preserve">arra </w:t>
            </w:r>
            <w:r w:rsidRPr="13D1F069">
              <w:rPr>
                <w:rFonts w:eastAsia="Verdana"/>
                <w:sz w:val="16"/>
                <w:szCs w:val="16"/>
              </w:rPr>
              <w:t>V</w:t>
            </w:r>
            <w:r w:rsidR="038169BC" w:rsidRPr="13D1F069">
              <w:rPr>
                <w:rFonts w:eastAsia="Verdana"/>
                <w:sz w:val="16"/>
                <w:szCs w:val="16"/>
              </w:rPr>
              <w:t xml:space="preserve">alley </w:t>
            </w:r>
            <w:r w:rsidRPr="13D1F069">
              <w:rPr>
                <w:rFonts w:eastAsia="Verdana"/>
                <w:sz w:val="16"/>
                <w:szCs w:val="16"/>
              </w:rPr>
              <w:t>W</w:t>
            </w:r>
            <w:r w:rsidR="5362E2E6" w:rsidRPr="13D1F069">
              <w:rPr>
                <w:rFonts w:eastAsia="Verdana"/>
                <w:sz w:val="16"/>
                <w:szCs w:val="16"/>
              </w:rPr>
              <w:t>ater</w:t>
            </w:r>
            <w:r w:rsidRPr="13D1F069">
              <w:rPr>
                <w:rFonts w:eastAsia="Verdana"/>
                <w:sz w:val="16"/>
                <w:szCs w:val="16"/>
              </w:rPr>
              <w:t xml:space="preserve"> </w:t>
            </w:r>
            <w:r w:rsidR="37A761F4" w:rsidRPr="1B265034">
              <w:rPr>
                <w:rFonts w:eastAsia="Verdana"/>
                <w:sz w:val="16"/>
                <w:szCs w:val="16"/>
              </w:rPr>
              <w:t>(</w:t>
            </w:r>
            <w:r w:rsidRPr="00DE108C">
              <w:rPr>
                <w:rFonts w:eastAsia="Verdana"/>
                <w:sz w:val="16"/>
                <w:szCs w:val="16"/>
              </w:rPr>
              <w:t>YVW</w:t>
            </w:r>
            <w:r w:rsidR="37A761F4" w:rsidRPr="1B265034">
              <w:rPr>
                <w:rFonts w:eastAsia="Verdana"/>
                <w:sz w:val="16"/>
                <w:szCs w:val="16"/>
              </w:rPr>
              <w:t>)</w:t>
            </w:r>
            <w:r w:rsidRPr="00DE108C">
              <w:rPr>
                <w:rFonts w:eastAsia="Verdana"/>
                <w:sz w:val="16"/>
                <w:szCs w:val="16"/>
              </w:rPr>
              <w:t xml:space="preserve"> residential water customers (CAGR 2018-19 to 2023-24, 5 years)</w:t>
            </w:r>
          </w:p>
        </w:tc>
        <w:tc>
          <w:tcPr>
            <w:tcW w:w="1868" w:type="pct"/>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3906EEEE" w14:textId="77777777" w:rsidR="00046BD5" w:rsidRPr="00DE108C" w:rsidRDefault="00046BD5" w:rsidP="00324A40">
            <w:pPr>
              <w:keepNext/>
              <w:keepLines/>
              <w:rPr>
                <w:sz w:val="16"/>
                <w:szCs w:val="16"/>
              </w:rPr>
            </w:pPr>
            <w:r w:rsidRPr="00DE108C">
              <w:rPr>
                <w:rFonts w:eastAsia="Verdana"/>
                <w:sz w:val="16"/>
                <w:szCs w:val="16"/>
              </w:rPr>
              <w:t>2.0%</w:t>
            </w:r>
          </w:p>
        </w:tc>
      </w:tr>
      <w:tr w:rsidR="00556A0D" w:rsidRPr="00DE108C" w14:paraId="2904816E" w14:textId="77777777" w:rsidTr="00145973">
        <w:trPr>
          <w:cnfStyle w:val="000000010000" w:firstRow="0" w:lastRow="0" w:firstColumn="0" w:lastColumn="0" w:oddVBand="0" w:evenVBand="0" w:oddHBand="0" w:evenHBand="1" w:firstRowFirstColumn="0" w:firstRowLastColumn="0" w:lastRowFirstColumn="0" w:lastRowLastColumn="0"/>
          <w:trHeight w:val="300"/>
        </w:trPr>
        <w:tc>
          <w:tcPr>
            <w:tcW w:w="3132" w:type="pct"/>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tcPr>
          <w:p w14:paraId="2526B145" w14:textId="01D59392" w:rsidR="00046BD5" w:rsidRPr="00DE108C" w:rsidRDefault="00046BD5" w:rsidP="00324A40">
            <w:pPr>
              <w:keepNext/>
              <w:keepLines/>
              <w:rPr>
                <w:rFonts w:eastAsia="Verdana"/>
                <w:sz w:val="16"/>
                <w:szCs w:val="16"/>
              </w:rPr>
            </w:pPr>
            <w:r w:rsidRPr="00DE108C">
              <w:rPr>
                <w:rFonts w:eastAsia="Verdana"/>
                <w:sz w:val="16"/>
                <w:szCs w:val="16"/>
              </w:rPr>
              <w:t xml:space="preserve">Actuals – expected using </w:t>
            </w:r>
            <w:r w:rsidR="00F11286">
              <w:rPr>
                <w:rFonts w:eastAsia="Verdana"/>
                <w:sz w:val="16"/>
                <w:szCs w:val="16"/>
              </w:rPr>
              <w:t>data provided by the Victorian Government</w:t>
            </w:r>
            <w:r w:rsidRPr="00DE108C">
              <w:rPr>
                <w:rFonts w:eastAsia="Verdana"/>
                <w:sz w:val="16"/>
                <w:szCs w:val="16"/>
              </w:rPr>
              <w:t xml:space="preserve"> (CAGR 2020-21 to 2025-26, 5 years)</w:t>
            </w:r>
          </w:p>
        </w:tc>
        <w:tc>
          <w:tcPr>
            <w:tcW w:w="1868" w:type="pct"/>
            <w:tcBorders>
              <w:top w:val="single" w:sz="8" w:space="0" w:color="231F20" w:themeColor="text1"/>
              <w:left w:val="single" w:sz="8" w:space="0" w:color="231F20" w:themeColor="text1"/>
              <w:bottom w:val="single" w:sz="8" w:space="0" w:color="231F20" w:themeColor="text1"/>
              <w:right w:val="single" w:sz="8" w:space="0" w:color="231F20" w:themeColor="text1"/>
            </w:tcBorders>
            <w:tcMar>
              <w:top w:w="28" w:type="dxa"/>
              <w:left w:w="85" w:type="dxa"/>
              <w:bottom w:w="28" w:type="dxa"/>
              <w:right w:w="85" w:type="dxa"/>
            </w:tcMar>
            <w:vAlign w:val="center"/>
          </w:tcPr>
          <w:p w14:paraId="586B5764" w14:textId="77777777" w:rsidR="00046BD5" w:rsidRPr="00DE108C" w:rsidRDefault="00046BD5" w:rsidP="00324A40">
            <w:pPr>
              <w:keepNext/>
              <w:keepLines/>
              <w:rPr>
                <w:rFonts w:eastAsia="Verdana"/>
                <w:sz w:val="16"/>
                <w:szCs w:val="16"/>
              </w:rPr>
            </w:pPr>
            <w:r w:rsidRPr="00DE108C">
              <w:rPr>
                <w:rFonts w:eastAsia="Verdana"/>
                <w:sz w:val="16"/>
                <w:szCs w:val="16"/>
              </w:rPr>
              <w:t>2.0%</w:t>
            </w:r>
          </w:p>
        </w:tc>
      </w:tr>
    </w:tbl>
    <w:p w14:paraId="2CE6143B" w14:textId="77777777" w:rsidR="00046BD5" w:rsidRPr="00DE108C" w:rsidRDefault="00046BD5" w:rsidP="00ED094E">
      <w:pPr>
        <w:rPr>
          <w:rFonts w:eastAsia="Verdana"/>
        </w:rPr>
      </w:pPr>
    </w:p>
    <w:p w14:paraId="11A2E8EA" w14:textId="77777777" w:rsidR="00046BD5" w:rsidRPr="00DE108C" w:rsidRDefault="00046BD5">
      <w:pPr>
        <w:pStyle w:val="Heading4"/>
      </w:pPr>
      <w:r w:rsidRPr="00DE108C">
        <w:t>10.1.2.2 Forecasts</w:t>
      </w:r>
    </w:p>
    <w:p w14:paraId="31CE0571" w14:textId="0794FD72" w:rsidR="00046BD5" w:rsidRPr="00DE108C" w:rsidRDefault="00046BD5" w:rsidP="00ED094E">
      <w:r w:rsidRPr="00DE108C">
        <w:t xml:space="preserve">We developed property level forecasts primarily with reference to </w:t>
      </w:r>
      <w:r w:rsidR="00F11286">
        <w:t>data provided by the Victorian Government</w:t>
      </w:r>
      <w:r w:rsidRPr="00DE108C">
        <w:t xml:space="preserve">. This was supplemented with a review of historic forecasts and actuals, alignment with the </w:t>
      </w:r>
      <w:r w:rsidRPr="00DE108C">
        <w:rPr>
          <w:i/>
        </w:rPr>
        <w:t xml:space="preserve">Housing Statement </w:t>
      </w:r>
      <w:r w:rsidRPr="00DE108C">
        <w:t xml:space="preserve">and independent expert advice from SGS Economics and Planning on lot forecasting for developer services. </w:t>
      </w:r>
    </w:p>
    <w:p w14:paraId="47B38EE0" w14:textId="683FB2F5" w:rsidR="00046BD5" w:rsidRPr="00DE108C" w:rsidRDefault="00046BD5" w:rsidP="00ED094E">
      <w:r w:rsidRPr="00DE108C">
        <w:t xml:space="preserve">Melbourne Water’s adopted population forecast compared against the actual population and adopted property growth forecasts compared against other forecasts considered for the next two regulatory periods are shown </w:t>
      </w:r>
      <w:r w:rsidR="00474055" w:rsidRPr="00DE108C">
        <w:t>F</w:t>
      </w:r>
      <w:r w:rsidRPr="00DE108C">
        <w:t>igures</w:t>
      </w:r>
      <w:r w:rsidR="00474055" w:rsidRPr="00DE108C">
        <w:t xml:space="preserve"> 10.1, 10.2 and 10.3</w:t>
      </w:r>
      <w:r w:rsidRPr="00DE108C">
        <w:t>.</w:t>
      </w:r>
    </w:p>
    <w:p w14:paraId="4E7D0483" w14:textId="77777777" w:rsidR="00046BD5" w:rsidRPr="00DE108C" w:rsidRDefault="00046BD5" w:rsidP="00ED094E">
      <w:pPr>
        <w:pStyle w:val="Caption"/>
      </w:pPr>
      <w:bookmarkStart w:id="1004" w:name="_Toc207893094"/>
      <w:bookmarkStart w:id="1005" w:name="_Toc208490618"/>
      <w:bookmarkStart w:id="1006" w:name="_Toc208490956"/>
      <w:bookmarkStart w:id="1007" w:name="_Toc208911114"/>
      <w:bookmarkStart w:id="1008" w:name="_Toc210051420"/>
      <w:r w:rsidRPr="00DE108C">
        <w:t>Figure 10.1: Population forecasts</w:t>
      </w:r>
      <w:bookmarkEnd w:id="1004"/>
      <w:bookmarkEnd w:id="1005"/>
      <w:bookmarkEnd w:id="1006"/>
      <w:bookmarkEnd w:id="1007"/>
      <w:bookmarkEnd w:id="1008"/>
    </w:p>
    <w:p w14:paraId="2D22E6F7" w14:textId="3A9A2524" w:rsidR="00046BD5" w:rsidRPr="00DE108C" w:rsidRDefault="00E00D11">
      <w:pPr>
        <w:pStyle w:val="BodyText"/>
      </w:pPr>
      <w:r>
        <w:rPr>
          <w:noProof/>
        </w:rPr>
        <w:drawing>
          <wp:inline distT="0" distB="0" distL="0" distR="0" wp14:anchorId="468F9CF6" wp14:editId="4B8BE858">
            <wp:extent cx="6120130" cy="2799715"/>
            <wp:effectExtent l="0" t="0" r="13970" b="635"/>
            <wp:docPr id="771592404" name="Chart 1" descr="A line graph titled &quot;Population forecasts.&quot; It shows actual and forecasted population data from 2018–19 to 2035–36.">
              <a:extLst xmlns:a="http://schemas.openxmlformats.org/drawingml/2006/main">
                <a:ext uri="{FF2B5EF4-FFF2-40B4-BE49-F238E27FC236}">
                  <a16:creationId xmlns:a16="http://schemas.microsoft.com/office/drawing/2014/main" id="{A2D9003A-AFD7-4E23-AE54-F53D52CA7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F034F3F" w14:textId="77777777" w:rsidR="00046BD5" w:rsidRPr="00DE108C" w:rsidRDefault="00046BD5" w:rsidP="00ED094E">
      <w:pPr>
        <w:pStyle w:val="Caption"/>
      </w:pPr>
      <w:bookmarkStart w:id="1009" w:name="_Toc207893095"/>
      <w:bookmarkStart w:id="1010" w:name="_Toc208490619"/>
      <w:bookmarkStart w:id="1011" w:name="_Toc208490957"/>
      <w:bookmarkStart w:id="1012" w:name="_Toc208911115"/>
      <w:bookmarkStart w:id="1013" w:name="_Toc210051421"/>
      <w:r w:rsidRPr="00DE108C">
        <w:lastRenderedPageBreak/>
        <w:t>Figure 10.2: Residential property forecast</w:t>
      </w:r>
      <w:bookmarkEnd w:id="1009"/>
      <w:bookmarkEnd w:id="1010"/>
      <w:bookmarkEnd w:id="1011"/>
      <w:bookmarkEnd w:id="1012"/>
      <w:bookmarkEnd w:id="1013"/>
    </w:p>
    <w:p w14:paraId="2D040299" w14:textId="5193A9D1" w:rsidR="00046BD5" w:rsidRPr="00DE108C" w:rsidRDefault="00A80392">
      <w:pPr>
        <w:pStyle w:val="BodyText"/>
      </w:pPr>
      <w:r>
        <w:rPr>
          <w:noProof/>
        </w:rPr>
        <w:drawing>
          <wp:inline distT="0" distB="0" distL="0" distR="0" wp14:anchorId="28E69B55" wp14:editId="515D667D">
            <wp:extent cx="6120130" cy="3035300"/>
            <wp:effectExtent l="0" t="0" r="13970" b="12700"/>
            <wp:docPr id="2051768151" name="Chart 1" descr="A line graph titled &quot;Total residential customers.&quot; It shows actual and forecasted residential property counts from 2015–16 to 2035–36.">
              <a:extLst xmlns:a="http://schemas.openxmlformats.org/drawingml/2006/main">
                <a:ext uri="{FF2B5EF4-FFF2-40B4-BE49-F238E27FC236}">
                  <a16:creationId xmlns:a16="http://schemas.microsoft.com/office/drawing/2014/main" id="{56A6E526-4B59-9135-FFE6-FA9A33FE2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DE471D7" w14:textId="77777777" w:rsidR="00046BD5" w:rsidRPr="00DE108C" w:rsidRDefault="00046BD5" w:rsidP="00ED094E">
      <w:pPr>
        <w:pStyle w:val="Caption"/>
      </w:pPr>
      <w:bookmarkStart w:id="1014" w:name="_Toc207893096"/>
      <w:bookmarkStart w:id="1015" w:name="_Toc208490620"/>
      <w:bookmarkStart w:id="1016" w:name="_Toc208490958"/>
      <w:bookmarkStart w:id="1017" w:name="_Toc208911116"/>
      <w:bookmarkStart w:id="1018" w:name="_Toc210051422"/>
      <w:bookmarkStart w:id="1019" w:name="_Toc190878432"/>
      <w:bookmarkStart w:id="1020" w:name="_Ref192079581"/>
      <w:r w:rsidRPr="00DE108C">
        <w:t>Figure 10.3: New residential properties forecasts</w:t>
      </w:r>
      <w:bookmarkEnd w:id="1014"/>
      <w:bookmarkEnd w:id="1015"/>
      <w:bookmarkEnd w:id="1016"/>
      <w:bookmarkEnd w:id="1017"/>
      <w:bookmarkEnd w:id="1018"/>
    </w:p>
    <w:bookmarkEnd w:id="1019"/>
    <w:bookmarkEnd w:id="1020"/>
    <w:p w14:paraId="0FEFF8CF" w14:textId="414CAFDF" w:rsidR="00046BD5" w:rsidRPr="00DE108C" w:rsidRDefault="00694AFC">
      <w:pPr>
        <w:pStyle w:val="BodyText"/>
      </w:pPr>
      <w:r>
        <w:rPr>
          <w:noProof/>
        </w:rPr>
        <w:drawing>
          <wp:inline distT="0" distB="0" distL="0" distR="0" wp14:anchorId="3603E0C5" wp14:editId="0731A02E">
            <wp:extent cx="6120130" cy="2942590"/>
            <wp:effectExtent l="0" t="0" r="13970" b="10160"/>
            <wp:docPr id="1471116833" name="Chart 1" descr="A bar chart titled &quot;New residential properties forecasts.&quot; It shows actual and forecasted numbers of new residential customers from 2016–17 to 2035–36.">
              <a:extLst xmlns:a="http://schemas.openxmlformats.org/drawingml/2006/main">
                <a:ext uri="{FF2B5EF4-FFF2-40B4-BE49-F238E27FC236}">
                  <a16:creationId xmlns:a16="http://schemas.microsoft.com/office/drawing/2014/main" id="{EF00C1C2-88D4-B20B-C115-FBED9F34A9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428DD6B" w14:textId="77777777" w:rsidR="00046BD5" w:rsidRPr="00DE108C" w:rsidRDefault="00046BD5" w:rsidP="00ED094E">
      <w:bookmarkStart w:id="1021" w:name="_Toc196745289"/>
    </w:p>
    <w:p w14:paraId="2EC2F889" w14:textId="77777777" w:rsidR="00046BD5" w:rsidRPr="00DE108C" w:rsidRDefault="00046BD5">
      <w:pPr>
        <w:pStyle w:val="Heading2"/>
      </w:pPr>
      <w:bookmarkStart w:id="1022" w:name="_Toc207892928"/>
      <w:bookmarkStart w:id="1023" w:name="_Toc207853421"/>
      <w:r w:rsidRPr="00DE108C">
        <w:t>10.2 Waterways and drainage</w:t>
      </w:r>
      <w:bookmarkEnd w:id="1021"/>
      <w:bookmarkEnd w:id="1022"/>
      <w:bookmarkEnd w:id="1023"/>
    </w:p>
    <w:p w14:paraId="08C56F1F" w14:textId="5805ACA2" w:rsidR="00046BD5" w:rsidRPr="00DE108C" w:rsidRDefault="00046BD5" w:rsidP="00ED094E">
      <w:r w:rsidRPr="00DE108C">
        <w:t xml:space="preserve">Waterways and drainage customer forecasting is based on rateable properties and aligns with the </w:t>
      </w:r>
      <w:r w:rsidR="009F3DDB">
        <w:t>data provided by the Victorian Government</w:t>
      </w:r>
      <w:r w:rsidRPr="00DE108C">
        <w:t xml:space="preserve">. For pricing purposes, we use mid-year figures (the average of the previous year and current year) for the metropolitan water businesses </w:t>
      </w:r>
      <w:r w:rsidR="00325AB2" w:rsidRPr="00DE108C">
        <w:t>that</w:t>
      </w:r>
      <w:r w:rsidRPr="00DE108C">
        <w:t xml:space="preserve"> bill their customers quarterly. </w:t>
      </w:r>
    </w:p>
    <w:p w14:paraId="1944B974" w14:textId="7F11CB71" w:rsidR="00046BD5" w:rsidRPr="00DE108C" w:rsidRDefault="00046BD5" w:rsidP="00ED094E">
      <w:r w:rsidRPr="00DE108C">
        <w:t>For residential and rural customers, we have directly adopted the forecast growth</w:t>
      </w:r>
      <w:r w:rsidR="009F3DDB">
        <w:t xml:space="preserve"> provided by the Victorian Government</w:t>
      </w:r>
      <w:r w:rsidRPr="00DE108C">
        <w:t xml:space="preserve"> to the base year 2024-25 customer numbers. For non-residential customers</w:t>
      </w:r>
      <w:r w:rsidR="00325AB2" w:rsidRPr="00DE108C">
        <w:t>,</w:t>
      </w:r>
      <w:r w:rsidRPr="00DE108C">
        <w:t xml:space="preserve"> we have adopted the forecast growth</w:t>
      </w:r>
      <w:r w:rsidR="009F3DDB">
        <w:t xml:space="preserve"> provided by the Victorian Government</w:t>
      </w:r>
      <w:r w:rsidRPr="00DE108C">
        <w:t xml:space="preserve"> scaled at a ratio based on historical and forecast data comparing non-residential growth rates to residential growth rates. The factor adopted is 80 per cent. </w:t>
      </w:r>
      <w:r w:rsidR="4607C336">
        <w:t>W</w:t>
      </w:r>
      <w:r>
        <w:t>e</w:t>
      </w:r>
      <w:r w:rsidRPr="00DE108C">
        <w:t xml:space="preserve"> have</w:t>
      </w:r>
      <w:r>
        <w:t xml:space="preserve"> </w:t>
      </w:r>
      <w:r w:rsidR="4641EB71">
        <w:t>also</w:t>
      </w:r>
      <w:r w:rsidRPr="00DE108C">
        <w:t xml:space="preserve"> removed the tariffs </w:t>
      </w:r>
      <w:r w:rsidRPr="00DE108C">
        <w:lastRenderedPageBreak/>
        <w:t>for non-residential customers to be charged based on the net annual value on a minimum and above minimum basis</w:t>
      </w:r>
      <w:r w:rsidR="00A43F02">
        <w:t>. This means that</w:t>
      </w:r>
      <w:r w:rsidRPr="00DE108C">
        <w:t xml:space="preserve"> </w:t>
      </w:r>
      <w:r w:rsidR="00A43F02" w:rsidRPr="00DE108C">
        <w:t xml:space="preserve">all non-residential customers are to be charged the same rate for the 2026-31 regulatory period. </w:t>
      </w:r>
      <w:r w:rsidR="005A3132">
        <w:t xml:space="preserve">Further information on the tariff reform is in </w:t>
      </w:r>
      <w:r w:rsidR="69D56EBE">
        <w:t>S</w:t>
      </w:r>
      <w:r w:rsidRPr="00DE108C">
        <w:t>ection 11</w:t>
      </w:r>
      <w:r w:rsidR="00A0557C">
        <w:t>.4</w:t>
      </w:r>
      <w:r w:rsidR="1FB198EA">
        <w:t xml:space="preserve"> (Wate</w:t>
      </w:r>
      <w:r w:rsidR="003E5B4A">
        <w:t>r</w:t>
      </w:r>
      <w:r w:rsidR="1FB198EA">
        <w:t>ways and drainage charges)</w:t>
      </w:r>
      <w:r w:rsidR="005A3132">
        <w:t>.</w:t>
      </w:r>
    </w:p>
    <w:p w14:paraId="7C8B4BA9" w14:textId="40614DE1" w:rsidR="00046BD5" w:rsidRPr="00DE108C" w:rsidRDefault="00046BD5" w:rsidP="00ED094E">
      <w:r w:rsidRPr="00DE108C">
        <w:t xml:space="preserve">The forecasts by each customer type </w:t>
      </w:r>
      <w:r w:rsidR="4288A1D8">
        <w:t>are</w:t>
      </w:r>
      <w:r w:rsidRPr="00DE108C">
        <w:t xml:space="preserve"> shown in Figure 10.4.</w:t>
      </w:r>
    </w:p>
    <w:p w14:paraId="06E29F43" w14:textId="77777777" w:rsidR="00046BD5" w:rsidRPr="00DE108C" w:rsidRDefault="00046BD5" w:rsidP="00ED094E">
      <w:pPr>
        <w:pStyle w:val="Caption"/>
      </w:pPr>
      <w:bookmarkStart w:id="1024" w:name="_Toc207893097"/>
      <w:bookmarkStart w:id="1025" w:name="_Toc208490621"/>
      <w:bookmarkStart w:id="1026" w:name="_Toc208490959"/>
      <w:bookmarkStart w:id="1027" w:name="_Toc208911117"/>
      <w:bookmarkStart w:id="1028" w:name="_Toc210051423"/>
      <w:r w:rsidRPr="00DE108C">
        <w:t>Figure 10.4: Waterways and drainage customer numbers (millions)</w:t>
      </w:r>
      <w:bookmarkEnd w:id="1024"/>
      <w:bookmarkEnd w:id="1025"/>
      <w:bookmarkEnd w:id="1026"/>
      <w:bookmarkEnd w:id="1027"/>
      <w:bookmarkEnd w:id="1028"/>
    </w:p>
    <w:p w14:paraId="3F049366" w14:textId="77777777" w:rsidR="00046BD5" w:rsidRPr="00DE108C" w:rsidRDefault="00046BD5" w:rsidP="00271BD8">
      <w:r w:rsidRPr="00DE108C">
        <w:rPr>
          <w:noProof/>
        </w:rPr>
        <w:drawing>
          <wp:inline distT="0" distB="0" distL="0" distR="0" wp14:anchorId="3CD662C4" wp14:editId="15DAC53A">
            <wp:extent cx="6120130" cy="3241343"/>
            <wp:effectExtent l="0" t="0" r="0" b="0"/>
            <wp:docPr id="1502539825" name="Chart 1" descr="A segmented bar chart titled &quot;Waterways and drainage customer numbers (millions).&quot; It shows actual and forecasted customer numbers from 2016–17 to 2030–31, grouped into three regulatory periods: 2016–21, 2021–26, and 2026–31.&#10;&#10;The x-axis represents financial years.&#10;The y-axis shows customer numbers in millions, ranging from 1.00 to 2.80.&#10;&#10;Each bar is segmented by customer type:&#10;&#10;Residential (dark blue)&#10;Non-Residential (blue)&#10;Rural (light blue)&#10;&#10;Two trend lines are plotted:&#10;&#10;PD21 (blue line with circles)&#10;PD16 (yellow line with circles)&#10;&#10;Customer numbers increase steadily over time:&#10;&#10;2016–17: ~2.06 million&#10;2020–21: ~2.27 million&#10;2025–26: ~2.47 million&#10;2030–31: ~2.70 million&#10;&#10;The chart highlights consistent growth in waterways and drainage customers across all categories.">
              <a:extLst xmlns:a="http://schemas.openxmlformats.org/drawingml/2006/main">
                <a:ext uri="{FF2B5EF4-FFF2-40B4-BE49-F238E27FC236}">
                  <a16:creationId xmlns:a16="http://schemas.microsoft.com/office/drawing/2014/main" id="{DE32FC6C-7257-D88B-48D9-B8FB3E02B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2D978387" w14:textId="77777777" w:rsidR="00046BD5" w:rsidRPr="00DE108C" w:rsidRDefault="00046BD5">
      <w:pPr>
        <w:pStyle w:val="Heading2"/>
      </w:pPr>
      <w:bookmarkStart w:id="1029" w:name="_Toc196745290"/>
      <w:bookmarkStart w:id="1030" w:name="_Toc207892929"/>
      <w:bookmarkStart w:id="1031" w:name="_Toc207853422"/>
      <w:r w:rsidRPr="00DE108C">
        <w:t>10.3 Bulk water</w:t>
      </w:r>
      <w:bookmarkEnd w:id="1029"/>
      <w:bookmarkEnd w:id="1030"/>
      <w:bookmarkEnd w:id="1031"/>
    </w:p>
    <w:p w14:paraId="289D92DC" w14:textId="2C7F2D06" w:rsidR="00046BD5" w:rsidRPr="00DE108C" w:rsidRDefault="00046BD5" w:rsidP="00ED094E">
      <w:r w:rsidRPr="00DE108C">
        <w:t>As a wholesaler, we use a bottom-up approach to forecasting demand, as well as a top-down verification. We rely on our water corporation customers to develop our bottom-up demand forecasts. These represent an aggregation of recent forecasts developed by the water corporations. We request and examine key underlying assumptions made by each water corporation, applying a materiality test to the question of whether or not further refinement or clarification of assumptions is required. This is compared against applying a growth factor to total demand that is consistent with the historical trends and projected population growth. This is a continuation of the methodology we applied in developing our PS16 and PS21 forecasts.</w:t>
      </w:r>
    </w:p>
    <w:p w14:paraId="4017B9F8" w14:textId="05B35B39" w:rsidR="00046BD5" w:rsidRPr="00DE108C" w:rsidRDefault="00046BD5" w:rsidP="00ED094E">
      <w:r w:rsidRPr="00DE108C">
        <w:t>Our water forecasts are described in detail in our Demand Supplement. They show that the megalitres of water sold will grow on average</w:t>
      </w:r>
      <w:r w:rsidR="00696A3C" w:rsidRPr="00DE108C">
        <w:t xml:space="preserve"> by</w:t>
      </w:r>
      <w:r w:rsidRPr="00DE108C">
        <w:t xml:space="preserve"> 0.80 per cent per annum over the PS26 regulatory period. We are comfortable that the underlying assumptions are reasonable and reflect the underlying trends of more water connections, with a declining consumption per connection. This trend is due to a combination of water corporation end use model assumptions around new properties being (on average) smaller, with less outdoor water usage, and the overall stock of water-using appliances becoming more efficient over time.</w:t>
      </w:r>
    </w:p>
    <w:p w14:paraId="694633D6" w14:textId="0BA26865" w:rsidR="00046BD5" w:rsidRPr="00DE108C" w:rsidRDefault="00046BD5" w:rsidP="00ED094E">
      <w:r w:rsidRPr="00DE108C">
        <w:t>Overall, actual water demands have closely followed forecasts</w:t>
      </w:r>
      <w:r w:rsidR="5877FA2D">
        <w:t>,</w:t>
      </w:r>
      <w:r w:rsidRPr="00DE108C">
        <w:t xml:space="preserve"> which provides confidence in the general approach to water demand forecasting. This is shown in Figure 10.5 along with our forecast. </w:t>
      </w:r>
    </w:p>
    <w:p w14:paraId="453F834A" w14:textId="77777777" w:rsidR="00046BD5" w:rsidRPr="00DE108C" w:rsidRDefault="00046BD5" w:rsidP="00ED094E">
      <w:pPr>
        <w:pStyle w:val="Caption"/>
      </w:pPr>
      <w:bookmarkStart w:id="1032" w:name="_Ref202971944"/>
      <w:bookmarkStart w:id="1033" w:name="_Toc207893098"/>
      <w:bookmarkStart w:id="1034" w:name="_Toc208490622"/>
      <w:bookmarkStart w:id="1035" w:name="_Toc208490960"/>
      <w:bookmarkStart w:id="1036" w:name="_Toc208911118"/>
      <w:bookmarkStart w:id="1037" w:name="_Toc210051424"/>
      <w:r w:rsidRPr="00DE108C">
        <w:lastRenderedPageBreak/>
        <w:t>Figure 10.5</w:t>
      </w:r>
      <w:bookmarkEnd w:id="1032"/>
      <w:r w:rsidRPr="00DE108C">
        <w:t>: Treated bulk water demand – historical against 2021 Determination and forecast</w:t>
      </w:r>
      <w:bookmarkEnd w:id="1033"/>
      <w:bookmarkEnd w:id="1034"/>
      <w:bookmarkEnd w:id="1035"/>
      <w:bookmarkEnd w:id="1036"/>
      <w:bookmarkEnd w:id="1037"/>
    </w:p>
    <w:p w14:paraId="309C92F6" w14:textId="77777777" w:rsidR="00046BD5" w:rsidRPr="00DE108C" w:rsidRDefault="00046BD5">
      <w:pPr>
        <w:pStyle w:val="BodyText"/>
      </w:pPr>
      <w:r w:rsidRPr="00DE108C">
        <w:rPr>
          <w:noProof/>
        </w:rPr>
        <w:drawing>
          <wp:inline distT="0" distB="0" distL="0" distR="0" wp14:anchorId="6551ACA2" wp14:editId="7F453927">
            <wp:extent cx="5797550" cy="3755390"/>
            <wp:effectExtent l="0" t="0" r="0" b="0"/>
            <wp:docPr id="1031306764" name="Picture 1" descr="A line graph titled &quot;Treated bulk water demand – historical against 2021 Determination and forecast.&quot; It shows actual and forecasted treated bulk water demand from 2014–15 to 2035–36, measured in megalitres (ML) on the y-axis, ranging from 300,000 ML to 600,000 ML.&#10;Three lines are plotted:&#10;&#10;Actual (dark blue) – historical demand data&#10;2021 Determination (medium blue) – forecast made in 2021&#10;PS26 Forecast (light blue) – updated forecast&#10;&#10;The actual demand shows fluctuations with a general upward trend until 2020–21, followed by a dip and then a rise. Both forecasts show increasing demand, with the PS26 Forecast diverging slightly from the 2021 Determination beyond 2025–26, indicating different expectations for future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06764" name="Picture 1" descr="A line graph titled &quot;Treated bulk water demand – historical against 2021 Determination and forecast.&quot; It shows actual and forecasted treated bulk water demand from 2014–15 to 2035–36, measured in megalitres (ML) on the y-axis, ranging from 300,000 ML to 600,000 ML.&#10;Three lines are plotted:&#10;&#10;Actual (dark blue) – historical demand data&#10;2021 Determination (medium blue) – forecast made in 2021&#10;PS26 Forecast (light blue) – updated forecast&#10;&#10;The actual demand shows fluctuations with a general upward trend until 2020–21, followed by a dip and then a rise. Both forecasts show increasing demand, with the PS26 Forecast diverging slightly from the 2021 Determination beyond 2025–26, indicating different expectations for future water use."/>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5797550" cy="3755390"/>
                    </a:xfrm>
                    <a:prstGeom prst="rect">
                      <a:avLst/>
                    </a:prstGeom>
                    <a:noFill/>
                  </pic:spPr>
                </pic:pic>
              </a:graphicData>
            </a:graphic>
          </wp:inline>
        </w:drawing>
      </w:r>
    </w:p>
    <w:p w14:paraId="01BEC27C" w14:textId="17526018" w:rsidR="00046BD5" w:rsidRPr="00DE108C" w:rsidRDefault="00046BD5" w:rsidP="00ED094E">
      <w:r w:rsidRPr="00DE108C">
        <w:t xml:space="preserve">Over the 2020-21 to 2024-25 five-year period, actual demands were around 0.8 per cent or 18,920 megalitres greater than the </w:t>
      </w:r>
      <w:r w:rsidR="26C33E19" w:rsidRPr="00DE108C">
        <w:t>2021</w:t>
      </w:r>
      <w:r w:rsidRPr="00DE108C">
        <w:t xml:space="preserve"> Determination forecast. Of note, the PS21 forecast would have been greater than actual demands if we exclude</w:t>
      </w:r>
      <w:r w:rsidR="2ABDE50E" w:rsidRPr="00DE108C">
        <w:t>d</w:t>
      </w:r>
      <w:r w:rsidRPr="00DE108C">
        <w:t xml:space="preserve"> the 2024-25 year. This is due to the 2024-25 year having record high water demands, primarily driven by weather. </w:t>
      </w:r>
      <w:r w:rsidR="002259B0" w:rsidRPr="00DE108C">
        <w:t>Figure 10.6</w:t>
      </w:r>
      <w:r w:rsidRPr="00DE108C">
        <w:t xml:space="preserve"> shows the variation in total annual rainfall and average daily maximum temperature for the last 11 years compared to the 1971-2025 average at Melbourne Airport.</w:t>
      </w:r>
      <w:r w:rsidRPr="00DE108C">
        <w:rPr>
          <w:vertAlign w:val="superscript"/>
        </w:rPr>
        <w:footnoteReference w:id="27"/>
      </w:r>
      <w:r w:rsidRPr="00DE108C">
        <w:t xml:space="preserve"> </w:t>
      </w:r>
      <w:r w:rsidR="3A93F30E" w:rsidRPr="00DE108C">
        <w:t xml:space="preserve">It shows that </w:t>
      </w:r>
      <w:r w:rsidRPr="00DE108C">
        <w:t xml:space="preserve">2024-25 is the hottest year and one of the driest years as an outlier. Therefore, the forecast assumes a slight decrease in 2025-26 and a return to the long-term trend. </w:t>
      </w:r>
    </w:p>
    <w:p w14:paraId="0E37BDBB" w14:textId="77777777" w:rsidR="00046BD5" w:rsidRPr="00DE108C" w:rsidRDefault="00046BD5" w:rsidP="00ED094E">
      <w:pPr>
        <w:pStyle w:val="Caption"/>
      </w:pPr>
      <w:bookmarkStart w:id="1038" w:name="_Ref202969009"/>
      <w:bookmarkStart w:id="1039" w:name="_Toc207893099"/>
      <w:bookmarkStart w:id="1040" w:name="_Toc208490623"/>
      <w:bookmarkStart w:id="1041" w:name="_Toc208490961"/>
      <w:bookmarkStart w:id="1042" w:name="_Toc208911119"/>
      <w:bookmarkStart w:id="1043" w:name="_Toc210051425"/>
      <w:r w:rsidRPr="00DE108C">
        <w:lastRenderedPageBreak/>
        <w:t>Figure 10.6</w:t>
      </w:r>
      <w:bookmarkEnd w:id="1038"/>
      <w:r w:rsidRPr="00DE108C">
        <w:t>: Melbourne Airport weather analysis – variation to the 1971-2025 average</w:t>
      </w:r>
      <w:bookmarkEnd w:id="1039"/>
      <w:bookmarkEnd w:id="1040"/>
      <w:bookmarkEnd w:id="1041"/>
      <w:bookmarkEnd w:id="1042"/>
      <w:bookmarkEnd w:id="1043"/>
    </w:p>
    <w:p w14:paraId="0B7668A2" w14:textId="77777777" w:rsidR="00046BD5" w:rsidRPr="00DE108C" w:rsidRDefault="00046BD5" w:rsidP="00ED094E">
      <w:r w:rsidRPr="00DE108C">
        <w:rPr>
          <w:noProof/>
        </w:rPr>
        <w:drawing>
          <wp:inline distT="0" distB="0" distL="0" distR="0" wp14:anchorId="2AE41CEB" wp14:editId="1D6D2586">
            <wp:extent cx="5724525" cy="3124200"/>
            <wp:effectExtent l="0" t="0" r="0" b="0"/>
            <wp:docPr id="1491370261" name="drawing" descr="Melbourne Airport weather analysis – variation to the 1971–2025 average. Scatter plot showing annual variations in average maximum temperature (x-axis, from -2.0°C to 2.0°C) and total rainfall (y-axis, from -150mm to 150mm). Each point represents a year, with labels for selected years including 2022–23 and 2019–20. The year 2024–25 is highlighted with a red circle near the far right, indicating significantly hotte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70261" name="drawing" descr="Melbourne Airport weather analysis – variation to the 1971–2025 average. Scatter plot showing annual variations in average maximum temperature (x-axis, from -2.0°C to 2.0°C) and total rainfall (y-axis, from -150mm to 150mm). Each point represents a year, with labels for selected years including 2022–23 and 2019–20. The year 2024–25 is highlighted with a red circle near the far right, indicating significantly hotter conditions."/>
                    <pic:cNvPicPr/>
                  </pic:nvPicPr>
                  <pic:blipFill>
                    <a:blip r:embed="rId114">
                      <a:extLst>
                        <a:ext uri="{28A0092B-C50C-407E-A947-70E740481C1C}">
                          <a14:useLocalDpi xmlns:a14="http://schemas.microsoft.com/office/drawing/2010/main"/>
                        </a:ext>
                      </a:extLst>
                    </a:blip>
                    <a:stretch>
                      <a:fillRect/>
                    </a:stretch>
                  </pic:blipFill>
                  <pic:spPr>
                    <a:xfrm>
                      <a:off x="0" y="0"/>
                      <a:ext cx="5724525" cy="3124200"/>
                    </a:xfrm>
                    <a:prstGeom prst="rect">
                      <a:avLst/>
                    </a:prstGeom>
                  </pic:spPr>
                </pic:pic>
              </a:graphicData>
            </a:graphic>
          </wp:inline>
        </w:drawing>
      </w:r>
    </w:p>
    <w:p w14:paraId="5898D416" w14:textId="48369389" w:rsidR="00046BD5" w:rsidRPr="00DE108C" w:rsidRDefault="002259B0" w:rsidP="00ED094E">
      <w:r w:rsidRPr="00DE108C">
        <w:t>Figure 10.7</w:t>
      </w:r>
      <w:r w:rsidR="00046BD5" w:rsidRPr="00DE108C">
        <w:t xml:space="preserve"> summarises our demand forecast for treated bulk water by metropolitan water corporation</w:t>
      </w:r>
      <w:r w:rsidR="0461F721" w:rsidRPr="00DE108C">
        <w:t>s</w:t>
      </w:r>
      <w:r w:rsidR="00046BD5" w:rsidRPr="00DE108C">
        <w:t xml:space="preserve"> and groups the regional water corporations together (Barwon Water, South Gippsland Water, Westernport Water), showing actual demand from 2020-21 to 2024-25 and forecast demand from 2025-26 to 2035-36.</w:t>
      </w:r>
      <w:r w:rsidR="00046BD5" w:rsidRPr="00A0557C">
        <w:rPr>
          <w:vertAlign w:val="superscript"/>
        </w:rPr>
        <w:footnoteReference w:id="28"/>
      </w:r>
    </w:p>
    <w:p w14:paraId="7A0D2389" w14:textId="77777777" w:rsidR="00046BD5" w:rsidRPr="00DE108C" w:rsidRDefault="00046BD5" w:rsidP="00ED094E">
      <w:pPr>
        <w:pStyle w:val="Caption"/>
      </w:pPr>
      <w:bookmarkStart w:id="1044" w:name="_Ref192606100"/>
      <w:bookmarkStart w:id="1045" w:name="_Ref192606095"/>
      <w:bookmarkStart w:id="1046" w:name="_Toc207893100"/>
      <w:bookmarkStart w:id="1047" w:name="_Toc208490624"/>
      <w:bookmarkStart w:id="1048" w:name="_Toc208490962"/>
      <w:bookmarkStart w:id="1049" w:name="_Toc208911120"/>
      <w:bookmarkStart w:id="1050" w:name="_Toc210051426"/>
      <w:r w:rsidRPr="00DE108C">
        <w:t>Figure 10.7</w:t>
      </w:r>
      <w:bookmarkEnd w:id="1044"/>
      <w:r w:rsidRPr="00DE108C">
        <w:t>: Treated bulk water demand</w:t>
      </w:r>
      <w:bookmarkEnd w:id="1045"/>
      <w:r w:rsidRPr="00DE108C">
        <w:t xml:space="preserve"> 2020-21 to 2035-36</w:t>
      </w:r>
      <w:bookmarkEnd w:id="1046"/>
      <w:bookmarkEnd w:id="1047"/>
      <w:bookmarkEnd w:id="1048"/>
      <w:bookmarkEnd w:id="1049"/>
      <w:bookmarkEnd w:id="1050"/>
    </w:p>
    <w:p w14:paraId="65192CEA" w14:textId="77777777" w:rsidR="00046BD5" w:rsidRPr="00DE108C" w:rsidRDefault="00046BD5">
      <w:pPr>
        <w:pStyle w:val="BodyText"/>
      </w:pPr>
      <w:r w:rsidRPr="00DE108C">
        <w:rPr>
          <w:noProof/>
        </w:rPr>
        <w:drawing>
          <wp:inline distT="0" distB="0" distL="0" distR="0" wp14:anchorId="153C304C" wp14:editId="4E473947">
            <wp:extent cx="5479300" cy="3286125"/>
            <wp:effectExtent l="0" t="0" r="7620" b="0"/>
            <wp:docPr id="63482276" name="Picture 2" descr="Treated bulk water demand from 2020–21 to 2035–36. Bar chart showing annual treated bulk water demand in megaliters (ML), ranging from 0 to 600,000 ML. Each bar is divided into segments representing Greater Western Water (dark blue), South East Water (light blue), Yarra Valley Water (medium blue), and Regional water corporations (green). The chart shows a rising trend over time, with forecasted values marked '(f)' from 2025–26 onward. Actual consumption exceeded 500 gigalitres in 2024-25 and is set to be higher again by the end of the regulator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2276" name="Picture 2" descr="Treated bulk water demand from 2020–21 to 2035–36. Bar chart showing annual treated bulk water demand in megaliters (ML), ranging from 0 to 600,000 ML. Each bar is divided into segments representing Greater Western Water (dark blue), South East Water (light blue), Yarra Valley Water (medium blue), and Regional water corporations (green). The chart shows a rising trend over time, with forecasted values marked '(f)' from 2025–26 onward. Actual consumption exceeded 500 gigalitres in 2024-25 and is set to be higher again by the end of the regulatory period."/>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5490419" cy="3292793"/>
                    </a:xfrm>
                    <a:prstGeom prst="rect">
                      <a:avLst/>
                    </a:prstGeom>
                    <a:noFill/>
                  </pic:spPr>
                </pic:pic>
              </a:graphicData>
            </a:graphic>
          </wp:inline>
        </w:drawing>
      </w:r>
    </w:p>
    <w:p w14:paraId="11DCE773" w14:textId="77777777" w:rsidR="00046BD5" w:rsidRPr="00DE108C" w:rsidRDefault="00046BD5">
      <w:pPr>
        <w:pStyle w:val="Heading2"/>
      </w:pPr>
      <w:bookmarkStart w:id="1051" w:name="_Toc207892930"/>
      <w:bookmarkStart w:id="1052" w:name="_Toc207853423"/>
      <w:r w:rsidRPr="00DE108C">
        <w:lastRenderedPageBreak/>
        <w:t>10.4 Bulk sewage</w:t>
      </w:r>
      <w:bookmarkStart w:id="1053" w:name="_Toc196745291"/>
      <w:bookmarkEnd w:id="1051"/>
      <w:bookmarkEnd w:id="1052"/>
      <w:r w:rsidRPr="00DE108C">
        <w:t xml:space="preserve"> </w:t>
      </w:r>
      <w:bookmarkEnd w:id="1053"/>
    </w:p>
    <w:p w14:paraId="237E31B7" w14:textId="7F8C9DF2" w:rsidR="00046BD5" w:rsidRPr="00DE108C" w:rsidRDefault="00046BD5" w:rsidP="00ED094E">
      <w:r w:rsidRPr="00DE108C">
        <w:t>Demand forecasting for sewage requires us to consider the five ‘treatable’ parameters that our bulk sewage treatment facilities are designed to manage. These are:</w:t>
      </w:r>
    </w:p>
    <w:p w14:paraId="5B136985" w14:textId="20BF05F4" w:rsidR="00046BD5" w:rsidRPr="00DE108C" w:rsidRDefault="00046BD5" w:rsidP="00CA5A2A">
      <w:pPr>
        <w:pStyle w:val="ListBullet"/>
        <w:rPr>
          <w:szCs w:val="20"/>
        </w:rPr>
      </w:pPr>
      <w:r w:rsidRPr="00DE108C">
        <w:t>sewage flows</w:t>
      </w:r>
    </w:p>
    <w:p w14:paraId="4929F122" w14:textId="5B542BD1" w:rsidR="00046BD5" w:rsidRPr="00DE108C" w:rsidRDefault="00046BD5" w:rsidP="00CA5A2A">
      <w:pPr>
        <w:pStyle w:val="ListBullet"/>
        <w:rPr>
          <w:szCs w:val="20"/>
        </w:rPr>
      </w:pPr>
      <w:r w:rsidRPr="00DE108C">
        <w:t>biochemical oxygen demand (BOD</w:t>
      </w:r>
      <w:r>
        <w:t>)</w:t>
      </w:r>
    </w:p>
    <w:p w14:paraId="4C4275F7" w14:textId="7B299C4C" w:rsidR="00046BD5" w:rsidRPr="00DE108C" w:rsidRDefault="00046BD5" w:rsidP="00CA5A2A">
      <w:pPr>
        <w:pStyle w:val="ListBullet"/>
        <w:rPr>
          <w:szCs w:val="20"/>
        </w:rPr>
      </w:pPr>
      <w:r w:rsidRPr="00DE108C">
        <w:t>suspended solids (SS</w:t>
      </w:r>
      <w:r>
        <w:t>)</w:t>
      </w:r>
    </w:p>
    <w:p w14:paraId="2D892CF0" w14:textId="5F978712" w:rsidR="00046BD5" w:rsidRPr="00DE108C" w:rsidRDefault="00046BD5" w:rsidP="00CA5A2A">
      <w:pPr>
        <w:pStyle w:val="ListBullet"/>
        <w:rPr>
          <w:szCs w:val="20"/>
        </w:rPr>
      </w:pPr>
      <w:r w:rsidRPr="00DE108C">
        <w:t>total Kjeldahl nitrogen (TKN)</w:t>
      </w:r>
    </w:p>
    <w:p w14:paraId="20E55CCE" w14:textId="25C03068" w:rsidR="00046BD5" w:rsidRPr="00DE108C" w:rsidRDefault="00046BD5" w:rsidP="00CA5A2A">
      <w:pPr>
        <w:pStyle w:val="ListBullet"/>
        <w:rPr>
          <w:szCs w:val="20"/>
        </w:rPr>
      </w:pPr>
      <w:r w:rsidRPr="00DE108C">
        <w:t xml:space="preserve">inorganic total dissolved solids (iTDS). </w:t>
      </w:r>
    </w:p>
    <w:p w14:paraId="62A7E378" w14:textId="36333FAA" w:rsidR="00046BD5" w:rsidRPr="00DE108C" w:rsidRDefault="00046BD5" w:rsidP="00ED094E">
      <w:pPr>
        <w:rPr>
          <w:color w:val="auto"/>
          <w:szCs w:val="20"/>
        </w:rPr>
      </w:pPr>
      <w:r w:rsidRPr="00DE108C">
        <w:t>We have a great number and diversity of sources of sewage and unlike water, there is an absence of property-level metering. This makes sewer demand forecasting more challenging than forecasting water. Measurement of sewage flows and loads occurs at a limited number of locations</w:t>
      </w:r>
      <w:r w:rsidR="37E976C6">
        <w:t>,</w:t>
      </w:r>
      <w:r w:rsidRPr="00DE108C">
        <w:t xml:space="preserve"> which presents challenges with respect to verifying contributions from respective sewerage customers (and even whole customer segments) to total flows and loads measured at our treatment plants.</w:t>
      </w:r>
    </w:p>
    <w:p w14:paraId="5DCE5160" w14:textId="0D5C9DF1" w:rsidR="00046BD5" w:rsidRPr="00DE108C" w:rsidRDefault="00046BD5" w:rsidP="00ED094E">
      <w:r w:rsidRPr="00DE108C">
        <w:t xml:space="preserve">In light of these challenges, we applied a new and highly collaborative methodology for the development of our PS21 forecasts. In response to ESC feedback regarding that process and learning from observations from sewage flows and loads from recent years, we have developed this methodology further outlined in our Demand Supplement. In particular, we have: </w:t>
      </w:r>
    </w:p>
    <w:p w14:paraId="4F14C776" w14:textId="0BFF0A52" w:rsidR="00046BD5" w:rsidRPr="00DE108C" w:rsidRDefault="26A3E7CA" w:rsidP="00CA5A2A">
      <w:pPr>
        <w:pStyle w:val="ListBullet"/>
      </w:pPr>
      <w:r>
        <w:t>u</w:t>
      </w:r>
      <w:r w:rsidR="00046BD5">
        <w:t>pdated</w:t>
      </w:r>
      <w:r w:rsidR="00046BD5" w:rsidRPr="00DE108C">
        <w:t xml:space="preserve"> the demand forecasting methodology to use trends from the last 10 years of demand data, rather than just the last </w:t>
      </w:r>
      <w:r w:rsidR="00102DD8" w:rsidRPr="00DE108C">
        <w:t>five</w:t>
      </w:r>
      <w:r w:rsidR="00046BD5" w:rsidRPr="00DE108C">
        <w:t xml:space="preserve"> years, to determine more representative average baselines for </w:t>
      </w:r>
      <w:r w:rsidR="00C8268C" w:rsidRPr="00DE108C">
        <w:t xml:space="preserve">the </w:t>
      </w:r>
      <w:r w:rsidR="00046BD5" w:rsidRPr="00DE108C">
        <w:t>demand forecasts</w:t>
      </w:r>
    </w:p>
    <w:p w14:paraId="6B34CFCF" w14:textId="523B990C" w:rsidR="00046BD5" w:rsidRPr="00DE108C" w:rsidRDefault="100C103D" w:rsidP="00CA5A2A">
      <w:pPr>
        <w:pStyle w:val="ListBullet"/>
      </w:pPr>
      <w:r>
        <w:t>i</w:t>
      </w:r>
      <w:r w:rsidR="00046BD5">
        <w:t>mproved</w:t>
      </w:r>
      <w:r w:rsidR="00046BD5" w:rsidRPr="00DE108C">
        <w:t xml:space="preserve"> visibility of the impact of customer-derived and wet weather volumes on total sewage volumes, with rainfall-related inflows having a greater impact on volume variability than customers.</w:t>
      </w:r>
    </w:p>
    <w:p w14:paraId="64151F26" w14:textId="77777777" w:rsidR="00046BD5" w:rsidRPr="00DE108C" w:rsidRDefault="00046BD5" w:rsidP="00ED094E">
      <w:r w:rsidRPr="00DE108C">
        <w:t>We outline in our supporting documentation referenced in the Demand Supplement details on the following methodology changes:</w:t>
      </w:r>
    </w:p>
    <w:p w14:paraId="1958E4D3" w14:textId="77777777" w:rsidR="00046BD5" w:rsidRPr="00DE108C" w:rsidRDefault="00046BD5" w:rsidP="00CA5A2A">
      <w:pPr>
        <w:pStyle w:val="ListBullet"/>
      </w:pPr>
      <w:r w:rsidRPr="00DE108C">
        <w:t>Sewage Demand Forecast Overarching Methodology</w:t>
      </w:r>
    </w:p>
    <w:p w14:paraId="024F3B56" w14:textId="77777777" w:rsidR="00046BD5" w:rsidRPr="00DE108C" w:rsidRDefault="00046BD5" w:rsidP="00CA5A2A">
      <w:pPr>
        <w:pStyle w:val="ListBullet"/>
      </w:pPr>
      <w:r w:rsidRPr="00DE108C">
        <w:t>Sewage Demand Forecast Baseline and Variance of Loads</w:t>
      </w:r>
    </w:p>
    <w:p w14:paraId="34A40D10" w14:textId="77777777" w:rsidR="00046BD5" w:rsidRPr="00DE108C" w:rsidRDefault="00046BD5" w:rsidP="00CA5A2A">
      <w:pPr>
        <w:pStyle w:val="ListBullet"/>
      </w:pPr>
      <w:r w:rsidRPr="00DE108C">
        <w:t>Sewage Demand Forecast Flow Forecasting Approach</w:t>
      </w:r>
    </w:p>
    <w:p w14:paraId="1495E8D9" w14:textId="77777777" w:rsidR="00046BD5" w:rsidRPr="00DE108C" w:rsidRDefault="00046BD5" w:rsidP="00CA5A2A">
      <w:pPr>
        <w:pStyle w:val="ListBullet"/>
      </w:pPr>
      <w:r w:rsidRPr="00DE108C">
        <w:t>Mem_FY2324 Sensitivity Analysis of Bottom up Forecast for Treatable Sewage Loads.</w:t>
      </w:r>
    </w:p>
    <w:p w14:paraId="561282A1" w14:textId="77777777" w:rsidR="00046BD5" w:rsidRPr="00DE108C" w:rsidRDefault="00046BD5" w:rsidP="00ED094E">
      <w:r w:rsidRPr="00DE108C">
        <w:t>At a high level, the sewage forecasting methodology is a bottom-up mass balance model that considers the following components for each parameter:</w:t>
      </w:r>
    </w:p>
    <w:p w14:paraId="1F2A445D" w14:textId="2AF5A592" w:rsidR="00046BD5" w:rsidRPr="00DE108C" w:rsidRDefault="00046BD5" w:rsidP="00CA5A2A">
      <w:pPr>
        <w:pStyle w:val="ListBullet"/>
      </w:pPr>
      <w:r w:rsidRPr="00DE108C">
        <w:t xml:space="preserve">residential component that is </w:t>
      </w:r>
      <w:r w:rsidR="009C6E07">
        <w:t>consistent with the</w:t>
      </w:r>
      <w:r w:rsidRPr="00DE108C">
        <w:t xml:space="preserve"> forecast</w:t>
      </w:r>
      <w:r w:rsidR="009C6E07">
        <w:t xml:space="preserve"> data provided by the Victorian Government</w:t>
      </w:r>
    </w:p>
    <w:p w14:paraId="338D7083" w14:textId="1080284C" w:rsidR="00046BD5" w:rsidRPr="00DE108C" w:rsidRDefault="00E7119E" w:rsidP="00CA5A2A">
      <w:pPr>
        <w:pStyle w:val="ListBullet"/>
      </w:pPr>
      <w:r>
        <w:t>metropolitan water corporation</w:t>
      </w:r>
      <w:r w:rsidR="00046BD5" w:rsidRPr="00DE108C">
        <w:t xml:space="preserve"> trade waste customers – Category A Top</w:t>
      </w:r>
    </w:p>
    <w:p w14:paraId="54222B6E" w14:textId="6FEC05F7" w:rsidR="00046BD5" w:rsidRPr="00DE108C" w:rsidRDefault="00E7119E" w:rsidP="00CA5A2A">
      <w:pPr>
        <w:pStyle w:val="ListBullet"/>
      </w:pPr>
      <w:r>
        <w:t>metropolitan water corporation</w:t>
      </w:r>
      <w:r w:rsidRPr="00DE108C">
        <w:t xml:space="preserve"> </w:t>
      </w:r>
      <w:r w:rsidR="00046BD5" w:rsidRPr="00DE108C">
        <w:t>trade waste customers – Category A Group</w:t>
      </w:r>
    </w:p>
    <w:p w14:paraId="3DE8ECA2" w14:textId="4050AEB7" w:rsidR="00046BD5" w:rsidRPr="00DE108C" w:rsidRDefault="00E7119E" w:rsidP="00CA5A2A">
      <w:pPr>
        <w:pStyle w:val="ListBullet"/>
      </w:pPr>
      <w:r>
        <w:t>metropolitan water corporation</w:t>
      </w:r>
      <w:r w:rsidRPr="00DE108C">
        <w:t xml:space="preserve"> </w:t>
      </w:r>
      <w:r w:rsidR="00046BD5" w:rsidRPr="00DE108C">
        <w:t>trade waste customers – Category B</w:t>
      </w:r>
    </w:p>
    <w:p w14:paraId="2BCADC3E" w14:textId="5734AD35" w:rsidR="00046BD5" w:rsidRPr="00DE108C" w:rsidRDefault="00E7119E" w:rsidP="00CA5A2A">
      <w:pPr>
        <w:pStyle w:val="ListBullet"/>
      </w:pPr>
      <w:r>
        <w:t>metropolitan water corporation</w:t>
      </w:r>
      <w:r w:rsidRPr="00DE108C">
        <w:t xml:space="preserve"> </w:t>
      </w:r>
      <w:r w:rsidR="00046BD5" w:rsidRPr="00DE108C">
        <w:t>sludge</w:t>
      </w:r>
    </w:p>
    <w:p w14:paraId="207004C0" w14:textId="77777777" w:rsidR="00046BD5" w:rsidRPr="00DE108C" w:rsidRDefault="00046BD5" w:rsidP="00CA5A2A">
      <w:pPr>
        <w:pStyle w:val="ListBullet"/>
      </w:pPr>
      <w:r w:rsidRPr="00DE108C">
        <w:t>rainfall and stormwater</w:t>
      </w:r>
    </w:p>
    <w:p w14:paraId="04730582" w14:textId="77777777" w:rsidR="00046BD5" w:rsidRPr="00DE108C" w:rsidRDefault="00046BD5" w:rsidP="00CA5A2A">
      <w:pPr>
        <w:pStyle w:val="ListBullet"/>
      </w:pPr>
      <w:r w:rsidRPr="00DE108C">
        <w:t>groundwater</w:t>
      </w:r>
    </w:p>
    <w:p w14:paraId="4BA6F1D7" w14:textId="52217857" w:rsidR="00046BD5" w:rsidRPr="00DE108C" w:rsidRDefault="00046BD5" w:rsidP="00CA5A2A">
      <w:pPr>
        <w:pStyle w:val="ListBullet"/>
      </w:pPr>
      <w:r w:rsidRPr="00DE108C">
        <w:t>the impact of transient population (</w:t>
      </w:r>
      <w:r w:rsidR="22280A49">
        <w:t>for example,</w:t>
      </w:r>
      <w:r w:rsidRPr="00DE108C">
        <w:t xml:space="preserve"> population who live in the Eastern Treatment Plant’s </w:t>
      </w:r>
      <w:r w:rsidR="2757D522">
        <w:t>(ETP)</w:t>
      </w:r>
      <w:r>
        <w:t xml:space="preserve"> </w:t>
      </w:r>
      <w:r w:rsidRPr="00DE108C">
        <w:t xml:space="preserve">catchment areas but work in the Western Treatment Plant’s </w:t>
      </w:r>
      <w:r w:rsidR="120975B9">
        <w:t>(WTP)</w:t>
      </w:r>
      <w:r>
        <w:t xml:space="preserve"> </w:t>
      </w:r>
      <w:r w:rsidRPr="00DE108C">
        <w:t>catchment areas)</w:t>
      </w:r>
    </w:p>
    <w:p w14:paraId="5E98A5FC" w14:textId="77777777" w:rsidR="00046BD5" w:rsidRPr="00DE108C" w:rsidRDefault="00046BD5" w:rsidP="00CA5A2A">
      <w:pPr>
        <w:pStyle w:val="ListBullet"/>
      </w:pPr>
      <w:r w:rsidRPr="00DE108C">
        <w:t xml:space="preserve">a balancing component that comprises the remaining contributions to the sewer that have not been captured in the current forecast segments. </w:t>
      </w:r>
    </w:p>
    <w:p w14:paraId="2124AF6E" w14:textId="69127719" w:rsidR="00046BD5" w:rsidRPr="00DE108C" w:rsidRDefault="00046BD5" w:rsidP="00ED094E">
      <w:r w:rsidRPr="00DE108C">
        <w:lastRenderedPageBreak/>
        <w:t xml:space="preserve">Our sewage volume forecast by treatment plant and comparison against historical and </w:t>
      </w:r>
      <w:r w:rsidR="170C1F39">
        <w:t>2021</w:t>
      </w:r>
      <w:r w:rsidRPr="00DE108C">
        <w:t xml:space="preserve"> Determination forecasts are shown in Figure</w:t>
      </w:r>
      <w:r w:rsidR="009A3BF3" w:rsidRPr="00DE108C">
        <w:t>s</w:t>
      </w:r>
      <w:r w:rsidRPr="00DE108C">
        <w:t xml:space="preserve"> 10.8 and 10.9. </w:t>
      </w:r>
    </w:p>
    <w:p w14:paraId="176AE49B" w14:textId="046FDD97" w:rsidR="00046BD5" w:rsidRPr="00DE108C" w:rsidRDefault="00046BD5" w:rsidP="00ED094E">
      <w:r w:rsidRPr="00DE108C">
        <w:t>Over the 202</w:t>
      </w:r>
      <w:r w:rsidR="00E705E0" w:rsidRPr="00DE108C">
        <w:t>1</w:t>
      </w:r>
      <w:r w:rsidRPr="00DE108C">
        <w:t>-2</w:t>
      </w:r>
      <w:r w:rsidR="00E705E0" w:rsidRPr="00DE108C">
        <w:t>2</w:t>
      </w:r>
      <w:r w:rsidRPr="00DE108C">
        <w:t xml:space="preserve"> to 2024-25 period, in aggregate, actual sewage flows at both ETP and WTP have been greater than the </w:t>
      </w:r>
      <w:r w:rsidR="3F4B728F">
        <w:t>2021</w:t>
      </w:r>
      <w:r w:rsidRPr="00DE108C">
        <w:t xml:space="preserve"> Determination forecasts by 19.8 per cent and 10.2 per cent respectively or 14.1 per cent greater across both treatment plants. This was a result of:</w:t>
      </w:r>
    </w:p>
    <w:p w14:paraId="7AD0D962" w14:textId="5294A5B9" w:rsidR="00046BD5" w:rsidRPr="00DE108C" w:rsidRDefault="7A48D362" w:rsidP="00CA5A2A">
      <w:pPr>
        <w:pStyle w:val="ListBullet"/>
      </w:pPr>
      <w:r>
        <w:t>2021</w:t>
      </w:r>
      <w:r w:rsidR="00046BD5" w:rsidRPr="00DE108C">
        <w:t xml:space="preserve"> Determination forecasts being based on preceding dry years (2018-19)</w:t>
      </w:r>
    </w:p>
    <w:p w14:paraId="393084F4" w14:textId="77777777" w:rsidR="00046BD5" w:rsidRPr="00DE108C" w:rsidRDefault="00046BD5" w:rsidP="00CA5A2A">
      <w:pPr>
        <w:pStyle w:val="ListBullet"/>
      </w:pPr>
      <w:r w:rsidRPr="00DE108C">
        <w:t>overestimating the impact of COVID-19 in terms of negatively impacting population growth</w:t>
      </w:r>
    </w:p>
    <w:p w14:paraId="15696454" w14:textId="58D6CA45" w:rsidR="00046BD5" w:rsidRPr="00DE108C" w:rsidRDefault="00046BD5" w:rsidP="00CA5A2A">
      <w:pPr>
        <w:pStyle w:val="ListBullet"/>
      </w:pPr>
      <w:r w:rsidRPr="00DE108C">
        <w:t>greater volumes of non-customer derived flow</w:t>
      </w:r>
      <w:r w:rsidR="011BA748">
        <w:t>,</w:t>
      </w:r>
      <w:r w:rsidRPr="00DE108C">
        <w:t xml:space="preserve"> such as inflow and infiltration especially over the 2020-21 to 2022-23 period</w:t>
      </w:r>
    </w:p>
    <w:p w14:paraId="073A9C46" w14:textId="77777777" w:rsidR="00046BD5" w:rsidRPr="00DE108C" w:rsidRDefault="00046BD5" w:rsidP="00CA5A2A">
      <w:pPr>
        <w:pStyle w:val="ListBullet"/>
      </w:pPr>
      <w:r w:rsidRPr="00DE108C">
        <w:t>underlying customer growth.</w:t>
      </w:r>
    </w:p>
    <w:p w14:paraId="6E89CDEB" w14:textId="2EE5295E" w:rsidR="00046BD5" w:rsidRPr="00DE108C" w:rsidRDefault="00046BD5" w:rsidP="00ED094E">
      <w:r w:rsidRPr="00DE108C">
        <w:t>Our sewage forecasts result in a</w:t>
      </w:r>
      <w:r w:rsidR="000A1F5E" w:rsidRPr="00DE108C">
        <w:t>n average year-on-year</w:t>
      </w:r>
      <w:r w:rsidRPr="00DE108C">
        <w:t xml:space="preserve"> growth in the megalitres of sewage transferred and treated </w:t>
      </w:r>
      <w:r w:rsidR="00C3765E" w:rsidRPr="00DE108C">
        <w:t>of</w:t>
      </w:r>
      <w:r w:rsidRPr="00DE108C">
        <w:t xml:space="preserve"> 1.00 per cent per annum at ETP, 0.94 per cent per annum at WTP, and 0.96 per cent per annum across both treatment plants from the 2024-25 base year to 2030-31. Over the PS26 period , the CAGR is 0.4 per cent at ETP, 0.7 per cent at WTP and 0.5 per cent across both treatment plants</w:t>
      </w:r>
      <w:r w:rsidR="3B874C8F">
        <w:t>,</w:t>
      </w:r>
      <w:r w:rsidRPr="00DE108C">
        <w:t xml:space="preserve"> which shows the impact of the 10-year simple average linear regression</w:t>
      </w:r>
      <w:r w:rsidR="00C3765E" w:rsidRPr="00DE108C">
        <w:t xml:space="preserve"> baselining</w:t>
      </w:r>
      <w:r w:rsidR="5996AED6">
        <w:t xml:space="preserve"> - </w:t>
      </w:r>
      <w:r w:rsidRPr="00DE108C">
        <w:t>the baselining has accounted for the recent growth in sewage flows.</w:t>
      </w:r>
    </w:p>
    <w:p w14:paraId="37AD9BD2" w14:textId="77777777" w:rsidR="00046BD5" w:rsidRPr="00DE108C" w:rsidRDefault="00046BD5" w:rsidP="00ED094E">
      <w:pPr>
        <w:pStyle w:val="Caption"/>
      </w:pPr>
      <w:bookmarkStart w:id="1054" w:name="_Toc207893101"/>
      <w:bookmarkStart w:id="1055" w:name="_Toc208490625"/>
      <w:bookmarkStart w:id="1056" w:name="_Toc208490963"/>
      <w:bookmarkStart w:id="1057" w:name="_Toc208911121"/>
      <w:bookmarkStart w:id="1058" w:name="_Toc210051427"/>
      <w:r w:rsidRPr="00DE108C">
        <w:t>Figure 10.8: ETP bulk sewage flows</w:t>
      </w:r>
      <w:bookmarkEnd w:id="1054"/>
      <w:bookmarkEnd w:id="1055"/>
      <w:bookmarkEnd w:id="1056"/>
      <w:bookmarkEnd w:id="1057"/>
      <w:bookmarkEnd w:id="1058"/>
    </w:p>
    <w:p w14:paraId="1A3F8D0D" w14:textId="77777777" w:rsidR="00046BD5" w:rsidRPr="00DE108C" w:rsidRDefault="00046BD5">
      <w:pPr>
        <w:pStyle w:val="BodyText"/>
      </w:pPr>
      <w:r w:rsidRPr="00DE108C">
        <w:rPr>
          <w:noProof/>
        </w:rPr>
        <w:drawing>
          <wp:inline distT="0" distB="0" distL="0" distR="0" wp14:anchorId="7167EE9C" wp14:editId="0BE0E894">
            <wp:extent cx="6005195" cy="2889885"/>
            <wp:effectExtent l="0" t="0" r="0" b="5715"/>
            <wp:docPr id="995282648" name="Picture 1" descr="ETP bulk sewage flows. Line graph showing total bulk sewage in megaliters (ML) from 2014–15 to 2035–36. The y-axis ranges from 0 to 180,000 ML. Three lines are shown: 'Actual' (dark blue) for recorded data from 2014–15 to 2021–22, '2021 Determination' (medium blue) projecting values from 2021–22 to 2035–36, and 'Forecast' (light blue) showing forecasted flows from 2022–23 to 2035–36. The chart illustrates historical trends and future expectations for sewage volumes at the Eastern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82648" name="Picture 1" descr="ETP bulk sewage flows. Line graph showing total bulk sewage in megaliters (ML) from 2014–15 to 2035–36. The y-axis ranges from 0 to 180,000 ML. Three lines are shown: 'Actual' (dark blue) for recorded data from 2014–15 to 2021–22, '2021 Determination' (medium blue) projecting values from 2021–22 to 2035–36, and 'Forecast' (light blue) showing forecasted flows from 2022–23 to 2035–36. The chart illustrates historical trends and future expectations for sewage volumes at the Eastern Treatment Plant."/>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6005195" cy="2889885"/>
                    </a:xfrm>
                    <a:prstGeom prst="rect">
                      <a:avLst/>
                    </a:prstGeom>
                    <a:noFill/>
                  </pic:spPr>
                </pic:pic>
              </a:graphicData>
            </a:graphic>
          </wp:inline>
        </w:drawing>
      </w:r>
    </w:p>
    <w:p w14:paraId="1312E353" w14:textId="77777777" w:rsidR="00046BD5" w:rsidRPr="00DE108C" w:rsidRDefault="00046BD5" w:rsidP="00ED094E">
      <w:pPr>
        <w:pStyle w:val="Caption"/>
      </w:pPr>
      <w:bookmarkStart w:id="1059" w:name="_Ref192606700"/>
      <w:bookmarkStart w:id="1060" w:name="_Toc207893102"/>
      <w:bookmarkStart w:id="1061" w:name="_Toc208490626"/>
      <w:bookmarkStart w:id="1062" w:name="_Toc208490964"/>
      <w:bookmarkStart w:id="1063" w:name="_Toc208911122"/>
      <w:bookmarkStart w:id="1064" w:name="_Toc210051428"/>
      <w:r w:rsidRPr="00DE108C">
        <w:lastRenderedPageBreak/>
        <w:t>Figure 10.9</w:t>
      </w:r>
      <w:bookmarkEnd w:id="1059"/>
      <w:r w:rsidRPr="00DE108C">
        <w:t>: WTP bulk sewage flows</w:t>
      </w:r>
      <w:bookmarkEnd w:id="1060"/>
      <w:bookmarkEnd w:id="1061"/>
      <w:bookmarkEnd w:id="1062"/>
      <w:bookmarkEnd w:id="1063"/>
      <w:bookmarkEnd w:id="1064"/>
    </w:p>
    <w:p w14:paraId="56A79216" w14:textId="77777777" w:rsidR="00046BD5" w:rsidRPr="00DE108C" w:rsidRDefault="00046BD5">
      <w:pPr>
        <w:pStyle w:val="BodyText"/>
      </w:pPr>
      <w:r w:rsidRPr="00DE108C">
        <w:rPr>
          <w:noProof/>
        </w:rPr>
        <w:drawing>
          <wp:inline distT="0" distB="0" distL="0" distR="0" wp14:anchorId="348DA5C7" wp14:editId="50D16372">
            <wp:extent cx="6017260" cy="2889885"/>
            <wp:effectExtent l="0" t="0" r="2540" b="5715"/>
            <wp:docPr id="2136837622" name="Picture 2" descr="WTP bulk sewage flows. Line graph showing total bulk sewage at the Western Treatment Plant (WTP) in megaliters (ML) from 2014–15 to 2035–36. The y-axis ranges from 0 to 300,000 ML. Three lines are shown: 'Actual' (dark blue) for recorded data up to 2021–22, '2021 Determination' (medium blue) projecting values from 2021–22 to 2035–36, and 'Forecast' (light blue) showing forecasted flows from 2022–23 to 2035–36. The chart illustrates historical sewage volumes and future expectations for W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37622" name="Picture 2" descr="WTP bulk sewage flows. Line graph showing total bulk sewage at the Western Treatment Plant (WTP) in megaliters (ML) from 2014–15 to 2035–36. The y-axis ranges from 0 to 300,000 ML. Three lines are shown: 'Actual' (dark blue) for recorded data up to 2021–22, '2021 Determination' (medium blue) projecting values from 2021–22 to 2035–36, and 'Forecast' (light blue) showing forecasted flows from 2022–23 to 2035–36. The chart illustrates historical sewage volumes and future expectations for WTP."/>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6017260" cy="2889885"/>
                    </a:xfrm>
                    <a:prstGeom prst="rect">
                      <a:avLst/>
                    </a:prstGeom>
                    <a:noFill/>
                  </pic:spPr>
                </pic:pic>
              </a:graphicData>
            </a:graphic>
          </wp:inline>
        </w:drawing>
      </w:r>
    </w:p>
    <w:p w14:paraId="759C32E6" w14:textId="77777777" w:rsidR="00046BD5" w:rsidRPr="00DE108C" w:rsidRDefault="00046BD5" w:rsidP="00ED094E"/>
    <w:p w14:paraId="0459AAC1" w14:textId="25D2A041" w:rsidR="00046BD5" w:rsidRPr="00DE108C" w:rsidRDefault="00046BD5" w:rsidP="00ED094E">
      <w:r w:rsidRPr="00DE108C">
        <w:t xml:space="preserve">For the purposes of pricing, Melbourne Water’s load-based charges apply to the loads assessed by the </w:t>
      </w:r>
      <w:r w:rsidR="5E931EC3">
        <w:t>water</w:t>
      </w:r>
      <w:r w:rsidRPr="00DE108C">
        <w:t xml:space="preserve"> corporations as derived from their Category A customers in the forecasting model. These Category A loads are a subset of the total pollutant load forecasts for the treatment plants and </w:t>
      </w:r>
      <w:r w:rsidR="00C3765E" w:rsidRPr="00DE108C">
        <w:t xml:space="preserve">are </w:t>
      </w:r>
      <w:r w:rsidRPr="00DE108C">
        <w:t>the only billed pollutant loads. Category A customers are split into two groups</w:t>
      </w:r>
      <w:r w:rsidR="00C3765E" w:rsidRPr="00DE108C">
        <w:t>:</w:t>
      </w:r>
      <w:r w:rsidRPr="00DE108C">
        <w:t xml:space="preserve"> Category A Top and Category A Group.</w:t>
      </w:r>
    </w:p>
    <w:p w14:paraId="7EF851B3" w14:textId="77777777" w:rsidR="00046BD5" w:rsidRPr="00DE108C" w:rsidRDefault="00046BD5" w:rsidP="00ED094E">
      <w:r w:rsidRPr="00DE108C">
        <w:t xml:space="preserve">Category A Top customers are defined as a single (major) trade waste customer that will contribute more than 1 per cent of a particular treatment plant’s load for any treatable parameter or are otherwise identified as an important contribution by the water corporation. These customers have consistently monitored treatable concentrations and measured flows provided by the water corporations on a customer basis. A custom Category A Top forecast is provided by the water corporations based on their customer engagement activities and incorporates expected increases and decreases in load at a customer level. </w:t>
      </w:r>
    </w:p>
    <w:p w14:paraId="17634AF2" w14:textId="30CAA4C5" w:rsidR="00046BD5" w:rsidRPr="00DE108C" w:rsidRDefault="00046BD5" w:rsidP="00ED094E">
      <w:r w:rsidRPr="00DE108C">
        <w:t xml:space="preserve">Category A Group are the remaining major trade waste customers not covered in the Category A Top. These customers have consistently monitored treatable concentrations and measured flows provided by the water corporations on a customer basis. Data for this input is provided each year by each water corporation for every Category A customer based on actual data. The data supplied also includes information about the location of the customer and industry type. The growth rate for this segment is provided by the water corporations based on their experience of trends and insights specific to their catchment, for example using employment forecasts for industry types by </w:t>
      </w:r>
      <w:r w:rsidR="6CD3FCEE" w:rsidRPr="00424474">
        <w:rPr>
          <w:rFonts w:eastAsiaTheme="minorEastAsia" w:cstheme="minorBidi"/>
          <w:color w:val="000000"/>
          <w:szCs w:val="20"/>
        </w:rPr>
        <w:t>Australian and New Zealand Standard Industrial Classification</w:t>
      </w:r>
      <w:r w:rsidR="6CD3FCEE" w:rsidRPr="7379CDE9">
        <w:rPr>
          <w:rFonts w:ascii="Open Sans" w:eastAsia="Open Sans" w:hAnsi="Open Sans" w:cs="Open Sans"/>
          <w:b/>
          <w:bCs/>
          <w:color w:val="000000"/>
          <w:sz w:val="24"/>
        </w:rPr>
        <w:t xml:space="preserve"> </w:t>
      </w:r>
      <w:r w:rsidR="6CD3FCEE" w:rsidRPr="00424474">
        <w:rPr>
          <w:rFonts w:ascii="Open Sans" w:eastAsia="Open Sans" w:hAnsi="Open Sans" w:cs="Open Sans"/>
          <w:color w:val="000000"/>
          <w:sz w:val="24"/>
        </w:rPr>
        <w:t>(</w:t>
      </w:r>
      <w:r>
        <w:t>ANZSIC</w:t>
      </w:r>
      <w:r w:rsidR="22A9B1B3">
        <w:t>)</w:t>
      </w:r>
      <w:r>
        <w:t xml:space="preserve"> code.</w:t>
      </w:r>
    </w:p>
    <w:p w14:paraId="573EF6C3" w14:textId="41166EED" w:rsidR="00046BD5" w:rsidRPr="00DE108C" w:rsidRDefault="00046BD5" w:rsidP="00ED094E">
      <w:r w:rsidRPr="00DE108C">
        <w:t xml:space="preserve">Table 10.4 shows the Category A load forecasts by treatment plant and water corporation compared against historical and </w:t>
      </w:r>
      <w:r w:rsidR="76B95311">
        <w:t>2021</w:t>
      </w:r>
      <w:r w:rsidRPr="00DE108C">
        <w:t xml:space="preserve"> Determination forecasts. We present the historical 10-year simple average year-on-year growth rates and forecast PS26 </w:t>
      </w:r>
      <w:r w:rsidR="07CAC644" w:rsidRPr="00DE108C">
        <w:t>five</w:t>
      </w:r>
      <w:r w:rsidRPr="00DE108C">
        <w:t>-year simple average year-on-year growth rates rather than CAGR to account for the impacts of the changes individual customers make. We note that:</w:t>
      </w:r>
    </w:p>
    <w:p w14:paraId="258D704E" w14:textId="6745DA21" w:rsidR="00046BD5" w:rsidRPr="00814194" w:rsidRDefault="00046BD5" w:rsidP="00814194">
      <w:pPr>
        <w:pStyle w:val="ListBullet"/>
      </w:pPr>
      <w:r w:rsidRPr="00814194">
        <w:t xml:space="preserve">Actual loads (except for WTP GWW TKN, WTP GWW iTDS and WTP SEW iTDS) have been greater than </w:t>
      </w:r>
      <w:r w:rsidR="297838D9" w:rsidRPr="00814194">
        <w:t>2021</w:t>
      </w:r>
      <w:r w:rsidRPr="00814194">
        <w:t xml:space="preserve"> Determination forecasts across all load categories. This is due to the </w:t>
      </w:r>
      <w:r w:rsidR="3A1D2B4F" w:rsidRPr="00814194">
        <w:lastRenderedPageBreak/>
        <w:t>2021</w:t>
      </w:r>
      <w:r w:rsidRPr="00814194">
        <w:t xml:space="preserve"> Determination assuming flat growth rate</w:t>
      </w:r>
      <w:r w:rsidR="425948E4" w:rsidRPr="00814194">
        <w:t>,</w:t>
      </w:r>
      <w:r w:rsidRPr="00814194">
        <w:t xml:space="preserve"> while we have seen </w:t>
      </w:r>
      <w:r w:rsidR="00D16C0E" w:rsidRPr="00814194">
        <w:t xml:space="preserve">an </w:t>
      </w:r>
      <w:r w:rsidRPr="00814194">
        <w:t>increase in the Category A customer loads.</w:t>
      </w:r>
    </w:p>
    <w:p w14:paraId="3E1A3588" w14:textId="67F9015A" w:rsidR="00046BD5" w:rsidRPr="00814194" w:rsidRDefault="1A5974B4" w:rsidP="00814194">
      <w:pPr>
        <w:pStyle w:val="ListBullet"/>
      </w:pPr>
      <w:r w:rsidRPr="00814194">
        <w:t>SEW</w:t>
      </w:r>
      <w:r w:rsidR="00046BD5" w:rsidRPr="00814194">
        <w:t xml:space="preserve">’s Category A customer load forecast growth </w:t>
      </w:r>
      <w:r w:rsidR="00D16C0E" w:rsidRPr="00814194">
        <w:t>is</w:t>
      </w:r>
      <w:r w:rsidR="00046BD5" w:rsidRPr="00814194">
        <w:t xml:space="preserve"> generally higher than historical growth.</w:t>
      </w:r>
    </w:p>
    <w:p w14:paraId="0E846A0B" w14:textId="14EBD27A" w:rsidR="00046BD5" w:rsidRPr="00814194" w:rsidRDefault="7E468B8B" w:rsidP="00814194">
      <w:pPr>
        <w:pStyle w:val="ListBullet"/>
      </w:pPr>
      <w:r w:rsidRPr="00814194">
        <w:t>YVW</w:t>
      </w:r>
      <w:r w:rsidR="00046BD5" w:rsidRPr="00814194">
        <w:t xml:space="preserve">’s Category A customer load forecast </w:t>
      </w:r>
      <w:r w:rsidR="00D16C0E" w:rsidRPr="00814194">
        <w:t xml:space="preserve">growth is </w:t>
      </w:r>
      <w:r w:rsidR="00046BD5" w:rsidRPr="00814194">
        <w:t xml:space="preserve">generally lower than historical growth. </w:t>
      </w:r>
    </w:p>
    <w:p w14:paraId="08E4CDFD" w14:textId="46199B2D" w:rsidR="00046BD5" w:rsidRPr="00814194" w:rsidRDefault="7AC3A711" w:rsidP="00814194">
      <w:pPr>
        <w:pStyle w:val="ListBullet"/>
      </w:pPr>
      <w:r w:rsidRPr="00814194">
        <w:t>GWW</w:t>
      </w:r>
      <w:r w:rsidR="00046BD5" w:rsidRPr="00814194">
        <w:t xml:space="preserve">’s Category A customer load forecast </w:t>
      </w:r>
      <w:r w:rsidR="00D16C0E" w:rsidRPr="00814194">
        <w:t xml:space="preserve">growth is </w:t>
      </w:r>
      <w:r w:rsidR="00046BD5" w:rsidRPr="00814194">
        <w:t>higher than historical growth.</w:t>
      </w:r>
    </w:p>
    <w:p w14:paraId="4CBF19E8" w14:textId="77777777" w:rsidR="00046BD5" w:rsidRPr="00DE108C" w:rsidRDefault="00046BD5" w:rsidP="00ED094E">
      <w:pPr>
        <w:pStyle w:val="Caption"/>
      </w:pPr>
      <w:bookmarkStart w:id="1065" w:name="_Toc207893103"/>
      <w:bookmarkStart w:id="1066" w:name="_Toc208490627"/>
      <w:bookmarkStart w:id="1067" w:name="_Toc208490965"/>
      <w:bookmarkStart w:id="1068" w:name="_Toc208911123"/>
      <w:bookmarkStart w:id="1069" w:name="_Toc210051429"/>
      <w:r w:rsidRPr="00DE108C">
        <w:t>Table 10.4: Category A customer load demand forecast comparisons</w:t>
      </w:r>
      <w:bookmarkEnd w:id="1065"/>
      <w:bookmarkEnd w:id="1066"/>
      <w:bookmarkEnd w:id="1067"/>
      <w:bookmarkEnd w:id="1068"/>
      <w:bookmarkEnd w:id="1069"/>
    </w:p>
    <w:tbl>
      <w:tblPr>
        <w:tblStyle w:val="MWTableGrid"/>
        <w:tblW w:w="5000" w:type="pct"/>
        <w:tblLayout w:type="fixed"/>
        <w:tblLook w:val="0420" w:firstRow="1" w:lastRow="0" w:firstColumn="0" w:lastColumn="0" w:noHBand="0" w:noVBand="1"/>
      </w:tblPr>
      <w:tblGrid>
        <w:gridCol w:w="2407"/>
        <w:gridCol w:w="2407"/>
        <w:gridCol w:w="2407"/>
        <w:gridCol w:w="2407"/>
      </w:tblGrid>
      <w:tr w:rsidR="00556A0D" w:rsidRPr="00DE108C" w14:paraId="63C4AB42" w14:textId="77777777">
        <w:trPr>
          <w:cnfStyle w:val="100000000000" w:firstRow="1" w:lastRow="0" w:firstColumn="0" w:lastColumn="0" w:oddVBand="0" w:evenVBand="0" w:oddHBand="0" w:evenHBand="0" w:firstRowFirstColumn="0" w:firstRowLastColumn="0" w:lastRowFirstColumn="0" w:lastRowLastColumn="0"/>
          <w:cantSplit/>
        </w:trPr>
        <w:tc>
          <w:tcPr>
            <w:tcW w:w="1250" w:type="pct"/>
            <w:vAlign w:val="center"/>
          </w:tcPr>
          <w:p w14:paraId="5A51BF8F" w14:textId="77777777" w:rsidR="00046BD5" w:rsidRPr="00DE108C" w:rsidRDefault="00046BD5">
            <w:pPr>
              <w:pStyle w:val="TableHeading"/>
              <w:rPr>
                <w:szCs w:val="16"/>
              </w:rPr>
            </w:pPr>
            <w:r w:rsidRPr="00DE108C">
              <w:rPr>
                <w:szCs w:val="16"/>
              </w:rPr>
              <w:t>Category A customer load parameter</w:t>
            </w:r>
          </w:p>
        </w:tc>
        <w:tc>
          <w:tcPr>
            <w:tcW w:w="1250" w:type="pct"/>
            <w:vAlign w:val="center"/>
          </w:tcPr>
          <w:p w14:paraId="0D2EA878" w14:textId="5F62DC65" w:rsidR="00046BD5" w:rsidRPr="00DE108C" w:rsidRDefault="00046BD5">
            <w:pPr>
              <w:pStyle w:val="TableHeading"/>
              <w:jc w:val="center"/>
            </w:pPr>
            <w:r>
              <w:t xml:space="preserve">Comparison of actual loads against </w:t>
            </w:r>
            <w:r w:rsidR="2328D9ED">
              <w:t>2021</w:t>
            </w:r>
            <w:r>
              <w:t xml:space="preserve"> Determination forecasts over 2020-21 to 2024-25 (% difference)</w:t>
            </w:r>
          </w:p>
        </w:tc>
        <w:tc>
          <w:tcPr>
            <w:tcW w:w="1250" w:type="pct"/>
            <w:vAlign w:val="center"/>
          </w:tcPr>
          <w:p w14:paraId="5201BD10" w14:textId="051932AC" w:rsidR="00046BD5" w:rsidRPr="00DE108C" w:rsidRDefault="00046BD5">
            <w:pPr>
              <w:pStyle w:val="TableHeading"/>
              <w:jc w:val="center"/>
              <w:rPr>
                <w:szCs w:val="16"/>
              </w:rPr>
            </w:pPr>
            <w:r w:rsidRPr="00DE108C">
              <w:rPr>
                <w:szCs w:val="16"/>
              </w:rPr>
              <w:t>Historical simple year-on-year growth rate over the 10-year period, 2015-16 to 2025-26</w:t>
            </w:r>
          </w:p>
        </w:tc>
        <w:tc>
          <w:tcPr>
            <w:tcW w:w="1250" w:type="pct"/>
            <w:vAlign w:val="center"/>
          </w:tcPr>
          <w:p w14:paraId="27BEF4DE" w14:textId="77777777" w:rsidR="00046BD5" w:rsidRPr="00DE108C" w:rsidRDefault="00046BD5">
            <w:pPr>
              <w:pStyle w:val="TableHeading"/>
              <w:jc w:val="center"/>
              <w:rPr>
                <w:szCs w:val="16"/>
              </w:rPr>
            </w:pPr>
            <w:r w:rsidRPr="00DE108C">
              <w:rPr>
                <w:szCs w:val="16"/>
              </w:rPr>
              <w:t>Forecast simple year-on-year growth rate over the 6-year period, 2024-25 to 2030-31</w:t>
            </w:r>
          </w:p>
        </w:tc>
      </w:tr>
      <w:tr w:rsidR="00046BD5" w:rsidRPr="00DE108C" w14:paraId="7B7E8978" w14:textId="77777777" w:rsidTr="00ED094E">
        <w:trPr>
          <w:cantSplit/>
        </w:trPr>
        <w:tc>
          <w:tcPr>
            <w:tcW w:w="1250" w:type="pct"/>
          </w:tcPr>
          <w:p w14:paraId="0AEAEF2D" w14:textId="77777777" w:rsidR="00046BD5" w:rsidRPr="00DE108C" w:rsidRDefault="00046BD5">
            <w:pPr>
              <w:pStyle w:val="TableText"/>
              <w:rPr>
                <w:szCs w:val="16"/>
              </w:rPr>
            </w:pPr>
            <w:r w:rsidRPr="00DE108C">
              <w:rPr>
                <w:szCs w:val="16"/>
              </w:rPr>
              <w:t>ETP SEW BOD</w:t>
            </w:r>
          </w:p>
        </w:tc>
        <w:tc>
          <w:tcPr>
            <w:tcW w:w="1250" w:type="pct"/>
            <w:vAlign w:val="center"/>
          </w:tcPr>
          <w:p w14:paraId="71E64FE9" w14:textId="77777777" w:rsidR="00046BD5" w:rsidRPr="00DE108C" w:rsidRDefault="00046BD5" w:rsidP="00ED094E">
            <w:pPr>
              <w:pStyle w:val="TableText"/>
              <w:jc w:val="center"/>
              <w:rPr>
                <w:rFonts w:ascii="Verdana" w:hAnsi="Verdana"/>
                <w:szCs w:val="16"/>
              </w:rPr>
            </w:pPr>
            <w:r w:rsidRPr="00DE108C">
              <w:rPr>
                <w:rFonts w:ascii="Verdana" w:hAnsi="Verdana"/>
                <w:szCs w:val="16"/>
              </w:rPr>
              <w:t>24.3%</w:t>
            </w:r>
          </w:p>
        </w:tc>
        <w:tc>
          <w:tcPr>
            <w:tcW w:w="1250" w:type="pct"/>
            <w:vAlign w:val="center"/>
          </w:tcPr>
          <w:p w14:paraId="2B94912F" w14:textId="77777777" w:rsidR="00046BD5" w:rsidRPr="00DE108C" w:rsidRDefault="00046BD5">
            <w:pPr>
              <w:pStyle w:val="TableText"/>
              <w:jc w:val="center"/>
              <w:rPr>
                <w:szCs w:val="16"/>
              </w:rPr>
            </w:pPr>
            <w:r w:rsidRPr="00DE108C">
              <w:rPr>
                <w:szCs w:val="16"/>
              </w:rPr>
              <w:t>0.1%</w:t>
            </w:r>
          </w:p>
        </w:tc>
        <w:tc>
          <w:tcPr>
            <w:tcW w:w="1250" w:type="pct"/>
            <w:vAlign w:val="center"/>
          </w:tcPr>
          <w:p w14:paraId="7D929582" w14:textId="77777777" w:rsidR="00046BD5" w:rsidRPr="00DE108C" w:rsidRDefault="00046BD5">
            <w:pPr>
              <w:pStyle w:val="TableText"/>
              <w:jc w:val="center"/>
              <w:rPr>
                <w:szCs w:val="16"/>
              </w:rPr>
            </w:pPr>
            <w:r w:rsidRPr="00DE108C">
              <w:rPr>
                <w:szCs w:val="16"/>
              </w:rPr>
              <w:t>3.5%</w:t>
            </w:r>
          </w:p>
        </w:tc>
      </w:tr>
      <w:tr w:rsidR="00556A0D" w:rsidRPr="00DE108C" w14:paraId="70B56E73"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1250" w:type="pct"/>
          </w:tcPr>
          <w:p w14:paraId="406CBA81" w14:textId="77777777" w:rsidR="00046BD5" w:rsidRPr="00DE108C" w:rsidRDefault="00046BD5">
            <w:pPr>
              <w:pStyle w:val="TableText"/>
              <w:rPr>
                <w:szCs w:val="16"/>
              </w:rPr>
            </w:pPr>
            <w:r w:rsidRPr="00DE108C">
              <w:rPr>
                <w:szCs w:val="16"/>
              </w:rPr>
              <w:t>ETP YVW BOD</w:t>
            </w:r>
          </w:p>
        </w:tc>
        <w:tc>
          <w:tcPr>
            <w:tcW w:w="1250" w:type="pct"/>
            <w:vAlign w:val="center"/>
          </w:tcPr>
          <w:p w14:paraId="263BAEB9" w14:textId="77777777" w:rsidR="00046BD5" w:rsidRPr="00DE108C" w:rsidRDefault="00046BD5" w:rsidP="00ED094E">
            <w:pPr>
              <w:pStyle w:val="TableText"/>
              <w:jc w:val="center"/>
              <w:rPr>
                <w:rFonts w:ascii="Verdana" w:hAnsi="Verdana"/>
                <w:szCs w:val="16"/>
              </w:rPr>
            </w:pPr>
            <w:r w:rsidRPr="00DE108C">
              <w:rPr>
                <w:rFonts w:ascii="Verdana" w:hAnsi="Verdana"/>
                <w:szCs w:val="16"/>
              </w:rPr>
              <w:t>34.0%</w:t>
            </w:r>
          </w:p>
        </w:tc>
        <w:tc>
          <w:tcPr>
            <w:tcW w:w="1250" w:type="pct"/>
            <w:vAlign w:val="center"/>
          </w:tcPr>
          <w:p w14:paraId="5AAAAA19" w14:textId="77777777" w:rsidR="00046BD5" w:rsidRPr="00DE108C" w:rsidRDefault="00046BD5">
            <w:pPr>
              <w:pStyle w:val="TableText"/>
              <w:jc w:val="center"/>
              <w:rPr>
                <w:szCs w:val="16"/>
              </w:rPr>
            </w:pPr>
            <w:r w:rsidRPr="00DE108C">
              <w:rPr>
                <w:szCs w:val="16"/>
              </w:rPr>
              <w:t>-0.6%</w:t>
            </w:r>
          </w:p>
        </w:tc>
        <w:tc>
          <w:tcPr>
            <w:tcW w:w="1250" w:type="pct"/>
            <w:vAlign w:val="center"/>
          </w:tcPr>
          <w:p w14:paraId="604C7871" w14:textId="77777777" w:rsidR="00046BD5" w:rsidRPr="00DE108C" w:rsidRDefault="00046BD5">
            <w:pPr>
              <w:pStyle w:val="TableText"/>
              <w:jc w:val="center"/>
              <w:rPr>
                <w:szCs w:val="16"/>
              </w:rPr>
            </w:pPr>
            <w:r w:rsidRPr="00DE108C">
              <w:rPr>
                <w:szCs w:val="16"/>
              </w:rPr>
              <w:t>-1.7%</w:t>
            </w:r>
          </w:p>
        </w:tc>
      </w:tr>
      <w:tr w:rsidR="00046BD5" w:rsidRPr="00DE108C" w14:paraId="4949001D" w14:textId="77777777" w:rsidTr="00ED094E">
        <w:trPr>
          <w:cantSplit/>
        </w:trPr>
        <w:tc>
          <w:tcPr>
            <w:tcW w:w="1250" w:type="pct"/>
          </w:tcPr>
          <w:p w14:paraId="7B5B2517" w14:textId="77777777" w:rsidR="00046BD5" w:rsidRPr="00DE108C" w:rsidRDefault="00046BD5">
            <w:pPr>
              <w:pStyle w:val="TableText"/>
              <w:rPr>
                <w:szCs w:val="16"/>
              </w:rPr>
            </w:pPr>
            <w:r w:rsidRPr="00DE108C">
              <w:rPr>
                <w:szCs w:val="16"/>
              </w:rPr>
              <w:t>WTP GWW BOD</w:t>
            </w:r>
          </w:p>
        </w:tc>
        <w:tc>
          <w:tcPr>
            <w:tcW w:w="1250" w:type="pct"/>
            <w:vAlign w:val="center"/>
          </w:tcPr>
          <w:p w14:paraId="72AAD22C" w14:textId="77777777" w:rsidR="00046BD5" w:rsidRPr="00DE108C" w:rsidRDefault="00046BD5" w:rsidP="00ED094E">
            <w:pPr>
              <w:pStyle w:val="TableText"/>
              <w:jc w:val="center"/>
              <w:rPr>
                <w:rFonts w:ascii="Verdana" w:hAnsi="Verdana"/>
                <w:szCs w:val="16"/>
              </w:rPr>
            </w:pPr>
            <w:r w:rsidRPr="00DE108C">
              <w:rPr>
                <w:rFonts w:ascii="Verdana" w:hAnsi="Verdana"/>
                <w:szCs w:val="16"/>
              </w:rPr>
              <w:t>3.4%</w:t>
            </w:r>
          </w:p>
        </w:tc>
        <w:tc>
          <w:tcPr>
            <w:tcW w:w="1250" w:type="pct"/>
            <w:vAlign w:val="center"/>
          </w:tcPr>
          <w:p w14:paraId="1E4DD4B4" w14:textId="77777777" w:rsidR="00046BD5" w:rsidRPr="00DE108C" w:rsidRDefault="00046BD5">
            <w:pPr>
              <w:pStyle w:val="TableText"/>
              <w:jc w:val="center"/>
              <w:rPr>
                <w:szCs w:val="16"/>
              </w:rPr>
            </w:pPr>
            <w:r w:rsidRPr="00DE108C">
              <w:rPr>
                <w:szCs w:val="16"/>
              </w:rPr>
              <w:t>-1.6%</w:t>
            </w:r>
          </w:p>
        </w:tc>
        <w:tc>
          <w:tcPr>
            <w:tcW w:w="1250" w:type="pct"/>
            <w:vAlign w:val="center"/>
          </w:tcPr>
          <w:p w14:paraId="2AE5B477" w14:textId="77777777" w:rsidR="00046BD5" w:rsidRPr="00DE108C" w:rsidRDefault="00046BD5">
            <w:pPr>
              <w:pStyle w:val="TableText"/>
              <w:jc w:val="center"/>
              <w:rPr>
                <w:szCs w:val="16"/>
              </w:rPr>
            </w:pPr>
            <w:r w:rsidRPr="00DE108C">
              <w:rPr>
                <w:szCs w:val="16"/>
              </w:rPr>
              <w:t>1.4%</w:t>
            </w:r>
          </w:p>
        </w:tc>
      </w:tr>
      <w:tr w:rsidR="00556A0D" w:rsidRPr="00DE108C" w14:paraId="5B329535"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1250" w:type="pct"/>
          </w:tcPr>
          <w:p w14:paraId="10962BEF" w14:textId="77777777" w:rsidR="00046BD5" w:rsidRPr="00DE108C" w:rsidRDefault="00046BD5">
            <w:pPr>
              <w:pStyle w:val="TableText"/>
              <w:rPr>
                <w:szCs w:val="16"/>
              </w:rPr>
            </w:pPr>
            <w:r w:rsidRPr="00DE108C">
              <w:rPr>
                <w:szCs w:val="16"/>
              </w:rPr>
              <w:t>WTP SEW BOD</w:t>
            </w:r>
          </w:p>
        </w:tc>
        <w:tc>
          <w:tcPr>
            <w:tcW w:w="1250" w:type="pct"/>
            <w:vAlign w:val="center"/>
          </w:tcPr>
          <w:p w14:paraId="6C2029AB" w14:textId="77777777" w:rsidR="00046BD5" w:rsidRPr="00DE108C" w:rsidRDefault="00046BD5" w:rsidP="00ED094E">
            <w:pPr>
              <w:pStyle w:val="TableText"/>
              <w:jc w:val="center"/>
              <w:rPr>
                <w:rFonts w:ascii="Verdana" w:hAnsi="Verdana"/>
                <w:szCs w:val="16"/>
              </w:rPr>
            </w:pPr>
            <w:r w:rsidRPr="00DE108C">
              <w:rPr>
                <w:rFonts w:ascii="Verdana" w:hAnsi="Verdana"/>
                <w:szCs w:val="16"/>
              </w:rPr>
              <w:t>20.3%</w:t>
            </w:r>
          </w:p>
        </w:tc>
        <w:tc>
          <w:tcPr>
            <w:tcW w:w="1250" w:type="pct"/>
            <w:vAlign w:val="center"/>
          </w:tcPr>
          <w:p w14:paraId="28EB67A7" w14:textId="77777777" w:rsidR="00046BD5" w:rsidRPr="00DE108C" w:rsidRDefault="00046BD5">
            <w:pPr>
              <w:pStyle w:val="TableText"/>
              <w:jc w:val="center"/>
              <w:rPr>
                <w:szCs w:val="16"/>
              </w:rPr>
            </w:pPr>
            <w:r w:rsidRPr="00DE108C">
              <w:rPr>
                <w:szCs w:val="16"/>
              </w:rPr>
              <w:t>1.1%</w:t>
            </w:r>
          </w:p>
        </w:tc>
        <w:tc>
          <w:tcPr>
            <w:tcW w:w="1250" w:type="pct"/>
            <w:vAlign w:val="center"/>
          </w:tcPr>
          <w:p w14:paraId="69F4461C" w14:textId="77777777" w:rsidR="00046BD5" w:rsidRPr="00DE108C" w:rsidRDefault="00046BD5">
            <w:pPr>
              <w:pStyle w:val="TableText"/>
              <w:jc w:val="center"/>
              <w:rPr>
                <w:szCs w:val="16"/>
              </w:rPr>
            </w:pPr>
            <w:r w:rsidRPr="00DE108C">
              <w:rPr>
                <w:szCs w:val="16"/>
              </w:rPr>
              <w:t>11.9%</w:t>
            </w:r>
          </w:p>
        </w:tc>
      </w:tr>
      <w:tr w:rsidR="00046BD5" w:rsidRPr="00DE108C" w14:paraId="36BBFCF9" w14:textId="77777777" w:rsidTr="00ED094E">
        <w:trPr>
          <w:cantSplit/>
        </w:trPr>
        <w:tc>
          <w:tcPr>
            <w:tcW w:w="1250" w:type="pct"/>
          </w:tcPr>
          <w:p w14:paraId="3E9307D1" w14:textId="77777777" w:rsidR="00046BD5" w:rsidRPr="00DE108C" w:rsidRDefault="00046BD5">
            <w:pPr>
              <w:pStyle w:val="TableText"/>
              <w:rPr>
                <w:szCs w:val="16"/>
              </w:rPr>
            </w:pPr>
            <w:r w:rsidRPr="00DE108C">
              <w:rPr>
                <w:szCs w:val="16"/>
              </w:rPr>
              <w:t>WTP YVW BOD</w:t>
            </w:r>
          </w:p>
        </w:tc>
        <w:tc>
          <w:tcPr>
            <w:tcW w:w="1250" w:type="pct"/>
            <w:vAlign w:val="center"/>
          </w:tcPr>
          <w:p w14:paraId="299FB68B" w14:textId="77777777" w:rsidR="00046BD5" w:rsidRPr="00DE108C" w:rsidRDefault="00046BD5" w:rsidP="00ED094E">
            <w:pPr>
              <w:pStyle w:val="TableText"/>
              <w:jc w:val="center"/>
              <w:rPr>
                <w:rFonts w:ascii="Verdana" w:hAnsi="Verdana"/>
                <w:szCs w:val="16"/>
              </w:rPr>
            </w:pPr>
            <w:r w:rsidRPr="00DE108C">
              <w:rPr>
                <w:rFonts w:ascii="Verdana" w:hAnsi="Verdana"/>
                <w:szCs w:val="16"/>
              </w:rPr>
              <w:t>15.5%</w:t>
            </w:r>
          </w:p>
        </w:tc>
        <w:tc>
          <w:tcPr>
            <w:tcW w:w="1250" w:type="pct"/>
            <w:vAlign w:val="center"/>
          </w:tcPr>
          <w:p w14:paraId="6F2AAF43" w14:textId="77777777" w:rsidR="00046BD5" w:rsidRPr="00DE108C" w:rsidRDefault="00046BD5">
            <w:pPr>
              <w:pStyle w:val="TableText"/>
              <w:jc w:val="center"/>
              <w:rPr>
                <w:szCs w:val="16"/>
              </w:rPr>
            </w:pPr>
            <w:r w:rsidRPr="00DE108C">
              <w:rPr>
                <w:szCs w:val="16"/>
              </w:rPr>
              <w:t>3.1%</w:t>
            </w:r>
          </w:p>
        </w:tc>
        <w:tc>
          <w:tcPr>
            <w:tcW w:w="1250" w:type="pct"/>
            <w:vAlign w:val="center"/>
          </w:tcPr>
          <w:p w14:paraId="53928317" w14:textId="77777777" w:rsidR="00046BD5" w:rsidRPr="00DE108C" w:rsidRDefault="00046BD5">
            <w:pPr>
              <w:pStyle w:val="TableText"/>
              <w:jc w:val="center"/>
              <w:rPr>
                <w:szCs w:val="16"/>
              </w:rPr>
            </w:pPr>
            <w:r w:rsidRPr="00DE108C">
              <w:rPr>
                <w:szCs w:val="16"/>
              </w:rPr>
              <w:t>-0.7%</w:t>
            </w:r>
          </w:p>
        </w:tc>
      </w:tr>
      <w:tr w:rsidR="00556A0D" w:rsidRPr="00DE108C" w14:paraId="6B8BEA1B"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1250" w:type="pct"/>
          </w:tcPr>
          <w:p w14:paraId="64E49A59" w14:textId="77777777" w:rsidR="00046BD5" w:rsidRPr="00DE108C" w:rsidRDefault="00046BD5">
            <w:pPr>
              <w:pStyle w:val="TableText"/>
              <w:rPr>
                <w:szCs w:val="16"/>
              </w:rPr>
            </w:pPr>
            <w:r w:rsidRPr="00DE108C">
              <w:rPr>
                <w:szCs w:val="16"/>
              </w:rPr>
              <w:t>ETP SEW SS</w:t>
            </w:r>
          </w:p>
        </w:tc>
        <w:tc>
          <w:tcPr>
            <w:tcW w:w="1250" w:type="pct"/>
            <w:vAlign w:val="center"/>
          </w:tcPr>
          <w:p w14:paraId="31022385" w14:textId="77777777" w:rsidR="00046BD5" w:rsidRPr="00DE108C" w:rsidRDefault="00046BD5" w:rsidP="00ED094E">
            <w:pPr>
              <w:pStyle w:val="TableText"/>
              <w:jc w:val="center"/>
              <w:rPr>
                <w:rFonts w:ascii="Verdana" w:hAnsi="Verdana"/>
                <w:szCs w:val="16"/>
              </w:rPr>
            </w:pPr>
            <w:r w:rsidRPr="00DE108C">
              <w:rPr>
                <w:rFonts w:ascii="Verdana" w:hAnsi="Verdana"/>
                <w:szCs w:val="16"/>
              </w:rPr>
              <w:t>36.9%</w:t>
            </w:r>
          </w:p>
        </w:tc>
        <w:tc>
          <w:tcPr>
            <w:tcW w:w="1250" w:type="pct"/>
            <w:vAlign w:val="center"/>
          </w:tcPr>
          <w:p w14:paraId="3A198154" w14:textId="77777777" w:rsidR="00046BD5" w:rsidRPr="00DE108C" w:rsidRDefault="00046BD5">
            <w:pPr>
              <w:pStyle w:val="TableText"/>
              <w:jc w:val="center"/>
              <w:rPr>
                <w:szCs w:val="16"/>
              </w:rPr>
            </w:pPr>
            <w:r w:rsidRPr="00DE108C">
              <w:rPr>
                <w:szCs w:val="16"/>
              </w:rPr>
              <w:t>1.6%</w:t>
            </w:r>
          </w:p>
        </w:tc>
        <w:tc>
          <w:tcPr>
            <w:tcW w:w="1250" w:type="pct"/>
            <w:vAlign w:val="center"/>
          </w:tcPr>
          <w:p w14:paraId="7F834F73" w14:textId="77777777" w:rsidR="00046BD5" w:rsidRPr="00DE108C" w:rsidRDefault="00046BD5">
            <w:pPr>
              <w:pStyle w:val="TableText"/>
              <w:jc w:val="center"/>
              <w:rPr>
                <w:szCs w:val="16"/>
              </w:rPr>
            </w:pPr>
            <w:r w:rsidRPr="00DE108C">
              <w:rPr>
                <w:szCs w:val="16"/>
              </w:rPr>
              <w:t>8.2%</w:t>
            </w:r>
          </w:p>
        </w:tc>
      </w:tr>
      <w:tr w:rsidR="00046BD5" w:rsidRPr="00DE108C" w14:paraId="77DFF349" w14:textId="77777777" w:rsidTr="00ED094E">
        <w:trPr>
          <w:cantSplit/>
        </w:trPr>
        <w:tc>
          <w:tcPr>
            <w:tcW w:w="1250" w:type="pct"/>
          </w:tcPr>
          <w:p w14:paraId="71A10D69" w14:textId="77777777" w:rsidR="00046BD5" w:rsidRPr="00DE108C" w:rsidRDefault="00046BD5">
            <w:pPr>
              <w:pStyle w:val="TableText"/>
              <w:rPr>
                <w:szCs w:val="16"/>
              </w:rPr>
            </w:pPr>
            <w:r w:rsidRPr="00DE108C">
              <w:rPr>
                <w:szCs w:val="16"/>
              </w:rPr>
              <w:t>ETP YVW SS</w:t>
            </w:r>
          </w:p>
        </w:tc>
        <w:tc>
          <w:tcPr>
            <w:tcW w:w="1250" w:type="pct"/>
            <w:vAlign w:val="center"/>
          </w:tcPr>
          <w:p w14:paraId="4A8C5BDF" w14:textId="77777777" w:rsidR="00046BD5" w:rsidRPr="00DE108C" w:rsidRDefault="00046BD5" w:rsidP="00ED094E">
            <w:pPr>
              <w:pStyle w:val="TableText"/>
              <w:jc w:val="center"/>
              <w:rPr>
                <w:rFonts w:ascii="Verdana" w:hAnsi="Verdana"/>
                <w:szCs w:val="16"/>
              </w:rPr>
            </w:pPr>
            <w:r w:rsidRPr="00DE108C">
              <w:rPr>
                <w:rFonts w:ascii="Verdana" w:hAnsi="Verdana"/>
                <w:szCs w:val="16"/>
              </w:rPr>
              <w:t>74.0%</w:t>
            </w:r>
          </w:p>
        </w:tc>
        <w:tc>
          <w:tcPr>
            <w:tcW w:w="1250" w:type="pct"/>
            <w:vAlign w:val="center"/>
          </w:tcPr>
          <w:p w14:paraId="05AD550E" w14:textId="77777777" w:rsidR="00046BD5" w:rsidRPr="00DE108C" w:rsidRDefault="00046BD5">
            <w:pPr>
              <w:pStyle w:val="TableText"/>
              <w:jc w:val="center"/>
              <w:rPr>
                <w:szCs w:val="16"/>
              </w:rPr>
            </w:pPr>
            <w:r w:rsidRPr="00DE108C">
              <w:rPr>
                <w:szCs w:val="16"/>
              </w:rPr>
              <w:t>-4.4%</w:t>
            </w:r>
          </w:p>
        </w:tc>
        <w:tc>
          <w:tcPr>
            <w:tcW w:w="1250" w:type="pct"/>
            <w:vAlign w:val="center"/>
          </w:tcPr>
          <w:p w14:paraId="65A4A1CC" w14:textId="77777777" w:rsidR="00046BD5" w:rsidRPr="00DE108C" w:rsidRDefault="00046BD5">
            <w:pPr>
              <w:pStyle w:val="TableText"/>
              <w:jc w:val="center"/>
              <w:rPr>
                <w:szCs w:val="16"/>
              </w:rPr>
            </w:pPr>
            <w:r w:rsidRPr="00DE108C">
              <w:rPr>
                <w:szCs w:val="16"/>
              </w:rPr>
              <w:t>-1.4%</w:t>
            </w:r>
          </w:p>
        </w:tc>
      </w:tr>
      <w:tr w:rsidR="00556A0D" w:rsidRPr="00DE108C" w14:paraId="5603230F"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1250" w:type="pct"/>
          </w:tcPr>
          <w:p w14:paraId="6585321A" w14:textId="77777777" w:rsidR="00046BD5" w:rsidRPr="00DE108C" w:rsidRDefault="00046BD5">
            <w:pPr>
              <w:pStyle w:val="TableText"/>
              <w:rPr>
                <w:szCs w:val="16"/>
              </w:rPr>
            </w:pPr>
            <w:r w:rsidRPr="00DE108C">
              <w:rPr>
                <w:szCs w:val="16"/>
              </w:rPr>
              <w:t>WTP GWW SS</w:t>
            </w:r>
          </w:p>
        </w:tc>
        <w:tc>
          <w:tcPr>
            <w:tcW w:w="1250" w:type="pct"/>
            <w:vAlign w:val="center"/>
          </w:tcPr>
          <w:p w14:paraId="41DFEF94" w14:textId="77777777" w:rsidR="00046BD5" w:rsidRPr="00DE108C" w:rsidRDefault="00046BD5" w:rsidP="00ED094E">
            <w:pPr>
              <w:pStyle w:val="TableText"/>
              <w:jc w:val="center"/>
              <w:rPr>
                <w:rFonts w:ascii="Verdana" w:hAnsi="Verdana"/>
                <w:szCs w:val="16"/>
              </w:rPr>
            </w:pPr>
            <w:r w:rsidRPr="00DE108C">
              <w:rPr>
                <w:rFonts w:ascii="Verdana" w:hAnsi="Verdana"/>
                <w:szCs w:val="16"/>
              </w:rPr>
              <w:t>5.2%</w:t>
            </w:r>
          </w:p>
        </w:tc>
        <w:tc>
          <w:tcPr>
            <w:tcW w:w="1250" w:type="pct"/>
            <w:vAlign w:val="center"/>
          </w:tcPr>
          <w:p w14:paraId="46F6DC54" w14:textId="77777777" w:rsidR="00046BD5" w:rsidRPr="00DE108C" w:rsidRDefault="00046BD5">
            <w:pPr>
              <w:pStyle w:val="TableText"/>
              <w:jc w:val="center"/>
              <w:rPr>
                <w:szCs w:val="16"/>
              </w:rPr>
            </w:pPr>
            <w:r w:rsidRPr="00DE108C">
              <w:rPr>
                <w:szCs w:val="16"/>
              </w:rPr>
              <w:t>-4.3%</w:t>
            </w:r>
          </w:p>
        </w:tc>
        <w:tc>
          <w:tcPr>
            <w:tcW w:w="1250" w:type="pct"/>
            <w:vAlign w:val="center"/>
          </w:tcPr>
          <w:p w14:paraId="076F5B02" w14:textId="77777777" w:rsidR="00046BD5" w:rsidRPr="00DE108C" w:rsidRDefault="00046BD5">
            <w:pPr>
              <w:pStyle w:val="TableText"/>
              <w:jc w:val="center"/>
              <w:rPr>
                <w:szCs w:val="16"/>
              </w:rPr>
            </w:pPr>
            <w:r w:rsidRPr="00DE108C">
              <w:rPr>
                <w:szCs w:val="16"/>
              </w:rPr>
              <w:t>1.2%</w:t>
            </w:r>
          </w:p>
        </w:tc>
      </w:tr>
      <w:tr w:rsidR="00046BD5" w:rsidRPr="00DE108C" w14:paraId="388E7A5A" w14:textId="77777777" w:rsidTr="00ED094E">
        <w:trPr>
          <w:cantSplit/>
        </w:trPr>
        <w:tc>
          <w:tcPr>
            <w:tcW w:w="1250" w:type="pct"/>
          </w:tcPr>
          <w:p w14:paraId="5164CD4A" w14:textId="77777777" w:rsidR="00046BD5" w:rsidRPr="00DE108C" w:rsidRDefault="00046BD5">
            <w:pPr>
              <w:pStyle w:val="TableText"/>
              <w:rPr>
                <w:szCs w:val="16"/>
              </w:rPr>
            </w:pPr>
            <w:r w:rsidRPr="00DE108C">
              <w:rPr>
                <w:szCs w:val="16"/>
              </w:rPr>
              <w:t>WTP SEW SS</w:t>
            </w:r>
          </w:p>
        </w:tc>
        <w:tc>
          <w:tcPr>
            <w:tcW w:w="1250" w:type="pct"/>
            <w:vAlign w:val="center"/>
          </w:tcPr>
          <w:p w14:paraId="23247DBB" w14:textId="77777777" w:rsidR="00046BD5" w:rsidRPr="00DE108C" w:rsidRDefault="00046BD5" w:rsidP="00ED094E">
            <w:pPr>
              <w:pStyle w:val="TableText"/>
              <w:jc w:val="center"/>
              <w:rPr>
                <w:rFonts w:ascii="Verdana" w:hAnsi="Verdana"/>
                <w:szCs w:val="16"/>
              </w:rPr>
            </w:pPr>
            <w:r w:rsidRPr="00DE108C">
              <w:rPr>
                <w:rFonts w:ascii="Verdana" w:hAnsi="Verdana"/>
                <w:szCs w:val="16"/>
              </w:rPr>
              <w:t>36.2%</w:t>
            </w:r>
          </w:p>
        </w:tc>
        <w:tc>
          <w:tcPr>
            <w:tcW w:w="1250" w:type="pct"/>
            <w:vAlign w:val="center"/>
          </w:tcPr>
          <w:p w14:paraId="49F82D59" w14:textId="77777777" w:rsidR="00046BD5" w:rsidRPr="00DE108C" w:rsidRDefault="00046BD5">
            <w:pPr>
              <w:pStyle w:val="TableText"/>
              <w:jc w:val="center"/>
              <w:rPr>
                <w:szCs w:val="16"/>
              </w:rPr>
            </w:pPr>
            <w:r w:rsidRPr="00DE108C">
              <w:rPr>
                <w:szCs w:val="16"/>
              </w:rPr>
              <w:t>14.9%</w:t>
            </w:r>
          </w:p>
        </w:tc>
        <w:tc>
          <w:tcPr>
            <w:tcW w:w="1250" w:type="pct"/>
            <w:vAlign w:val="center"/>
          </w:tcPr>
          <w:p w14:paraId="50F094EF" w14:textId="77777777" w:rsidR="00046BD5" w:rsidRPr="00DE108C" w:rsidRDefault="00046BD5">
            <w:pPr>
              <w:pStyle w:val="TableText"/>
              <w:jc w:val="center"/>
              <w:rPr>
                <w:szCs w:val="16"/>
              </w:rPr>
            </w:pPr>
            <w:r w:rsidRPr="00DE108C">
              <w:rPr>
                <w:szCs w:val="16"/>
              </w:rPr>
              <w:t>10.0%</w:t>
            </w:r>
          </w:p>
        </w:tc>
      </w:tr>
      <w:tr w:rsidR="00556A0D" w:rsidRPr="00DE108C" w14:paraId="525A05CB"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1250" w:type="pct"/>
          </w:tcPr>
          <w:p w14:paraId="4CF8AD41" w14:textId="77777777" w:rsidR="00046BD5" w:rsidRPr="00DE108C" w:rsidRDefault="00046BD5">
            <w:pPr>
              <w:pStyle w:val="TableText"/>
              <w:rPr>
                <w:szCs w:val="16"/>
              </w:rPr>
            </w:pPr>
            <w:r w:rsidRPr="00DE108C">
              <w:rPr>
                <w:szCs w:val="16"/>
              </w:rPr>
              <w:t>WTP YVW SS</w:t>
            </w:r>
          </w:p>
        </w:tc>
        <w:tc>
          <w:tcPr>
            <w:tcW w:w="1250" w:type="pct"/>
            <w:vAlign w:val="center"/>
          </w:tcPr>
          <w:p w14:paraId="7B1B794A" w14:textId="77777777" w:rsidR="00046BD5" w:rsidRPr="00DE108C" w:rsidRDefault="00046BD5" w:rsidP="00ED094E">
            <w:pPr>
              <w:pStyle w:val="TableText"/>
              <w:jc w:val="center"/>
              <w:rPr>
                <w:rFonts w:ascii="Verdana" w:hAnsi="Verdana"/>
                <w:szCs w:val="16"/>
              </w:rPr>
            </w:pPr>
            <w:r w:rsidRPr="00DE108C">
              <w:rPr>
                <w:rFonts w:ascii="Verdana" w:hAnsi="Verdana"/>
                <w:szCs w:val="16"/>
              </w:rPr>
              <w:t>3.9%</w:t>
            </w:r>
          </w:p>
        </w:tc>
        <w:tc>
          <w:tcPr>
            <w:tcW w:w="1250" w:type="pct"/>
            <w:vAlign w:val="center"/>
          </w:tcPr>
          <w:p w14:paraId="6809148D" w14:textId="77777777" w:rsidR="00046BD5" w:rsidRPr="00DE108C" w:rsidRDefault="00046BD5">
            <w:pPr>
              <w:pStyle w:val="TableText"/>
              <w:jc w:val="center"/>
              <w:rPr>
                <w:szCs w:val="16"/>
              </w:rPr>
            </w:pPr>
            <w:r w:rsidRPr="00DE108C">
              <w:rPr>
                <w:szCs w:val="16"/>
              </w:rPr>
              <w:t>5.0%</w:t>
            </w:r>
          </w:p>
        </w:tc>
        <w:tc>
          <w:tcPr>
            <w:tcW w:w="1250" w:type="pct"/>
            <w:vAlign w:val="center"/>
          </w:tcPr>
          <w:p w14:paraId="3F664B0D" w14:textId="77777777" w:rsidR="00046BD5" w:rsidRPr="00DE108C" w:rsidRDefault="00046BD5">
            <w:pPr>
              <w:pStyle w:val="TableText"/>
              <w:jc w:val="center"/>
              <w:rPr>
                <w:szCs w:val="16"/>
              </w:rPr>
            </w:pPr>
            <w:r w:rsidRPr="00DE108C">
              <w:rPr>
                <w:szCs w:val="16"/>
              </w:rPr>
              <w:t>5.5%</w:t>
            </w:r>
          </w:p>
        </w:tc>
      </w:tr>
      <w:tr w:rsidR="00046BD5" w:rsidRPr="00DE108C" w14:paraId="60544985" w14:textId="77777777" w:rsidTr="00ED094E">
        <w:trPr>
          <w:cantSplit/>
        </w:trPr>
        <w:tc>
          <w:tcPr>
            <w:tcW w:w="1250" w:type="pct"/>
          </w:tcPr>
          <w:p w14:paraId="629D0EF1" w14:textId="75FF26FF" w:rsidR="00046BD5" w:rsidRPr="00DE108C" w:rsidRDefault="00046BD5">
            <w:pPr>
              <w:pStyle w:val="TableText"/>
            </w:pPr>
            <w:r>
              <w:t>ETP SEW TKN</w:t>
            </w:r>
          </w:p>
        </w:tc>
        <w:tc>
          <w:tcPr>
            <w:tcW w:w="1250" w:type="pct"/>
            <w:vAlign w:val="center"/>
          </w:tcPr>
          <w:p w14:paraId="3E53175B" w14:textId="77777777" w:rsidR="00046BD5" w:rsidRPr="00DE108C" w:rsidRDefault="00046BD5" w:rsidP="00ED094E">
            <w:pPr>
              <w:pStyle w:val="TableText"/>
              <w:jc w:val="center"/>
              <w:rPr>
                <w:rFonts w:ascii="Verdana" w:hAnsi="Verdana"/>
                <w:szCs w:val="16"/>
              </w:rPr>
            </w:pPr>
            <w:r w:rsidRPr="00DE108C">
              <w:rPr>
                <w:rFonts w:ascii="Verdana" w:hAnsi="Verdana"/>
                <w:szCs w:val="16"/>
              </w:rPr>
              <w:t>34.5%</w:t>
            </w:r>
          </w:p>
        </w:tc>
        <w:tc>
          <w:tcPr>
            <w:tcW w:w="1250" w:type="pct"/>
            <w:vAlign w:val="center"/>
          </w:tcPr>
          <w:p w14:paraId="14B3D5CD" w14:textId="77777777" w:rsidR="00046BD5" w:rsidRPr="00DE108C" w:rsidRDefault="00046BD5">
            <w:pPr>
              <w:pStyle w:val="TableText"/>
              <w:jc w:val="center"/>
              <w:rPr>
                <w:szCs w:val="16"/>
              </w:rPr>
            </w:pPr>
            <w:r w:rsidRPr="00DE108C">
              <w:rPr>
                <w:szCs w:val="16"/>
              </w:rPr>
              <w:t>1.5%</w:t>
            </w:r>
          </w:p>
        </w:tc>
        <w:tc>
          <w:tcPr>
            <w:tcW w:w="1250" w:type="pct"/>
            <w:vAlign w:val="center"/>
          </w:tcPr>
          <w:p w14:paraId="521DE7D9" w14:textId="77777777" w:rsidR="00046BD5" w:rsidRPr="00DE108C" w:rsidRDefault="00046BD5">
            <w:pPr>
              <w:pStyle w:val="TableText"/>
              <w:jc w:val="center"/>
              <w:rPr>
                <w:szCs w:val="16"/>
              </w:rPr>
            </w:pPr>
            <w:r w:rsidRPr="00DE108C">
              <w:rPr>
                <w:szCs w:val="16"/>
              </w:rPr>
              <w:t>5.3%</w:t>
            </w:r>
          </w:p>
        </w:tc>
      </w:tr>
      <w:tr w:rsidR="00556A0D" w:rsidRPr="00DE108C" w14:paraId="1F99F36E"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1250" w:type="pct"/>
          </w:tcPr>
          <w:p w14:paraId="1C955D6B" w14:textId="77777777" w:rsidR="00046BD5" w:rsidRPr="00DE108C" w:rsidRDefault="00046BD5">
            <w:pPr>
              <w:pStyle w:val="TableText"/>
              <w:rPr>
                <w:szCs w:val="16"/>
              </w:rPr>
            </w:pPr>
            <w:r w:rsidRPr="00DE108C">
              <w:rPr>
                <w:szCs w:val="16"/>
              </w:rPr>
              <w:t>ETP YVW TKN</w:t>
            </w:r>
          </w:p>
        </w:tc>
        <w:tc>
          <w:tcPr>
            <w:tcW w:w="1250" w:type="pct"/>
            <w:vAlign w:val="center"/>
          </w:tcPr>
          <w:p w14:paraId="292D8D24" w14:textId="77777777" w:rsidR="00046BD5" w:rsidRPr="00DE108C" w:rsidRDefault="00046BD5" w:rsidP="00ED094E">
            <w:pPr>
              <w:pStyle w:val="TableText"/>
              <w:jc w:val="center"/>
              <w:rPr>
                <w:rFonts w:ascii="Verdana" w:hAnsi="Verdana"/>
                <w:szCs w:val="16"/>
              </w:rPr>
            </w:pPr>
            <w:r w:rsidRPr="00DE108C">
              <w:rPr>
                <w:rFonts w:ascii="Verdana" w:hAnsi="Verdana"/>
                <w:szCs w:val="16"/>
              </w:rPr>
              <w:t>61.7%</w:t>
            </w:r>
          </w:p>
        </w:tc>
        <w:tc>
          <w:tcPr>
            <w:tcW w:w="1250" w:type="pct"/>
            <w:vAlign w:val="center"/>
          </w:tcPr>
          <w:p w14:paraId="538C6B8E" w14:textId="77777777" w:rsidR="00046BD5" w:rsidRPr="00DE108C" w:rsidRDefault="00046BD5">
            <w:pPr>
              <w:pStyle w:val="TableText"/>
              <w:jc w:val="center"/>
              <w:rPr>
                <w:szCs w:val="16"/>
              </w:rPr>
            </w:pPr>
            <w:r w:rsidRPr="00DE108C">
              <w:rPr>
                <w:szCs w:val="16"/>
              </w:rPr>
              <w:t>1.1%</w:t>
            </w:r>
          </w:p>
        </w:tc>
        <w:tc>
          <w:tcPr>
            <w:tcW w:w="1250" w:type="pct"/>
            <w:vAlign w:val="center"/>
          </w:tcPr>
          <w:p w14:paraId="4D06F962" w14:textId="77777777" w:rsidR="00046BD5" w:rsidRPr="00DE108C" w:rsidRDefault="00046BD5">
            <w:pPr>
              <w:pStyle w:val="TableText"/>
              <w:jc w:val="center"/>
              <w:rPr>
                <w:szCs w:val="16"/>
              </w:rPr>
            </w:pPr>
            <w:r w:rsidRPr="00DE108C">
              <w:rPr>
                <w:szCs w:val="16"/>
              </w:rPr>
              <w:t>-3.7%</w:t>
            </w:r>
          </w:p>
        </w:tc>
      </w:tr>
      <w:tr w:rsidR="00046BD5" w:rsidRPr="00DE108C" w14:paraId="2169E828" w14:textId="77777777" w:rsidTr="00ED094E">
        <w:trPr>
          <w:cantSplit/>
        </w:trPr>
        <w:tc>
          <w:tcPr>
            <w:tcW w:w="1250" w:type="pct"/>
          </w:tcPr>
          <w:p w14:paraId="701C79BB" w14:textId="77777777" w:rsidR="00046BD5" w:rsidRPr="00DE108C" w:rsidRDefault="00046BD5">
            <w:pPr>
              <w:pStyle w:val="TableText"/>
              <w:rPr>
                <w:szCs w:val="16"/>
              </w:rPr>
            </w:pPr>
            <w:r w:rsidRPr="00DE108C">
              <w:rPr>
                <w:szCs w:val="16"/>
              </w:rPr>
              <w:t>WTP GWW TKN</w:t>
            </w:r>
          </w:p>
        </w:tc>
        <w:tc>
          <w:tcPr>
            <w:tcW w:w="1250" w:type="pct"/>
            <w:vAlign w:val="center"/>
          </w:tcPr>
          <w:p w14:paraId="0F76F2AC" w14:textId="77777777" w:rsidR="00046BD5" w:rsidRPr="00DE108C" w:rsidRDefault="00046BD5" w:rsidP="00ED094E">
            <w:pPr>
              <w:pStyle w:val="TableText"/>
              <w:jc w:val="center"/>
              <w:rPr>
                <w:rFonts w:ascii="Verdana" w:hAnsi="Verdana"/>
                <w:szCs w:val="16"/>
              </w:rPr>
            </w:pPr>
            <w:r w:rsidRPr="00DE108C">
              <w:rPr>
                <w:rFonts w:ascii="Verdana" w:hAnsi="Verdana"/>
                <w:szCs w:val="16"/>
              </w:rPr>
              <w:t>-14.1%</w:t>
            </w:r>
          </w:p>
        </w:tc>
        <w:tc>
          <w:tcPr>
            <w:tcW w:w="1250" w:type="pct"/>
            <w:vAlign w:val="center"/>
          </w:tcPr>
          <w:p w14:paraId="61486E26" w14:textId="77777777" w:rsidR="00046BD5" w:rsidRPr="00DE108C" w:rsidRDefault="00046BD5">
            <w:pPr>
              <w:pStyle w:val="TableText"/>
              <w:jc w:val="center"/>
              <w:rPr>
                <w:szCs w:val="16"/>
              </w:rPr>
            </w:pPr>
            <w:r w:rsidRPr="00DE108C">
              <w:rPr>
                <w:szCs w:val="16"/>
              </w:rPr>
              <w:t>-2.5%</w:t>
            </w:r>
          </w:p>
        </w:tc>
        <w:tc>
          <w:tcPr>
            <w:tcW w:w="1250" w:type="pct"/>
            <w:vAlign w:val="center"/>
          </w:tcPr>
          <w:p w14:paraId="32B69474" w14:textId="77777777" w:rsidR="00046BD5" w:rsidRPr="00DE108C" w:rsidRDefault="00046BD5">
            <w:pPr>
              <w:pStyle w:val="TableText"/>
              <w:jc w:val="center"/>
              <w:rPr>
                <w:szCs w:val="16"/>
              </w:rPr>
            </w:pPr>
            <w:r w:rsidRPr="00DE108C">
              <w:rPr>
                <w:szCs w:val="16"/>
              </w:rPr>
              <w:t>1.1%</w:t>
            </w:r>
          </w:p>
        </w:tc>
      </w:tr>
      <w:tr w:rsidR="00556A0D" w:rsidRPr="00DE108C" w14:paraId="5B53922B"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1250" w:type="pct"/>
          </w:tcPr>
          <w:p w14:paraId="76FBFAFA" w14:textId="77777777" w:rsidR="00046BD5" w:rsidRPr="00DE108C" w:rsidRDefault="00046BD5">
            <w:pPr>
              <w:pStyle w:val="TableText"/>
              <w:rPr>
                <w:szCs w:val="16"/>
              </w:rPr>
            </w:pPr>
            <w:r w:rsidRPr="00DE108C">
              <w:rPr>
                <w:szCs w:val="16"/>
              </w:rPr>
              <w:t>WTP SEW TKN</w:t>
            </w:r>
          </w:p>
        </w:tc>
        <w:tc>
          <w:tcPr>
            <w:tcW w:w="1250" w:type="pct"/>
            <w:vAlign w:val="center"/>
          </w:tcPr>
          <w:p w14:paraId="3BD84EB8" w14:textId="77777777" w:rsidR="00046BD5" w:rsidRPr="00DE108C" w:rsidRDefault="00046BD5" w:rsidP="00ED094E">
            <w:pPr>
              <w:pStyle w:val="TableText"/>
              <w:jc w:val="center"/>
              <w:rPr>
                <w:rFonts w:ascii="Verdana" w:hAnsi="Verdana"/>
                <w:szCs w:val="16"/>
              </w:rPr>
            </w:pPr>
            <w:r w:rsidRPr="00DE108C">
              <w:rPr>
                <w:rFonts w:ascii="Verdana" w:hAnsi="Verdana"/>
                <w:szCs w:val="16"/>
              </w:rPr>
              <w:t>9.4%</w:t>
            </w:r>
          </w:p>
        </w:tc>
        <w:tc>
          <w:tcPr>
            <w:tcW w:w="1250" w:type="pct"/>
            <w:vAlign w:val="center"/>
          </w:tcPr>
          <w:p w14:paraId="7450B318" w14:textId="77777777" w:rsidR="00046BD5" w:rsidRPr="00DE108C" w:rsidRDefault="00046BD5">
            <w:pPr>
              <w:pStyle w:val="TableText"/>
              <w:jc w:val="center"/>
              <w:rPr>
                <w:szCs w:val="16"/>
              </w:rPr>
            </w:pPr>
            <w:r w:rsidRPr="00DE108C">
              <w:rPr>
                <w:szCs w:val="16"/>
              </w:rPr>
              <w:t>-0.5%</w:t>
            </w:r>
          </w:p>
        </w:tc>
        <w:tc>
          <w:tcPr>
            <w:tcW w:w="1250" w:type="pct"/>
            <w:vAlign w:val="center"/>
          </w:tcPr>
          <w:p w14:paraId="56F3A025" w14:textId="77777777" w:rsidR="00046BD5" w:rsidRPr="00DE108C" w:rsidRDefault="00046BD5">
            <w:pPr>
              <w:pStyle w:val="TableText"/>
              <w:jc w:val="center"/>
              <w:rPr>
                <w:szCs w:val="16"/>
              </w:rPr>
            </w:pPr>
            <w:r w:rsidRPr="00DE108C">
              <w:rPr>
                <w:szCs w:val="16"/>
              </w:rPr>
              <w:t>18.0%</w:t>
            </w:r>
          </w:p>
        </w:tc>
      </w:tr>
      <w:tr w:rsidR="00046BD5" w:rsidRPr="00DE108C" w14:paraId="43342C92" w14:textId="77777777" w:rsidTr="00ED094E">
        <w:trPr>
          <w:cantSplit/>
        </w:trPr>
        <w:tc>
          <w:tcPr>
            <w:tcW w:w="1250" w:type="pct"/>
          </w:tcPr>
          <w:p w14:paraId="301B5696" w14:textId="77777777" w:rsidR="00046BD5" w:rsidRPr="00DE108C" w:rsidRDefault="00046BD5">
            <w:pPr>
              <w:pStyle w:val="TableText"/>
              <w:rPr>
                <w:szCs w:val="16"/>
              </w:rPr>
            </w:pPr>
            <w:r w:rsidRPr="00DE108C">
              <w:rPr>
                <w:szCs w:val="16"/>
              </w:rPr>
              <w:t>WTP YVW TKN</w:t>
            </w:r>
          </w:p>
        </w:tc>
        <w:tc>
          <w:tcPr>
            <w:tcW w:w="1250" w:type="pct"/>
            <w:vAlign w:val="center"/>
          </w:tcPr>
          <w:p w14:paraId="23D57F9A" w14:textId="77777777" w:rsidR="00046BD5" w:rsidRPr="00DE108C" w:rsidRDefault="00046BD5" w:rsidP="00ED094E">
            <w:pPr>
              <w:pStyle w:val="TableText"/>
              <w:jc w:val="center"/>
              <w:rPr>
                <w:rFonts w:ascii="Verdana" w:hAnsi="Verdana"/>
                <w:szCs w:val="16"/>
              </w:rPr>
            </w:pPr>
            <w:r w:rsidRPr="00DE108C">
              <w:rPr>
                <w:rFonts w:ascii="Verdana" w:hAnsi="Verdana"/>
                <w:szCs w:val="16"/>
              </w:rPr>
              <w:t>6.8%</w:t>
            </w:r>
          </w:p>
        </w:tc>
        <w:tc>
          <w:tcPr>
            <w:tcW w:w="1250" w:type="pct"/>
            <w:vAlign w:val="center"/>
          </w:tcPr>
          <w:p w14:paraId="508CF8E2" w14:textId="77777777" w:rsidR="00046BD5" w:rsidRPr="00DE108C" w:rsidRDefault="00046BD5">
            <w:pPr>
              <w:pStyle w:val="TableText"/>
              <w:jc w:val="center"/>
              <w:rPr>
                <w:szCs w:val="16"/>
              </w:rPr>
            </w:pPr>
            <w:r w:rsidRPr="00DE108C">
              <w:rPr>
                <w:szCs w:val="16"/>
              </w:rPr>
              <w:t>4.7%</w:t>
            </w:r>
          </w:p>
        </w:tc>
        <w:tc>
          <w:tcPr>
            <w:tcW w:w="1250" w:type="pct"/>
            <w:vAlign w:val="center"/>
          </w:tcPr>
          <w:p w14:paraId="4B34C9F2" w14:textId="77777777" w:rsidR="00046BD5" w:rsidRPr="00DE108C" w:rsidRDefault="00046BD5">
            <w:pPr>
              <w:pStyle w:val="TableText"/>
              <w:jc w:val="center"/>
              <w:rPr>
                <w:szCs w:val="16"/>
              </w:rPr>
            </w:pPr>
            <w:r w:rsidRPr="00DE108C">
              <w:rPr>
                <w:szCs w:val="16"/>
              </w:rPr>
              <w:t>0.5%</w:t>
            </w:r>
          </w:p>
        </w:tc>
      </w:tr>
      <w:tr w:rsidR="00556A0D" w:rsidRPr="00DE108C" w14:paraId="0AA81A6D"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1250" w:type="pct"/>
          </w:tcPr>
          <w:p w14:paraId="439EA6D8" w14:textId="77777777" w:rsidR="00046BD5" w:rsidRPr="00DE108C" w:rsidRDefault="00046BD5">
            <w:pPr>
              <w:pStyle w:val="TableText"/>
              <w:rPr>
                <w:szCs w:val="16"/>
              </w:rPr>
            </w:pPr>
            <w:r w:rsidRPr="00DE108C">
              <w:rPr>
                <w:szCs w:val="16"/>
              </w:rPr>
              <w:t>WTP GWW iTDS</w:t>
            </w:r>
          </w:p>
        </w:tc>
        <w:tc>
          <w:tcPr>
            <w:tcW w:w="1250" w:type="pct"/>
            <w:vAlign w:val="center"/>
          </w:tcPr>
          <w:p w14:paraId="38738316" w14:textId="77777777" w:rsidR="00046BD5" w:rsidRPr="00DE108C" w:rsidRDefault="00046BD5" w:rsidP="00ED094E">
            <w:pPr>
              <w:pStyle w:val="TableText"/>
              <w:jc w:val="center"/>
              <w:rPr>
                <w:rFonts w:ascii="Verdana" w:hAnsi="Verdana"/>
                <w:szCs w:val="16"/>
              </w:rPr>
            </w:pPr>
            <w:r w:rsidRPr="00DE108C">
              <w:rPr>
                <w:rFonts w:ascii="Verdana" w:hAnsi="Verdana"/>
                <w:szCs w:val="16"/>
              </w:rPr>
              <w:t>-8.9%</w:t>
            </w:r>
          </w:p>
        </w:tc>
        <w:tc>
          <w:tcPr>
            <w:tcW w:w="1250" w:type="pct"/>
            <w:vAlign w:val="center"/>
          </w:tcPr>
          <w:p w14:paraId="4278BBEF" w14:textId="77777777" w:rsidR="00046BD5" w:rsidRPr="00DE108C" w:rsidRDefault="00046BD5">
            <w:pPr>
              <w:pStyle w:val="TableText"/>
              <w:jc w:val="center"/>
              <w:rPr>
                <w:szCs w:val="16"/>
              </w:rPr>
            </w:pPr>
            <w:r w:rsidRPr="00DE108C">
              <w:rPr>
                <w:szCs w:val="16"/>
              </w:rPr>
              <w:t>-0.3%</w:t>
            </w:r>
          </w:p>
        </w:tc>
        <w:tc>
          <w:tcPr>
            <w:tcW w:w="1250" w:type="pct"/>
            <w:vAlign w:val="center"/>
          </w:tcPr>
          <w:p w14:paraId="2CCE8A9B" w14:textId="77777777" w:rsidR="00046BD5" w:rsidRPr="00DE108C" w:rsidRDefault="00046BD5">
            <w:pPr>
              <w:pStyle w:val="TableText"/>
              <w:jc w:val="center"/>
              <w:rPr>
                <w:szCs w:val="16"/>
              </w:rPr>
            </w:pPr>
            <w:r w:rsidRPr="00DE108C">
              <w:rPr>
                <w:szCs w:val="16"/>
              </w:rPr>
              <w:t>2.0%</w:t>
            </w:r>
          </w:p>
        </w:tc>
      </w:tr>
      <w:tr w:rsidR="00046BD5" w:rsidRPr="00DE108C" w14:paraId="0127B4B2" w14:textId="77777777" w:rsidTr="00ED094E">
        <w:trPr>
          <w:cantSplit/>
        </w:trPr>
        <w:tc>
          <w:tcPr>
            <w:tcW w:w="1250" w:type="pct"/>
          </w:tcPr>
          <w:p w14:paraId="6E0A9153" w14:textId="77777777" w:rsidR="00046BD5" w:rsidRPr="00DE108C" w:rsidRDefault="00046BD5">
            <w:pPr>
              <w:pStyle w:val="TableText"/>
              <w:rPr>
                <w:szCs w:val="16"/>
              </w:rPr>
            </w:pPr>
            <w:r w:rsidRPr="00DE108C">
              <w:rPr>
                <w:szCs w:val="16"/>
              </w:rPr>
              <w:t>WTP SEW iTDS</w:t>
            </w:r>
          </w:p>
        </w:tc>
        <w:tc>
          <w:tcPr>
            <w:tcW w:w="1250" w:type="pct"/>
            <w:vAlign w:val="center"/>
          </w:tcPr>
          <w:p w14:paraId="2676132B" w14:textId="77777777" w:rsidR="00046BD5" w:rsidRPr="00DE108C" w:rsidRDefault="00046BD5" w:rsidP="00ED094E">
            <w:pPr>
              <w:pStyle w:val="TableText"/>
              <w:jc w:val="center"/>
              <w:rPr>
                <w:rFonts w:ascii="Verdana" w:hAnsi="Verdana"/>
                <w:szCs w:val="16"/>
              </w:rPr>
            </w:pPr>
            <w:r w:rsidRPr="00DE108C">
              <w:rPr>
                <w:rFonts w:ascii="Verdana" w:hAnsi="Verdana"/>
                <w:szCs w:val="16"/>
              </w:rPr>
              <w:t>-5.0%</w:t>
            </w:r>
          </w:p>
        </w:tc>
        <w:tc>
          <w:tcPr>
            <w:tcW w:w="1250" w:type="pct"/>
            <w:vAlign w:val="center"/>
          </w:tcPr>
          <w:p w14:paraId="1ACA0F65" w14:textId="77777777" w:rsidR="00046BD5" w:rsidRPr="00DE108C" w:rsidRDefault="00046BD5">
            <w:pPr>
              <w:pStyle w:val="TableText"/>
              <w:jc w:val="center"/>
              <w:rPr>
                <w:szCs w:val="16"/>
              </w:rPr>
            </w:pPr>
            <w:r w:rsidRPr="00DE108C">
              <w:rPr>
                <w:szCs w:val="16"/>
              </w:rPr>
              <w:t>63.7%</w:t>
            </w:r>
          </w:p>
        </w:tc>
        <w:tc>
          <w:tcPr>
            <w:tcW w:w="1250" w:type="pct"/>
            <w:vAlign w:val="center"/>
          </w:tcPr>
          <w:p w14:paraId="54BD6710" w14:textId="77777777" w:rsidR="00046BD5" w:rsidRPr="00DE108C" w:rsidRDefault="00046BD5">
            <w:pPr>
              <w:pStyle w:val="TableText"/>
              <w:jc w:val="center"/>
              <w:rPr>
                <w:szCs w:val="16"/>
              </w:rPr>
            </w:pPr>
            <w:r w:rsidRPr="00DE108C">
              <w:rPr>
                <w:szCs w:val="16"/>
              </w:rPr>
              <w:t>98.1%</w:t>
            </w:r>
          </w:p>
        </w:tc>
      </w:tr>
      <w:tr w:rsidR="00556A0D" w:rsidRPr="00DE108C" w14:paraId="1F12B821" w14:textId="77777777" w:rsidTr="00B46F82">
        <w:trPr>
          <w:cnfStyle w:val="000000010000" w:firstRow="0" w:lastRow="0" w:firstColumn="0" w:lastColumn="0" w:oddVBand="0" w:evenVBand="0" w:oddHBand="0" w:evenHBand="1" w:firstRowFirstColumn="0" w:firstRowLastColumn="0" w:lastRowFirstColumn="0" w:lastRowLastColumn="0"/>
          <w:cantSplit/>
        </w:trPr>
        <w:tc>
          <w:tcPr>
            <w:tcW w:w="1250" w:type="pct"/>
          </w:tcPr>
          <w:p w14:paraId="6B4BC902" w14:textId="77777777" w:rsidR="00046BD5" w:rsidRPr="00DE108C" w:rsidRDefault="00046BD5">
            <w:pPr>
              <w:pStyle w:val="TableText"/>
              <w:rPr>
                <w:szCs w:val="16"/>
              </w:rPr>
            </w:pPr>
            <w:r w:rsidRPr="00DE108C">
              <w:rPr>
                <w:szCs w:val="16"/>
              </w:rPr>
              <w:t>WTP YVW iTDS</w:t>
            </w:r>
          </w:p>
        </w:tc>
        <w:tc>
          <w:tcPr>
            <w:tcW w:w="1250" w:type="pct"/>
            <w:vAlign w:val="center"/>
          </w:tcPr>
          <w:p w14:paraId="556B4258" w14:textId="77777777" w:rsidR="00046BD5" w:rsidRPr="00DE108C" w:rsidRDefault="00046BD5" w:rsidP="00ED094E">
            <w:pPr>
              <w:pStyle w:val="TableText"/>
              <w:jc w:val="center"/>
              <w:rPr>
                <w:rFonts w:ascii="Verdana" w:hAnsi="Verdana"/>
                <w:szCs w:val="16"/>
              </w:rPr>
            </w:pPr>
            <w:r w:rsidRPr="00DE108C">
              <w:rPr>
                <w:rFonts w:ascii="Verdana" w:hAnsi="Verdana"/>
                <w:szCs w:val="16"/>
              </w:rPr>
              <w:t>21.5%</w:t>
            </w:r>
          </w:p>
        </w:tc>
        <w:tc>
          <w:tcPr>
            <w:tcW w:w="1250" w:type="pct"/>
            <w:vAlign w:val="center"/>
          </w:tcPr>
          <w:p w14:paraId="0EDD0FA6" w14:textId="77777777" w:rsidR="00046BD5" w:rsidRPr="00DE108C" w:rsidRDefault="00046BD5">
            <w:pPr>
              <w:pStyle w:val="TableText"/>
              <w:jc w:val="center"/>
              <w:rPr>
                <w:szCs w:val="16"/>
              </w:rPr>
            </w:pPr>
            <w:r w:rsidRPr="00DE108C">
              <w:rPr>
                <w:szCs w:val="16"/>
              </w:rPr>
              <w:t>6.1%</w:t>
            </w:r>
          </w:p>
        </w:tc>
        <w:tc>
          <w:tcPr>
            <w:tcW w:w="1250" w:type="pct"/>
            <w:vAlign w:val="center"/>
          </w:tcPr>
          <w:p w14:paraId="51AE1970" w14:textId="77777777" w:rsidR="00046BD5" w:rsidRPr="00DE108C" w:rsidRDefault="00046BD5">
            <w:pPr>
              <w:pStyle w:val="TableText"/>
              <w:jc w:val="center"/>
              <w:rPr>
                <w:szCs w:val="16"/>
              </w:rPr>
            </w:pPr>
            <w:r w:rsidRPr="00DE108C">
              <w:rPr>
                <w:szCs w:val="16"/>
              </w:rPr>
              <w:t>-2.8%</w:t>
            </w:r>
          </w:p>
        </w:tc>
      </w:tr>
    </w:tbl>
    <w:p w14:paraId="2C2E86AF" w14:textId="77777777" w:rsidR="00046BD5" w:rsidRPr="00DE108C" w:rsidRDefault="00046BD5">
      <w:pPr>
        <w:pStyle w:val="BodyText"/>
      </w:pPr>
    </w:p>
    <w:p w14:paraId="0FF1A000" w14:textId="0BD4DEC4" w:rsidR="00046BD5" w:rsidRPr="00DE108C" w:rsidRDefault="00046BD5" w:rsidP="00ED094E">
      <w:r w:rsidRPr="00DE108C">
        <w:t>For capacity planning</w:t>
      </w:r>
      <w:r w:rsidR="00D16C0E" w:rsidRPr="00DE108C">
        <w:t xml:space="preserve"> purposes</w:t>
      </w:r>
      <w:r w:rsidRPr="00DE108C">
        <w:t xml:space="preserve">, we also forecast the total load parameters at each treatment plant. These treatable load parameters, which are a more material driver of treatment plant costs are also forecast to grow, however the change in the baseline is a more significant impact on expenditure. The CAGR over PS26 for these total load parameters are: </w:t>
      </w:r>
    </w:p>
    <w:p w14:paraId="4393CADC" w14:textId="77777777" w:rsidR="00046BD5" w:rsidRPr="00814194" w:rsidRDefault="00046BD5" w:rsidP="00814194">
      <w:pPr>
        <w:pStyle w:val="ListBullet"/>
      </w:pPr>
      <w:r w:rsidRPr="00814194">
        <w:lastRenderedPageBreak/>
        <w:t xml:space="preserve">BOD growth is forecast to be 0.8 per cent per annum at ETP and 1.2 per cent per annum at WTP </w:t>
      </w:r>
    </w:p>
    <w:p w14:paraId="17DA2FDE" w14:textId="77777777" w:rsidR="00046BD5" w:rsidRPr="00814194" w:rsidRDefault="00046BD5" w:rsidP="00814194">
      <w:pPr>
        <w:pStyle w:val="ListBullet"/>
      </w:pPr>
      <w:r w:rsidRPr="00814194">
        <w:t xml:space="preserve">SS growth is forecast to be 0.7 per cent per annum at ETP and 1.1 per cent per annum at WTP </w:t>
      </w:r>
    </w:p>
    <w:p w14:paraId="286B183D" w14:textId="77777777" w:rsidR="00046BD5" w:rsidRPr="00814194" w:rsidRDefault="00046BD5" w:rsidP="00814194">
      <w:pPr>
        <w:pStyle w:val="ListBullet"/>
      </w:pPr>
      <w:r w:rsidRPr="00814194">
        <w:t>TKN growth is forecast to be 0.7 per cent per annum at ETP and 1.1 per cent per annum at WTP</w:t>
      </w:r>
    </w:p>
    <w:p w14:paraId="2F8DA5AB" w14:textId="2D638DA9" w:rsidR="00046BD5" w:rsidRPr="00814194" w:rsidRDefault="00046BD5" w:rsidP="00814194">
      <w:pPr>
        <w:pStyle w:val="ListBullet"/>
      </w:pPr>
      <w:r w:rsidRPr="00814194">
        <w:t>iTDS growth is forecast to be 0.4 per cent per annum at ETP and 0.8 per cent per annum at WTP</w:t>
      </w:r>
      <w:r w:rsidR="74557010" w:rsidRPr="00814194">
        <w:t>.</w:t>
      </w:r>
    </w:p>
    <w:p w14:paraId="68194BDD" w14:textId="77777777" w:rsidR="00046BD5" w:rsidRPr="00DE108C" w:rsidRDefault="00046BD5" w:rsidP="00ED094E">
      <w:bookmarkStart w:id="1070" w:name="_Toc190876190"/>
      <w:bookmarkStart w:id="1071" w:name="_Toc196745292"/>
    </w:p>
    <w:p w14:paraId="2D8046B6" w14:textId="77777777" w:rsidR="00046BD5" w:rsidRPr="00DE108C" w:rsidRDefault="00046BD5">
      <w:pPr>
        <w:pStyle w:val="Heading2"/>
      </w:pPr>
      <w:bookmarkStart w:id="1072" w:name="_Toc207892931"/>
      <w:bookmarkStart w:id="1073" w:name="_Toc207853424"/>
      <w:r w:rsidRPr="00DE108C">
        <w:t>10.5 Developer contribution forecasts</w:t>
      </w:r>
      <w:bookmarkEnd w:id="1070"/>
      <w:bookmarkEnd w:id="1071"/>
      <w:bookmarkEnd w:id="1072"/>
      <w:bookmarkEnd w:id="1073"/>
    </w:p>
    <w:p w14:paraId="2D257D66" w14:textId="695C2269" w:rsidR="00046BD5" w:rsidRPr="00DE108C" w:rsidRDefault="00046BD5" w:rsidP="00ED094E">
      <w:r w:rsidRPr="00DE108C">
        <w:t xml:space="preserve">Developer contributions have been forecast with the support of external expert advice that provided a forecast of developable hectares by our three growth areas and with regard to </w:t>
      </w:r>
      <w:r w:rsidR="31734038">
        <w:t>Victorian</w:t>
      </w:r>
      <w:r w:rsidRPr="00DE108C">
        <w:t xml:space="preserve"> Government projections, recent trends, and engagement with the land development industry to take into account projected rates of land development in growth areas, the current and emerging economic context and the delivery capacity of the land development industry.</w:t>
      </w:r>
    </w:p>
    <w:p w14:paraId="12487E43" w14:textId="0D59BAFF" w:rsidR="00046BD5" w:rsidRPr="00DE108C" w:rsidRDefault="00046BD5" w:rsidP="00ED094E">
      <w:r w:rsidRPr="00DE108C">
        <w:t>Forecast developer contributions of $1,3</w:t>
      </w:r>
      <w:r w:rsidR="00EF38E9" w:rsidRPr="00DE108C">
        <w:t>17</w:t>
      </w:r>
      <w:r w:rsidRPr="00DE108C">
        <w:t xml:space="preserve"> million offset land development capital expenditure of $1,495 million during the 2026-31 period. The revenue offset has been calculated using the estimated average </w:t>
      </w:r>
      <w:r>
        <w:t>D</w:t>
      </w:r>
      <w:r w:rsidR="7E2AAE3B">
        <w:t>evelop</w:t>
      </w:r>
      <w:r w:rsidR="00045FD1">
        <w:t>ment</w:t>
      </w:r>
      <w:r w:rsidR="7E2AAE3B">
        <w:t xml:space="preserve"> Services Scheme</w:t>
      </w:r>
      <w:r w:rsidRPr="00DE108C">
        <w:t xml:space="preserve"> rates for the regulatory period. </w:t>
      </w:r>
    </w:p>
    <w:p w14:paraId="02207968" w14:textId="235B793F" w:rsidR="00046BD5" w:rsidRPr="00DE108C" w:rsidRDefault="00046BD5" w:rsidP="00ED094E">
      <w:r w:rsidRPr="00DE108C">
        <w:t xml:space="preserve">See Demand Supplement, Section 8.2 </w:t>
      </w:r>
      <w:r w:rsidR="1419EE60">
        <w:t xml:space="preserve">(Developer contributions) </w:t>
      </w:r>
      <w:r w:rsidRPr="00DE108C">
        <w:t xml:space="preserve">and Section 6.2.5 </w:t>
      </w:r>
      <w:r w:rsidR="11576C3F">
        <w:t xml:space="preserve">(Outcome 4: Drainage and Urban Development services) </w:t>
      </w:r>
      <w:r w:rsidRPr="00DE108C">
        <w:t>for more information.</w:t>
      </w:r>
    </w:p>
    <w:p w14:paraId="32DE2C93" w14:textId="77777777" w:rsidR="00046BD5" w:rsidRPr="00DE108C" w:rsidRDefault="00046BD5" w:rsidP="00ED094E">
      <w:r w:rsidRPr="00DE108C">
        <w:br w:type="page"/>
      </w:r>
    </w:p>
    <w:bookmarkStart w:id="1074" w:name="_Toc190876177"/>
    <w:bookmarkStart w:id="1075" w:name="_Toc196745293"/>
    <w:bookmarkStart w:id="1076" w:name="_Toc199757807"/>
    <w:bookmarkStart w:id="1077" w:name="_Toc207892932"/>
    <w:bookmarkStart w:id="1078" w:name="_Toc207853425"/>
    <w:bookmarkStart w:id="1079" w:name="_Toc210229044"/>
    <w:p w14:paraId="1060DA2D" w14:textId="60A470BA" w:rsidR="00046BD5" w:rsidRPr="00DE108C" w:rsidRDefault="005D47BE">
      <w:pPr>
        <w:pStyle w:val="Heading1"/>
        <w:rPr>
          <w:b w:val="0"/>
          <w:sz w:val="76"/>
          <w:szCs w:val="76"/>
        </w:rPr>
      </w:pPr>
      <w:r>
        <w:rPr>
          <w:noProof/>
        </w:rPr>
        <w:lastRenderedPageBreak/>
        <mc:AlternateContent>
          <mc:Choice Requires="wps">
            <w:drawing>
              <wp:anchor distT="45720" distB="45720" distL="114300" distR="114300" simplePos="0" relativeHeight="251658274" behindDoc="0" locked="0" layoutInCell="1" allowOverlap="1" wp14:anchorId="1024BA1D" wp14:editId="25DD4985">
                <wp:simplePos x="0" y="0"/>
                <wp:positionH relativeFrom="margin">
                  <wp:posOffset>0</wp:posOffset>
                </wp:positionH>
                <wp:positionV relativeFrom="margin">
                  <wp:posOffset>0</wp:posOffset>
                </wp:positionV>
                <wp:extent cx="4122000" cy="1537200"/>
                <wp:effectExtent l="0" t="0" r="0" b="6350"/>
                <wp:wrapSquare wrapText="bothSides"/>
                <wp:docPr id="652692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000" cy="1537200"/>
                        </a:xfrm>
                        <a:prstGeom prst="rect">
                          <a:avLst/>
                        </a:prstGeom>
                        <a:noFill/>
                        <a:ln w="9525">
                          <a:noFill/>
                          <a:miter lim="800000"/>
                          <a:headEnd/>
                          <a:tailEnd/>
                        </a:ln>
                      </wps:spPr>
                      <wps:txbx>
                        <w:txbxContent>
                          <w:p w14:paraId="5DDF87C5" w14:textId="23B01073" w:rsidR="005D47BE" w:rsidRPr="00FA4200" w:rsidRDefault="005D47BE" w:rsidP="005D47BE">
                            <w:pPr>
                              <w:rPr>
                                <w:color w:val="FFFFFF" w:themeColor="background1"/>
                                <w:sz w:val="80"/>
                                <w:szCs w:val="80"/>
                              </w:rPr>
                            </w:pPr>
                            <w:r>
                              <w:rPr>
                                <w:color w:val="FFFFFF" w:themeColor="background1"/>
                                <w:sz w:val="80"/>
                                <w:szCs w:val="80"/>
                              </w:rPr>
                              <w:t>Prices and tariffs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4BA1D" id="_x0000_s1053" type="#_x0000_t202" style="position:absolute;margin-left:0;margin-top:0;width:324.55pt;height:121.05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" filled="f" stroked="f">
                <v:textbox>
                  <w:txbxContent>
                    <w:p w14:paraId="5DDF87C5" w14:textId="23B01073" w:rsidR="005D47BE" w:rsidRPr="00FA4200" w:rsidRDefault="005D47BE" w:rsidP="005D47BE">
                      <w:pPr>
                        <w:rPr>
                          <w:color w:val="FFFFFF" w:themeColor="background1"/>
                          <w:sz w:val="80"/>
                          <w:szCs w:val="80"/>
                        </w:rPr>
                      </w:pPr>
                      <w:r>
                        <w:rPr>
                          <w:color w:val="FFFFFF" w:themeColor="background1"/>
                          <w:sz w:val="80"/>
                          <w:szCs w:val="80"/>
                        </w:rPr>
                        <w:t>Prices and tariffs</w:t>
                      </w:r>
                    </w:p>
                  </w:txbxContent>
                </v:textbox>
                <w10:wrap type="square" anchorx="margin" anchory="margin"/>
              </v:shape>
            </w:pict>
          </mc:Fallback>
        </mc:AlternateContent>
      </w:r>
      <w:r w:rsidR="001E0A8F" w:rsidRPr="00DE108C">
        <w:rPr>
          <w:b w:val="0"/>
          <w:bCs w:val="0"/>
          <w:noProof/>
          <w:color w:val="FFFFFF" w:themeColor="background1"/>
          <w:sz w:val="76"/>
          <w:szCs w:val="76"/>
        </w:rPr>
        <w:drawing>
          <wp:anchor distT="0" distB="0" distL="114300" distR="114300" simplePos="0" relativeHeight="251658267" behindDoc="0" locked="1" layoutInCell="1" allowOverlap="1" wp14:anchorId="3EE89DC1" wp14:editId="686DF867">
            <wp:simplePos x="0" y="0"/>
            <wp:positionH relativeFrom="column">
              <wp:posOffset>-713105</wp:posOffset>
            </wp:positionH>
            <wp:positionV relativeFrom="page">
              <wp:posOffset>-113665</wp:posOffset>
            </wp:positionV>
            <wp:extent cx="7628255" cy="10781665"/>
            <wp:effectExtent l="0" t="0" r="0" b="635"/>
            <wp:wrapNone/>
            <wp:docPr id="144015698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56989" name="Picture 8">
                      <a:extLst>
                        <a:ext uri="{C183D7F6-B498-43B3-948B-1728B52AA6E4}">
                          <adec:decorative xmlns:adec="http://schemas.microsoft.com/office/drawing/2017/decorative" val="1"/>
                        </a:ext>
                      </a:extLst>
                    </pic:cNvPr>
                    <pic:cNvPicPr/>
                  </pic:nvPicPr>
                  <pic:blipFill>
                    <a:blip r:embed="rId118" cstate="email">
                      <a:extLst>
                        <a:ext uri="{28A0092B-C50C-407E-A947-70E740481C1C}">
                          <a14:useLocalDpi xmlns:a14="http://schemas.microsoft.com/office/drawing/2010/main"/>
                        </a:ext>
                      </a:extLst>
                    </a:blip>
                    <a:stretch>
                      <a:fillRect/>
                    </a:stretch>
                  </pic:blipFill>
                  <pic:spPr>
                    <a:xfrm>
                      <a:off x="0" y="0"/>
                      <a:ext cx="7628255" cy="10781665"/>
                    </a:xfrm>
                    <a:prstGeom prst="rect">
                      <a:avLst/>
                    </a:prstGeom>
                  </pic:spPr>
                </pic:pic>
              </a:graphicData>
            </a:graphic>
            <wp14:sizeRelH relativeFrom="page">
              <wp14:pctWidth>0</wp14:pctWidth>
            </wp14:sizeRelH>
            <wp14:sizeRelV relativeFrom="page">
              <wp14:pctHeight>0</wp14:pctHeight>
            </wp14:sizeRelV>
          </wp:anchor>
        </w:drawing>
      </w:r>
      <w:r w:rsidR="00046BD5" w:rsidRPr="00DE108C">
        <w:rPr>
          <w:b w:val="0"/>
          <w:color w:val="FFFFFF" w:themeColor="background1"/>
          <w:sz w:val="76"/>
          <w:szCs w:val="76"/>
        </w:rPr>
        <w:t>11. Prices and tariffs</w:t>
      </w:r>
      <w:bookmarkEnd w:id="1074"/>
      <w:bookmarkEnd w:id="1075"/>
      <w:bookmarkEnd w:id="1076"/>
      <w:bookmarkEnd w:id="1077"/>
      <w:bookmarkEnd w:id="1078"/>
      <w:bookmarkEnd w:id="1079"/>
    </w:p>
    <w:p w14:paraId="2702FB72" w14:textId="77777777" w:rsidR="001F3F67" w:rsidRPr="00DE108C" w:rsidRDefault="001F3F67" w:rsidP="001F3F67">
      <w:pPr>
        <w:pStyle w:val="BodyText"/>
      </w:pPr>
    </w:p>
    <w:p w14:paraId="7CB25C57" w14:textId="618D5FED" w:rsidR="001F3F67" w:rsidRPr="00DE108C" w:rsidRDefault="001F3F67">
      <w:pPr>
        <w:spacing w:before="0" w:after="0" w:line="320" w:lineRule="atLeast"/>
      </w:pPr>
      <w:r w:rsidRPr="00DE108C">
        <w:br w:type="page"/>
      </w:r>
    </w:p>
    <w:p w14:paraId="6E9EA180" w14:textId="77777777" w:rsidR="00046BD5" w:rsidRPr="00DE108C" w:rsidRDefault="00046BD5" w:rsidP="00ED094E">
      <w:pPr>
        <w:pStyle w:val="HighlightBoxHeading"/>
      </w:pPr>
      <w:r w:rsidRPr="00DE108C">
        <w:lastRenderedPageBreak/>
        <w:t>In summary</w:t>
      </w:r>
    </w:p>
    <w:p w14:paraId="56A68B55" w14:textId="77777777" w:rsidR="00046BD5" w:rsidRPr="00DE108C" w:rsidRDefault="00046BD5" w:rsidP="00046BD5">
      <w:pPr>
        <w:pStyle w:val="HighlightBoxBullet"/>
        <w:spacing w:line="320" w:lineRule="atLeast"/>
      </w:pPr>
      <w:r w:rsidRPr="00DE108C">
        <w:t xml:space="preserve">Our pricing approach seeks to balances smooth, phased changes in price with a focus on maintaining affordability and delivering enduring value. </w:t>
      </w:r>
    </w:p>
    <w:p w14:paraId="4E3C2201" w14:textId="77777777" w:rsidR="00046BD5" w:rsidRPr="00DE108C" w:rsidRDefault="00046BD5" w:rsidP="00046BD5">
      <w:pPr>
        <w:pStyle w:val="HighlightBoxBullet"/>
        <w:spacing w:line="320" w:lineRule="atLeast"/>
      </w:pPr>
      <w:r w:rsidRPr="00DE108C">
        <w:t>We have engaged extensively with water corporation customers on bulk tariff reform and with the agreement of the water corporations, we propose:</w:t>
      </w:r>
    </w:p>
    <w:p w14:paraId="73F1704E" w14:textId="551403CE" w:rsidR="00046BD5" w:rsidRPr="00DE108C" w:rsidRDefault="00046BD5" w:rsidP="00F46505">
      <w:pPr>
        <w:pStyle w:val="HighlightBoxBullet"/>
        <w:spacing w:line="320" w:lineRule="atLeast"/>
      </w:pPr>
      <w:r w:rsidRPr="00DE108C">
        <w:t xml:space="preserve">Significant reforms to bulk water tariffs associated with the </w:t>
      </w:r>
      <w:r w:rsidR="03179A72">
        <w:t>Victorian G</w:t>
      </w:r>
      <w:r w:rsidRPr="00DE108C">
        <w:t>overnment’s implementation of the South-Central Pool Bulk Entitlements</w:t>
      </w:r>
      <w:r w:rsidR="38E1E896">
        <w:t>.</w:t>
      </w:r>
    </w:p>
    <w:p w14:paraId="106E486A" w14:textId="57AE05FD" w:rsidR="00046BD5" w:rsidRPr="00DE108C" w:rsidRDefault="00046BD5" w:rsidP="00F46505">
      <w:pPr>
        <w:pStyle w:val="HighlightBoxBullet"/>
        <w:spacing w:line="320" w:lineRule="atLeast"/>
      </w:pPr>
      <w:r w:rsidRPr="00DE108C">
        <w:t>Minor reforms to bulk sewerage tariffs to more equitably recover fixed charges</w:t>
      </w:r>
      <w:r w:rsidR="7B0E6844">
        <w:t>.</w:t>
      </w:r>
    </w:p>
    <w:p w14:paraId="5C2E0684" w14:textId="18F63B36" w:rsidR="00046BD5" w:rsidRPr="00DE108C" w:rsidRDefault="00046BD5" w:rsidP="00F46505">
      <w:pPr>
        <w:pStyle w:val="HighlightBoxBullet"/>
        <w:spacing w:line="320" w:lineRule="atLeast"/>
      </w:pPr>
      <w:r w:rsidRPr="00DE108C">
        <w:t>Our bulk water prices reflect tariff reforms and annual average changes in revenue requirement of 1.1 per cent each year of the regulatory period, and bulk sewerage prices reflect annual average changes in revenue requirement of 3.9 per cent in real terms.</w:t>
      </w:r>
    </w:p>
    <w:p w14:paraId="42CEF32D" w14:textId="71441A07" w:rsidR="00046BD5" w:rsidRPr="00DE108C" w:rsidRDefault="00046BD5" w:rsidP="00F46505">
      <w:pPr>
        <w:pStyle w:val="HighlightBoxBullet"/>
        <w:spacing w:line="320" w:lineRule="atLeast"/>
      </w:pPr>
      <w:r w:rsidRPr="00DE108C">
        <w:t xml:space="preserve">Residential and rural waterways and drainage prices will decrease by 0.8 per cent in the first year and remain flat thereafter in real terms. A flat rate will apply for non-residential customers, as we complete our transition away from a rate in </w:t>
      </w:r>
      <w:r w:rsidRPr="001164EE">
        <w:t>N</w:t>
      </w:r>
      <w:r w:rsidR="00D268C6" w:rsidRPr="001164EE">
        <w:t xml:space="preserve">et </w:t>
      </w:r>
      <w:r w:rsidRPr="001164EE">
        <w:t>A</w:t>
      </w:r>
      <w:r w:rsidR="00D268C6" w:rsidRPr="001164EE">
        <w:t xml:space="preserve">nnual </w:t>
      </w:r>
      <w:r w:rsidRPr="001164EE">
        <w:t>V</w:t>
      </w:r>
      <w:r w:rsidR="00D268C6" w:rsidRPr="001164EE">
        <w:t>alue (NAV)</w:t>
      </w:r>
      <w:r w:rsidRPr="00DE108C">
        <w:t xml:space="preserve"> in 2026-27, in preparation for tariff reform to commence in 2031. </w:t>
      </w:r>
    </w:p>
    <w:p w14:paraId="35C876E5" w14:textId="30027D1A" w:rsidR="00046BD5" w:rsidRPr="00DE108C" w:rsidRDefault="00046BD5" w:rsidP="00F46505">
      <w:pPr>
        <w:pStyle w:val="HighlightBoxBullet"/>
        <w:spacing w:line="320" w:lineRule="atLeast"/>
      </w:pPr>
      <w:r w:rsidRPr="00DE108C">
        <w:t>Diversions charges will remain flat in the first year and then increase up to 0.2 per cent per annum in real terms.</w:t>
      </w:r>
    </w:p>
    <w:p w14:paraId="668610BF" w14:textId="77777777" w:rsidR="00046BD5" w:rsidRPr="00DE108C" w:rsidRDefault="00046BD5" w:rsidP="00046BD5">
      <w:pPr>
        <w:pStyle w:val="HighlightBoxBullet"/>
        <w:spacing w:line="320" w:lineRule="atLeast"/>
      </w:pPr>
      <w:r w:rsidRPr="00DE108C">
        <w:t>We continue to use pricing principles for miscellaneous fees, development services schemes and stormwater quality offsets.</w:t>
      </w:r>
    </w:p>
    <w:p w14:paraId="403D5C42" w14:textId="77777777" w:rsidR="00046BD5" w:rsidRPr="00DE108C" w:rsidRDefault="00046BD5" w:rsidP="00046BD5">
      <w:pPr>
        <w:pStyle w:val="HighlightBoxBullet"/>
        <w:spacing w:line="320" w:lineRule="atLeast"/>
      </w:pPr>
      <w:r w:rsidRPr="00DE108C">
        <w:t xml:space="preserve">We propose to develop and introduce a mechanism during the regulatory period that would ensure existing customers are not disadvantaged when new, large customers connect to Melbourne Water’s network via a connected water corporation. </w:t>
      </w:r>
    </w:p>
    <w:p w14:paraId="0D0926E6" w14:textId="77777777" w:rsidR="00046BD5" w:rsidRPr="00DE108C" w:rsidRDefault="00046BD5" w:rsidP="00ED094E">
      <w:pPr>
        <w:pStyle w:val="Heading2"/>
      </w:pPr>
      <w:bookmarkStart w:id="1080" w:name="_Toc207892933"/>
      <w:bookmarkStart w:id="1081" w:name="_Toc207853426"/>
      <w:bookmarkStart w:id="1082" w:name="_Toc196745294"/>
      <w:bookmarkStart w:id="1083" w:name="_Toc183624002"/>
      <w:bookmarkStart w:id="1084" w:name="_Toc190876178"/>
      <w:r w:rsidRPr="00DE108C">
        <w:t>11.1 Customer impacts</w:t>
      </w:r>
      <w:bookmarkEnd w:id="1080"/>
      <w:bookmarkEnd w:id="1081"/>
    </w:p>
    <w:p w14:paraId="3325EDA4" w14:textId="77777777" w:rsidR="00046BD5" w:rsidRPr="00DE108C" w:rsidRDefault="00046BD5" w:rsidP="00ED094E">
      <w:pPr>
        <w:rPr>
          <w:rFonts w:eastAsiaTheme="minorEastAsia"/>
        </w:rPr>
      </w:pPr>
      <w:r w:rsidRPr="00DE108C">
        <w:rPr>
          <w:rFonts w:eastAsiaTheme="minorEastAsia"/>
        </w:rPr>
        <w:t xml:space="preserve">With significant population growth forecast over the 2026-31 regulatory period, our proposal results in only modest increases to end customer bills above inflation. </w:t>
      </w:r>
    </w:p>
    <w:p w14:paraId="511A8D3C" w14:textId="77777777" w:rsidR="00046BD5" w:rsidRPr="00DE108C" w:rsidRDefault="00046BD5" w:rsidP="00ED094E">
      <w:pPr>
        <w:rPr>
          <w:rFonts w:eastAsiaTheme="minorEastAsia"/>
        </w:rPr>
      </w:pPr>
      <w:r w:rsidRPr="00DE108C">
        <w:rPr>
          <w:rFonts w:eastAsiaTheme="minorEastAsia"/>
        </w:rPr>
        <w:t xml:space="preserve">Melbourne Water’s forecast impacts to average household bills (excluding inflation) are flat in 2026-27, followed by average annual increases of up to 1.5 per cent above inflation each year from 2027 to 2031 (or up to $17). </w:t>
      </w:r>
    </w:p>
    <w:p w14:paraId="02A91CC7" w14:textId="0EF5CF29" w:rsidR="00046BD5" w:rsidRPr="00DE108C" w:rsidRDefault="00560A4D" w:rsidP="00ED094E">
      <w:r>
        <w:t>C</w:t>
      </w:r>
      <w:r w:rsidR="00046BD5" w:rsidRPr="00DE108C">
        <w:t xml:space="preserve">ustomer bill impacts </w:t>
      </w:r>
      <w:r>
        <w:t>have been</w:t>
      </w:r>
      <w:r w:rsidR="00046BD5" w:rsidRPr="00DE108C">
        <w:t xml:space="preserve"> estimated </w:t>
      </w:r>
      <w:r w:rsidR="00021409">
        <w:t xml:space="preserve">based </w:t>
      </w:r>
      <w:r w:rsidR="00046BD5" w:rsidRPr="00DE108C">
        <w:t xml:space="preserve">on the change in total Melbourne Water bulk </w:t>
      </w:r>
      <w:r w:rsidR="00F46505">
        <w:t xml:space="preserve">water </w:t>
      </w:r>
      <w:r w:rsidR="00046BD5" w:rsidRPr="00DE108C">
        <w:t xml:space="preserve">and sewerage </w:t>
      </w:r>
      <w:r>
        <w:t>charges collected from each water corporation</w:t>
      </w:r>
      <w:r w:rsidR="00046BD5" w:rsidRPr="00DE108C">
        <w:t xml:space="preserve">. Consistent with their determinations, each individual water corporation has discretion on how changes are passed onto end-users. </w:t>
      </w:r>
      <w:r w:rsidR="005B48D9">
        <w:t>F</w:t>
      </w:r>
      <w:r w:rsidR="00CA4EB9" w:rsidRPr="00CA4EB9">
        <w:t xml:space="preserve">orecast bulk charges have been developed under the assumption that </w:t>
      </w:r>
      <w:r w:rsidR="00AA571E">
        <w:t xml:space="preserve">changes in our prices </w:t>
      </w:r>
      <w:r w:rsidR="00F4116A">
        <w:t xml:space="preserve">can be passed through to households and businesses </w:t>
      </w:r>
      <w:r w:rsidR="00CA4EB9" w:rsidRPr="00CA4EB9">
        <w:t xml:space="preserve">through </w:t>
      </w:r>
      <w:r w:rsidR="00F4116A">
        <w:t>each water corporation’s</w:t>
      </w:r>
      <w:r w:rsidR="00CA4EB9" w:rsidRPr="00CA4EB9">
        <w:t xml:space="preserve"> determination. This means that the financial position of water corporations </w:t>
      </w:r>
      <w:r w:rsidR="002C0829">
        <w:t>should</w:t>
      </w:r>
      <w:r w:rsidR="00CA4EB9" w:rsidRPr="00CA4EB9">
        <w:t xml:space="preserve"> not be impacted</w:t>
      </w:r>
      <w:r w:rsidR="002C0829">
        <w:t xml:space="preserve"> materially</w:t>
      </w:r>
      <w:r w:rsidR="00CA4EB9" w:rsidRPr="00CA4EB9">
        <w:t xml:space="preserve"> by </w:t>
      </w:r>
      <w:r w:rsidR="002C0829">
        <w:t>Melbourne Water’s</w:t>
      </w:r>
      <w:r w:rsidR="00CA4EB9" w:rsidRPr="00CA4EB9">
        <w:t xml:space="preserve"> determination.</w:t>
      </w:r>
    </w:p>
    <w:p w14:paraId="2CC1B9F0" w14:textId="587CB175" w:rsidR="00046BD5" w:rsidRPr="00DE108C" w:rsidRDefault="00046BD5" w:rsidP="00ED094E">
      <w:r w:rsidRPr="00DE108C">
        <w:lastRenderedPageBreak/>
        <w:t xml:space="preserve">Based on proposed prices and forecast demands, total revenue for water and sewerage services collected from each water corporation </w:t>
      </w:r>
      <w:r w:rsidR="15EFE237">
        <w:t>are</w:t>
      </w:r>
      <w:r w:rsidRPr="00DE108C">
        <w:t xml:space="preserve"> outlined in Table 11.1. Details on the specific charges are included in Section 11.2</w:t>
      </w:r>
      <w:r w:rsidR="775F60E6">
        <w:t xml:space="preserve"> (Bulk water and sewerage charges)</w:t>
      </w:r>
      <w:r>
        <w:t>.</w:t>
      </w:r>
    </w:p>
    <w:p w14:paraId="1F06F625" w14:textId="77777777" w:rsidR="00046BD5" w:rsidRPr="00DE108C" w:rsidRDefault="00046BD5" w:rsidP="00ED094E">
      <w:pPr>
        <w:pStyle w:val="Caption"/>
        <w:rPr>
          <w:i/>
          <w:iCs/>
        </w:rPr>
      </w:pPr>
      <w:bookmarkStart w:id="1085" w:name="_Toc207893104"/>
      <w:bookmarkStart w:id="1086" w:name="_Toc208490628"/>
      <w:bookmarkStart w:id="1087" w:name="_Toc208490966"/>
      <w:bookmarkStart w:id="1088" w:name="_Toc208911124"/>
      <w:bookmarkStart w:id="1089" w:name="_Toc210051430"/>
      <w:r w:rsidRPr="00DE108C">
        <w:t>Table 11.1: Total tariff revenue by water corporation ($millions, real 2025-26)</w:t>
      </w:r>
      <w:bookmarkEnd w:id="1085"/>
      <w:bookmarkEnd w:id="1086"/>
      <w:bookmarkEnd w:id="1087"/>
      <w:bookmarkEnd w:id="1088"/>
      <w:bookmarkEnd w:id="1089"/>
    </w:p>
    <w:tbl>
      <w:tblPr>
        <w:tblStyle w:val="TableGrid"/>
        <w:tblW w:w="5000" w:type="pct"/>
        <w:tblLook w:val="04A0" w:firstRow="1" w:lastRow="0" w:firstColumn="1" w:lastColumn="0" w:noHBand="0" w:noVBand="1"/>
      </w:tblPr>
      <w:tblGrid>
        <w:gridCol w:w="2529"/>
        <w:gridCol w:w="1183"/>
        <w:gridCol w:w="1184"/>
        <w:gridCol w:w="1182"/>
        <w:gridCol w:w="1184"/>
        <w:gridCol w:w="1182"/>
        <w:gridCol w:w="1184"/>
      </w:tblGrid>
      <w:tr w:rsidR="00556A0D" w:rsidRPr="00DE108C" w14:paraId="2C2EDF70" w14:textId="77777777" w:rsidTr="00CA160D">
        <w:trPr>
          <w:cnfStyle w:val="100000000000" w:firstRow="1" w:lastRow="0" w:firstColumn="0" w:lastColumn="0" w:oddVBand="0" w:evenVBand="0" w:oddHBand="0" w:evenHBand="0" w:firstRowFirstColumn="0" w:firstRowLastColumn="0" w:lastRowFirstColumn="0" w:lastRowLastColumn="0"/>
          <w:trHeight w:val="255"/>
        </w:trPr>
        <w:tc>
          <w:tcPr>
            <w:tcW w:w="1313" w:type="pct"/>
            <w:hideMark/>
          </w:tcPr>
          <w:p w14:paraId="691DBEA2" w14:textId="77777777" w:rsidR="00046BD5" w:rsidRPr="00DE108C" w:rsidRDefault="00046BD5">
            <w:pPr>
              <w:spacing w:before="100" w:beforeAutospacing="1" w:after="100" w:afterAutospacing="1" w:line="240" w:lineRule="auto"/>
              <w:textAlignment w:val="baseline"/>
              <w:rPr>
                <w:rFonts w:asciiTheme="majorHAnsi" w:hAnsiTheme="majorHAnsi"/>
                <w:color w:val="auto"/>
                <w:sz w:val="16"/>
                <w:szCs w:val="16"/>
              </w:rPr>
            </w:pPr>
            <w:r w:rsidRPr="00DE108C">
              <w:rPr>
                <w:rFonts w:ascii="Arial" w:hAnsi="Arial" w:cs="Arial"/>
                <w:color w:val="auto"/>
                <w:sz w:val="16"/>
                <w:szCs w:val="16"/>
              </w:rPr>
              <w:t>​</w:t>
            </w:r>
          </w:p>
        </w:tc>
        <w:tc>
          <w:tcPr>
            <w:tcW w:w="614" w:type="pct"/>
            <w:hideMark/>
          </w:tcPr>
          <w:p w14:paraId="35273AD9" w14:textId="77777777" w:rsidR="00046BD5" w:rsidRPr="00DE108C" w:rsidRDefault="00046BD5">
            <w:pPr>
              <w:spacing w:before="100" w:beforeAutospacing="1" w:after="100" w:afterAutospacing="1" w:line="240" w:lineRule="auto"/>
              <w:textAlignment w:val="baseline"/>
              <w:rPr>
                <w:rFonts w:asciiTheme="majorHAnsi" w:hAnsiTheme="majorHAnsi"/>
                <w:color w:val="auto"/>
                <w:sz w:val="16"/>
                <w:szCs w:val="16"/>
              </w:rPr>
            </w:pPr>
            <w:r w:rsidRPr="00DE108C">
              <w:rPr>
                <w:rFonts w:ascii="Arial" w:hAnsi="Arial" w:cs="Arial"/>
                <w:color w:val="auto"/>
                <w:sz w:val="16"/>
                <w:szCs w:val="16"/>
              </w:rPr>
              <w:t>​</w:t>
            </w:r>
          </w:p>
        </w:tc>
        <w:tc>
          <w:tcPr>
            <w:tcW w:w="3072" w:type="pct"/>
            <w:gridSpan w:val="5"/>
            <w:hideMark/>
          </w:tcPr>
          <w:p w14:paraId="3D09632F" w14:textId="1B96169F" w:rsidR="00046BD5" w:rsidRPr="00DE108C" w:rsidRDefault="00046BD5">
            <w:pPr>
              <w:spacing w:before="100" w:beforeAutospacing="1" w:after="100" w:afterAutospacing="1" w:line="240" w:lineRule="auto"/>
              <w:jc w:val="center"/>
              <w:textAlignment w:val="baseline"/>
              <w:rPr>
                <w:rFonts w:asciiTheme="majorHAnsi" w:hAnsiTheme="majorHAnsi"/>
                <w:color w:val="auto"/>
                <w:sz w:val="16"/>
                <w:szCs w:val="16"/>
                <w:lang w:val="en-US"/>
              </w:rPr>
            </w:pPr>
            <w:r w:rsidRPr="00DE108C">
              <w:rPr>
                <w:rFonts w:asciiTheme="majorHAnsi" w:hAnsiTheme="majorHAnsi"/>
                <w:b/>
                <w:bCs/>
                <w:color w:val="auto"/>
                <w:sz w:val="16"/>
                <w:szCs w:val="16"/>
              </w:rPr>
              <w:t>2026–</w:t>
            </w:r>
            <w:r w:rsidRPr="00F75BC4">
              <w:rPr>
                <w:rFonts w:asciiTheme="majorHAnsi" w:hAnsiTheme="majorHAnsi"/>
                <w:b/>
                <w:bCs/>
                <w:color w:val="auto"/>
                <w:sz w:val="16"/>
                <w:szCs w:val="16"/>
              </w:rPr>
              <w:t>31</w:t>
            </w:r>
            <w:r w:rsidRPr="00DE108C">
              <w:rPr>
                <w:rFonts w:asciiTheme="majorHAnsi" w:hAnsiTheme="majorHAnsi"/>
                <w:b/>
                <w:bCs/>
                <w:color w:val="auto"/>
                <w:sz w:val="16"/>
                <w:szCs w:val="16"/>
              </w:rPr>
              <w:t xml:space="preserve"> regulatory period</w:t>
            </w:r>
            <w:r w:rsidRPr="00DE108C">
              <w:rPr>
                <w:rFonts w:ascii="Arial" w:hAnsi="Arial" w:cs="Arial"/>
                <w:color w:val="auto"/>
                <w:sz w:val="16"/>
                <w:szCs w:val="16"/>
                <w:lang w:val="en-US"/>
              </w:rPr>
              <w:t>​</w:t>
            </w:r>
          </w:p>
        </w:tc>
      </w:tr>
      <w:tr w:rsidR="00046BD5" w:rsidRPr="00DE108C" w14:paraId="0478B317" w14:textId="77777777" w:rsidTr="00ED094E">
        <w:trPr>
          <w:trHeight w:val="255"/>
        </w:trPr>
        <w:tc>
          <w:tcPr>
            <w:tcW w:w="1313" w:type="pct"/>
            <w:shd w:val="clear" w:color="auto" w:fill="00428B" w:themeFill="accent1"/>
            <w:hideMark/>
          </w:tcPr>
          <w:p w14:paraId="1D3E8B9B" w14:textId="77777777" w:rsidR="00046BD5" w:rsidRPr="00DE108C" w:rsidRDefault="00046BD5">
            <w:pPr>
              <w:spacing w:before="100" w:beforeAutospacing="1" w:after="100" w:afterAutospacing="1" w:line="240" w:lineRule="auto"/>
              <w:textAlignment w:val="baseline"/>
              <w:rPr>
                <w:rFonts w:asciiTheme="majorHAnsi" w:hAnsiTheme="majorHAnsi"/>
                <w:color w:val="auto"/>
                <w:sz w:val="16"/>
                <w:szCs w:val="16"/>
              </w:rPr>
            </w:pPr>
            <w:r w:rsidRPr="00DE108C">
              <w:rPr>
                <w:rFonts w:ascii="Arial" w:hAnsi="Arial" w:cs="Arial"/>
                <w:color w:val="auto"/>
                <w:sz w:val="16"/>
                <w:szCs w:val="16"/>
              </w:rPr>
              <w:t>​</w:t>
            </w:r>
          </w:p>
        </w:tc>
        <w:tc>
          <w:tcPr>
            <w:tcW w:w="614" w:type="pct"/>
            <w:shd w:val="clear" w:color="auto" w:fill="00428B" w:themeFill="accent1"/>
            <w:vAlign w:val="center"/>
            <w:hideMark/>
          </w:tcPr>
          <w:p w14:paraId="037E6A77"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auto"/>
                <w:sz w:val="16"/>
                <w:szCs w:val="16"/>
                <w:lang w:val="en-US"/>
              </w:rPr>
            </w:pPr>
            <w:r w:rsidRPr="00DE108C">
              <w:rPr>
                <w:rFonts w:asciiTheme="majorHAnsi" w:hAnsiTheme="majorHAnsi"/>
                <w:b/>
                <w:bCs/>
                <w:color w:val="auto"/>
                <w:sz w:val="16"/>
                <w:szCs w:val="16"/>
              </w:rPr>
              <w:t>2025-26</w:t>
            </w:r>
            <w:r w:rsidRPr="00DE108C">
              <w:rPr>
                <w:rFonts w:ascii="Arial" w:hAnsi="Arial" w:cs="Arial"/>
                <w:color w:val="auto"/>
                <w:sz w:val="16"/>
                <w:szCs w:val="16"/>
                <w:lang w:val="en-US"/>
              </w:rPr>
              <w:t>​</w:t>
            </w:r>
          </w:p>
        </w:tc>
        <w:tc>
          <w:tcPr>
            <w:tcW w:w="615" w:type="pct"/>
            <w:shd w:val="clear" w:color="auto" w:fill="00428B" w:themeFill="accent1"/>
            <w:vAlign w:val="center"/>
            <w:hideMark/>
          </w:tcPr>
          <w:p w14:paraId="23C710B4"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auto"/>
                <w:sz w:val="16"/>
                <w:szCs w:val="16"/>
                <w:lang w:val="en-US"/>
              </w:rPr>
            </w:pPr>
            <w:r w:rsidRPr="00DE108C">
              <w:rPr>
                <w:rFonts w:asciiTheme="majorHAnsi" w:hAnsiTheme="majorHAnsi"/>
                <w:b/>
                <w:bCs/>
                <w:color w:val="auto"/>
                <w:sz w:val="16"/>
                <w:szCs w:val="16"/>
              </w:rPr>
              <w:t>2026-27</w:t>
            </w:r>
            <w:r w:rsidRPr="00DE108C">
              <w:rPr>
                <w:rFonts w:ascii="Arial" w:hAnsi="Arial" w:cs="Arial"/>
                <w:color w:val="auto"/>
                <w:sz w:val="16"/>
                <w:szCs w:val="16"/>
                <w:lang w:val="en-US"/>
              </w:rPr>
              <w:t>​</w:t>
            </w:r>
          </w:p>
        </w:tc>
        <w:tc>
          <w:tcPr>
            <w:tcW w:w="614" w:type="pct"/>
            <w:shd w:val="clear" w:color="auto" w:fill="00428B" w:themeFill="accent1"/>
            <w:vAlign w:val="center"/>
            <w:hideMark/>
          </w:tcPr>
          <w:p w14:paraId="26D88915"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auto"/>
                <w:sz w:val="16"/>
                <w:szCs w:val="16"/>
                <w:lang w:val="en-US"/>
              </w:rPr>
            </w:pPr>
            <w:r w:rsidRPr="00DE108C">
              <w:rPr>
                <w:rFonts w:asciiTheme="majorHAnsi" w:hAnsiTheme="majorHAnsi"/>
                <w:b/>
                <w:bCs/>
                <w:color w:val="auto"/>
                <w:sz w:val="16"/>
                <w:szCs w:val="16"/>
              </w:rPr>
              <w:t>2027-28</w:t>
            </w:r>
            <w:r w:rsidRPr="00DE108C">
              <w:rPr>
                <w:rFonts w:ascii="Arial" w:hAnsi="Arial" w:cs="Arial"/>
                <w:color w:val="auto"/>
                <w:sz w:val="16"/>
                <w:szCs w:val="16"/>
                <w:lang w:val="en-US"/>
              </w:rPr>
              <w:t>​</w:t>
            </w:r>
          </w:p>
        </w:tc>
        <w:tc>
          <w:tcPr>
            <w:tcW w:w="615" w:type="pct"/>
            <w:shd w:val="clear" w:color="auto" w:fill="00428B" w:themeFill="accent1"/>
            <w:vAlign w:val="center"/>
            <w:hideMark/>
          </w:tcPr>
          <w:p w14:paraId="5C0FAD3D"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auto"/>
                <w:sz w:val="16"/>
                <w:szCs w:val="16"/>
                <w:lang w:val="en-US"/>
              </w:rPr>
            </w:pPr>
            <w:r w:rsidRPr="00DE108C">
              <w:rPr>
                <w:rFonts w:asciiTheme="majorHAnsi" w:hAnsiTheme="majorHAnsi"/>
                <w:b/>
                <w:bCs/>
                <w:color w:val="auto"/>
                <w:sz w:val="16"/>
                <w:szCs w:val="16"/>
              </w:rPr>
              <w:t>2028-29</w:t>
            </w:r>
            <w:r w:rsidRPr="00DE108C">
              <w:rPr>
                <w:rFonts w:ascii="Arial" w:hAnsi="Arial" w:cs="Arial"/>
                <w:color w:val="auto"/>
                <w:sz w:val="16"/>
                <w:szCs w:val="16"/>
                <w:lang w:val="en-US"/>
              </w:rPr>
              <w:t>​</w:t>
            </w:r>
          </w:p>
        </w:tc>
        <w:tc>
          <w:tcPr>
            <w:tcW w:w="614" w:type="pct"/>
            <w:shd w:val="clear" w:color="auto" w:fill="00428B" w:themeFill="accent1"/>
            <w:vAlign w:val="center"/>
            <w:hideMark/>
          </w:tcPr>
          <w:p w14:paraId="6075E95B"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auto"/>
                <w:sz w:val="16"/>
                <w:szCs w:val="16"/>
                <w:lang w:val="en-US"/>
              </w:rPr>
            </w:pPr>
            <w:r w:rsidRPr="00DE108C">
              <w:rPr>
                <w:rFonts w:asciiTheme="majorHAnsi" w:hAnsiTheme="majorHAnsi"/>
                <w:b/>
                <w:bCs/>
                <w:color w:val="auto"/>
                <w:sz w:val="16"/>
                <w:szCs w:val="16"/>
              </w:rPr>
              <w:t>2029-30</w:t>
            </w:r>
            <w:r w:rsidRPr="00DE108C">
              <w:rPr>
                <w:rFonts w:ascii="Arial" w:hAnsi="Arial" w:cs="Arial"/>
                <w:color w:val="auto"/>
                <w:sz w:val="16"/>
                <w:szCs w:val="16"/>
                <w:lang w:val="en-US"/>
              </w:rPr>
              <w:t>​</w:t>
            </w:r>
          </w:p>
        </w:tc>
        <w:tc>
          <w:tcPr>
            <w:tcW w:w="615" w:type="pct"/>
            <w:shd w:val="clear" w:color="auto" w:fill="00428B" w:themeFill="accent1"/>
            <w:vAlign w:val="center"/>
            <w:hideMark/>
          </w:tcPr>
          <w:p w14:paraId="26862CFD"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auto"/>
                <w:sz w:val="16"/>
                <w:szCs w:val="16"/>
                <w:lang w:val="en-US"/>
              </w:rPr>
            </w:pPr>
            <w:r w:rsidRPr="00DE108C">
              <w:rPr>
                <w:rFonts w:asciiTheme="majorHAnsi" w:hAnsiTheme="majorHAnsi"/>
                <w:b/>
                <w:bCs/>
                <w:color w:val="auto"/>
                <w:sz w:val="16"/>
                <w:szCs w:val="16"/>
              </w:rPr>
              <w:t>2030-31</w:t>
            </w:r>
            <w:r w:rsidRPr="00DE108C">
              <w:rPr>
                <w:rFonts w:ascii="Arial" w:hAnsi="Arial" w:cs="Arial"/>
                <w:color w:val="auto"/>
                <w:sz w:val="16"/>
                <w:szCs w:val="16"/>
                <w:lang w:val="en-US"/>
              </w:rPr>
              <w:t>​</w:t>
            </w:r>
          </w:p>
        </w:tc>
      </w:tr>
      <w:tr w:rsidR="00556A0D" w:rsidRPr="00DE108C" w14:paraId="68B8B676" w14:textId="77777777" w:rsidTr="00CA160D">
        <w:trPr>
          <w:cnfStyle w:val="000000010000" w:firstRow="0" w:lastRow="0" w:firstColumn="0" w:lastColumn="0" w:oddVBand="0" w:evenVBand="0" w:oddHBand="0" w:evenHBand="1" w:firstRowFirstColumn="0" w:firstRowLastColumn="0" w:lastRowFirstColumn="0" w:lastRowLastColumn="0"/>
          <w:trHeight w:val="255"/>
        </w:trPr>
        <w:tc>
          <w:tcPr>
            <w:tcW w:w="1313" w:type="pct"/>
            <w:vAlign w:val="center"/>
            <w:hideMark/>
          </w:tcPr>
          <w:p w14:paraId="257B3048"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auto"/>
                <w:sz w:val="16"/>
                <w:szCs w:val="16"/>
                <w:lang w:val="en-US"/>
              </w:rPr>
            </w:pPr>
            <w:r w:rsidRPr="00DE108C">
              <w:rPr>
                <w:rFonts w:asciiTheme="majorHAnsi" w:hAnsiTheme="majorHAnsi"/>
                <w:color w:val="auto"/>
                <w:sz w:val="16"/>
                <w:szCs w:val="16"/>
              </w:rPr>
              <w:t>Greater Western Water</w:t>
            </w:r>
          </w:p>
        </w:tc>
        <w:tc>
          <w:tcPr>
            <w:tcW w:w="614" w:type="pct"/>
            <w:vAlign w:val="center"/>
          </w:tcPr>
          <w:p w14:paraId="01F7F31B" w14:textId="6BBD9D46"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w:t>
            </w:r>
            <w:r w:rsidR="00311E81" w:rsidRPr="00311E81">
              <w:rPr>
                <w:sz w:val="16"/>
                <w:szCs w:val="16"/>
              </w:rPr>
              <w:t>394</w:t>
            </w:r>
            <w:r w:rsidRPr="00311E81">
              <w:rPr>
                <w:sz w:val="16"/>
                <w:szCs w:val="16"/>
              </w:rPr>
              <w:t xml:space="preserve"> </w:t>
            </w:r>
          </w:p>
        </w:tc>
        <w:tc>
          <w:tcPr>
            <w:tcW w:w="615" w:type="pct"/>
            <w:vAlign w:val="center"/>
          </w:tcPr>
          <w:p w14:paraId="20360816" w14:textId="26722D1F"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w:t>
            </w:r>
            <w:r w:rsidR="00311E81" w:rsidRPr="00311E81">
              <w:rPr>
                <w:sz w:val="16"/>
                <w:szCs w:val="16"/>
              </w:rPr>
              <w:t>405</w:t>
            </w:r>
            <w:r w:rsidRPr="00311E81">
              <w:rPr>
                <w:sz w:val="16"/>
                <w:szCs w:val="16"/>
              </w:rPr>
              <w:t xml:space="preserve"> </w:t>
            </w:r>
          </w:p>
        </w:tc>
        <w:tc>
          <w:tcPr>
            <w:tcW w:w="614" w:type="pct"/>
            <w:vAlign w:val="center"/>
          </w:tcPr>
          <w:p w14:paraId="53E0ED17" w14:textId="1413726D"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426 </w:t>
            </w:r>
          </w:p>
        </w:tc>
        <w:tc>
          <w:tcPr>
            <w:tcW w:w="615" w:type="pct"/>
            <w:vAlign w:val="center"/>
          </w:tcPr>
          <w:p w14:paraId="76F46591" w14:textId="722F3CC0"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1164EE">
              <w:rPr>
                <w:sz w:val="16"/>
                <w:szCs w:val="16"/>
              </w:rPr>
              <w:t xml:space="preserve"> 444 </w:t>
            </w:r>
          </w:p>
        </w:tc>
        <w:tc>
          <w:tcPr>
            <w:tcW w:w="614" w:type="pct"/>
            <w:vAlign w:val="center"/>
          </w:tcPr>
          <w:p w14:paraId="18E96031" w14:textId="753AC3C3"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463 </w:t>
            </w:r>
          </w:p>
        </w:tc>
        <w:tc>
          <w:tcPr>
            <w:tcW w:w="615" w:type="pct"/>
            <w:vAlign w:val="center"/>
          </w:tcPr>
          <w:p w14:paraId="4C1BFCA9" w14:textId="293459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1164EE">
              <w:rPr>
                <w:sz w:val="16"/>
                <w:szCs w:val="16"/>
              </w:rPr>
              <w:t xml:space="preserve"> 481 </w:t>
            </w:r>
          </w:p>
        </w:tc>
      </w:tr>
      <w:tr w:rsidR="00046BD5" w:rsidRPr="00DE108C" w14:paraId="4AF0ACA3" w14:textId="77777777" w:rsidTr="00ED094E">
        <w:trPr>
          <w:trHeight w:val="255"/>
        </w:trPr>
        <w:tc>
          <w:tcPr>
            <w:tcW w:w="1313" w:type="pct"/>
            <w:vAlign w:val="center"/>
            <w:hideMark/>
          </w:tcPr>
          <w:p w14:paraId="113CA942"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auto"/>
                <w:sz w:val="16"/>
                <w:szCs w:val="16"/>
                <w:lang w:val="en-US"/>
              </w:rPr>
            </w:pPr>
            <w:r w:rsidRPr="00DE108C">
              <w:rPr>
                <w:rFonts w:asciiTheme="majorHAnsi" w:hAnsiTheme="majorHAnsi"/>
                <w:color w:val="auto"/>
                <w:sz w:val="16"/>
                <w:szCs w:val="16"/>
              </w:rPr>
              <w:t>South East Water</w:t>
            </w:r>
          </w:p>
        </w:tc>
        <w:tc>
          <w:tcPr>
            <w:tcW w:w="614" w:type="pct"/>
            <w:vAlign w:val="center"/>
          </w:tcPr>
          <w:p w14:paraId="5F35FB07" w14:textId="66B3BE1A" w:rsidR="00046BD5" w:rsidRPr="00DE108C" w:rsidRDefault="00046BD5" w:rsidP="00311E81">
            <w:pPr>
              <w:tabs>
                <w:tab w:val="center" w:pos="502"/>
              </w:tabs>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572 </w:t>
            </w:r>
          </w:p>
        </w:tc>
        <w:tc>
          <w:tcPr>
            <w:tcW w:w="615" w:type="pct"/>
            <w:vAlign w:val="center"/>
          </w:tcPr>
          <w:p w14:paraId="34EC2245" w14:textId="0796948B"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581 </w:t>
            </w:r>
          </w:p>
        </w:tc>
        <w:tc>
          <w:tcPr>
            <w:tcW w:w="614" w:type="pct"/>
            <w:vAlign w:val="center"/>
          </w:tcPr>
          <w:p w14:paraId="61EB8C07" w14:textId="7FF35E14"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605 </w:t>
            </w:r>
          </w:p>
        </w:tc>
        <w:tc>
          <w:tcPr>
            <w:tcW w:w="615" w:type="pct"/>
            <w:vAlign w:val="center"/>
          </w:tcPr>
          <w:p w14:paraId="2467D604" w14:textId="138E266B"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1164EE">
              <w:rPr>
                <w:sz w:val="16"/>
                <w:szCs w:val="16"/>
              </w:rPr>
              <w:t xml:space="preserve"> 615 </w:t>
            </w:r>
          </w:p>
        </w:tc>
        <w:tc>
          <w:tcPr>
            <w:tcW w:w="614" w:type="pct"/>
            <w:vAlign w:val="center"/>
          </w:tcPr>
          <w:p w14:paraId="3E8A1964" w14:textId="5DB4FA2B"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626 </w:t>
            </w:r>
          </w:p>
        </w:tc>
        <w:tc>
          <w:tcPr>
            <w:tcW w:w="615" w:type="pct"/>
            <w:vAlign w:val="center"/>
          </w:tcPr>
          <w:p w14:paraId="52FCE52C" w14:textId="06514DFF"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637 </w:t>
            </w:r>
          </w:p>
        </w:tc>
      </w:tr>
      <w:tr w:rsidR="00556A0D" w:rsidRPr="00DE108C" w14:paraId="38A7CAA4" w14:textId="77777777" w:rsidTr="00CA160D">
        <w:trPr>
          <w:cnfStyle w:val="000000010000" w:firstRow="0" w:lastRow="0" w:firstColumn="0" w:lastColumn="0" w:oddVBand="0" w:evenVBand="0" w:oddHBand="0" w:evenHBand="1" w:firstRowFirstColumn="0" w:firstRowLastColumn="0" w:lastRowFirstColumn="0" w:lastRowLastColumn="0"/>
          <w:trHeight w:val="255"/>
        </w:trPr>
        <w:tc>
          <w:tcPr>
            <w:tcW w:w="1313" w:type="pct"/>
            <w:vAlign w:val="center"/>
            <w:hideMark/>
          </w:tcPr>
          <w:p w14:paraId="0E1BD963"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auto"/>
                <w:sz w:val="16"/>
                <w:szCs w:val="16"/>
                <w:lang w:val="en-US"/>
              </w:rPr>
            </w:pPr>
            <w:r w:rsidRPr="00DE108C">
              <w:rPr>
                <w:rFonts w:asciiTheme="majorHAnsi" w:hAnsiTheme="majorHAnsi"/>
                <w:color w:val="auto"/>
                <w:sz w:val="16"/>
                <w:szCs w:val="16"/>
              </w:rPr>
              <w:t>Yarra Valley Water</w:t>
            </w:r>
          </w:p>
        </w:tc>
        <w:tc>
          <w:tcPr>
            <w:tcW w:w="614" w:type="pct"/>
            <w:vAlign w:val="center"/>
          </w:tcPr>
          <w:p w14:paraId="5D6F5B38" w14:textId="7A98D116"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w:t>
            </w:r>
            <w:r w:rsidR="00311E81" w:rsidRPr="00311E81">
              <w:rPr>
                <w:sz w:val="16"/>
                <w:szCs w:val="16"/>
              </w:rPr>
              <w:t>570</w:t>
            </w:r>
            <w:r w:rsidRPr="00311E81">
              <w:rPr>
                <w:sz w:val="16"/>
                <w:szCs w:val="16"/>
              </w:rPr>
              <w:t xml:space="preserve"> </w:t>
            </w:r>
          </w:p>
        </w:tc>
        <w:tc>
          <w:tcPr>
            <w:tcW w:w="615" w:type="pct"/>
            <w:vAlign w:val="center"/>
          </w:tcPr>
          <w:p w14:paraId="140B4C49" w14:textId="5B666961"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579 </w:t>
            </w:r>
          </w:p>
        </w:tc>
        <w:tc>
          <w:tcPr>
            <w:tcW w:w="614" w:type="pct"/>
            <w:vAlign w:val="center"/>
          </w:tcPr>
          <w:p w14:paraId="107A574D" w14:textId="3D4B7A4A"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605 </w:t>
            </w:r>
          </w:p>
        </w:tc>
        <w:tc>
          <w:tcPr>
            <w:tcW w:w="615" w:type="pct"/>
            <w:vAlign w:val="center"/>
          </w:tcPr>
          <w:p w14:paraId="4073E317" w14:textId="5D1ADB0C"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w:t>
            </w:r>
            <w:r w:rsidR="00311E81" w:rsidRPr="00311E81">
              <w:rPr>
                <w:sz w:val="16"/>
                <w:szCs w:val="16"/>
              </w:rPr>
              <w:t>608</w:t>
            </w:r>
            <w:r w:rsidRPr="00311E81">
              <w:rPr>
                <w:sz w:val="16"/>
                <w:szCs w:val="16"/>
              </w:rPr>
              <w:t xml:space="preserve"> </w:t>
            </w:r>
          </w:p>
        </w:tc>
        <w:tc>
          <w:tcPr>
            <w:tcW w:w="614" w:type="pct"/>
            <w:vAlign w:val="center"/>
          </w:tcPr>
          <w:p w14:paraId="38DBB316" w14:textId="727E8CC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1164EE">
              <w:rPr>
                <w:sz w:val="16"/>
                <w:szCs w:val="16"/>
              </w:rPr>
              <w:t xml:space="preserve"> 610 </w:t>
            </w:r>
          </w:p>
        </w:tc>
        <w:tc>
          <w:tcPr>
            <w:tcW w:w="615" w:type="pct"/>
            <w:vAlign w:val="center"/>
          </w:tcPr>
          <w:p w14:paraId="5F7222A4" w14:textId="1A27E02E"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lang w:val="en-US"/>
              </w:rPr>
            </w:pPr>
            <w:r w:rsidRPr="00311E81">
              <w:rPr>
                <w:sz w:val="16"/>
                <w:szCs w:val="16"/>
              </w:rPr>
              <w:t xml:space="preserve"> 612 </w:t>
            </w:r>
          </w:p>
        </w:tc>
      </w:tr>
      <w:tr w:rsidR="00046BD5" w:rsidRPr="00DE108C" w14:paraId="0737B06F" w14:textId="77777777" w:rsidTr="00ED094E">
        <w:trPr>
          <w:trHeight w:val="255"/>
        </w:trPr>
        <w:tc>
          <w:tcPr>
            <w:tcW w:w="1313" w:type="pct"/>
            <w:vAlign w:val="center"/>
            <w:hideMark/>
          </w:tcPr>
          <w:p w14:paraId="1815BFFC"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auto"/>
                <w:sz w:val="16"/>
                <w:szCs w:val="16"/>
                <w:lang w:val="en-US"/>
              </w:rPr>
            </w:pPr>
            <w:r w:rsidRPr="00DE108C">
              <w:rPr>
                <w:rFonts w:asciiTheme="majorHAnsi" w:hAnsiTheme="majorHAnsi"/>
                <w:color w:val="auto"/>
                <w:sz w:val="16"/>
                <w:szCs w:val="16"/>
              </w:rPr>
              <w:t>Barwon Water</w:t>
            </w:r>
          </w:p>
        </w:tc>
        <w:tc>
          <w:tcPr>
            <w:tcW w:w="614" w:type="pct"/>
            <w:vAlign w:val="center"/>
          </w:tcPr>
          <w:p w14:paraId="1572E830"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12.0 </w:t>
            </w:r>
          </w:p>
        </w:tc>
        <w:tc>
          <w:tcPr>
            <w:tcW w:w="615" w:type="pct"/>
            <w:vAlign w:val="center"/>
          </w:tcPr>
          <w:p w14:paraId="74423168"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10.7 </w:t>
            </w:r>
          </w:p>
        </w:tc>
        <w:tc>
          <w:tcPr>
            <w:tcW w:w="614" w:type="pct"/>
            <w:vAlign w:val="center"/>
          </w:tcPr>
          <w:p w14:paraId="2A6E56EC"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6.5 </w:t>
            </w:r>
          </w:p>
        </w:tc>
        <w:tc>
          <w:tcPr>
            <w:tcW w:w="615" w:type="pct"/>
            <w:vAlign w:val="center"/>
          </w:tcPr>
          <w:p w14:paraId="66096430"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6.5 </w:t>
            </w:r>
          </w:p>
        </w:tc>
        <w:tc>
          <w:tcPr>
            <w:tcW w:w="614" w:type="pct"/>
            <w:vAlign w:val="center"/>
          </w:tcPr>
          <w:p w14:paraId="11557815"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6.5 </w:t>
            </w:r>
          </w:p>
        </w:tc>
        <w:tc>
          <w:tcPr>
            <w:tcW w:w="615" w:type="pct"/>
            <w:vAlign w:val="center"/>
          </w:tcPr>
          <w:p w14:paraId="16EC6DA9"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7.5 </w:t>
            </w:r>
          </w:p>
        </w:tc>
      </w:tr>
      <w:tr w:rsidR="00556A0D" w:rsidRPr="00DE108C" w14:paraId="5A127BDB" w14:textId="77777777" w:rsidTr="00CA160D">
        <w:trPr>
          <w:cnfStyle w:val="000000010000" w:firstRow="0" w:lastRow="0" w:firstColumn="0" w:lastColumn="0" w:oddVBand="0" w:evenVBand="0" w:oddHBand="0" w:evenHBand="1" w:firstRowFirstColumn="0" w:firstRowLastColumn="0" w:lastRowFirstColumn="0" w:lastRowLastColumn="0"/>
          <w:trHeight w:val="255"/>
        </w:trPr>
        <w:tc>
          <w:tcPr>
            <w:tcW w:w="1313" w:type="pct"/>
            <w:vAlign w:val="center"/>
            <w:hideMark/>
          </w:tcPr>
          <w:p w14:paraId="7E784319"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auto"/>
                <w:sz w:val="16"/>
                <w:szCs w:val="16"/>
                <w:lang w:val="en-US"/>
              </w:rPr>
            </w:pPr>
            <w:r w:rsidRPr="00DE108C">
              <w:rPr>
                <w:rFonts w:asciiTheme="majorHAnsi" w:hAnsiTheme="majorHAnsi"/>
                <w:color w:val="auto"/>
                <w:sz w:val="16"/>
                <w:szCs w:val="16"/>
              </w:rPr>
              <w:t>South Gippsland Water</w:t>
            </w:r>
          </w:p>
        </w:tc>
        <w:tc>
          <w:tcPr>
            <w:tcW w:w="614" w:type="pct"/>
            <w:vAlign w:val="center"/>
          </w:tcPr>
          <w:p w14:paraId="66B31FCC"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0.7 </w:t>
            </w:r>
          </w:p>
        </w:tc>
        <w:tc>
          <w:tcPr>
            <w:tcW w:w="615" w:type="pct"/>
            <w:vAlign w:val="center"/>
          </w:tcPr>
          <w:p w14:paraId="00D7CFEC"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1.2 </w:t>
            </w:r>
          </w:p>
        </w:tc>
        <w:tc>
          <w:tcPr>
            <w:tcW w:w="614" w:type="pct"/>
            <w:vAlign w:val="center"/>
          </w:tcPr>
          <w:p w14:paraId="7250390B"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1.4 </w:t>
            </w:r>
          </w:p>
        </w:tc>
        <w:tc>
          <w:tcPr>
            <w:tcW w:w="615" w:type="pct"/>
            <w:vAlign w:val="center"/>
          </w:tcPr>
          <w:p w14:paraId="0AA95090"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1.6 </w:t>
            </w:r>
          </w:p>
        </w:tc>
        <w:tc>
          <w:tcPr>
            <w:tcW w:w="614" w:type="pct"/>
            <w:vAlign w:val="center"/>
          </w:tcPr>
          <w:p w14:paraId="1C84632E"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1.9 </w:t>
            </w:r>
          </w:p>
        </w:tc>
        <w:tc>
          <w:tcPr>
            <w:tcW w:w="615" w:type="pct"/>
            <w:vAlign w:val="center"/>
          </w:tcPr>
          <w:p w14:paraId="1DDD9E66"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2.2 </w:t>
            </w:r>
          </w:p>
        </w:tc>
      </w:tr>
      <w:tr w:rsidR="00046BD5" w:rsidRPr="00DE108C" w14:paraId="7AACE3C5" w14:textId="77777777" w:rsidTr="00ED094E">
        <w:trPr>
          <w:trHeight w:val="255"/>
        </w:trPr>
        <w:tc>
          <w:tcPr>
            <w:tcW w:w="1313" w:type="pct"/>
            <w:vAlign w:val="center"/>
            <w:hideMark/>
          </w:tcPr>
          <w:p w14:paraId="1226615E"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auto"/>
                <w:sz w:val="16"/>
                <w:szCs w:val="16"/>
                <w:lang w:val="en-US"/>
              </w:rPr>
            </w:pPr>
            <w:r w:rsidRPr="00DE108C">
              <w:rPr>
                <w:rFonts w:asciiTheme="majorHAnsi" w:hAnsiTheme="majorHAnsi"/>
                <w:color w:val="auto"/>
                <w:sz w:val="16"/>
                <w:szCs w:val="16"/>
              </w:rPr>
              <w:t>Westernport Water</w:t>
            </w:r>
          </w:p>
        </w:tc>
        <w:tc>
          <w:tcPr>
            <w:tcW w:w="614" w:type="pct"/>
            <w:vAlign w:val="center"/>
          </w:tcPr>
          <w:p w14:paraId="657220B2"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0.6 </w:t>
            </w:r>
          </w:p>
        </w:tc>
        <w:tc>
          <w:tcPr>
            <w:tcW w:w="615" w:type="pct"/>
            <w:vAlign w:val="center"/>
          </w:tcPr>
          <w:p w14:paraId="665D4CCA"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0.6 </w:t>
            </w:r>
          </w:p>
        </w:tc>
        <w:tc>
          <w:tcPr>
            <w:tcW w:w="614" w:type="pct"/>
            <w:vAlign w:val="center"/>
          </w:tcPr>
          <w:p w14:paraId="2457D274"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0.6 </w:t>
            </w:r>
          </w:p>
        </w:tc>
        <w:tc>
          <w:tcPr>
            <w:tcW w:w="615" w:type="pct"/>
            <w:vAlign w:val="center"/>
          </w:tcPr>
          <w:p w14:paraId="58316349"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0.7 </w:t>
            </w:r>
          </w:p>
        </w:tc>
        <w:tc>
          <w:tcPr>
            <w:tcW w:w="614" w:type="pct"/>
            <w:vAlign w:val="center"/>
          </w:tcPr>
          <w:p w14:paraId="79BADBBB"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0.8 </w:t>
            </w:r>
          </w:p>
        </w:tc>
        <w:tc>
          <w:tcPr>
            <w:tcW w:w="615" w:type="pct"/>
            <w:vAlign w:val="center"/>
          </w:tcPr>
          <w:p w14:paraId="108C8A93"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0.8 </w:t>
            </w:r>
          </w:p>
        </w:tc>
      </w:tr>
      <w:tr w:rsidR="00556A0D" w:rsidRPr="00DE108C" w14:paraId="2FE49BCA" w14:textId="77777777" w:rsidTr="00CA160D">
        <w:trPr>
          <w:cnfStyle w:val="000000010000" w:firstRow="0" w:lastRow="0" w:firstColumn="0" w:lastColumn="0" w:oddVBand="0" w:evenVBand="0" w:oddHBand="0" w:evenHBand="1" w:firstRowFirstColumn="0" w:firstRowLastColumn="0" w:lastRowFirstColumn="0" w:lastRowLastColumn="0"/>
          <w:trHeight w:val="255"/>
        </w:trPr>
        <w:tc>
          <w:tcPr>
            <w:tcW w:w="1313" w:type="pct"/>
            <w:vAlign w:val="center"/>
            <w:hideMark/>
          </w:tcPr>
          <w:p w14:paraId="55AAE983"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auto"/>
                <w:sz w:val="16"/>
                <w:szCs w:val="16"/>
                <w:lang w:val="en-US"/>
              </w:rPr>
            </w:pPr>
            <w:r w:rsidRPr="00DE108C">
              <w:rPr>
                <w:rFonts w:asciiTheme="majorHAnsi" w:hAnsiTheme="majorHAnsi"/>
                <w:color w:val="auto"/>
                <w:sz w:val="16"/>
                <w:szCs w:val="16"/>
              </w:rPr>
              <w:t>Gippsland Water</w:t>
            </w:r>
          </w:p>
        </w:tc>
        <w:tc>
          <w:tcPr>
            <w:tcW w:w="614" w:type="pct"/>
            <w:vAlign w:val="center"/>
          </w:tcPr>
          <w:p w14:paraId="18CD24A1"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1.5 </w:t>
            </w:r>
          </w:p>
        </w:tc>
        <w:tc>
          <w:tcPr>
            <w:tcW w:w="615" w:type="pct"/>
            <w:vAlign w:val="center"/>
          </w:tcPr>
          <w:p w14:paraId="1102E665"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0.6 </w:t>
            </w:r>
          </w:p>
        </w:tc>
        <w:tc>
          <w:tcPr>
            <w:tcW w:w="614" w:type="pct"/>
            <w:vAlign w:val="center"/>
          </w:tcPr>
          <w:p w14:paraId="374D631E"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0.6 </w:t>
            </w:r>
          </w:p>
        </w:tc>
        <w:tc>
          <w:tcPr>
            <w:tcW w:w="615" w:type="pct"/>
            <w:vAlign w:val="center"/>
          </w:tcPr>
          <w:p w14:paraId="2EE0591B"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0.7 </w:t>
            </w:r>
          </w:p>
        </w:tc>
        <w:tc>
          <w:tcPr>
            <w:tcW w:w="614" w:type="pct"/>
            <w:vAlign w:val="center"/>
          </w:tcPr>
          <w:p w14:paraId="6FC7272A"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0.8 </w:t>
            </w:r>
          </w:p>
        </w:tc>
        <w:tc>
          <w:tcPr>
            <w:tcW w:w="615" w:type="pct"/>
            <w:vAlign w:val="center"/>
          </w:tcPr>
          <w:p w14:paraId="4636659A" w14:textId="77777777" w:rsidR="00046BD5" w:rsidRPr="00DE108C" w:rsidRDefault="00046BD5" w:rsidP="00311E81">
            <w:pPr>
              <w:spacing w:before="100" w:beforeAutospacing="1" w:after="100" w:afterAutospacing="1" w:line="240" w:lineRule="auto"/>
              <w:jc w:val="right"/>
              <w:textAlignment w:val="baseline"/>
              <w:rPr>
                <w:rFonts w:asciiTheme="majorHAnsi" w:hAnsiTheme="majorHAnsi" w:cs="Tahoma"/>
                <w:color w:val="auto"/>
                <w:sz w:val="16"/>
                <w:szCs w:val="16"/>
              </w:rPr>
            </w:pPr>
            <w:r w:rsidRPr="00311E81">
              <w:rPr>
                <w:sz w:val="16"/>
                <w:szCs w:val="16"/>
              </w:rPr>
              <w:t xml:space="preserve"> 0.8 </w:t>
            </w:r>
          </w:p>
        </w:tc>
      </w:tr>
    </w:tbl>
    <w:p w14:paraId="70395BDD" w14:textId="13B021B0" w:rsidR="00046BD5" w:rsidRPr="00DE108C" w:rsidRDefault="00046BD5" w:rsidP="00ED094E">
      <w:pPr>
        <w:rPr>
          <w:rFonts w:eastAsiaTheme="minorEastAsia"/>
        </w:rPr>
      </w:pPr>
      <w:r w:rsidRPr="00DE108C">
        <w:rPr>
          <w:rFonts w:eastAsiaTheme="minorEastAsia"/>
        </w:rPr>
        <w:t>Water corporation data, forecast bulk charges in 2025-26, and typical customer bills in 2025-26 have been used to estimate impacts on the typical household in each water corporation region as a result of our proposal. The cumulative impacts to each year of the regulatory period, by water corporation, are summarised in Table 11.2.</w:t>
      </w:r>
    </w:p>
    <w:p w14:paraId="63861210" w14:textId="77777777" w:rsidR="00046BD5" w:rsidRPr="00DE108C" w:rsidRDefault="00046BD5" w:rsidP="00ED094E">
      <w:pPr>
        <w:pStyle w:val="Caption"/>
      </w:pPr>
      <w:bookmarkStart w:id="1090" w:name="_Toc207893105"/>
      <w:bookmarkStart w:id="1091" w:name="_Toc208490629"/>
      <w:bookmarkStart w:id="1092" w:name="_Toc208490967"/>
      <w:bookmarkStart w:id="1093" w:name="_Toc208911125"/>
      <w:bookmarkStart w:id="1094" w:name="_Toc210051431"/>
      <w:r w:rsidRPr="00DE108C">
        <w:t>Table 11.2: End customer bill impact - cumulative dollar change</w:t>
      </w:r>
      <w:r w:rsidRPr="00DE108C">
        <w:rPr>
          <w:vertAlign w:val="superscript"/>
        </w:rPr>
        <w:t>a</w:t>
      </w:r>
      <w:r w:rsidRPr="00DE108C">
        <w:t xml:space="preserve"> ($real 2025-26)</w:t>
      </w:r>
      <w:bookmarkEnd w:id="1090"/>
      <w:bookmarkEnd w:id="1091"/>
      <w:bookmarkEnd w:id="1092"/>
      <w:bookmarkEnd w:id="1093"/>
      <w:bookmarkEnd w:id="1094"/>
    </w:p>
    <w:tbl>
      <w:tblPr>
        <w:tblStyle w:val="TableGrid"/>
        <w:tblW w:w="5000" w:type="pct"/>
        <w:tblLook w:val="04A0" w:firstRow="1" w:lastRow="0" w:firstColumn="1" w:lastColumn="0" w:noHBand="0" w:noVBand="1"/>
      </w:tblPr>
      <w:tblGrid>
        <w:gridCol w:w="2133"/>
        <w:gridCol w:w="1791"/>
        <w:gridCol w:w="1142"/>
        <w:gridCol w:w="1142"/>
        <w:gridCol w:w="1140"/>
        <w:gridCol w:w="1142"/>
        <w:gridCol w:w="1138"/>
      </w:tblGrid>
      <w:tr w:rsidR="00556A0D" w:rsidRPr="00DE108C" w14:paraId="365F0D57" w14:textId="77777777" w:rsidTr="00CA160D">
        <w:trPr>
          <w:cnfStyle w:val="100000000000" w:firstRow="1" w:lastRow="0" w:firstColumn="0" w:lastColumn="0" w:oddVBand="0" w:evenVBand="0" w:oddHBand="0" w:evenHBand="0" w:firstRowFirstColumn="0" w:firstRowLastColumn="0" w:lastRowFirstColumn="0" w:lastRowLastColumn="0"/>
          <w:trHeight w:val="270"/>
        </w:trPr>
        <w:tc>
          <w:tcPr>
            <w:tcW w:w="1108" w:type="pct"/>
            <w:hideMark/>
          </w:tcPr>
          <w:p w14:paraId="296FD57E" w14:textId="77777777" w:rsidR="00046BD5" w:rsidRPr="00DE108C" w:rsidRDefault="00046BD5">
            <w:pPr>
              <w:spacing w:before="100" w:beforeAutospacing="1" w:after="100" w:afterAutospacing="1" w:line="240" w:lineRule="auto"/>
              <w:textAlignment w:val="baseline"/>
              <w:rPr>
                <w:rFonts w:asciiTheme="majorHAnsi" w:hAnsiTheme="majorHAnsi"/>
                <w:color w:val="FFFFFF" w:themeColor="background1"/>
                <w:sz w:val="16"/>
                <w:szCs w:val="16"/>
              </w:rPr>
            </w:pPr>
            <w:r w:rsidRPr="00DE108C">
              <w:rPr>
                <w:rFonts w:ascii="Arial" w:hAnsi="Arial" w:cs="Arial"/>
                <w:color w:val="FFFFFF" w:themeColor="background1"/>
                <w:sz w:val="16"/>
                <w:szCs w:val="16"/>
              </w:rPr>
              <w:t>​</w:t>
            </w:r>
          </w:p>
        </w:tc>
        <w:tc>
          <w:tcPr>
            <w:tcW w:w="930" w:type="pct"/>
            <w:hideMark/>
          </w:tcPr>
          <w:p w14:paraId="425E08E8" w14:textId="77777777" w:rsidR="00046BD5" w:rsidRPr="00DE108C" w:rsidRDefault="00046BD5" w:rsidP="00ED094E">
            <w:pPr>
              <w:spacing w:before="100" w:beforeAutospacing="1" w:after="100" w:afterAutospacing="1" w:line="240" w:lineRule="auto"/>
              <w:jc w:val="center"/>
              <w:textAlignment w:val="baseline"/>
              <w:rPr>
                <w:rFonts w:asciiTheme="majorHAnsi" w:hAnsiTheme="majorHAnsi"/>
                <w:color w:val="FFFFFF" w:themeColor="background1"/>
                <w:sz w:val="16"/>
                <w:szCs w:val="16"/>
              </w:rPr>
            </w:pPr>
            <w:r w:rsidRPr="00DE108C">
              <w:rPr>
                <w:rFonts w:ascii="Arial" w:hAnsi="Arial" w:cs="Arial"/>
                <w:color w:val="FFFFFF" w:themeColor="background1"/>
                <w:sz w:val="16"/>
                <w:szCs w:val="16"/>
              </w:rPr>
              <w:t>​</w:t>
            </w:r>
            <w:r w:rsidRPr="00DE108C">
              <w:rPr>
                <w:rFonts w:asciiTheme="majorHAnsi" w:hAnsiTheme="majorHAnsi"/>
                <w:b/>
                <w:bCs/>
                <w:color w:val="FFFFFF" w:themeColor="background1"/>
                <w:sz w:val="16"/>
                <w:szCs w:val="16"/>
              </w:rPr>
              <w:t>Typical customer bill, dollars</w:t>
            </w:r>
          </w:p>
        </w:tc>
        <w:tc>
          <w:tcPr>
            <w:tcW w:w="2962" w:type="pct"/>
            <w:gridSpan w:val="5"/>
            <w:hideMark/>
          </w:tcPr>
          <w:p w14:paraId="2C8886B9" w14:textId="77777777" w:rsidR="00046BD5" w:rsidRPr="00DE108C" w:rsidRDefault="00046BD5">
            <w:pPr>
              <w:spacing w:before="100" w:beforeAutospacing="1" w:after="100" w:afterAutospacing="1" w:line="240" w:lineRule="auto"/>
              <w:jc w:val="center"/>
              <w:textAlignment w:val="baseline"/>
              <w:rPr>
                <w:rFonts w:asciiTheme="majorHAnsi" w:hAnsiTheme="majorHAnsi"/>
                <w:b/>
                <w:bCs/>
                <w:color w:val="FFFFFF" w:themeColor="background1"/>
                <w:sz w:val="16"/>
                <w:szCs w:val="16"/>
              </w:rPr>
            </w:pPr>
            <w:r w:rsidRPr="00DE108C">
              <w:rPr>
                <w:rFonts w:asciiTheme="majorHAnsi" w:hAnsiTheme="majorHAnsi"/>
                <w:b/>
                <w:bCs/>
                <w:color w:val="FFFFFF" w:themeColor="background1"/>
                <w:sz w:val="16"/>
                <w:szCs w:val="16"/>
              </w:rPr>
              <w:t>Cumulative impact, dollars</w:t>
            </w:r>
          </w:p>
          <w:p w14:paraId="0CA523E7" w14:textId="63D3A454" w:rsidR="00046BD5" w:rsidRPr="00DE108C" w:rsidRDefault="00046BD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2026–</w:t>
            </w:r>
            <w:r w:rsidRPr="00A31661">
              <w:rPr>
                <w:rFonts w:asciiTheme="majorHAnsi" w:hAnsiTheme="majorHAnsi"/>
                <w:b/>
                <w:bCs/>
                <w:color w:val="FFFFFF" w:themeColor="background1"/>
                <w:sz w:val="16"/>
                <w:szCs w:val="16"/>
              </w:rPr>
              <w:t>31</w:t>
            </w:r>
            <w:r w:rsidRPr="00DE108C">
              <w:rPr>
                <w:rFonts w:asciiTheme="majorHAnsi" w:hAnsiTheme="majorHAnsi"/>
                <w:b/>
                <w:bCs/>
                <w:color w:val="FFFFFF" w:themeColor="background1"/>
                <w:sz w:val="16"/>
                <w:szCs w:val="16"/>
              </w:rPr>
              <w:t xml:space="preserve"> regulatory period</w:t>
            </w:r>
            <w:r w:rsidRPr="00DE108C">
              <w:rPr>
                <w:rFonts w:ascii="Arial" w:hAnsi="Arial" w:cs="Arial"/>
                <w:color w:val="FFFFFF" w:themeColor="background1"/>
                <w:sz w:val="16"/>
                <w:szCs w:val="16"/>
                <w:lang w:val="en-US"/>
              </w:rPr>
              <w:t>​</w:t>
            </w:r>
          </w:p>
        </w:tc>
      </w:tr>
      <w:tr w:rsidR="00046BD5" w:rsidRPr="00DE108C" w14:paraId="055AC583" w14:textId="77777777" w:rsidTr="00ED094E">
        <w:trPr>
          <w:trHeight w:val="270"/>
        </w:trPr>
        <w:tc>
          <w:tcPr>
            <w:tcW w:w="1108" w:type="pct"/>
            <w:shd w:val="clear" w:color="auto" w:fill="00428B" w:themeFill="accent1"/>
            <w:vAlign w:val="center"/>
            <w:hideMark/>
          </w:tcPr>
          <w:p w14:paraId="778F93D3"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FFFFFF" w:themeColor="background1"/>
                <w:sz w:val="16"/>
                <w:szCs w:val="16"/>
              </w:rPr>
            </w:pPr>
            <w:r w:rsidRPr="00DE108C">
              <w:rPr>
                <w:rFonts w:ascii="Arial" w:hAnsi="Arial" w:cs="Arial"/>
                <w:color w:val="FFFFFF" w:themeColor="background1"/>
                <w:sz w:val="16"/>
                <w:szCs w:val="16"/>
              </w:rPr>
              <w:t>​</w:t>
            </w:r>
          </w:p>
        </w:tc>
        <w:tc>
          <w:tcPr>
            <w:tcW w:w="930" w:type="pct"/>
            <w:shd w:val="clear" w:color="auto" w:fill="00428B" w:themeFill="accent1"/>
            <w:vAlign w:val="center"/>
            <w:hideMark/>
          </w:tcPr>
          <w:p w14:paraId="5A2701F5"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2025-26</w:t>
            </w:r>
            <w:r w:rsidRPr="00DE108C">
              <w:rPr>
                <w:rFonts w:ascii="Arial" w:hAnsi="Arial" w:cs="Arial"/>
                <w:color w:val="FFFFFF" w:themeColor="background1"/>
                <w:sz w:val="16"/>
                <w:szCs w:val="16"/>
                <w:lang w:val="en-US"/>
              </w:rPr>
              <w:t>​</w:t>
            </w:r>
          </w:p>
        </w:tc>
        <w:tc>
          <w:tcPr>
            <w:tcW w:w="593" w:type="pct"/>
            <w:shd w:val="clear" w:color="auto" w:fill="00428B" w:themeFill="accent1"/>
            <w:vAlign w:val="center"/>
            <w:hideMark/>
          </w:tcPr>
          <w:p w14:paraId="2582FB08"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2026-27</w:t>
            </w:r>
            <w:r w:rsidRPr="00DE108C">
              <w:rPr>
                <w:rFonts w:ascii="Arial" w:hAnsi="Arial" w:cs="Arial"/>
                <w:color w:val="FFFFFF" w:themeColor="background1"/>
                <w:sz w:val="16"/>
                <w:szCs w:val="16"/>
                <w:lang w:val="en-US"/>
              </w:rPr>
              <w:t>​</w:t>
            </w:r>
          </w:p>
        </w:tc>
        <w:tc>
          <w:tcPr>
            <w:tcW w:w="593" w:type="pct"/>
            <w:shd w:val="clear" w:color="auto" w:fill="00428B" w:themeFill="accent1"/>
            <w:vAlign w:val="center"/>
            <w:hideMark/>
          </w:tcPr>
          <w:p w14:paraId="2CE53261"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2027-28</w:t>
            </w:r>
            <w:r w:rsidRPr="00DE108C">
              <w:rPr>
                <w:rFonts w:ascii="Arial" w:hAnsi="Arial" w:cs="Arial"/>
                <w:color w:val="FFFFFF" w:themeColor="background1"/>
                <w:sz w:val="16"/>
                <w:szCs w:val="16"/>
                <w:lang w:val="en-US"/>
              </w:rPr>
              <w:t>​</w:t>
            </w:r>
          </w:p>
        </w:tc>
        <w:tc>
          <w:tcPr>
            <w:tcW w:w="592" w:type="pct"/>
            <w:shd w:val="clear" w:color="auto" w:fill="00428B" w:themeFill="accent1"/>
            <w:vAlign w:val="center"/>
            <w:hideMark/>
          </w:tcPr>
          <w:p w14:paraId="6FCA9039"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2028-29</w:t>
            </w:r>
            <w:r w:rsidRPr="00DE108C">
              <w:rPr>
                <w:rFonts w:ascii="Arial" w:hAnsi="Arial" w:cs="Arial"/>
                <w:color w:val="FFFFFF" w:themeColor="background1"/>
                <w:sz w:val="16"/>
                <w:szCs w:val="16"/>
                <w:lang w:val="en-US"/>
              </w:rPr>
              <w:t>​</w:t>
            </w:r>
          </w:p>
        </w:tc>
        <w:tc>
          <w:tcPr>
            <w:tcW w:w="593" w:type="pct"/>
            <w:shd w:val="clear" w:color="auto" w:fill="00428B" w:themeFill="accent1"/>
            <w:vAlign w:val="center"/>
            <w:hideMark/>
          </w:tcPr>
          <w:p w14:paraId="490BC481"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2029-30</w:t>
            </w:r>
            <w:r w:rsidRPr="00DE108C">
              <w:rPr>
                <w:rFonts w:ascii="Arial" w:hAnsi="Arial" w:cs="Arial"/>
                <w:color w:val="FFFFFF" w:themeColor="background1"/>
                <w:sz w:val="16"/>
                <w:szCs w:val="16"/>
                <w:lang w:val="en-US"/>
              </w:rPr>
              <w:t>​</w:t>
            </w:r>
          </w:p>
        </w:tc>
        <w:tc>
          <w:tcPr>
            <w:tcW w:w="591" w:type="pct"/>
            <w:shd w:val="clear" w:color="auto" w:fill="00428B" w:themeFill="accent1"/>
            <w:vAlign w:val="center"/>
            <w:hideMark/>
          </w:tcPr>
          <w:p w14:paraId="637E74FC"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2030-31</w:t>
            </w:r>
            <w:r w:rsidRPr="00DE108C">
              <w:rPr>
                <w:rFonts w:ascii="Arial" w:hAnsi="Arial" w:cs="Arial"/>
                <w:color w:val="FFFFFF" w:themeColor="background1"/>
                <w:sz w:val="16"/>
                <w:szCs w:val="16"/>
                <w:lang w:val="en-US"/>
              </w:rPr>
              <w:t>​</w:t>
            </w:r>
          </w:p>
        </w:tc>
      </w:tr>
      <w:tr w:rsidR="00556A0D" w:rsidRPr="00DE108C" w14:paraId="5A4B21EF" w14:textId="77777777" w:rsidTr="00CA160D">
        <w:trPr>
          <w:cnfStyle w:val="000000010000" w:firstRow="0" w:lastRow="0" w:firstColumn="0" w:lastColumn="0" w:oddVBand="0" w:evenVBand="0" w:oddHBand="0" w:evenHBand="1" w:firstRowFirstColumn="0" w:firstRowLastColumn="0" w:lastRowFirstColumn="0" w:lastRowLastColumn="0"/>
          <w:trHeight w:val="270"/>
        </w:trPr>
        <w:tc>
          <w:tcPr>
            <w:tcW w:w="1108" w:type="pct"/>
            <w:vAlign w:val="center"/>
            <w:hideMark/>
          </w:tcPr>
          <w:p w14:paraId="0657DD87"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olor w:val="231F20"/>
                <w:sz w:val="16"/>
                <w:szCs w:val="16"/>
              </w:rPr>
              <w:t>Greater Western Water</w:t>
            </w:r>
            <w:r w:rsidRPr="00DE108C">
              <w:rPr>
                <w:rFonts w:ascii="Arial" w:hAnsi="Arial" w:cs="Arial"/>
                <w:color w:val="231F20"/>
                <w:sz w:val="16"/>
                <w:szCs w:val="16"/>
                <w:lang w:val="en-US"/>
              </w:rPr>
              <w:t>​</w:t>
            </w:r>
          </w:p>
        </w:tc>
        <w:tc>
          <w:tcPr>
            <w:tcW w:w="930" w:type="pct"/>
            <w:vAlign w:val="center"/>
            <w:hideMark/>
          </w:tcPr>
          <w:p w14:paraId="73DA3A97" w14:textId="4C463B55"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s="Tahoma"/>
                <w:sz w:val="16"/>
                <w:szCs w:val="16"/>
              </w:rPr>
              <w:t xml:space="preserve"> 1,110 </w:t>
            </w:r>
          </w:p>
        </w:tc>
        <w:tc>
          <w:tcPr>
            <w:tcW w:w="593" w:type="pct"/>
            <w:vAlign w:val="center"/>
          </w:tcPr>
          <w:p w14:paraId="160695B0" w14:textId="25A4D80C"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3B629D">
              <w:rPr>
                <w:sz w:val="16"/>
                <w:szCs w:val="16"/>
              </w:rPr>
              <w:t>-</w:t>
            </w:r>
          </w:p>
        </w:tc>
        <w:tc>
          <w:tcPr>
            <w:tcW w:w="593" w:type="pct"/>
            <w:vAlign w:val="center"/>
          </w:tcPr>
          <w:p w14:paraId="15A94AE5" w14:textId="0577A1A3"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17</w:t>
            </w:r>
          </w:p>
        </w:tc>
        <w:tc>
          <w:tcPr>
            <w:tcW w:w="592" w:type="pct"/>
            <w:vAlign w:val="center"/>
          </w:tcPr>
          <w:p w14:paraId="1AAAF162" w14:textId="334E8215" w:rsidR="00046BD5" w:rsidRPr="00DE108C" w:rsidRDefault="003B629D"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27</w:t>
            </w:r>
          </w:p>
        </w:tc>
        <w:tc>
          <w:tcPr>
            <w:tcW w:w="593" w:type="pct"/>
            <w:vAlign w:val="center"/>
          </w:tcPr>
          <w:p w14:paraId="2AFB0D4D" w14:textId="09756427" w:rsidR="00046BD5" w:rsidRPr="00DE108C" w:rsidRDefault="003B629D"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37</w:t>
            </w:r>
          </w:p>
        </w:tc>
        <w:tc>
          <w:tcPr>
            <w:tcW w:w="591" w:type="pct"/>
            <w:vAlign w:val="center"/>
          </w:tcPr>
          <w:p w14:paraId="7C3A0E7F" w14:textId="664705D1" w:rsidR="00046BD5" w:rsidRPr="00DE108C" w:rsidRDefault="003B629D"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47</w:t>
            </w:r>
          </w:p>
        </w:tc>
      </w:tr>
      <w:tr w:rsidR="00046BD5" w:rsidRPr="00DE108C" w14:paraId="78E54E31" w14:textId="77777777" w:rsidTr="00ED094E">
        <w:trPr>
          <w:trHeight w:val="270"/>
        </w:trPr>
        <w:tc>
          <w:tcPr>
            <w:tcW w:w="1108" w:type="pct"/>
            <w:vAlign w:val="center"/>
            <w:hideMark/>
          </w:tcPr>
          <w:p w14:paraId="0F61BB26"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olor w:val="231F20"/>
                <w:sz w:val="16"/>
                <w:szCs w:val="16"/>
              </w:rPr>
              <w:t>South East Water</w:t>
            </w:r>
            <w:r w:rsidRPr="00DE108C">
              <w:rPr>
                <w:rFonts w:ascii="Arial" w:hAnsi="Arial" w:cs="Arial"/>
                <w:color w:val="231F20"/>
                <w:sz w:val="16"/>
                <w:szCs w:val="16"/>
                <w:lang w:val="en-US"/>
              </w:rPr>
              <w:t>​</w:t>
            </w:r>
          </w:p>
        </w:tc>
        <w:tc>
          <w:tcPr>
            <w:tcW w:w="930" w:type="pct"/>
            <w:vAlign w:val="center"/>
            <w:hideMark/>
          </w:tcPr>
          <w:p w14:paraId="335554CE" w14:textId="7FB094E4"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s="Tahoma"/>
                <w:sz w:val="16"/>
                <w:szCs w:val="16"/>
              </w:rPr>
              <w:t xml:space="preserve"> 1,057 </w:t>
            </w:r>
          </w:p>
        </w:tc>
        <w:tc>
          <w:tcPr>
            <w:tcW w:w="593" w:type="pct"/>
            <w:vAlign w:val="center"/>
          </w:tcPr>
          <w:p w14:paraId="6BA33EEC" w14:textId="03FF8F5B"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3B629D">
              <w:rPr>
                <w:sz w:val="16"/>
                <w:szCs w:val="16"/>
              </w:rPr>
              <w:t>-</w:t>
            </w:r>
          </w:p>
        </w:tc>
        <w:tc>
          <w:tcPr>
            <w:tcW w:w="593" w:type="pct"/>
            <w:vAlign w:val="center"/>
          </w:tcPr>
          <w:p w14:paraId="70B1C6A3" w14:textId="5EB392CD"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15</w:t>
            </w:r>
          </w:p>
        </w:tc>
        <w:tc>
          <w:tcPr>
            <w:tcW w:w="592" w:type="pct"/>
            <w:vAlign w:val="center"/>
          </w:tcPr>
          <w:p w14:paraId="6F1E526C" w14:textId="4F37E586"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16</w:t>
            </w:r>
          </w:p>
        </w:tc>
        <w:tc>
          <w:tcPr>
            <w:tcW w:w="593" w:type="pct"/>
            <w:vAlign w:val="center"/>
          </w:tcPr>
          <w:p w14:paraId="794CF922" w14:textId="2D812A6B"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17</w:t>
            </w:r>
          </w:p>
        </w:tc>
        <w:tc>
          <w:tcPr>
            <w:tcW w:w="591" w:type="pct"/>
            <w:vAlign w:val="center"/>
          </w:tcPr>
          <w:p w14:paraId="18FE8FF4" w14:textId="283147BA"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18</w:t>
            </w:r>
          </w:p>
        </w:tc>
      </w:tr>
      <w:tr w:rsidR="00556A0D" w:rsidRPr="00DE108C" w14:paraId="6E0FB854" w14:textId="77777777" w:rsidTr="00CA160D">
        <w:trPr>
          <w:cnfStyle w:val="000000010000" w:firstRow="0" w:lastRow="0" w:firstColumn="0" w:lastColumn="0" w:oddVBand="0" w:evenVBand="0" w:oddHBand="0" w:evenHBand="1" w:firstRowFirstColumn="0" w:firstRowLastColumn="0" w:lastRowFirstColumn="0" w:lastRowLastColumn="0"/>
          <w:trHeight w:val="270"/>
        </w:trPr>
        <w:tc>
          <w:tcPr>
            <w:tcW w:w="1108" w:type="pct"/>
            <w:vAlign w:val="center"/>
            <w:hideMark/>
          </w:tcPr>
          <w:p w14:paraId="0FF5A3BE"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olor w:val="231F20"/>
                <w:sz w:val="16"/>
                <w:szCs w:val="16"/>
              </w:rPr>
              <w:t>Yarra Valley Water</w:t>
            </w:r>
            <w:r w:rsidRPr="00DE108C">
              <w:rPr>
                <w:rFonts w:ascii="Arial" w:hAnsi="Arial" w:cs="Arial"/>
                <w:color w:val="231F20"/>
                <w:sz w:val="16"/>
                <w:szCs w:val="16"/>
                <w:lang w:val="en-US"/>
              </w:rPr>
              <w:t>​</w:t>
            </w:r>
          </w:p>
        </w:tc>
        <w:tc>
          <w:tcPr>
            <w:tcW w:w="930" w:type="pct"/>
            <w:vAlign w:val="center"/>
            <w:hideMark/>
          </w:tcPr>
          <w:p w14:paraId="5D975FE7" w14:textId="0855223E"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s="Tahoma"/>
                <w:sz w:val="16"/>
                <w:szCs w:val="16"/>
              </w:rPr>
              <w:t xml:space="preserve"> 1,114 </w:t>
            </w:r>
          </w:p>
        </w:tc>
        <w:tc>
          <w:tcPr>
            <w:tcW w:w="593" w:type="pct"/>
            <w:vAlign w:val="center"/>
          </w:tcPr>
          <w:p w14:paraId="1346FD62" w14:textId="68D3775B"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3B629D">
              <w:rPr>
                <w:sz w:val="16"/>
                <w:szCs w:val="16"/>
              </w:rPr>
              <w:t>-</w:t>
            </w:r>
          </w:p>
        </w:tc>
        <w:tc>
          <w:tcPr>
            <w:tcW w:w="593" w:type="pct"/>
            <w:vAlign w:val="center"/>
          </w:tcPr>
          <w:p w14:paraId="257351A0" w14:textId="1AC025B5"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16</w:t>
            </w:r>
          </w:p>
        </w:tc>
        <w:tc>
          <w:tcPr>
            <w:tcW w:w="592" w:type="pct"/>
            <w:vAlign w:val="center"/>
          </w:tcPr>
          <w:p w14:paraId="540F235E" w14:textId="5CB672F2"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9</w:t>
            </w:r>
          </w:p>
        </w:tc>
        <w:tc>
          <w:tcPr>
            <w:tcW w:w="593" w:type="pct"/>
            <w:vAlign w:val="center"/>
          </w:tcPr>
          <w:p w14:paraId="63CCA87C" w14:textId="518ACADB" w:rsidR="00046BD5" w:rsidRPr="00DE108C" w:rsidRDefault="003B629D"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1</w:t>
            </w:r>
          </w:p>
        </w:tc>
        <w:tc>
          <w:tcPr>
            <w:tcW w:w="591" w:type="pct"/>
            <w:vAlign w:val="center"/>
          </w:tcPr>
          <w:p w14:paraId="3D6886FF" w14:textId="7380A71F"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-7</w:t>
            </w:r>
          </w:p>
        </w:tc>
      </w:tr>
      <w:tr w:rsidR="00046BD5" w:rsidRPr="00DE108C" w14:paraId="6E4FD580" w14:textId="77777777" w:rsidTr="00ED094E">
        <w:trPr>
          <w:trHeight w:val="270"/>
        </w:trPr>
        <w:tc>
          <w:tcPr>
            <w:tcW w:w="1108" w:type="pct"/>
            <w:vAlign w:val="center"/>
            <w:hideMark/>
          </w:tcPr>
          <w:p w14:paraId="6C1F6A98"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olor w:val="231F20"/>
                <w:sz w:val="16"/>
                <w:szCs w:val="16"/>
              </w:rPr>
              <w:t>Barwon Water</w:t>
            </w:r>
            <w:r w:rsidRPr="00DE108C">
              <w:rPr>
                <w:rFonts w:ascii="Arial" w:hAnsi="Arial" w:cs="Arial"/>
                <w:color w:val="231F20"/>
                <w:sz w:val="16"/>
                <w:szCs w:val="16"/>
                <w:lang w:val="en-US"/>
              </w:rPr>
              <w:t>​</w:t>
            </w:r>
          </w:p>
        </w:tc>
        <w:tc>
          <w:tcPr>
            <w:tcW w:w="930" w:type="pct"/>
            <w:vAlign w:val="center"/>
            <w:hideMark/>
          </w:tcPr>
          <w:p w14:paraId="0C4941A2" w14:textId="7A33D836"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s="Tahoma"/>
                <w:sz w:val="16"/>
                <w:szCs w:val="16"/>
              </w:rPr>
              <w:t xml:space="preserve"> 1,183 </w:t>
            </w:r>
          </w:p>
        </w:tc>
        <w:tc>
          <w:tcPr>
            <w:tcW w:w="593" w:type="pct"/>
            <w:vAlign w:val="center"/>
          </w:tcPr>
          <w:p w14:paraId="7167936E" w14:textId="53E93040"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3B629D">
              <w:rPr>
                <w:sz w:val="16"/>
                <w:szCs w:val="16"/>
              </w:rPr>
              <w:t>-3</w:t>
            </w:r>
          </w:p>
        </w:tc>
        <w:tc>
          <w:tcPr>
            <w:tcW w:w="593" w:type="pct"/>
            <w:vAlign w:val="center"/>
          </w:tcPr>
          <w:p w14:paraId="2D8FC9EA" w14:textId="24DF7A5C"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-4</w:t>
            </w:r>
          </w:p>
        </w:tc>
        <w:tc>
          <w:tcPr>
            <w:tcW w:w="592" w:type="pct"/>
            <w:vAlign w:val="center"/>
          </w:tcPr>
          <w:p w14:paraId="0041DFAB" w14:textId="5DBE45AD"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-5</w:t>
            </w:r>
          </w:p>
        </w:tc>
        <w:tc>
          <w:tcPr>
            <w:tcW w:w="593" w:type="pct"/>
            <w:vAlign w:val="center"/>
          </w:tcPr>
          <w:p w14:paraId="7A2E456F" w14:textId="49076053"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-6</w:t>
            </w:r>
          </w:p>
        </w:tc>
        <w:tc>
          <w:tcPr>
            <w:tcW w:w="591" w:type="pct"/>
            <w:vAlign w:val="center"/>
          </w:tcPr>
          <w:p w14:paraId="5C2ABADF" w14:textId="1BA3B54E"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-2</w:t>
            </w:r>
          </w:p>
        </w:tc>
      </w:tr>
      <w:tr w:rsidR="00556A0D" w:rsidRPr="00DE108C" w14:paraId="1016FB72" w14:textId="77777777" w:rsidTr="00CA160D">
        <w:trPr>
          <w:cnfStyle w:val="000000010000" w:firstRow="0" w:lastRow="0" w:firstColumn="0" w:lastColumn="0" w:oddVBand="0" w:evenVBand="0" w:oddHBand="0" w:evenHBand="1" w:firstRowFirstColumn="0" w:firstRowLastColumn="0" w:lastRowFirstColumn="0" w:lastRowLastColumn="0"/>
          <w:trHeight w:val="270"/>
        </w:trPr>
        <w:tc>
          <w:tcPr>
            <w:tcW w:w="1108" w:type="pct"/>
            <w:vAlign w:val="center"/>
            <w:hideMark/>
          </w:tcPr>
          <w:p w14:paraId="07BE7D33"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olor w:val="231F20"/>
                <w:sz w:val="16"/>
                <w:szCs w:val="16"/>
              </w:rPr>
              <w:t>South Gippsland Water</w:t>
            </w:r>
            <w:r w:rsidRPr="00DE108C">
              <w:rPr>
                <w:rFonts w:ascii="Arial" w:hAnsi="Arial" w:cs="Arial"/>
                <w:color w:val="231F20"/>
                <w:sz w:val="16"/>
                <w:szCs w:val="16"/>
                <w:lang w:val="en-US"/>
              </w:rPr>
              <w:t>​</w:t>
            </w:r>
          </w:p>
        </w:tc>
        <w:tc>
          <w:tcPr>
            <w:tcW w:w="930" w:type="pct"/>
            <w:vAlign w:val="center"/>
            <w:hideMark/>
          </w:tcPr>
          <w:p w14:paraId="31D5BE02" w14:textId="71783EF9"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s="Tahoma"/>
                <w:sz w:val="16"/>
                <w:szCs w:val="16"/>
              </w:rPr>
              <w:t xml:space="preserve"> 1,405 </w:t>
            </w:r>
          </w:p>
        </w:tc>
        <w:tc>
          <w:tcPr>
            <w:tcW w:w="593" w:type="pct"/>
            <w:vAlign w:val="center"/>
          </w:tcPr>
          <w:p w14:paraId="6FE71A35" w14:textId="2C62B70E"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3B629D">
              <w:rPr>
                <w:sz w:val="16"/>
                <w:szCs w:val="16"/>
              </w:rPr>
              <w:t>23</w:t>
            </w:r>
          </w:p>
        </w:tc>
        <w:tc>
          <w:tcPr>
            <w:tcW w:w="593" w:type="pct"/>
            <w:vAlign w:val="center"/>
          </w:tcPr>
          <w:p w14:paraId="0FE54809" w14:textId="6A243A68"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32</w:t>
            </w:r>
          </w:p>
        </w:tc>
        <w:tc>
          <w:tcPr>
            <w:tcW w:w="592" w:type="pct"/>
            <w:vAlign w:val="center"/>
          </w:tcPr>
          <w:p w14:paraId="6A094095" w14:textId="0BFC56FC"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42</w:t>
            </w:r>
          </w:p>
        </w:tc>
        <w:tc>
          <w:tcPr>
            <w:tcW w:w="593" w:type="pct"/>
            <w:vAlign w:val="center"/>
          </w:tcPr>
          <w:p w14:paraId="7FFF809F" w14:textId="580F3FD5"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55</w:t>
            </w:r>
          </w:p>
        </w:tc>
        <w:tc>
          <w:tcPr>
            <w:tcW w:w="591" w:type="pct"/>
            <w:vAlign w:val="center"/>
          </w:tcPr>
          <w:p w14:paraId="07F65491" w14:textId="0A9B89C6"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71</w:t>
            </w:r>
          </w:p>
        </w:tc>
      </w:tr>
      <w:tr w:rsidR="00046BD5" w:rsidRPr="00DE108C" w14:paraId="1E5845E3" w14:textId="77777777" w:rsidTr="00ED094E">
        <w:trPr>
          <w:trHeight w:val="270"/>
        </w:trPr>
        <w:tc>
          <w:tcPr>
            <w:tcW w:w="1108" w:type="pct"/>
            <w:vAlign w:val="center"/>
            <w:hideMark/>
          </w:tcPr>
          <w:p w14:paraId="5CB903CD"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olor w:val="231F20"/>
                <w:sz w:val="16"/>
                <w:szCs w:val="16"/>
              </w:rPr>
              <w:t>Westernport Water</w:t>
            </w:r>
            <w:r w:rsidRPr="00DE108C">
              <w:rPr>
                <w:rFonts w:ascii="Arial" w:hAnsi="Arial" w:cs="Arial"/>
                <w:color w:val="231F20"/>
                <w:sz w:val="16"/>
                <w:szCs w:val="16"/>
                <w:lang w:val="en-US"/>
              </w:rPr>
              <w:t>​</w:t>
            </w:r>
          </w:p>
        </w:tc>
        <w:tc>
          <w:tcPr>
            <w:tcW w:w="930" w:type="pct"/>
            <w:vAlign w:val="center"/>
            <w:hideMark/>
          </w:tcPr>
          <w:p w14:paraId="40D3C2F0" w14:textId="0F1DB587"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s="Tahoma"/>
                <w:sz w:val="16"/>
                <w:szCs w:val="16"/>
              </w:rPr>
              <w:t xml:space="preserve"> 1,394 </w:t>
            </w:r>
          </w:p>
        </w:tc>
        <w:tc>
          <w:tcPr>
            <w:tcW w:w="593" w:type="pct"/>
            <w:vAlign w:val="center"/>
          </w:tcPr>
          <w:p w14:paraId="16EA4782" w14:textId="2082D69D"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3B629D">
              <w:rPr>
                <w:sz w:val="16"/>
                <w:szCs w:val="16"/>
              </w:rPr>
              <w:t>-</w:t>
            </w:r>
          </w:p>
        </w:tc>
        <w:tc>
          <w:tcPr>
            <w:tcW w:w="593" w:type="pct"/>
            <w:vAlign w:val="center"/>
          </w:tcPr>
          <w:p w14:paraId="34C6034B" w14:textId="23C2670D"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2</w:t>
            </w:r>
          </w:p>
        </w:tc>
        <w:tc>
          <w:tcPr>
            <w:tcW w:w="592" w:type="pct"/>
            <w:vAlign w:val="center"/>
          </w:tcPr>
          <w:p w14:paraId="2B792F83" w14:textId="13F426F0"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4</w:t>
            </w:r>
          </w:p>
        </w:tc>
        <w:tc>
          <w:tcPr>
            <w:tcW w:w="593" w:type="pct"/>
            <w:vAlign w:val="center"/>
          </w:tcPr>
          <w:p w14:paraId="63207134" w14:textId="79686815"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6</w:t>
            </w:r>
          </w:p>
        </w:tc>
        <w:tc>
          <w:tcPr>
            <w:tcW w:w="591" w:type="pct"/>
            <w:vAlign w:val="center"/>
          </w:tcPr>
          <w:p w14:paraId="6EA3D611" w14:textId="54751FB2"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9</w:t>
            </w:r>
          </w:p>
        </w:tc>
      </w:tr>
      <w:tr w:rsidR="00055179" w:rsidRPr="00DE108C" w14:paraId="209C9E60" w14:textId="77777777" w:rsidTr="00CA160D">
        <w:trPr>
          <w:cnfStyle w:val="000000010000" w:firstRow="0" w:lastRow="0" w:firstColumn="0" w:lastColumn="0" w:oddVBand="0" w:evenVBand="0" w:oddHBand="0" w:evenHBand="1" w:firstRowFirstColumn="0" w:firstRowLastColumn="0" w:lastRowFirstColumn="0" w:lastRowLastColumn="0"/>
          <w:trHeight w:val="270"/>
        </w:trPr>
        <w:tc>
          <w:tcPr>
            <w:tcW w:w="1108" w:type="pct"/>
            <w:tcBorders>
              <w:bottom w:val="single" w:sz="4" w:space="0" w:color="231F20" w:themeColor="text1"/>
            </w:tcBorders>
            <w:vAlign w:val="center"/>
            <w:hideMark/>
          </w:tcPr>
          <w:p w14:paraId="3B7DC4BF" w14:textId="77777777"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olor w:val="231F20"/>
                <w:sz w:val="16"/>
                <w:szCs w:val="16"/>
              </w:rPr>
              <w:t>Gippsland Water</w:t>
            </w:r>
            <w:r w:rsidRPr="00DE108C">
              <w:rPr>
                <w:rFonts w:ascii="Arial" w:hAnsi="Arial" w:cs="Arial"/>
                <w:color w:val="231F20"/>
                <w:sz w:val="16"/>
                <w:szCs w:val="16"/>
                <w:lang w:val="en-US"/>
              </w:rPr>
              <w:t>​</w:t>
            </w:r>
          </w:p>
        </w:tc>
        <w:tc>
          <w:tcPr>
            <w:tcW w:w="930" w:type="pct"/>
            <w:tcBorders>
              <w:bottom w:val="single" w:sz="4" w:space="0" w:color="231F20" w:themeColor="text1"/>
            </w:tcBorders>
            <w:vAlign w:val="center"/>
            <w:hideMark/>
          </w:tcPr>
          <w:p w14:paraId="62F19E77" w14:textId="322B69CF" w:rsidR="00046BD5" w:rsidRPr="00DE108C" w:rsidRDefault="00046BD5" w:rsidP="00ED094E">
            <w:pPr>
              <w:spacing w:before="100" w:beforeAutospacing="1" w:after="100" w:afterAutospacing="1" w:line="240" w:lineRule="auto"/>
              <w:textAlignment w:val="baseline"/>
              <w:rPr>
                <w:rFonts w:asciiTheme="majorHAnsi" w:hAnsiTheme="majorHAnsi"/>
                <w:color w:val="231F20"/>
                <w:sz w:val="16"/>
                <w:szCs w:val="16"/>
                <w:lang w:val="en-US"/>
              </w:rPr>
            </w:pPr>
            <w:r w:rsidRPr="00DE108C">
              <w:rPr>
                <w:rFonts w:asciiTheme="majorHAnsi" w:hAnsiTheme="majorHAnsi" w:cs="Tahoma"/>
                <w:sz w:val="16"/>
                <w:szCs w:val="16"/>
              </w:rPr>
              <w:t xml:space="preserve"> 1,492 </w:t>
            </w:r>
          </w:p>
        </w:tc>
        <w:tc>
          <w:tcPr>
            <w:tcW w:w="593" w:type="pct"/>
            <w:tcBorders>
              <w:bottom w:val="single" w:sz="4" w:space="0" w:color="231F20" w:themeColor="text1"/>
            </w:tcBorders>
            <w:vAlign w:val="center"/>
          </w:tcPr>
          <w:p w14:paraId="6A591538" w14:textId="3FE783A6"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3B629D">
              <w:rPr>
                <w:sz w:val="16"/>
                <w:szCs w:val="16"/>
              </w:rPr>
              <w:t>-11</w:t>
            </w:r>
          </w:p>
        </w:tc>
        <w:tc>
          <w:tcPr>
            <w:tcW w:w="593" w:type="pct"/>
            <w:tcBorders>
              <w:bottom w:val="single" w:sz="4" w:space="0" w:color="231F20" w:themeColor="text1"/>
            </w:tcBorders>
            <w:vAlign w:val="center"/>
          </w:tcPr>
          <w:p w14:paraId="768FE4F3" w14:textId="63A10F7D"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-12</w:t>
            </w:r>
          </w:p>
        </w:tc>
        <w:tc>
          <w:tcPr>
            <w:tcW w:w="592" w:type="pct"/>
            <w:tcBorders>
              <w:bottom w:val="single" w:sz="4" w:space="0" w:color="231F20" w:themeColor="text1"/>
            </w:tcBorders>
            <w:vAlign w:val="center"/>
          </w:tcPr>
          <w:p w14:paraId="094F35CB" w14:textId="78662EB8"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-10</w:t>
            </w:r>
          </w:p>
        </w:tc>
        <w:tc>
          <w:tcPr>
            <w:tcW w:w="593" w:type="pct"/>
            <w:tcBorders>
              <w:bottom w:val="single" w:sz="4" w:space="0" w:color="231F20" w:themeColor="text1"/>
            </w:tcBorders>
            <w:vAlign w:val="center"/>
          </w:tcPr>
          <w:p w14:paraId="3ECF556F" w14:textId="49BCB872"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-10</w:t>
            </w:r>
          </w:p>
        </w:tc>
        <w:tc>
          <w:tcPr>
            <w:tcW w:w="591" w:type="pct"/>
            <w:tcBorders>
              <w:bottom w:val="single" w:sz="4" w:space="0" w:color="231F20" w:themeColor="text1"/>
            </w:tcBorders>
            <w:vAlign w:val="center"/>
          </w:tcPr>
          <w:p w14:paraId="330D4F01" w14:textId="69F5F472" w:rsidR="00046BD5" w:rsidRPr="00DE108C" w:rsidRDefault="00046BD5" w:rsidP="003B629D">
            <w:pPr>
              <w:spacing w:before="100" w:beforeAutospacing="1" w:after="100" w:afterAutospacing="1" w:line="240" w:lineRule="auto"/>
              <w:jc w:val="right"/>
              <w:textAlignment w:val="baseline"/>
              <w:rPr>
                <w:rFonts w:asciiTheme="majorHAnsi" w:hAnsiTheme="majorHAnsi"/>
                <w:color w:val="231F20"/>
                <w:sz w:val="16"/>
                <w:szCs w:val="16"/>
                <w:lang w:val="en-US"/>
              </w:rPr>
            </w:pPr>
            <w:r w:rsidRPr="001164EE">
              <w:rPr>
                <w:sz w:val="16"/>
                <w:szCs w:val="16"/>
              </w:rPr>
              <w:t>-9</w:t>
            </w:r>
          </w:p>
        </w:tc>
      </w:tr>
      <w:tr w:rsidR="00046BD5" w:rsidRPr="00DE108C" w14:paraId="187FA71A" w14:textId="77777777" w:rsidTr="00ED094E">
        <w:trPr>
          <w:trHeight w:val="270"/>
        </w:trPr>
        <w:tc>
          <w:tcPr>
            <w:tcW w:w="5000" w:type="pct"/>
            <w:gridSpan w:val="7"/>
            <w:tcBorders>
              <w:left w:val="single" w:sz="4" w:space="0" w:color="FFFFFF" w:themeColor="background1"/>
              <w:bottom w:val="single" w:sz="4" w:space="0" w:color="FFFFFF" w:themeColor="background1"/>
              <w:right w:val="single" w:sz="4" w:space="0" w:color="FFFFFF" w:themeColor="background1"/>
            </w:tcBorders>
            <w:vAlign w:val="center"/>
          </w:tcPr>
          <w:p w14:paraId="33748784" w14:textId="571950B8" w:rsidR="00C117D9" w:rsidRPr="00DE108C" w:rsidRDefault="00046BD5" w:rsidP="00ED094E">
            <w:pPr>
              <w:pStyle w:val="FootnoteText"/>
              <w:rPr>
                <w:rFonts w:asciiTheme="majorHAnsi" w:hAnsiTheme="majorHAnsi"/>
              </w:rPr>
            </w:pPr>
            <w:r w:rsidRPr="4ACF07AD">
              <w:rPr>
                <w:rFonts w:asciiTheme="majorHAnsi" w:hAnsiTheme="majorHAnsi"/>
                <w:vertAlign w:val="superscript"/>
              </w:rPr>
              <w:t xml:space="preserve">a </w:t>
            </w:r>
            <w:r w:rsidRPr="4ACF07AD">
              <w:rPr>
                <w:rFonts w:asciiTheme="majorHAnsi" w:hAnsiTheme="majorHAnsi"/>
              </w:rPr>
              <w:t>Bill impacts are indicative only and exclude impacts of water corporation 2028 submissions, desalination water orders and other pass</w:t>
            </w:r>
            <w:r w:rsidR="2735D34E" w:rsidRPr="4ACF07AD">
              <w:rPr>
                <w:rFonts w:asciiTheme="majorHAnsi" w:hAnsiTheme="majorHAnsi"/>
              </w:rPr>
              <w:t>-</w:t>
            </w:r>
            <w:r w:rsidRPr="4ACF07AD">
              <w:rPr>
                <w:rFonts w:asciiTheme="majorHAnsi" w:hAnsiTheme="majorHAnsi"/>
              </w:rPr>
              <w:t>throughs</w:t>
            </w:r>
            <w:r w:rsidR="64AB7EAE" w:rsidRPr="4ACF07AD">
              <w:rPr>
                <w:rFonts w:asciiTheme="majorHAnsi" w:hAnsiTheme="majorHAnsi"/>
              </w:rPr>
              <w:t>.</w:t>
            </w:r>
          </w:p>
        </w:tc>
      </w:tr>
    </w:tbl>
    <w:p w14:paraId="743A433E" w14:textId="7E504CC3" w:rsidR="00046BD5" w:rsidRPr="00DE108C" w:rsidRDefault="00046BD5" w:rsidP="00ED094E">
      <w:r w:rsidRPr="00DE108C">
        <w:t>Typical impacts as a result of our proposal are expressed as a percentage of the total household bill, relative to the previous year, are included in Table 11.3.</w:t>
      </w:r>
    </w:p>
    <w:p w14:paraId="7A32A791" w14:textId="06E65295" w:rsidR="00046BD5" w:rsidRPr="00DE108C" w:rsidRDefault="00046BD5" w:rsidP="00ED094E">
      <w:pPr>
        <w:pStyle w:val="Caption"/>
        <w:rPr>
          <w:vertAlign w:val="superscript"/>
        </w:rPr>
      </w:pPr>
      <w:bookmarkStart w:id="1095" w:name="_Toc207893106"/>
      <w:bookmarkStart w:id="1096" w:name="_Toc208490630"/>
      <w:bookmarkStart w:id="1097" w:name="_Toc208490968"/>
      <w:bookmarkStart w:id="1098" w:name="_Toc208911126"/>
      <w:bookmarkStart w:id="1099" w:name="_Toc210051432"/>
      <w:r w:rsidRPr="00DE108C">
        <w:lastRenderedPageBreak/>
        <w:t>Table 11.3: End customer bill impact – Annual percentage change ($real 2025-26)</w:t>
      </w:r>
      <w:bookmarkEnd w:id="1095"/>
      <w:bookmarkEnd w:id="1096"/>
      <w:bookmarkEnd w:id="1097"/>
      <w:r w:rsidR="00AC59A4" w:rsidRPr="00DE108C">
        <w:rPr>
          <w:vertAlign w:val="superscript"/>
        </w:rPr>
        <w:t>b</w:t>
      </w:r>
      <w:bookmarkEnd w:id="1098"/>
      <w:bookmarkEnd w:id="1099"/>
    </w:p>
    <w:tbl>
      <w:tblPr>
        <w:tblStyle w:val="TableGrid"/>
        <w:tblW w:w="5000" w:type="pct"/>
        <w:tblLook w:val="04A0" w:firstRow="1" w:lastRow="0" w:firstColumn="1" w:lastColumn="0" w:noHBand="0" w:noVBand="1"/>
      </w:tblPr>
      <w:tblGrid>
        <w:gridCol w:w="2338"/>
        <w:gridCol w:w="1215"/>
        <w:gridCol w:w="1215"/>
        <w:gridCol w:w="1215"/>
        <w:gridCol w:w="1215"/>
        <w:gridCol w:w="1215"/>
        <w:gridCol w:w="1215"/>
      </w:tblGrid>
      <w:tr w:rsidR="00556A0D" w:rsidRPr="00DE108C" w14:paraId="6C81D079" w14:textId="77777777" w:rsidTr="00B46F82">
        <w:trPr>
          <w:cnfStyle w:val="100000000000" w:firstRow="1" w:lastRow="0" w:firstColumn="0" w:lastColumn="0" w:oddVBand="0" w:evenVBand="0" w:oddHBand="0" w:evenHBand="0" w:firstRowFirstColumn="0" w:firstRowLastColumn="0" w:lastRowFirstColumn="0" w:lastRowLastColumn="0"/>
          <w:trHeight w:val="270"/>
        </w:trPr>
        <w:tc>
          <w:tcPr>
            <w:tcW w:w="1214" w:type="pct"/>
            <w:hideMark/>
          </w:tcPr>
          <w:p w14:paraId="0453643C" w14:textId="77777777" w:rsidR="00046BD5" w:rsidRPr="00DE108C" w:rsidRDefault="00046BD5" w:rsidP="000C092E">
            <w:pPr>
              <w:keepLines/>
              <w:spacing w:before="100" w:beforeAutospacing="1" w:after="100" w:afterAutospacing="1" w:line="240" w:lineRule="auto"/>
              <w:textAlignment w:val="baseline"/>
              <w:rPr>
                <w:rFonts w:asciiTheme="majorHAnsi" w:hAnsiTheme="majorHAnsi"/>
                <w:color w:val="FFFFFF" w:themeColor="background1"/>
                <w:sz w:val="16"/>
                <w:szCs w:val="16"/>
              </w:rPr>
            </w:pPr>
            <w:r w:rsidRPr="00DE108C">
              <w:rPr>
                <w:rFonts w:ascii="Arial" w:hAnsi="Arial" w:cs="Arial"/>
                <w:color w:val="FFFFFF" w:themeColor="background1"/>
                <w:sz w:val="16"/>
                <w:szCs w:val="16"/>
              </w:rPr>
              <w:t>​</w:t>
            </w:r>
          </w:p>
        </w:tc>
        <w:tc>
          <w:tcPr>
            <w:tcW w:w="631" w:type="pct"/>
            <w:hideMark/>
          </w:tcPr>
          <w:p w14:paraId="0E38FD55" w14:textId="716563EF" w:rsidR="00046BD5" w:rsidRPr="00DE108C" w:rsidRDefault="00046BD5" w:rsidP="000C092E">
            <w:pPr>
              <w:keepLines/>
              <w:spacing w:before="100" w:beforeAutospacing="1" w:after="100" w:afterAutospacing="1" w:line="240" w:lineRule="auto"/>
              <w:textAlignment w:val="baseline"/>
              <w:rPr>
                <w:rFonts w:asciiTheme="majorHAnsi" w:hAnsiTheme="majorHAnsi"/>
                <w:color w:val="FFFFFF" w:themeColor="background1"/>
                <w:sz w:val="16"/>
                <w:szCs w:val="16"/>
              </w:rPr>
            </w:pPr>
            <w:r w:rsidRPr="00DE108C">
              <w:rPr>
                <w:rFonts w:ascii="Arial" w:hAnsi="Arial" w:cs="Arial"/>
                <w:color w:val="FFFFFF" w:themeColor="background1"/>
                <w:sz w:val="16"/>
                <w:szCs w:val="16"/>
              </w:rPr>
              <w:t>​</w:t>
            </w:r>
            <w:r w:rsidRPr="00DE108C">
              <w:rPr>
                <w:rFonts w:asciiTheme="majorHAnsi" w:hAnsiTheme="majorHAnsi"/>
                <w:b/>
                <w:bCs/>
                <w:color w:val="FFFFFF" w:themeColor="background1"/>
                <w:sz w:val="16"/>
                <w:szCs w:val="16"/>
              </w:rPr>
              <w:t>Typical customer bill, dollars</w:t>
            </w:r>
          </w:p>
        </w:tc>
        <w:tc>
          <w:tcPr>
            <w:tcW w:w="3155" w:type="pct"/>
            <w:gridSpan w:val="5"/>
            <w:hideMark/>
          </w:tcPr>
          <w:p w14:paraId="3B5B6DD0" w14:textId="77777777" w:rsidR="00046BD5" w:rsidRPr="00DE108C" w:rsidRDefault="00046BD5" w:rsidP="000C092E">
            <w:pPr>
              <w:keepLines/>
              <w:spacing w:before="100" w:beforeAutospacing="1" w:after="100" w:afterAutospacing="1" w:line="240" w:lineRule="auto"/>
              <w:jc w:val="center"/>
              <w:textAlignment w:val="baseline"/>
              <w:rPr>
                <w:rFonts w:asciiTheme="majorHAnsi" w:hAnsiTheme="majorHAnsi"/>
                <w:b/>
                <w:bCs/>
                <w:color w:val="FFFFFF" w:themeColor="background1"/>
                <w:sz w:val="16"/>
                <w:szCs w:val="16"/>
              </w:rPr>
            </w:pPr>
            <w:r w:rsidRPr="00DE108C">
              <w:rPr>
                <w:rFonts w:asciiTheme="majorHAnsi" w:hAnsiTheme="majorHAnsi"/>
                <w:b/>
                <w:bCs/>
                <w:color w:val="FFFFFF" w:themeColor="background1"/>
                <w:sz w:val="16"/>
                <w:szCs w:val="16"/>
              </w:rPr>
              <w:t>Annual percentage change</w:t>
            </w:r>
          </w:p>
          <w:p w14:paraId="3D90866D" w14:textId="3C1E7C44" w:rsidR="00046BD5" w:rsidRPr="00DE108C" w:rsidRDefault="00046BD5" w:rsidP="000C092E">
            <w:pPr>
              <w:keepLines/>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2026–</w:t>
            </w:r>
            <w:r w:rsidRPr="00B11B58">
              <w:rPr>
                <w:rFonts w:asciiTheme="majorHAnsi" w:hAnsiTheme="majorHAnsi"/>
                <w:b/>
                <w:bCs/>
                <w:color w:val="FFFFFF" w:themeColor="background1"/>
                <w:sz w:val="16"/>
                <w:szCs w:val="16"/>
              </w:rPr>
              <w:t>31</w:t>
            </w:r>
            <w:r w:rsidRPr="00DE108C">
              <w:rPr>
                <w:rFonts w:asciiTheme="majorHAnsi" w:hAnsiTheme="majorHAnsi"/>
                <w:b/>
                <w:bCs/>
                <w:color w:val="FFFFFF" w:themeColor="background1"/>
                <w:sz w:val="16"/>
                <w:szCs w:val="16"/>
              </w:rPr>
              <w:t xml:space="preserve"> regulatory period</w:t>
            </w:r>
            <w:r w:rsidRPr="00DE108C">
              <w:rPr>
                <w:rFonts w:ascii="Arial" w:hAnsi="Arial" w:cs="Arial"/>
                <w:color w:val="FFFFFF" w:themeColor="background1"/>
                <w:sz w:val="16"/>
                <w:szCs w:val="16"/>
                <w:lang w:val="en-US"/>
              </w:rPr>
              <w:t>​</w:t>
            </w:r>
          </w:p>
        </w:tc>
      </w:tr>
      <w:tr w:rsidR="00046BD5" w:rsidRPr="00DE108C" w14:paraId="52174D45" w14:textId="77777777">
        <w:trPr>
          <w:trHeight w:val="270"/>
        </w:trPr>
        <w:tc>
          <w:tcPr>
            <w:tcW w:w="1214" w:type="pct"/>
            <w:shd w:val="clear" w:color="auto" w:fill="00428B" w:themeFill="accent1"/>
            <w:hideMark/>
          </w:tcPr>
          <w:p w14:paraId="4B2799BB" w14:textId="77777777"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FFFFFF" w:themeColor="background1"/>
                <w:sz w:val="16"/>
                <w:szCs w:val="16"/>
              </w:rPr>
            </w:pPr>
            <w:r w:rsidRPr="00DE108C">
              <w:rPr>
                <w:rFonts w:ascii="Arial" w:eastAsiaTheme="minorEastAsia" w:hAnsi="Arial" w:cs="Arial"/>
                <w:color w:val="FFFFFF" w:themeColor="background1"/>
                <w:sz w:val="16"/>
                <w:szCs w:val="16"/>
              </w:rPr>
              <w:t>​</w:t>
            </w:r>
          </w:p>
        </w:tc>
        <w:tc>
          <w:tcPr>
            <w:tcW w:w="631" w:type="pct"/>
            <w:shd w:val="clear" w:color="auto" w:fill="00428B" w:themeFill="accent1"/>
            <w:hideMark/>
          </w:tcPr>
          <w:p w14:paraId="49418ACD" w14:textId="77777777" w:rsidR="00046BD5" w:rsidRPr="00DE108C" w:rsidRDefault="00046BD5" w:rsidP="000C092E">
            <w:pPr>
              <w:keepNext/>
              <w:keepLines/>
              <w:spacing w:before="100" w:beforeAutospacing="1" w:after="100" w:afterAutospacing="1" w:line="240" w:lineRule="auto"/>
              <w:jc w:val="center"/>
              <w:textAlignment w:val="baseline"/>
              <w:rPr>
                <w:rFonts w:asciiTheme="majorHAnsi" w:eastAsiaTheme="minorEastAsia" w:hAnsiTheme="majorHAnsi" w:cstheme="minorBidi"/>
                <w:color w:val="FFFFFF" w:themeColor="background1"/>
                <w:sz w:val="16"/>
                <w:szCs w:val="16"/>
                <w:lang w:val="en-US"/>
              </w:rPr>
            </w:pPr>
            <w:r w:rsidRPr="00DE108C">
              <w:rPr>
                <w:rFonts w:asciiTheme="majorHAnsi" w:eastAsiaTheme="minorEastAsia" w:hAnsiTheme="majorHAnsi"/>
                <w:b/>
                <w:bCs/>
                <w:color w:val="FFFFFF" w:themeColor="background1"/>
                <w:sz w:val="16"/>
                <w:szCs w:val="16"/>
              </w:rPr>
              <w:t>2025-26</w:t>
            </w:r>
            <w:r w:rsidRPr="00DE108C">
              <w:rPr>
                <w:rFonts w:ascii="Arial" w:eastAsiaTheme="minorEastAsia" w:hAnsi="Arial" w:cs="Arial"/>
                <w:color w:val="FFFFFF" w:themeColor="background1"/>
                <w:sz w:val="16"/>
                <w:szCs w:val="16"/>
                <w:lang w:val="en-US"/>
              </w:rPr>
              <w:t>​</w:t>
            </w:r>
          </w:p>
        </w:tc>
        <w:tc>
          <w:tcPr>
            <w:tcW w:w="631" w:type="pct"/>
            <w:shd w:val="clear" w:color="auto" w:fill="00428B" w:themeFill="accent1"/>
            <w:hideMark/>
          </w:tcPr>
          <w:p w14:paraId="7276BB94" w14:textId="77777777" w:rsidR="00046BD5" w:rsidRPr="00DE108C" w:rsidRDefault="00046BD5" w:rsidP="000C092E">
            <w:pPr>
              <w:keepNext/>
              <w:keepLines/>
              <w:spacing w:before="100" w:beforeAutospacing="1" w:after="100" w:afterAutospacing="1" w:line="240" w:lineRule="auto"/>
              <w:jc w:val="center"/>
              <w:textAlignment w:val="baseline"/>
              <w:rPr>
                <w:rFonts w:asciiTheme="majorHAnsi" w:eastAsiaTheme="minorEastAsia" w:hAnsiTheme="majorHAnsi" w:cstheme="minorBidi"/>
                <w:color w:val="FFFFFF" w:themeColor="background1"/>
                <w:sz w:val="16"/>
                <w:szCs w:val="16"/>
                <w:lang w:val="en-US"/>
              </w:rPr>
            </w:pPr>
            <w:r w:rsidRPr="00DE108C">
              <w:rPr>
                <w:rFonts w:asciiTheme="majorHAnsi" w:eastAsiaTheme="minorEastAsia" w:hAnsiTheme="majorHAnsi"/>
                <w:b/>
                <w:bCs/>
                <w:color w:val="FFFFFF" w:themeColor="background1"/>
                <w:sz w:val="16"/>
                <w:szCs w:val="16"/>
              </w:rPr>
              <w:t>2026-27</w:t>
            </w:r>
            <w:r w:rsidRPr="00DE108C">
              <w:rPr>
                <w:rFonts w:ascii="Arial" w:eastAsiaTheme="minorEastAsia" w:hAnsi="Arial" w:cs="Arial"/>
                <w:color w:val="FFFFFF" w:themeColor="background1"/>
                <w:sz w:val="16"/>
                <w:szCs w:val="16"/>
                <w:lang w:val="en-US"/>
              </w:rPr>
              <w:t>​</w:t>
            </w:r>
          </w:p>
        </w:tc>
        <w:tc>
          <w:tcPr>
            <w:tcW w:w="631" w:type="pct"/>
            <w:shd w:val="clear" w:color="auto" w:fill="00428B" w:themeFill="accent1"/>
            <w:hideMark/>
          </w:tcPr>
          <w:p w14:paraId="50070630" w14:textId="77777777" w:rsidR="00046BD5" w:rsidRPr="00DE108C" w:rsidRDefault="00046BD5" w:rsidP="000C092E">
            <w:pPr>
              <w:keepNext/>
              <w:keepLines/>
              <w:spacing w:before="100" w:beforeAutospacing="1" w:after="100" w:afterAutospacing="1" w:line="240" w:lineRule="auto"/>
              <w:jc w:val="center"/>
              <w:textAlignment w:val="baseline"/>
              <w:rPr>
                <w:rFonts w:asciiTheme="majorHAnsi" w:eastAsiaTheme="minorEastAsia" w:hAnsiTheme="majorHAnsi" w:cstheme="minorBidi"/>
                <w:color w:val="FFFFFF" w:themeColor="background1"/>
                <w:sz w:val="16"/>
                <w:szCs w:val="16"/>
                <w:lang w:val="en-US"/>
              </w:rPr>
            </w:pPr>
            <w:r w:rsidRPr="00DE108C">
              <w:rPr>
                <w:rFonts w:asciiTheme="majorHAnsi" w:eastAsiaTheme="minorEastAsia" w:hAnsiTheme="majorHAnsi"/>
                <w:b/>
                <w:bCs/>
                <w:color w:val="FFFFFF" w:themeColor="background1"/>
                <w:sz w:val="16"/>
                <w:szCs w:val="16"/>
              </w:rPr>
              <w:t>2027-28</w:t>
            </w:r>
            <w:r w:rsidRPr="00DE108C">
              <w:rPr>
                <w:rFonts w:ascii="Arial" w:eastAsiaTheme="minorEastAsia" w:hAnsi="Arial" w:cs="Arial"/>
                <w:color w:val="FFFFFF" w:themeColor="background1"/>
                <w:sz w:val="16"/>
                <w:szCs w:val="16"/>
                <w:lang w:val="en-US"/>
              </w:rPr>
              <w:t>​</w:t>
            </w:r>
          </w:p>
        </w:tc>
        <w:tc>
          <w:tcPr>
            <w:tcW w:w="631" w:type="pct"/>
            <w:shd w:val="clear" w:color="auto" w:fill="00428B" w:themeFill="accent1"/>
            <w:hideMark/>
          </w:tcPr>
          <w:p w14:paraId="38854F28" w14:textId="77777777" w:rsidR="00046BD5" w:rsidRPr="00DE108C" w:rsidRDefault="00046BD5" w:rsidP="000C092E">
            <w:pPr>
              <w:keepNext/>
              <w:keepLines/>
              <w:spacing w:before="100" w:beforeAutospacing="1" w:after="100" w:afterAutospacing="1" w:line="240" w:lineRule="auto"/>
              <w:jc w:val="center"/>
              <w:textAlignment w:val="baseline"/>
              <w:rPr>
                <w:rFonts w:asciiTheme="majorHAnsi" w:eastAsiaTheme="minorEastAsia" w:hAnsiTheme="majorHAnsi" w:cstheme="minorBidi"/>
                <w:color w:val="FFFFFF" w:themeColor="background1"/>
                <w:sz w:val="16"/>
                <w:szCs w:val="16"/>
                <w:lang w:val="en-US"/>
              </w:rPr>
            </w:pPr>
            <w:r w:rsidRPr="00DE108C">
              <w:rPr>
                <w:rFonts w:asciiTheme="majorHAnsi" w:eastAsiaTheme="minorEastAsia" w:hAnsiTheme="majorHAnsi"/>
                <w:b/>
                <w:bCs/>
                <w:color w:val="FFFFFF" w:themeColor="background1"/>
                <w:sz w:val="16"/>
                <w:szCs w:val="16"/>
              </w:rPr>
              <w:t>2028-29</w:t>
            </w:r>
            <w:r w:rsidRPr="00DE108C">
              <w:rPr>
                <w:rFonts w:ascii="Arial" w:eastAsiaTheme="minorEastAsia" w:hAnsi="Arial" w:cs="Arial"/>
                <w:color w:val="FFFFFF" w:themeColor="background1"/>
                <w:sz w:val="16"/>
                <w:szCs w:val="16"/>
                <w:lang w:val="en-US"/>
              </w:rPr>
              <w:t>​</w:t>
            </w:r>
          </w:p>
        </w:tc>
        <w:tc>
          <w:tcPr>
            <w:tcW w:w="631" w:type="pct"/>
            <w:shd w:val="clear" w:color="auto" w:fill="00428B" w:themeFill="accent1"/>
            <w:hideMark/>
          </w:tcPr>
          <w:p w14:paraId="6D3A84B3" w14:textId="77777777" w:rsidR="00046BD5" w:rsidRPr="00DE108C" w:rsidRDefault="00046BD5" w:rsidP="000C092E">
            <w:pPr>
              <w:keepNext/>
              <w:keepLines/>
              <w:spacing w:before="100" w:beforeAutospacing="1" w:after="100" w:afterAutospacing="1" w:line="240" w:lineRule="auto"/>
              <w:jc w:val="center"/>
              <w:textAlignment w:val="baseline"/>
              <w:rPr>
                <w:rFonts w:asciiTheme="majorHAnsi" w:eastAsiaTheme="minorEastAsia" w:hAnsiTheme="majorHAnsi" w:cstheme="minorBidi"/>
                <w:color w:val="FFFFFF" w:themeColor="background1"/>
                <w:sz w:val="16"/>
                <w:szCs w:val="16"/>
                <w:lang w:val="en-US"/>
              </w:rPr>
            </w:pPr>
            <w:r w:rsidRPr="00DE108C">
              <w:rPr>
                <w:rFonts w:asciiTheme="majorHAnsi" w:eastAsiaTheme="minorEastAsia" w:hAnsiTheme="majorHAnsi"/>
                <w:b/>
                <w:bCs/>
                <w:color w:val="FFFFFF" w:themeColor="background1"/>
                <w:sz w:val="16"/>
                <w:szCs w:val="16"/>
              </w:rPr>
              <w:t>2029-30</w:t>
            </w:r>
            <w:r w:rsidRPr="00DE108C">
              <w:rPr>
                <w:rFonts w:ascii="Arial" w:eastAsiaTheme="minorEastAsia" w:hAnsi="Arial" w:cs="Arial"/>
                <w:color w:val="FFFFFF" w:themeColor="background1"/>
                <w:sz w:val="16"/>
                <w:szCs w:val="16"/>
                <w:lang w:val="en-US"/>
              </w:rPr>
              <w:t>​</w:t>
            </w:r>
          </w:p>
        </w:tc>
        <w:tc>
          <w:tcPr>
            <w:tcW w:w="631" w:type="pct"/>
            <w:shd w:val="clear" w:color="auto" w:fill="00428B" w:themeFill="accent1"/>
            <w:hideMark/>
          </w:tcPr>
          <w:p w14:paraId="7901B8B1" w14:textId="77777777" w:rsidR="00046BD5" w:rsidRPr="00DE108C" w:rsidRDefault="00046BD5" w:rsidP="000C092E">
            <w:pPr>
              <w:keepNext/>
              <w:keepLines/>
              <w:spacing w:before="100" w:beforeAutospacing="1" w:after="100" w:afterAutospacing="1" w:line="240" w:lineRule="auto"/>
              <w:jc w:val="center"/>
              <w:textAlignment w:val="baseline"/>
              <w:rPr>
                <w:rFonts w:asciiTheme="majorHAnsi" w:eastAsiaTheme="minorEastAsia" w:hAnsiTheme="majorHAnsi" w:cstheme="minorBidi"/>
                <w:color w:val="FFFFFF" w:themeColor="background1"/>
                <w:sz w:val="16"/>
                <w:szCs w:val="16"/>
                <w:lang w:val="en-US"/>
              </w:rPr>
            </w:pPr>
            <w:r w:rsidRPr="00DE108C">
              <w:rPr>
                <w:rFonts w:asciiTheme="majorHAnsi" w:eastAsiaTheme="minorEastAsia" w:hAnsiTheme="majorHAnsi"/>
                <w:b/>
                <w:bCs/>
                <w:color w:val="FFFFFF" w:themeColor="background1"/>
                <w:sz w:val="16"/>
                <w:szCs w:val="16"/>
              </w:rPr>
              <w:t>2030-31</w:t>
            </w:r>
            <w:r w:rsidRPr="00DE108C">
              <w:rPr>
                <w:rFonts w:ascii="Arial" w:eastAsiaTheme="minorEastAsia" w:hAnsi="Arial" w:cs="Arial"/>
                <w:color w:val="FFFFFF" w:themeColor="background1"/>
                <w:sz w:val="16"/>
                <w:szCs w:val="16"/>
                <w:lang w:val="en-US"/>
              </w:rPr>
              <w:t>​</w:t>
            </w:r>
          </w:p>
        </w:tc>
      </w:tr>
      <w:tr w:rsidR="00556A0D" w:rsidRPr="00DE108C" w14:paraId="2E8FFA37" w14:textId="77777777">
        <w:trPr>
          <w:cnfStyle w:val="000000010000" w:firstRow="0" w:lastRow="0" w:firstColumn="0" w:lastColumn="0" w:oddVBand="0" w:evenVBand="0" w:oddHBand="0" w:evenHBand="1" w:firstRowFirstColumn="0" w:firstRowLastColumn="0" w:lastRowFirstColumn="0" w:lastRowLastColumn="0"/>
          <w:trHeight w:val="270"/>
        </w:trPr>
        <w:tc>
          <w:tcPr>
            <w:tcW w:w="1214" w:type="pct"/>
            <w:hideMark/>
          </w:tcPr>
          <w:p w14:paraId="62FC2A5A" w14:textId="77777777"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r w:rsidRPr="00DE108C">
              <w:rPr>
                <w:rFonts w:asciiTheme="majorHAnsi" w:eastAsiaTheme="minorEastAsia" w:hAnsiTheme="majorHAnsi"/>
                <w:sz w:val="16"/>
                <w:szCs w:val="16"/>
              </w:rPr>
              <w:t>Greater Western Water</w:t>
            </w:r>
            <w:r w:rsidRPr="00DE108C">
              <w:rPr>
                <w:rFonts w:ascii="Arial" w:eastAsiaTheme="minorEastAsia" w:hAnsi="Arial" w:cs="Arial"/>
                <w:sz w:val="16"/>
                <w:szCs w:val="16"/>
                <w:lang w:val="en-US"/>
              </w:rPr>
              <w:t>​</w:t>
            </w:r>
          </w:p>
        </w:tc>
        <w:tc>
          <w:tcPr>
            <w:tcW w:w="631" w:type="pct"/>
            <w:vAlign w:val="center"/>
            <w:hideMark/>
          </w:tcPr>
          <w:p w14:paraId="7EF1BA2C" w14:textId="4106E699"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auto"/>
                <w:sz w:val="16"/>
                <w:szCs w:val="16"/>
                <w:lang w:val="en-US"/>
              </w:rPr>
            </w:pPr>
            <w:r w:rsidRPr="00DE108C">
              <w:rPr>
                <w:rFonts w:asciiTheme="majorHAnsi" w:hAnsiTheme="majorHAnsi" w:cs="Tahoma"/>
                <w:color w:val="auto"/>
                <w:sz w:val="16"/>
                <w:szCs w:val="16"/>
              </w:rPr>
              <w:t xml:space="preserve"> </w:t>
            </w:r>
            <w:r w:rsidRPr="00DE108C">
              <w:rPr>
                <w:rFonts w:asciiTheme="majorHAnsi" w:eastAsiaTheme="minorEastAsia" w:hAnsiTheme="majorHAnsi" w:cs="Tahoma"/>
                <w:color w:val="auto"/>
                <w:sz w:val="16"/>
                <w:szCs w:val="16"/>
              </w:rPr>
              <w:t>1,110</w:t>
            </w:r>
            <w:r w:rsidRPr="00DE108C">
              <w:rPr>
                <w:rFonts w:asciiTheme="majorHAnsi" w:hAnsiTheme="majorHAnsi" w:cs="Tahoma"/>
                <w:color w:val="auto"/>
                <w:sz w:val="16"/>
                <w:szCs w:val="16"/>
              </w:rPr>
              <w:t xml:space="preserve"> </w:t>
            </w:r>
          </w:p>
        </w:tc>
        <w:tc>
          <w:tcPr>
            <w:tcW w:w="631" w:type="pct"/>
            <w:vAlign w:val="center"/>
            <w:hideMark/>
          </w:tcPr>
          <w:p w14:paraId="1A803760" w14:textId="5478B634" w:rsidR="00046BD5" w:rsidRPr="00DE108C" w:rsidRDefault="003B629D"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3B629D">
              <w:rPr>
                <w:rFonts w:eastAsiaTheme="minorEastAsia" w:cstheme="minorBidi"/>
                <w:sz w:val="16"/>
                <w:szCs w:val="16"/>
                <w:lang w:val="en-US"/>
              </w:rPr>
              <w:t>-</w:t>
            </w:r>
          </w:p>
        </w:tc>
        <w:tc>
          <w:tcPr>
            <w:tcW w:w="631" w:type="pct"/>
            <w:vAlign w:val="center"/>
            <w:hideMark/>
          </w:tcPr>
          <w:p w14:paraId="43D92E6C" w14:textId="3F7576F7"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1.5%</w:t>
            </w:r>
          </w:p>
        </w:tc>
        <w:tc>
          <w:tcPr>
            <w:tcW w:w="631" w:type="pct"/>
            <w:vAlign w:val="center"/>
            <w:hideMark/>
          </w:tcPr>
          <w:p w14:paraId="7DD6C92F" w14:textId="7796AB05" w:rsidR="00046BD5" w:rsidRPr="00DE108C" w:rsidRDefault="003B629D"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1164EE">
              <w:rPr>
                <w:rFonts w:eastAsiaTheme="minorEastAsia"/>
                <w:sz w:val="16"/>
                <w:szCs w:val="16"/>
              </w:rPr>
              <w:t>0</w:t>
            </w:r>
            <w:r w:rsidRPr="001164EE">
              <w:rPr>
                <w:color w:val="auto"/>
                <w:sz w:val="16"/>
                <w:szCs w:val="16"/>
              </w:rPr>
              <w:t>.9</w:t>
            </w:r>
            <w:r w:rsidRPr="001164EE">
              <w:rPr>
                <w:rFonts w:eastAsiaTheme="minorEastAsia"/>
                <w:sz w:val="16"/>
                <w:szCs w:val="16"/>
              </w:rPr>
              <w:t>%</w:t>
            </w:r>
          </w:p>
        </w:tc>
        <w:tc>
          <w:tcPr>
            <w:tcW w:w="631" w:type="pct"/>
            <w:vAlign w:val="center"/>
            <w:hideMark/>
          </w:tcPr>
          <w:p w14:paraId="33F11C1E" w14:textId="2E7F66EE"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0.9%</w:t>
            </w:r>
          </w:p>
        </w:tc>
        <w:tc>
          <w:tcPr>
            <w:tcW w:w="631" w:type="pct"/>
            <w:vAlign w:val="center"/>
            <w:hideMark/>
          </w:tcPr>
          <w:p w14:paraId="43D0711B" w14:textId="56556BCB"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1164EE">
              <w:rPr>
                <w:rFonts w:eastAsiaTheme="minorEastAsia"/>
                <w:sz w:val="16"/>
                <w:szCs w:val="16"/>
              </w:rPr>
              <w:t>0.</w:t>
            </w:r>
            <w:r w:rsidR="003B629D" w:rsidRPr="001164EE">
              <w:rPr>
                <w:color w:val="auto"/>
                <w:sz w:val="16"/>
                <w:szCs w:val="16"/>
              </w:rPr>
              <w:t>8</w:t>
            </w:r>
            <w:r w:rsidR="003B629D" w:rsidRPr="001164EE">
              <w:rPr>
                <w:rFonts w:eastAsiaTheme="minorEastAsia"/>
                <w:sz w:val="16"/>
                <w:szCs w:val="16"/>
              </w:rPr>
              <w:t>%</w:t>
            </w:r>
          </w:p>
        </w:tc>
      </w:tr>
      <w:tr w:rsidR="00046BD5" w:rsidRPr="00DE108C" w14:paraId="444BEFC6" w14:textId="77777777">
        <w:trPr>
          <w:trHeight w:val="270"/>
        </w:trPr>
        <w:tc>
          <w:tcPr>
            <w:tcW w:w="1214" w:type="pct"/>
            <w:hideMark/>
          </w:tcPr>
          <w:p w14:paraId="647EEEEA" w14:textId="77777777"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r w:rsidRPr="00DE108C">
              <w:rPr>
                <w:rFonts w:asciiTheme="majorHAnsi" w:eastAsiaTheme="minorEastAsia" w:hAnsiTheme="majorHAnsi"/>
                <w:sz w:val="16"/>
                <w:szCs w:val="16"/>
              </w:rPr>
              <w:t>South East Water</w:t>
            </w:r>
            <w:r w:rsidRPr="00DE108C">
              <w:rPr>
                <w:rFonts w:ascii="Arial" w:eastAsiaTheme="minorEastAsia" w:hAnsi="Arial" w:cs="Arial"/>
                <w:sz w:val="16"/>
                <w:szCs w:val="16"/>
                <w:lang w:val="en-US"/>
              </w:rPr>
              <w:t>​</w:t>
            </w:r>
          </w:p>
        </w:tc>
        <w:tc>
          <w:tcPr>
            <w:tcW w:w="631" w:type="pct"/>
            <w:vAlign w:val="center"/>
            <w:hideMark/>
          </w:tcPr>
          <w:p w14:paraId="74A0662A" w14:textId="062CA9EE"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auto"/>
                <w:sz w:val="16"/>
                <w:szCs w:val="16"/>
                <w:lang w:val="en-US"/>
              </w:rPr>
            </w:pPr>
            <w:r w:rsidRPr="00DE108C">
              <w:rPr>
                <w:rFonts w:asciiTheme="majorHAnsi" w:hAnsiTheme="majorHAnsi" w:cs="Tahoma"/>
                <w:color w:val="auto"/>
                <w:sz w:val="16"/>
                <w:szCs w:val="16"/>
              </w:rPr>
              <w:t xml:space="preserve"> </w:t>
            </w:r>
            <w:r w:rsidRPr="00DE108C">
              <w:rPr>
                <w:rFonts w:asciiTheme="majorHAnsi" w:eastAsiaTheme="minorEastAsia" w:hAnsiTheme="majorHAnsi" w:cs="Tahoma"/>
                <w:color w:val="auto"/>
                <w:sz w:val="16"/>
                <w:szCs w:val="16"/>
              </w:rPr>
              <w:t>1,057</w:t>
            </w:r>
            <w:r w:rsidRPr="00DE108C">
              <w:rPr>
                <w:rFonts w:asciiTheme="majorHAnsi" w:hAnsiTheme="majorHAnsi" w:cs="Tahoma"/>
                <w:color w:val="auto"/>
                <w:sz w:val="16"/>
                <w:szCs w:val="16"/>
              </w:rPr>
              <w:t xml:space="preserve"> </w:t>
            </w:r>
          </w:p>
        </w:tc>
        <w:tc>
          <w:tcPr>
            <w:tcW w:w="631" w:type="pct"/>
            <w:vAlign w:val="center"/>
            <w:hideMark/>
          </w:tcPr>
          <w:p w14:paraId="487C4D52" w14:textId="180ED34A" w:rsidR="00046BD5" w:rsidRPr="00DE108C" w:rsidRDefault="003B629D"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3B629D">
              <w:rPr>
                <w:rFonts w:eastAsiaTheme="minorEastAsia" w:cstheme="minorBidi"/>
                <w:sz w:val="16"/>
                <w:szCs w:val="16"/>
                <w:lang w:val="en-US"/>
              </w:rPr>
              <w:t>-</w:t>
            </w:r>
          </w:p>
        </w:tc>
        <w:tc>
          <w:tcPr>
            <w:tcW w:w="631" w:type="pct"/>
            <w:vAlign w:val="center"/>
            <w:hideMark/>
          </w:tcPr>
          <w:p w14:paraId="63AF2A90" w14:textId="413ED8E4"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1.5%</w:t>
            </w:r>
          </w:p>
        </w:tc>
        <w:tc>
          <w:tcPr>
            <w:tcW w:w="631" w:type="pct"/>
            <w:vAlign w:val="center"/>
            <w:hideMark/>
          </w:tcPr>
          <w:p w14:paraId="5200C61B" w14:textId="3C5DAC68"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w:t>
            </w:r>
            <w:r w:rsidRPr="003B629D">
              <w:rPr>
                <w:color w:val="auto"/>
                <w:sz w:val="16"/>
                <w:szCs w:val="16"/>
              </w:rPr>
              <w:t>1</w:t>
            </w:r>
            <w:r w:rsidRPr="008D3963">
              <w:rPr>
                <w:rFonts w:eastAsiaTheme="minorEastAsia"/>
                <w:sz w:val="16"/>
                <w:szCs w:val="16"/>
              </w:rPr>
              <w:t>%</w:t>
            </w:r>
          </w:p>
        </w:tc>
        <w:tc>
          <w:tcPr>
            <w:tcW w:w="631" w:type="pct"/>
            <w:vAlign w:val="center"/>
            <w:hideMark/>
          </w:tcPr>
          <w:p w14:paraId="02BCD3F4" w14:textId="0F35DC08"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0.1%</w:t>
            </w:r>
          </w:p>
        </w:tc>
        <w:tc>
          <w:tcPr>
            <w:tcW w:w="631" w:type="pct"/>
            <w:vAlign w:val="center"/>
            <w:hideMark/>
          </w:tcPr>
          <w:p w14:paraId="211BD876" w14:textId="580D4AC1"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0.1%</w:t>
            </w:r>
          </w:p>
        </w:tc>
      </w:tr>
      <w:tr w:rsidR="00556A0D" w:rsidRPr="00DE108C" w14:paraId="1C6CD93C" w14:textId="77777777">
        <w:trPr>
          <w:cnfStyle w:val="000000010000" w:firstRow="0" w:lastRow="0" w:firstColumn="0" w:lastColumn="0" w:oddVBand="0" w:evenVBand="0" w:oddHBand="0" w:evenHBand="1" w:firstRowFirstColumn="0" w:firstRowLastColumn="0" w:lastRowFirstColumn="0" w:lastRowLastColumn="0"/>
          <w:trHeight w:val="270"/>
        </w:trPr>
        <w:tc>
          <w:tcPr>
            <w:tcW w:w="1214" w:type="pct"/>
            <w:hideMark/>
          </w:tcPr>
          <w:p w14:paraId="303A65A8" w14:textId="77777777"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r w:rsidRPr="00DE108C">
              <w:rPr>
                <w:rFonts w:asciiTheme="majorHAnsi" w:eastAsiaTheme="minorEastAsia" w:hAnsiTheme="majorHAnsi"/>
                <w:sz w:val="16"/>
                <w:szCs w:val="16"/>
              </w:rPr>
              <w:t>Yarra Valley Water</w:t>
            </w:r>
            <w:r w:rsidRPr="00DE108C">
              <w:rPr>
                <w:rFonts w:ascii="Arial" w:eastAsiaTheme="minorEastAsia" w:hAnsi="Arial" w:cs="Arial"/>
                <w:sz w:val="16"/>
                <w:szCs w:val="16"/>
                <w:lang w:val="en-US"/>
              </w:rPr>
              <w:t>​</w:t>
            </w:r>
          </w:p>
        </w:tc>
        <w:tc>
          <w:tcPr>
            <w:tcW w:w="631" w:type="pct"/>
            <w:vAlign w:val="center"/>
            <w:hideMark/>
          </w:tcPr>
          <w:p w14:paraId="4B5AB8FE" w14:textId="1060DA24"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auto"/>
                <w:sz w:val="16"/>
                <w:szCs w:val="16"/>
                <w:lang w:val="en-US"/>
              </w:rPr>
            </w:pPr>
            <w:r w:rsidRPr="00DE108C">
              <w:rPr>
                <w:rFonts w:asciiTheme="majorHAnsi" w:hAnsiTheme="majorHAnsi" w:cs="Tahoma"/>
                <w:color w:val="auto"/>
                <w:sz w:val="16"/>
                <w:szCs w:val="16"/>
              </w:rPr>
              <w:t xml:space="preserve"> </w:t>
            </w:r>
            <w:r w:rsidRPr="00DE108C">
              <w:rPr>
                <w:rFonts w:asciiTheme="majorHAnsi" w:eastAsiaTheme="minorEastAsia" w:hAnsiTheme="majorHAnsi" w:cs="Tahoma"/>
                <w:color w:val="auto"/>
                <w:sz w:val="16"/>
                <w:szCs w:val="16"/>
              </w:rPr>
              <w:t>1,114</w:t>
            </w:r>
            <w:r w:rsidRPr="00DE108C">
              <w:rPr>
                <w:rFonts w:asciiTheme="majorHAnsi" w:hAnsiTheme="majorHAnsi" w:cs="Tahoma"/>
                <w:color w:val="auto"/>
                <w:sz w:val="16"/>
                <w:szCs w:val="16"/>
              </w:rPr>
              <w:t xml:space="preserve"> </w:t>
            </w:r>
          </w:p>
        </w:tc>
        <w:tc>
          <w:tcPr>
            <w:tcW w:w="631" w:type="pct"/>
            <w:vAlign w:val="center"/>
            <w:hideMark/>
          </w:tcPr>
          <w:p w14:paraId="7277D5BE" w14:textId="57E32853" w:rsidR="00046BD5" w:rsidRPr="00DE108C" w:rsidRDefault="003B629D"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3B629D">
              <w:rPr>
                <w:rFonts w:eastAsiaTheme="minorEastAsia" w:cstheme="minorBidi"/>
                <w:sz w:val="16"/>
                <w:szCs w:val="16"/>
                <w:lang w:val="en-US"/>
              </w:rPr>
              <w:t>-</w:t>
            </w:r>
          </w:p>
        </w:tc>
        <w:tc>
          <w:tcPr>
            <w:tcW w:w="631" w:type="pct"/>
            <w:vAlign w:val="center"/>
            <w:hideMark/>
          </w:tcPr>
          <w:p w14:paraId="7A4FC252" w14:textId="43A1BD5B"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1.5%</w:t>
            </w:r>
          </w:p>
        </w:tc>
        <w:tc>
          <w:tcPr>
            <w:tcW w:w="631" w:type="pct"/>
            <w:vAlign w:val="center"/>
            <w:hideMark/>
          </w:tcPr>
          <w:p w14:paraId="60DEBDFF" w14:textId="69EA6123"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1164EE">
              <w:rPr>
                <w:rFonts w:eastAsiaTheme="minorEastAsia"/>
                <w:sz w:val="16"/>
                <w:szCs w:val="16"/>
              </w:rPr>
              <w:t>-0.</w:t>
            </w:r>
            <w:r w:rsidR="003B629D" w:rsidRPr="001164EE">
              <w:rPr>
                <w:color w:val="auto"/>
                <w:sz w:val="16"/>
                <w:szCs w:val="16"/>
              </w:rPr>
              <w:t>7</w:t>
            </w:r>
            <w:r w:rsidRPr="001164EE">
              <w:rPr>
                <w:rFonts w:eastAsiaTheme="minorEastAsia"/>
                <w:sz w:val="16"/>
                <w:szCs w:val="16"/>
              </w:rPr>
              <w:t>%</w:t>
            </w:r>
          </w:p>
        </w:tc>
        <w:tc>
          <w:tcPr>
            <w:tcW w:w="631" w:type="pct"/>
            <w:vAlign w:val="center"/>
            <w:hideMark/>
          </w:tcPr>
          <w:p w14:paraId="5C2BC35D" w14:textId="77777777"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w:t>
            </w:r>
            <w:r w:rsidRPr="003B629D">
              <w:rPr>
                <w:color w:val="auto"/>
                <w:sz w:val="16"/>
                <w:szCs w:val="16"/>
              </w:rPr>
              <w:t>7</w:t>
            </w:r>
            <w:r w:rsidRPr="008D3963">
              <w:rPr>
                <w:rFonts w:eastAsiaTheme="minorEastAsia"/>
                <w:sz w:val="16"/>
                <w:szCs w:val="16"/>
              </w:rPr>
              <w:t>%</w:t>
            </w:r>
          </w:p>
        </w:tc>
        <w:tc>
          <w:tcPr>
            <w:tcW w:w="631" w:type="pct"/>
            <w:vAlign w:val="center"/>
            <w:hideMark/>
          </w:tcPr>
          <w:p w14:paraId="15F2BDED" w14:textId="77777777"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w:t>
            </w:r>
            <w:r w:rsidRPr="003B629D">
              <w:rPr>
                <w:color w:val="auto"/>
                <w:sz w:val="16"/>
                <w:szCs w:val="16"/>
              </w:rPr>
              <w:t>8</w:t>
            </w:r>
            <w:r w:rsidRPr="008D3963">
              <w:rPr>
                <w:rFonts w:eastAsiaTheme="minorEastAsia"/>
                <w:sz w:val="16"/>
                <w:szCs w:val="16"/>
              </w:rPr>
              <w:t>%</w:t>
            </w:r>
          </w:p>
        </w:tc>
      </w:tr>
      <w:tr w:rsidR="00046BD5" w:rsidRPr="00DE108C" w14:paraId="388B10B0" w14:textId="77777777">
        <w:trPr>
          <w:trHeight w:val="270"/>
        </w:trPr>
        <w:tc>
          <w:tcPr>
            <w:tcW w:w="1214" w:type="pct"/>
            <w:hideMark/>
          </w:tcPr>
          <w:p w14:paraId="16D685C0" w14:textId="77777777"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r w:rsidRPr="00DE108C">
              <w:rPr>
                <w:rFonts w:asciiTheme="majorHAnsi" w:eastAsiaTheme="minorEastAsia" w:hAnsiTheme="majorHAnsi"/>
                <w:sz w:val="16"/>
                <w:szCs w:val="16"/>
              </w:rPr>
              <w:t>Barwon Water</w:t>
            </w:r>
            <w:r w:rsidRPr="00DE108C">
              <w:rPr>
                <w:rFonts w:ascii="Arial" w:eastAsiaTheme="minorEastAsia" w:hAnsi="Arial" w:cs="Arial"/>
                <w:sz w:val="16"/>
                <w:szCs w:val="16"/>
                <w:lang w:val="en-US"/>
              </w:rPr>
              <w:t>​</w:t>
            </w:r>
          </w:p>
        </w:tc>
        <w:tc>
          <w:tcPr>
            <w:tcW w:w="631" w:type="pct"/>
            <w:vAlign w:val="center"/>
            <w:hideMark/>
          </w:tcPr>
          <w:p w14:paraId="3ED5DE02" w14:textId="2524E588"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auto"/>
                <w:sz w:val="16"/>
                <w:szCs w:val="16"/>
                <w:lang w:val="en-US"/>
              </w:rPr>
            </w:pPr>
            <w:r w:rsidRPr="00DE108C">
              <w:rPr>
                <w:rFonts w:asciiTheme="majorHAnsi" w:hAnsiTheme="majorHAnsi" w:cs="Tahoma"/>
                <w:color w:val="auto"/>
                <w:sz w:val="16"/>
                <w:szCs w:val="16"/>
              </w:rPr>
              <w:t xml:space="preserve"> </w:t>
            </w:r>
            <w:r w:rsidRPr="00DE108C">
              <w:rPr>
                <w:rFonts w:asciiTheme="majorHAnsi" w:eastAsiaTheme="minorEastAsia" w:hAnsiTheme="majorHAnsi" w:cs="Tahoma"/>
                <w:color w:val="auto"/>
                <w:sz w:val="16"/>
                <w:szCs w:val="16"/>
              </w:rPr>
              <w:t>1,183</w:t>
            </w:r>
            <w:r w:rsidRPr="00DE108C">
              <w:rPr>
                <w:rFonts w:asciiTheme="majorHAnsi" w:hAnsiTheme="majorHAnsi" w:cs="Tahoma"/>
                <w:color w:val="auto"/>
                <w:sz w:val="16"/>
                <w:szCs w:val="16"/>
              </w:rPr>
              <w:t xml:space="preserve"> </w:t>
            </w:r>
          </w:p>
        </w:tc>
        <w:tc>
          <w:tcPr>
            <w:tcW w:w="631" w:type="pct"/>
            <w:vAlign w:val="center"/>
            <w:hideMark/>
          </w:tcPr>
          <w:p w14:paraId="2DB2C29A" w14:textId="77777777"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-0.3%</w:t>
            </w:r>
          </w:p>
        </w:tc>
        <w:tc>
          <w:tcPr>
            <w:tcW w:w="631" w:type="pct"/>
            <w:vAlign w:val="center"/>
            <w:hideMark/>
          </w:tcPr>
          <w:p w14:paraId="3DE0598C" w14:textId="77777777"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-0.1%</w:t>
            </w:r>
          </w:p>
        </w:tc>
        <w:tc>
          <w:tcPr>
            <w:tcW w:w="631" w:type="pct"/>
            <w:vAlign w:val="center"/>
            <w:hideMark/>
          </w:tcPr>
          <w:p w14:paraId="62D83443" w14:textId="77777777"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-0.1%</w:t>
            </w:r>
          </w:p>
        </w:tc>
        <w:tc>
          <w:tcPr>
            <w:tcW w:w="631" w:type="pct"/>
            <w:vAlign w:val="center"/>
            <w:hideMark/>
          </w:tcPr>
          <w:p w14:paraId="1B59D778" w14:textId="77777777"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-0.1%</w:t>
            </w:r>
          </w:p>
        </w:tc>
        <w:tc>
          <w:tcPr>
            <w:tcW w:w="631" w:type="pct"/>
            <w:vAlign w:val="center"/>
            <w:hideMark/>
          </w:tcPr>
          <w:p w14:paraId="60ABC400" w14:textId="4CAA9AD5"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0.4%</w:t>
            </w:r>
          </w:p>
        </w:tc>
      </w:tr>
      <w:tr w:rsidR="00556A0D" w:rsidRPr="00DE108C" w14:paraId="47B4FD1B" w14:textId="77777777">
        <w:trPr>
          <w:cnfStyle w:val="000000010000" w:firstRow="0" w:lastRow="0" w:firstColumn="0" w:lastColumn="0" w:oddVBand="0" w:evenVBand="0" w:oddHBand="0" w:evenHBand="1" w:firstRowFirstColumn="0" w:firstRowLastColumn="0" w:lastRowFirstColumn="0" w:lastRowLastColumn="0"/>
          <w:trHeight w:val="270"/>
        </w:trPr>
        <w:tc>
          <w:tcPr>
            <w:tcW w:w="1214" w:type="pct"/>
            <w:hideMark/>
          </w:tcPr>
          <w:p w14:paraId="4A0BFDDD" w14:textId="77777777"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r w:rsidRPr="00DE108C">
              <w:rPr>
                <w:rFonts w:asciiTheme="majorHAnsi" w:eastAsiaTheme="minorEastAsia" w:hAnsiTheme="majorHAnsi"/>
                <w:sz w:val="16"/>
                <w:szCs w:val="16"/>
              </w:rPr>
              <w:t>South Gippsland Water</w:t>
            </w:r>
            <w:r w:rsidRPr="00DE108C">
              <w:rPr>
                <w:rFonts w:ascii="Arial" w:eastAsiaTheme="minorEastAsia" w:hAnsi="Arial" w:cs="Arial"/>
                <w:sz w:val="16"/>
                <w:szCs w:val="16"/>
                <w:lang w:val="en-US"/>
              </w:rPr>
              <w:t>​</w:t>
            </w:r>
          </w:p>
        </w:tc>
        <w:tc>
          <w:tcPr>
            <w:tcW w:w="631" w:type="pct"/>
            <w:vAlign w:val="center"/>
            <w:hideMark/>
          </w:tcPr>
          <w:p w14:paraId="4916DD87" w14:textId="26A3022E"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auto"/>
                <w:sz w:val="16"/>
                <w:szCs w:val="16"/>
                <w:lang w:val="en-US"/>
              </w:rPr>
            </w:pPr>
            <w:r w:rsidRPr="00DE108C">
              <w:rPr>
                <w:rFonts w:asciiTheme="majorHAnsi" w:hAnsiTheme="majorHAnsi" w:cs="Tahoma"/>
                <w:color w:val="auto"/>
                <w:sz w:val="16"/>
                <w:szCs w:val="16"/>
              </w:rPr>
              <w:t xml:space="preserve"> </w:t>
            </w:r>
            <w:r w:rsidRPr="00DE108C">
              <w:rPr>
                <w:rFonts w:asciiTheme="majorHAnsi" w:eastAsiaTheme="minorEastAsia" w:hAnsiTheme="majorHAnsi" w:cs="Tahoma"/>
                <w:color w:val="auto"/>
                <w:sz w:val="16"/>
                <w:szCs w:val="16"/>
              </w:rPr>
              <w:t>1,405</w:t>
            </w:r>
            <w:r w:rsidRPr="00DE108C">
              <w:rPr>
                <w:rFonts w:asciiTheme="majorHAnsi" w:hAnsiTheme="majorHAnsi" w:cs="Tahoma"/>
                <w:color w:val="auto"/>
                <w:sz w:val="16"/>
                <w:szCs w:val="16"/>
              </w:rPr>
              <w:t xml:space="preserve"> </w:t>
            </w:r>
          </w:p>
        </w:tc>
        <w:tc>
          <w:tcPr>
            <w:tcW w:w="631" w:type="pct"/>
            <w:vAlign w:val="center"/>
            <w:hideMark/>
          </w:tcPr>
          <w:p w14:paraId="0D3D6082" w14:textId="29A9431F"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1.6%</w:t>
            </w:r>
          </w:p>
        </w:tc>
        <w:tc>
          <w:tcPr>
            <w:tcW w:w="631" w:type="pct"/>
            <w:vAlign w:val="center"/>
            <w:hideMark/>
          </w:tcPr>
          <w:p w14:paraId="06AC1440" w14:textId="32CAB34F"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0.6%</w:t>
            </w:r>
          </w:p>
        </w:tc>
        <w:tc>
          <w:tcPr>
            <w:tcW w:w="631" w:type="pct"/>
            <w:vAlign w:val="center"/>
            <w:hideMark/>
          </w:tcPr>
          <w:p w14:paraId="1291977F" w14:textId="2E901CF3"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0.7%</w:t>
            </w:r>
          </w:p>
        </w:tc>
        <w:tc>
          <w:tcPr>
            <w:tcW w:w="631" w:type="pct"/>
            <w:vAlign w:val="center"/>
            <w:hideMark/>
          </w:tcPr>
          <w:p w14:paraId="766D981C" w14:textId="2020EBC4"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0.9%</w:t>
            </w:r>
          </w:p>
        </w:tc>
        <w:tc>
          <w:tcPr>
            <w:tcW w:w="631" w:type="pct"/>
            <w:vAlign w:val="center"/>
            <w:hideMark/>
          </w:tcPr>
          <w:p w14:paraId="6571541E" w14:textId="196F3877"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1.1%</w:t>
            </w:r>
          </w:p>
        </w:tc>
      </w:tr>
      <w:tr w:rsidR="00046BD5" w:rsidRPr="00DE108C" w14:paraId="5E81D7F3" w14:textId="77777777">
        <w:trPr>
          <w:trHeight w:val="270"/>
        </w:trPr>
        <w:tc>
          <w:tcPr>
            <w:tcW w:w="1214" w:type="pct"/>
            <w:hideMark/>
          </w:tcPr>
          <w:p w14:paraId="055ED878" w14:textId="77777777"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r w:rsidRPr="00DE108C">
              <w:rPr>
                <w:rFonts w:asciiTheme="majorHAnsi" w:eastAsiaTheme="minorEastAsia" w:hAnsiTheme="majorHAnsi"/>
                <w:sz w:val="16"/>
                <w:szCs w:val="16"/>
              </w:rPr>
              <w:t>Westernport Water</w:t>
            </w:r>
            <w:r w:rsidRPr="00DE108C">
              <w:rPr>
                <w:rFonts w:ascii="Arial" w:eastAsiaTheme="minorEastAsia" w:hAnsi="Arial" w:cs="Arial"/>
                <w:sz w:val="16"/>
                <w:szCs w:val="16"/>
                <w:lang w:val="en-US"/>
              </w:rPr>
              <w:t>​</w:t>
            </w:r>
          </w:p>
        </w:tc>
        <w:tc>
          <w:tcPr>
            <w:tcW w:w="631" w:type="pct"/>
            <w:vAlign w:val="center"/>
            <w:hideMark/>
          </w:tcPr>
          <w:p w14:paraId="22A31709" w14:textId="0BF2CB28"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auto"/>
                <w:sz w:val="16"/>
                <w:szCs w:val="16"/>
                <w:lang w:val="en-US"/>
              </w:rPr>
            </w:pPr>
            <w:r w:rsidRPr="00DE108C">
              <w:rPr>
                <w:rFonts w:asciiTheme="majorHAnsi" w:hAnsiTheme="majorHAnsi" w:cs="Tahoma"/>
                <w:color w:val="auto"/>
                <w:sz w:val="16"/>
                <w:szCs w:val="16"/>
              </w:rPr>
              <w:t xml:space="preserve"> </w:t>
            </w:r>
            <w:r w:rsidRPr="00DE108C">
              <w:rPr>
                <w:rFonts w:asciiTheme="majorHAnsi" w:eastAsiaTheme="minorEastAsia" w:hAnsiTheme="majorHAnsi" w:cs="Tahoma"/>
                <w:color w:val="auto"/>
                <w:sz w:val="16"/>
                <w:szCs w:val="16"/>
              </w:rPr>
              <w:t>1,394</w:t>
            </w:r>
            <w:r w:rsidRPr="00DE108C">
              <w:rPr>
                <w:rFonts w:asciiTheme="majorHAnsi" w:hAnsiTheme="majorHAnsi" w:cs="Tahoma"/>
                <w:color w:val="auto"/>
                <w:sz w:val="16"/>
                <w:szCs w:val="16"/>
              </w:rPr>
              <w:t xml:space="preserve"> </w:t>
            </w:r>
          </w:p>
        </w:tc>
        <w:tc>
          <w:tcPr>
            <w:tcW w:w="631" w:type="pct"/>
            <w:vAlign w:val="center"/>
            <w:hideMark/>
          </w:tcPr>
          <w:p w14:paraId="65B78AE2" w14:textId="5BC97E07" w:rsidR="00046BD5" w:rsidRPr="00DE108C" w:rsidRDefault="003B629D"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3B629D">
              <w:rPr>
                <w:sz w:val="16"/>
                <w:szCs w:val="16"/>
              </w:rPr>
              <w:t>-</w:t>
            </w:r>
          </w:p>
        </w:tc>
        <w:tc>
          <w:tcPr>
            <w:tcW w:w="631" w:type="pct"/>
            <w:vAlign w:val="center"/>
            <w:hideMark/>
          </w:tcPr>
          <w:p w14:paraId="4D57FF67" w14:textId="53CE058D"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0.1%</w:t>
            </w:r>
          </w:p>
        </w:tc>
        <w:tc>
          <w:tcPr>
            <w:tcW w:w="631" w:type="pct"/>
            <w:vAlign w:val="center"/>
            <w:hideMark/>
          </w:tcPr>
          <w:p w14:paraId="43EE038F" w14:textId="22531C8A"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0.1%</w:t>
            </w:r>
          </w:p>
        </w:tc>
        <w:tc>
          <w:tcPr>
            <w:tcW w:w="631" w:type="pct"/>
            <w:vAlign w:val="center"/>
            <w:hideMark/>
          </w:tcPr>
          <w:p w14:paraId="1D0B696E" w14:textId="2082C9B9"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0.2%</w:t>
            </w:r>
          </w:p>
        </w:tc>
        <w:tc>
          <w:tcPr>
            <w:tcW w:w="631" w:type="pct"/>
            <w:vAlign w:val="center"/>
            <w:hideMark/>
          </w:tcPr>
          <w:p w14:paraId="59D86AB0" w14:textId="0549545F"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0.2%</w:t>
            </w:r>
          </w:p>
        </w:tc>
      </w:tr>
      <w:tr w:rsidR="00055179" w:rsidRPr="00DE108C" w14:paraId="00FE98C4" w14:textId="77777777" w:rsidTr="00B46F82">
        <w:trPr>
          <w:cnfStyle w:val="000000010000" w:firstRow="0" w:lastRow="0" w:firstColumn="0" w:lastColumn="0" w:oddVBand="0" w:evenVBand="0" w:oddHBand="0" w:evenHBand="1" w:firstRowFirstColumn="0" w:firstRowLastColumn="0" w:lastRowFirstColumn="0" w:lastRowLastColumn="0"/>
          <w:trHeight w:val="270"/>
        </w:trPr>
        <w:tc>
          <w:tcPr>
            <w:tcW w:w="1214" w:type="pct"/>
            <w:tcBorders>
              <w:bottom w:val="single" w:sz="4" w:space="0" w:color="231F20" w:themeColor="text1"/>
            </w:tcBorders>
            <w:hideMark/>
          </w:tcPr>
          <w:p w14:paraId="36466257" w14:textId="77777777"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r w:rsidRPr="00DE108C">
              <w:rPr>
                <w:rFonts w:asciiTheme="majorHAnsi" w:eastAsiaTheme="minorEastAsia" w:hAnsiTheme="majorHAnsi"/>
                <w:sz w:val="16"/>
                <w:szCs w:val="16"/>
              </w:rPr>
              <w:t>Gippsland Water</w:t>
            </w:r>
            <w:r w:rsidRPr="00DE108C">
              <w:rPr>
                <w:rFonts w:ascii="Arial" w:eastAsiaTheme="minorEastAsia" w:hAnsi="Arial" w:cs="Arial"/>
                <w:sz w:val="16"/>
                <w:szCs w:val="16"/>
                <w:lang w:val="en-US"/>
              </w:rPr>
              <w:t>​</w:t>
            </w:r>
          </w:p>
        </w:tc>
        <w:tc>
          <w:tcPr>
            <w:tcW w:w="631" w:type="pct"/>
            <w:tcBorders>
              <w:bottom w:val="single" w:sz="4" w:space="0" w:color="231F20" w:themeColor="text1"/>
            </w:tcBorders>
            <w:vAlign w:val="center"/>
            <w:hideMark/>
          </w:tcPr>
          <w:p w14:paraId="45376E02" w14:textId="4EEF1DF3" w:rsidR="00046BD5" w:rsidRPr="00DE108C" w:rsidRDefault="00046BD5" w:rsidP="000C092E">
            <w:pPr>
              <w:keepNext/>
              <w:keepLines/>
              <w:spacing w:before="100" w:beforeAutospacing="1" w:after="100" w:afterAutospacing="1" w:line="240" w:lineRule="auto"/>
              <w:textAlignment w:val="baseline"/>
              <w:rPr>
                <w:rFonts w:asciiTheme="majorHAnsi" w:eastAsiaTheme="minorEastAsia" w:hAnsiTheme="majorHAnsi" w:cstheme="minorBidi"/>
                <w:color w:val="auto"/>
                <w:sz w:val="16"/>
                <w:szCs w:val="16"/>
                <w:lang w:val="en-US"/>
              </w:rPr>
            </w:pPr>
            <w:r w:rsidRPr="00DE108C">
              <w:rPr>
                <w:rFonts w:asciiTheme="majorHAnsi" w:hAnsiTheme="majorHAnsi" w:cs="Tahoma"/>
                <w:color w:val="auto"/>
                <w:sz w:val="16"/>
                <w:szCs w:val="16"/>
              </w:rPr>
              <w:t xml:space="preserve"> </w:t>
            </w:r>
            <w:r w:rsidRPr="00DE108C">
              <w:rPr>
                <w:rFonts w:asciiTheme="majorHAnsi" w:eastAsiaTheme="minorEastAsia" w:hAnsiTheme="majorHAnsi" w:cs="Tahoma"/>
                <w:color w:val="auto"/>
                <w:sz w:val="16"/>
                <w:szCs w:val="16"/>
              </w:rPr>
              <w:t>1,492</w:t>
            </w:r>
            <w:r w:rsidRPr="00DE108C">
              <w:rPr>
                <w:rFonts w:asciiTheme="majorHAnsi" w:hAnsiTheme="majorHAnsi" w:cs="Tahoma"/>
                <w:color w:val="auto"/>
                <w:sz w:val="16"/>
                <w:szCs w:val="16"/>
              </w:rPr>
              <w:t xml:space="preserve"> </w:t>
            </w:r>
          </w:p>
        </w:tc>
        <w:tc>
          <w:tcPr>
            <w:tcW w:w="631" w:type="pct"/>
            <w:tcBorders>
              <w:bottom w:val="single" w:sz="4" w:space="0" w:color="231F20" w:themeColor="text1"/>
            </w:tcBorders>
            <w:vAlign w:val="center"/>
            <w:hideMark/>
          </w:tcPr>
          <w:p w14:paraId="7A842AB9" w14:textId="77777777"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3B629D">
              <w:rPr>
                <w:rFonts w:eastAsiaTheme="minorEastAsia"/>
                <w:color w:val="auto"/>
                <w:sz w:val="16"/>
                <w:szCs w:val="16"/>
              </w:rPr>
              <w:t>-</w:t>
            </w:r>
            <w:r w:rsidRPr="008D3963">
              <w:rPr>
                <w:rFonts w:eastAsiaTheme="minorEastAsia"/>
                <w:sz w:val="16"/>
                <w:szCs w:val="16"/>
              </w:rPr>
              <w:t>0.</w:t>
            </w:r>
            <w:r w:rsidRPr="003B629D">
              <w:rPr>
                <w:rFonts w:eastAsiaTheme="minorEastAsia"/>
                <w:color w:val="auto"/>
                <w:sz w:val="16"/>
                <w:szCs w:val="16"/>
              </w:rPr>
              <w:t>8</w:t>
            </w:r>
            <w:r w:rsidRPr="008D3963">
              <w:rPr>
                <w:rFonts w:eastAsiaTheme="minorEastAsia"/>
                <w:sz w:val="16"/>
                <w:szCs w:val="16"/>
              </w:rPr>
              <w:t>%</w:t>
            </w:r>
          </w:p>
        </w:tc>
        <w:tc>
          <w:tcPr>
            <w:tcW w:w="631" w:type="pct"/>
            <w:tcBorders>
              <w:bottom w:val="single" w:sz="4" w:space="0" w:color="231F20" w:themeColor="text1"/>
            </w:tcBorders>
            <w:vAlign w:val="center"/>
            <w:hideMark/>
          </w:tcPr>
          <w:p w14:paraId="3B67FFE8" w14:textId="589C8F35"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0.0%</w:t>
            </w:r>
          </w:p>
        </w:tc>
        <w:tc>
          <w:tcPr>
            <w:tcW w:w="631" w:type="pct"/>
            <w:tcBorders>
              <w:bottom w:val="single" w:sz="4" w:space="0" w:color="231F20" w:themeColor="text1"/>
            </w:tcBorders>
            <w:vAlign w:val="center"/>
            <w:hideMark/>
          </w:tcPr>
          <w:p w14:paraId="1FD13522" w14:textId="64F9C574"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w:t>
            </w:r>
            <w:r w:rsidRPr="003B629D">
              <w:rPr>
                <w:color w:val="auto"/>
                <w:sz w:val="16"/>
                <w:szCs w:val="16"/>
              </w:rPr>
              <w:t>1</w:t>
            </w:r>
            <w:r w:rsidRPr="008D3963">
              <w:rPr>
                <w:rFonts w:eastAsiaTheme="minorEastAsia"/>
                <w:sz w:val="16"/>
                <w:szCs w:val="16"/>
              </w:rPr>
              <w:t>%</w:t>
            </w:r>
          </w:p>
        </w:tc>
        <w:tc>
          <w:tcPr>
            <w:tcW w:w="631" w:type="pct"/>
            <w:tcBorders>
              <w:bottom w:val="single" w:sz="4" w:space="0" w:color="231F20" w:themeColor="text1"/>
            </w:tcBorders>
            <w:vAlign w:val="center"/>
            <w:hideMark/>
          </w:tcPr>
          <w:p w14:paraId="37F028A0" w14:textId="1D59B564"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0.0%</w:t>
            </w:r>
          </w:p>
        </w:tc>
        <w:tc>
          <w:tcPr>
            <w:tcW w:w="631" w:type="pct"/>
            <w:tcBorders>
              <w:bottom w:val="single" w:sz="4" w:space="0" w:color="231F20" w:themeColor="text1"/>
            </w:tcBorders>
            <w:vAlign w:val="center"/>
            <w:hideMark/>
          </w:tcPr>
          <w:p w14:paraId="135362B6" w14:textId="622A5629" w:rsidR="00046BD5" w:rsidRPr="00DE108C" w:rsidRDefault="00046BD5" w:rsidP="000C092E">
            <w:pPr>
              <w:keepNext/>
              <w:keepLines/>
              <w:spacing w:before="100" w:beforeAutospacing="1" w:after="100" w:afterAutospacing="1" w:line="240" w:lineRule="auto"/>
              <w:jc w:val="right"/>
              <w:textAlignment w:val="baseline"/>
              <w:rPr>
                <w:rFonts w:asciiTheme="majorHAnsi" w:eastAsiaTheme="minorEastAsia" w:hAnsiTheme="majorHAnsi" w:cstheme="minorBidi"/>
                <w:color w:val="auto"/>
                <w:sz w:val="16"/>
                <w:szCs w:val="16"/>
                <w:lang w:val="en-US"/>
              </w:rPr>
            </w:pPr>
            <w:r w:rsidRPr="008D3963">
              <w:rPr>
                <w:rFonts w:eastAsiaTheme="minorEastAsia"/>
                <w:sz w:val="16"/>
                <w:szCs w:val="16"/>
              </w:rPr>
              <w:t>0.0%</w:t>
            </w:r>
          </w:p>
        </w:tc>
      </w:tr>
      <w:tr w:rsidR="00046BD5" w:rsidRPr="00DE108C" w14:paraId="601031AC" w14:textId="77777777" w:rsidTr="00ED094E">
        <w:trPr>
          <w:trHeight w:val="270"/>
        </w:trPr>
        <w:tc>
          <w:tcPr>
            <w:tcW w:w="5000" w:type="pct"/>
            <w:gridSpan w:val="7"/>
            <w:tcBorders>
              <w:left w:val="single" w:sz="4" w:space="0" w:color="FFFFFF" w:themeColor="background1"/>
              <w:bottom w:val="single" w:sz="4" w:space="0" w:color="FFFFFF" w:themeColor="background1"/>
              <w:right w:val="single" w:sz="4" w:space="0" w:color="FFFFFF" w:themeColor="background1"/>
            </w:tcBorders>
          </w:tcPr>
          <w:p w14:paraId="6AEF1647" w14:textId="45DDD0E8" w:rsidR="00852234" w:rsidRPr="00814194" w:rsidRDefault="00852234" w:rsidP="00814194">
            <w:pPr>
              <w:keepNext/>
              <w:keepLines/>
              <w:spacing w:before="100" w:beforeAutospacing="1" w:after="100" w:afterAutospacing="1" w:line="240" w:lineRule="auto"/>
              <w:textAlignment w:val="baseline"/>
              <w:rPr>
                <w:sz w:val="16"/>
                <w:szCs w:val="16"/>
              </w:rPr>
            </w:pPr>
            <w:r w:rsidRPr="00814194">
              <w:rPr>
                <w:rFonts w:asciiTheme="majorHAnsi" w:hAnsiTheme="majorHAnsi"/>
                <w:sz w:val="16"/>
                <w:szCs w:val="16"/>
                <w:vertAlign w:val="superscript"/>
              </w:rPr>
              <w:t>b</w:t>
            </w:r>
            <w:r w:rsidR="00046BD5" w:rsidRPr="00814194">
              <w:rPr>
                <w:rFonts w:asciiTheme="majorHAnsi" w:hAnsiTheme="majorHAnsi"/>
                <w:sz w:val="16"/>
                <w:szCs w:val="16"/>
                <w:vertAlign w:val="superscript"/>
              </w:rPr>
              <w:t xml:space="preserve"> </w:t>
            </w:r>
            <w:r w:rsidR="00046BD5" w:rsidRPr="00814194">
              <w:rPr>
                <w:rFonts w:asciiTheme="majorHAnsi" w:hAnsiTheme="majorHAnsi"/>
                <w:sz w:val="16"/>
                <w:szCs w:val="16"/>
              </w:rPr>
              <w:t>Bill impacts are indicative only and exclude impacts of water corporation 2028 submissions, desalination water orders and other pass</w:t>
            </w:r>
            <w:r w:rsidR="41ED24E0" w:rsidRPr="00814194">
              <w:rPr>
                <w:rFonts w:asciiTheme="majorHAnsi" w:hAnsiTheme="majorHAnsi"/>
                <w:sz w:val="16"/>
                <w:szCs w:val="16"/>
              </w:rPr>
              <w:t>-</w:t>
            </w:r>
            <w:r w:rsidR="00046BD5" w:rsidRPr="00814194">
              <w:rPr>
                <w:rFonts w:asciiTheme="majorHAnsi" w:hAnsiTheme="majorHAnsi"/>
                <w:sz w:val="16"/>
                <w:szCs w:val="16"/>
              </w:rPr>
              <w:t>throughs</w:t>
            </w:r>
            <w:r w:rsidR="75A62913" w:rsidRPr="00814194">
              <w:rPr>
                <w:rFonts w:asciiTheme="majorHAnsi" w:hAnsiTheme="majorHAnsi"/>
                <w:sz w:val="16"/>
                <w:szCs w:val="16"/>
              </w:rPr>
              <w:t>.</w:t>
            </w:r>
            <w:r w:rsidR="00814194" w:rsidRPr="00814194">
              <w:rPr>
                <w:rFonts w:asciiTheme="majorHAnsi" w:hAnsiTheme="majorHAnsi"/>
                <w:sz w:val="16"/>
                <w:szCs w:val="16"/>
              </w:rPr>
              <w:br/>
            </w:r>
            <w:r w:rsidRPr="00814194">
              <w:rPr>
                <w:sz w:val="16"/>
                <w:szCs w:val="16"/>
                <w:vertAlign w:val="superscript"/>
              </w:rPr>
              <w:t>c</w:t>
            </w:r>
            <w:r w:rsidRPr="00814194">
              <w:rPr>
                <w:sz w:val="16"/>
                <w:szCs w:val="16"/>
              </w:rPr>
              <w:t xml:space="preserve"> South Gippsland Water's increase relates to increased water security provided by entry into the South-Central Pool</w:t>
            </w:r>
            <w:r w:rsidR="59DDFBEE" w:rsidRPr="00814194">
              <w:rPr>
                <w:sz w:val="16"/>
                <w:szCs w:val="16"/>
              </w:rPr>
              <w:t>,</w:t>
            </w:r>
            <w:r w:rsidRPr="00814194">
              <w:rPr>
                <w:sz w:val="16"/>
                <w:szCs w:val="16"/>
              </w:rPr>
              <w:t xml:space="preserve"> which was scheduled to occur in 2024-25 in its 2023 </w:t>
            </w:r>
            <w:r w:rsidR="00467E6F" w:rsidRPr="00814194">
              <w:rPr>
                <w:sz w:val="16"/>
                <w:szCs w:val="16"/>
              </w:rPr>
              <w:t>P</w:t>
            </w:r>
            <w:r w:rsidRPr="00814194">
              <w:rPr>
                <w:sz w:val="16"/>
                <w:szCs w:val="16"/>
              </w:rPr>
              <w:t xml:space="preserve">rice </w:t>
            </w:r>
            <w:r w:rsidR="00467E6F" w:rsidRPr="00814194">
              <w:rPr>
                <w:sz w:val="16"/>
                <w:szCs w:val="16"/>
              </w:rPr>
              <w:t>S</w:t>
            </w:r>
            <w:r w:rsidRPr="00814194">
              <w:rPr>
                <w:sz w:val="16"/>
                <w:szCs w:val="16"/>
              </w:rPr>
              <w:t>ubmission</w:t>
            </w:r>
            <w:r w:rsidR="60D41B40" w:rsidRPr="00814194">
              <w:rPr>
                <w:sz w:val="16"/>
                <w:szCs w:val="16"/>
              </w:rPr>
              <w:t>.</w:t>
            </w:r>
          </w:p>
          <w:p w14:paraId="423756F8" w14:textId="3231D18A" w:rsidR="00852234" w:rsidRPr="00DE108C" w:rsidRDefault="00852234" w:rsidP="000C092E">
            <w:pPr>
              <w:keepNext/>
              <w:keepLines/>
              <w:spacing w:before="100" w:beforeAutospacing="1" w:after="100" w:afterAutospacing="1" w:line="240" w:lineRule="auto"/>
              <w:textAlignment w:val="baseline"/>
              <w:rPr>
                <w:rFonts w:asciiTheme="majorHAnsi" w:hAnsiTheme="majorHAnsi" w:cs="Tahoma"/>
                <w:color w:val="auto"/>
                <w:sz w:val="16"/>
                <w:szCs w:val="16"/>
              </w:rPr>
            </w:pPr>
          </w:p>
        </w:tc>
      </w:tr>
    </w:tbl>
    <w:p w14:paraId="684E8706" w14:textId="70BD04C8" w:rsidR="00046BD5" w:rsidRPr="00DE108C" w:rsidRDefault="00046BD5" w:rsidP="00ED094E">
      <w:pPr>
        <w:rPr>
          <w:rFonts w:eastAsiaTheme="minorEastAsia"/>
        </w:rPr>
      </w:pPr>
      <w:r w:rsidRPr="00DE108C">
        <w:rPr>
          <w:rFonts w:eastAsiaTheme="minorEastAsia"/>
        </w:rPr>
        <w:t>Melbourne Water is forecasting a minor reduction to the waterways and drainage tariffs (excluding inflation) over the period. Impacts on a typical homeowner are included in Table 11.4. More details on waterways and drainage charges</w:t>
      </w:r>
      <w:r w:rsidR="30451FB7" w:rsidRPr="4ACF07AD">
        <w:rPr>
          <w:rFonts w:eastAsiaTheme="minorEastAsia"/>
        </w:rPr>
        <w:t>,</w:t>
      </w:r>
      <w:r w:rsidRPr="00DE108C">
        <w:rPr>
          <w:rFonts w:eastAsiaTheme="minorEastAsia"/>
        </w:rPr>
        <w:t xml:space="preserve"> including for non-residential and rural customers and special charging areas are included in Section 11.4</w:t>
      </w:r>
      <w:r w:rsidR="794F6B09" w:rsidRPr="4ACF07AD">
        <w:rPr>
          <w:rFonts w:eastAsiaTheme="minorEastAsia"/>
        </w:rPr>
        <w:t xml:space="preserve"> (Waterways and drainage charges)</w:t>
      </w:r>
      <w:r w:rsidRPr="4ACF07AD">
        <w:rPr>
          <w:rFonts w:eastAsiaTheme="minorEastAsia"/>
        </w:rPr>
        <w:t>.</w:t>
      </w:r>
    </w:p>
    <w:p w14:paraId="279ECE78" w14:textId="77777777" w:rsidR="00046BD5" w:rsidRPr="00DE108C" w:rsidRDefault="00046BD5" w:rsidP="00ED094E">
      <w:pPr>
        <w:pStyle w:val="Caption"/>
      </w:pPr>
      <w:bookmarkStart w:id="1100" w:name="_Toc207893107"/>
      <w:bookmarkStart w:id="1101" w:name="_Toc208490631"/>
      <w:bookmarkStart w:id="1102" w:name="_Toc208490969"/>
      <w:bookmarkStart w:id="1103" w:name="_Toc208911127"/>
      <w:bookmarkStart w:id="1104" w:name="_Toc210051433"/>
      <w:r w:rsidRPr="00DE108C">
        <w:t>Table 11.4: Waterways and drainage tariffs ($real 2025-26)</w:t>
      </w:r>
      <w:bookmarkEnd w:id="1100"/>
      <w:bookmarkEnd w:id="1101"/>
      <w:bookmarkEnd w:id="1102"/>
      <w:bookmarkEnd w:id="1103"/>
      <w:bookmarkEnd w:id="1104"/>
    </w:p>
    <w:tbl>
      <w:tblPr>
        <w:tblStyle w:val="TableGrid"/>
        <w:tblW w:w="5000" w:type="pct"/>
        <w:tblLook w:val="04A0" w:firstRow="1" w:lastRow="0" w:firstColumn="1" w:lastColumn="0" w:noHBand="0" w:noVBand="1"/>
      </w:tblPr>
      <w:tblGrid>
        <w:gridCol w:w="2385"/>
        <w:gridCol w:w="1579"/>
        <w:gridCol w:w="1082"/>
        <w:gridCol w:w="1146"/>
        <w:gridCol w:w="1144"/>
        <w:gridCol w:w="1144"/>
        <w:gridCol w:w="1148"/>
      </w:tblGrid>
      <w:tr w:rsidR="00556A0D" w:rsidRPr="00DE108C" w14:paraId="68ADC3C0" w14:textId="77777777" w:rsidTr="00B46F82">
        <w:trPr>
          <w:cnfStyle w:val="100000000000" w:firstRow="1" w:lastRow="0" w:firstColumn="0" w:lastColumn="0" w:oddVBand="0" w:evenVBand="0" w:oddHBand="0" w:evenHBand="0" w:firstRowFirstColumn="0" w:firstRowLastColumn="0" w:lastRowFirstColumn="0" w:lastRowLastColumn="0"/>
          <w:trHeight w:val="300"/>
        </w:trPr>
        <w:tc>
          <w:tcPr>
            <w:tcW w:w="1239" w:type="pct"/>
            <w:hideMark/>
          </w:tcPr>
          <w:p w14:paraId="12638A8B" w14:textId="77777777" w:rsidR="00046BD5" w:rsidRPr="00DE108C" w:rsidRDefault="00046BD5">
            <w:pPr>
              <w:spacing w:before="100" w:beforeAutospacing="1" w:after="100" w:afterAutospacing="1" w:line="240" w:lineRule="auto"/>
              <w:textAlignment w:val="baseline"/>
              <w:rPr>
                <w:rFonts w:asciiTheme="majorHAnsi" w:hAnsiTheme="majorHAnsi"/>
                <w:color w:val="FFFFFF" w:themeColor="background1"/>
                <w:sz w:val="16"/>
                <w:szCs w:val="16"/>
              </w:rPr>
            </w:pPr>
            <w:r w:rsidRPr="00DE108C">
              <w:rPr>
                <w:rFonts w:ascii="Arial" w:hAnsi="Arial" w:cs="Arial"/>
                <w:color w:val="FFFFFF" w:themeColor="background1"/>
                <w:sz w:val="16"/>
                <w:szCs w:val="16"/>
              </w:rPr>
              <w:t>​</w:t>
            </w:r>
          </w:p>
        </w:tc>
        <w:tc>
          <w:tcPr>
            <w:tcW w:w="820" w:type="pct"/>
            <w:hideMark/>
          </w:tcPr>
          <w:p w14:paraId="0FC6ABC6" w14:textId="77777777" w:rsidR="00046BD5" w:rsidRPr="00DE108C" w:rsidRDefault="00046BD5">
            <w:pPr>
              <w:spacing w:before="100" w:beforeAutospacing="1" w:after="100" w:afterAutospacing="1" w:line="240" w:lineRule="auto"/>
              <w:textAlignment w:val="baseline"/>
              <w:rPr>
                <w:rFonts w:asciiTheme="majorHAnsi" w:hAnsiTheme="majorHAnsi"/>
                <w:color w:val="FFFFFF" w:themeColor="background1"/>
                <w:sz w:val="16"/>
                <w:szCs w:val="16"/>
              </w:rPr>
            </w:pPr>
            <w:r w:rsidRPr="00DE108C">
              <w:rPr>
                <w:rFonts w:ascii="Arial" w:hAnsi="Arial" w:cs="Arial"/>
                <w:color w:val="FFFFFF" w:themeColor="background1"/>
                <w:sz w:val="16"/>
                <w:szCs w:val="16"/>
              </w:rPr>
              <w:t>​</w:t>
            </w:r>
          </w:p>
        </w:tc>
        <w:tc>
          <w:tcPr>
            <w:tcW w:w="2941" w:type="pct"/>
            <w:gridSpan w:val="5"/>
            <w:hideMark/>
          </w:tcPr>
          <w:p w14:paraId="53B88406" w14:textId="44D0B8A8" w:rsidR="00046BD5" w:rsidRPr="00DE108C" w:rsidRDefault="00046BD5">
            <w:pPr>
              <w:spacing w:before="100" w:beforeAutospacing="1" w:after="100" w:afterAutospacing="1" w:line="240" w:lineRule="auto"/>
              <w:jc w:val="center"/>
              <w:textAlignment w:val="baseline"/>
              <w:rPr>
                <w:rFonts w:asciiTheme="majorHAnsi" w:hAnsiTheme="majorHAnsi"/>
                <w:color w:val="FFFFFF" w:themeColor="background1"/>
                <w:sz w:val="16"/>
                <w:szCs w:val="16"/>
                <w:lang w:val="en-US"/>
              </w:rPr>
            </w:pPr>
            <w:r w:rsidRPr="00DE108C">
              <w:rPr>
                <w:rFonts w:asciiTheme="majorHAnsi" w:hAnsiTheme="majorHAnsi"/>
                <w:b/>
                <w:bCs/>
                <w:color w:val="FFFFFF" w:themeColor="background1"/>
                <w:sz w:val="16"/>
                <w:szCs w:val="16"/>
              </w:rPr>
              <w:t>2026–</w:t>
            </w:r>
            <w:r w:rsidRPr="0086588D">
              <w:rPr>
                <w:rFonts w:asciiTheme="majorHAnsi" w:hAnsiTheme="majorHAnsi"/>
                <w:b/>
                <w:bCs/>
                <w:color w:val="FFFFFF" w:themeColor="background1"/>
                <w:sz w:val="16"/>
                <w:szCs w:val="16"/>
              </w:rPr>
              <w:t>31</w:t>
            </w:r>
            <w:r w:rsidRPr="00DE108C">
              <w:rPr>
                <w:rFonts w:asciiTheme="majorHAnsi" w:hAnsiTheme="majorHAnsi"/>
                <w:b/>
                <w:bCs/>
                <w:color w:val="FFFFFF" w:themeColor="background1"/>
                <w:sz w:val="16"/>
                <w:szCs w:val="16"/>
              </w:rPr>
              <w:t xml:space="preserve"> regulatory period</w:t>
            </w:r>
            <w:r w:rsidRPr="00DE108C">
              <w:rPr>
                <w:rFonts w:ascii="Arial" w:hAnsi="Arial" w:cs="Arial"/>
                <w:color w:val="FFFFFF" w:themeColor="background1"/>
                <w:sz w:val="16"/>
                <w:szCs w:val="16"/>
                <w:lang w:val="en-US"/>
              </w:rPr>
              <w:t>​</w:t>
            </w:r>
          </w:p>
        </w:tc>
      </w:tr>
      <w:tr w:rsidR="00046BD5" w:rsidRPr="00DE108C" w14:paraId="4884F805" w14:textId="77777777" w:rsidTr="4ACF07AD">
        <w:trPr>
          <w:trHeight w:val="270"/>
        </w:trPr>
        <w:tc>
          <w:tcPr>
            <w:tcW w:w="1239" w:type="pct"/>
            <w:shd w:val="clear" w:color="auto" w:fill="00428B" w:themeFill="accent1"/>
            <w:hideMark/>
          </w:tcPr>
          <w:p w14:paraId="6D3B9A54" w14:textId="77777777" w:rsidR="00046BD5" w:rsidRPr="00DE108C" w:rsidRDefault="00046BD5">
            <w:pPr>
              <w:spacing w:before="100" w:beforeAutospacing="1" w:after="100" w:afterAutospacing="1" w:line="240" w:lineRule="auto"/>
              <w:textAlignment w:val="baseline"/>
              <w:rPr>
                <w:rFonts w:asciiTheme="majorHAnsi" w:eastAsiaTheme="minorEastAsia" w:hAnsiTheme="majorHAnsi" w:cstheme="minorBidi"/>
                <w:color w:val="FFFFFF" w:themeColor="background1"/>
                <w:sz w:val="16"/>
                <w:szCs w:val="16"/>
              </w:rPr>
            </w:pPr>
            <w:r w:rsidRPr="00DE108C">
              <w:rPr>
                <w:rFonts w:ascii="Arial" w:eastAsiaTheme="minorEastAsia" w:hAnsi="Arial" w:cs="Arial"/>
                <w:color w:val="FFFFFF" w:themeColor="background1"/>
                <w:sz w:val="16"/>
                <w:szCs w:val="16"/>
              </w:rPr>
              <w:t>​</w:t>
            </w:r>
          </w:p>
        </w:tc>
        <w:tc>
          <w:tcPr>
            <w:tcW w:w="820" w:type="pct"/>
            <w:shd w:val="clear" w:color="auto" w:fill="00428B" w:themeFill="accent1"/>
            <w:hideMark/>
          </w:tcPr>
          <w:p w14:paraId="229C72D7" w14:textId="77777777" w:rsidR="00046BD5" w:rsidRPr="00DE108C" w:rsidRDefault="00046BD5" w:rsidP="4ACF07AD">
            <w:pPr>
              <w:spacing w:before="100" w:beforeAutospacing="1" w:after="100" w:afterAutospacing="1" w:line="240" w:lineRule="auto"/>
              <w:jc w:val="right"/>
              <w:textAlignment w:val="baseline"/>
              <w:rPr>
                <w:rFonts w:asciiTheme="majorHAnsi" w:eastAsiaTheme="minorEastAsia" w:hAnsiTheme="majorHAnsi" w:cstheme="minorBidi"/>
                <w:b/>
                <w:bCs/>
                <w:color w:val="FFFFFF" w:themeColor="background1"/>
                <w:sz w:val="16"/>
                <w:szCs w:val="16"/>
              </w:rPr>
            </w:pPr>
            <w:r w:rsidRPr="00DE108C">
              <w:rPr>
                <w:rFonts w:asciiTheme="majorHAnsi" w:eastAsiaTheme="minorEastAsia" w:hAnsiTheme="majorHAnsi"/>
                <w:b/>
                <w:bCs/>
                <w:color w:val="FFFFFF" w:themeColor="background1"/>
                <w:sz w:val="16"/>
                <w:szCs w:val="16"/>
              </w:rPr>
              <w:t>2025-26</w:t>
            </w:r>
            <w:r w:rsidRPr="00DE108C">
              <w:rPr>
                <w:rFonts w:ascii="Arial" w:eastAsiaTheme="minorEastAsia" w:hAnsi="Arial" w:cs="Arial"/>
                <w:b/>
                <w:bCs/>
                <w:color w:val="FFFFFF" w:themeColor="background1"/>
                <w:sz w:val="16"/>
                <w:szCs w:val="16"/>
              </w:rPr>
              <w:t>​</w:t>
            </w:r>
          </w:p>
        </w:tc>
        <w:tc>
          <w:tcPr>
            <w:tcW w:w="562" w:type="pct"/>
            <w:shd w:val="clear" w:color="auto" w:fill="00428B" w:themeFill="accent1"/>
            <w:vAlign w:val="center"/>
            <w:hideMark/>
          </w:tcPr>
          <w:p w14:paraId="66EE725A" w14:textId="77777777" w:rsidR="00046BD5" w:rsidRPr="00DE108C" w:rsidRDefault="00046BD5" w:rsidP="00ED094E">
            <w:pPr>
              <w:spacing w:before="100" w:beforeAutospacing="1" w:after="100" w:afterAutospacing="1" w:line="240" w:lineRule="auto"/>
              <w:textAlignment w:val="baseline"/>
              <w:rPr>
                <w:rFonts w:asciiTheme="majorHAnsi" w:eastAsiaTheme="minorEastAsia" w:hAnsiTheme="majorHAnsi" w:cstheme="minorBidi"/>
                <w:b/>
                <w:bCs/>
                <w:color w:val="FFFFFF" w:themeColor="background1"/>
                <w:sz w:val="16"/>
                <w:szCs w:val="16"/>
              </w:rPr>
            </w:pPr>
            <w:r w:rsidRPr="00DE108C">
              <w:rPr>
                <w:rFonts w:asciiTheme="majorHAnsi" w:eastAsiaTheme="minorEastAsia" w:hAnsiTheme="majorHAnsi"/>
                <w:b/>
                <w:bCs/>
                <w:color w:val="FFFFFF" w:themeColor="background1"/>
                <w:sz w:val="16"/>
                <w:szCs w:val="16"/>
              </w:rPr>
              <w:t>2026-27</w:t>
            </w:r>
            <w:r w:rsidRPr="00DE108C">
              <w:rPr>
                <w:rFonts w:ascii="Arial" w:eastAsiaTheme="minorEastAsia" w:hAnsi="Arial" w:cs="Arial"/>
                <w:b/>
                <w:bCs/>
                <w:color w:val="FFFFFF" w:themeColor="background1"/>
                <w:sz w:val="16"/>
                <w:szCs w:val="16"/>
              </w:rPr>
              <w:t>​</w:t>
            </w:r>
          </w:p>
        </w:tc>
        <w:tc>
          <w:tcPr>
            <w:tcW w:w="595" w:type="pct"/>
            <w:shd w:val="clear" w:color="auto" w:fill="00428B" w:themeFill="accent1"/>
            <w:vAlign w:val="center"/>
            <w:hideMark/>
          </w:tcPr>
          <w:p w14:paraId="64A5D523" w14:textId="77777777" w:rsidR="00046BD5" w:rsidRPr="00DE108C" w:rsidRDefault="00046BD5" w:rsidP="00ED094E">
            <w:pPr>
              <w:spacing w:before="100" w:beforeAutospacing="1" w:after="100" w:afterAutospacing="1" w:line="240" w:lineRule="auto"/>
              <w:textAlignment w:val="baseline"/>
              <w:rPr>
                <w:rFonts w:asciiTheme="majorHAnsi" w:eastAsiaTheme="minorEastAsia" w:hAnsiTheme="majorHAnsi" w:cstheme="minorBidi"/>
                <w:b/>
                <w:bCs/>
                <w:color w:val="FFFFFF" w:themeColor="background1"/>
                <w:sz w:val="16"/>
                <w:szCs w:val="16"/>
              </w:rPr>
            </w:pPr>
            <w:r w:rsidRPr="00DE108C">
              <w:rPr>
                <w:rFonts w:asciiTheme="majorHAnsi" w:eastAsiaTheme="minorEastAsia" w:hAnsiTheme="majorHAnsi"/>
                <w:b/>
                <w:bCs/>
                <w:color w:val="FFFFFF" w:themeColor="background1"/>
                <w:sz w:val="16"/>
                <w:szCs w:val="16"/>
              </w:rPr>
              <w:t>2027-28</w:t>
            </w:r>
            <w:r w:rsidRPr="00DE108C">
              <w:rPr>
                <w:rFonts w:ascii="Arial" w:eastAsiaTheme="minorEastAsia" w:hAnsi="Arial" w:cs="Arial"/>
                <w:b/>
                <w:bCs/>
                <w:color w:val="FFFFFF" w:themeColor="background1"/>
                <w:sz w:val="16"/>
                <w:szCs w:val="16"/>
              </w:rPr>
              <w:t>​</w:t>
            </w:r>
          </w:p>
        </w:tc>
        <w:tc>
          <w:tcPr>
            <w:tcW w:w="594" w:type="pct"/>
            <w:shd w:val="clear" w:color="auto" w:fill="00428B" w:themeFill="accent1"/>
            <w:vAlign w:val="center"/>
            <w:hideMark/>
          </w:tcPr>
          <w:p w14:paraId="48EE95E0" w14:textId="77777777" w:rsidR="00046BD5" w:rsidRPr="00DE108C" w:rsidRDefault="00046BD5" w:rsidP="00ED094E">
            <w:pPr>
              <w:spacing w:before="100" w:beforeAutospacing="1" w:after="100" w:afterAutospacing="1" w:line="240" w:lineRule="auto"/>
              <w:textAlignment w:val="baseline"/>
              <w:rPr>
                <w:rFonts w:asciiTheme="majorHAnsi" w:eastAsiaTheme="minorEastAsia" w:hAnsiTheme="majorHAnsi" w:cstheme="minorBidi"/>
                <w:b/>
                <w:bCs/>
                <w:color w:val="FFFFFF" w:themeColor="background1"/>
                <w:sz w:val="16"/>
                <w:szCs w:val="16"/>
              </w:rPr>
            </w:pPr>
            <w:r w:rsidRPr="00DE108C">
              <w:rPr>
                <w:rFonts w:asciiTheme="majorHAnsi" w:eastAsiaTheme="minorEastAsia" w:hAnsiTheme="majorHAnsi"/>
                <w:b/>
                <w:bCs/>
                <w:color w:val="FFFFFF" w:themeColor="background1"/>
                <w:sz w:val="16"/>
                <w:szCs w:val="16"/>
              </w:rPr>
              <w:t>2028-29</w:t>
            </w:r>
            <w:r w:rsidRPr="00DE108C">
              <w:rPr>
                <w:rFonts w:ascii="Arial" w:eastAsiaTheme="minorEastAsia" w:hAnsi="Arial" w:cs="Arial"/>
                <w:b/>
                <w:bCs/>
                <w:color w:val="FFFFFF" w:themeColor="background1"/>
                <w:sz w:val="16"/>
                <w:szCs w:val="16"/>
              </w:rPr>
              <w:t>​</w:t>
            </w:r>
          </w:p>
        </w:tc>
        <w:tc>
          <w:tcPr>
            <w:tcW w:w="594" w:type="pct"/>
            <w:shd w:val="clear" w:color="auto" w:fill="00428B" w:themeFill="accent1"/>
            <w:vAlign w:val="center"/>
            <w:hideMark/>
          </w:tcPr>
          <w:p w14:paraId="03F89D60" w14:textId="77777777" w:rsidR="00046BD5" w:rsidRPr="00DE108C" w:rsidRDefault="00046BD5" w:rsidP="00ED094E">
            <w:pPr>
              <w:spacing w:before="100" w:beforeAutospacing="1" w:after="100" w:afterAutospacing="1" w:line="240" w:lineRule="auto"/>
              <w:textAlignment w:val="baseline"/>
              <w:rPr>
                <w:rFonts w:asciiTheme="majorHAnsi" w:eastAsiaTheme="minorEastAsia" w:hAnsiTheme="majorHAnsi" w:cstheme="minorBidi"/>
                <w:b/>
                <w:bCs/>
                <w:color w:val="FFFFFF" w:themeColor="background1"/>
                <w:sz w:val="16"/>
                <w:szCs w:val="16"/>
              </w:rPr>
            </w:pPr>
            <w:r w:rsidRPr="00DE108C">
              <w:rPr>
                <w:rFonts w:asciiTheme="majorHAnsi" w:eastAsiaTheme="minorEastAsia" w:hAnsiTheme="majorHAnsi"/>
                <w:b/>
                <w:bCs/>
                <w:color w:val="FFFFFF" w:themeColor="background1"/>
                <w:sz w:val="16"/>
                <w:szCs w:val="16"/>
              </w:rPr>
              <w:t>2029-30</w:t>
            </w:r>
            <w:r w:rsidRPr="00DE108C">
              <w:rPr>
                <w:rFonts w:ascii="Arial" w:eastAsiaTheme="minorEastAsia" w:hAnsi="Arial" w:cs="Arial"/>
                <w:b/>
                <w:bCs/>
                <w:color w:val="FFFFFF" w:themeColor="background1"/>
                <w:sz w:val="16"/>
                <w:szCs w:val="16"/>
              </w:rPr>
              <w:t>​</w:t>
            </w:r>
          </w:p>
        </w:tc>
        <w:tc>
          <w:tcPr>
            <w:tcW w:w="596" w:type="pct"/>
            <w:shd w:val="clear" w:color="auto" w:fill="00428B" w:themeFill="accent1"/>
            <w:vAlign w:val="center"/>
            <w:hideMark/>
          </w:tcPr>
          <w:p w14:paraId="73BA2E09" w14:textId="77777777" w:rsidR="00046BD5" w:rsidRPr="00DE108C" w:rsidRDefault="00046BD5" w:rsidP="00ED094E">
            <w:pPr>
              <w:spacing w:before="100" w:beforeAutospacing="1" w:after="100" w:afterAutospacing="1" w:line="240" w:lineRule="auto"/>
              <w:textAlignment w:val="baseline"/>
              <w:rPr>
                <w:rFonts w:asciiTheme="majorHAnsi" w:eastAsiaTheme="minorEastAsia" w:hAnsiTheme="majorHAnsi" w:cstheme="minorBidi"/>
                <w:b/>
                <w:bCs/>
                <w:color w:val="FFFFFF" w:themeColor="background1"/>
                <w:sz w:val="16"/>
                <w:szCs w:val="16"/>
              </w:rPr>
            </w:pPr>
            <w:r w:rsidRPr="00DE108C">
              <w:rPr>
                <w:rFonts w:asciiTheme="majorHAnsi" w:eastAsiaTheme="minorEastAsia" w:hAnsiTheme="majorHAnsi"/>
                <w:b/>
                <w:bCs/>
                <w:color w:val="FFFFFF" w:themeColor="background1"/>
                <w:sz w:val="16"/>
                <w:szCs w:val="16"/>
              </w:rPr>
              <w:t>2030-31</w:t>
            </w:r>
            <w:r w:rsidRPr="00DE108C">
              <w:rPr>
                <w:rFonts w:ascii="Arial" w:eastAsiaTheme="minorEastAsia" w:hAnsi="Arial" w:cs="Arial"/>
                <w:b/>
                <w:bCs/>
                <w:color w:val="FFFFFF" w:themeColor="background1"/>
                <w:sz w:val="16"/>
                <w:szCs w:val="16"/>
              </w:rPr>
              <w:t>​</w:t>
            </w:r>
          </w:p>
        </w:tc>
      </w:tr>
      <w:tr w:rsidR="00556A0D" w:rsidRPr="00DE108C" w14:paraId="2368BA64" w14:textId="77777777" w:rsidTr="00B46F82">
        <w:trPr>
          <w:cnfStyle w:val="000000010000" w:firstRow="0" w:lastRow="0" w:firstColumn="0" w:lastColumn="0" w:oddVBand="0" w:evenVBand="0" w:oddHBand="0" w:evenHBand="1" w:firstRowFirstColumn="0" w:firstRowLastColumn="0" w:lastRowFirstColumn="0" w:lastRowLastColumn="0"/>
          <w:trHeight w:val="270"/>
        </w:trPr>
        <w:tc>
          <w:tcPr>
            <w:tcW w:w="1239" w:type="pct"/>
            <w:vAlign w:val="center"/>
            <w:hideMark/>
          </w:tcPr>
          <w:p w14:paraId="302BAF42" w14:textId="77777777" w:rsidR="00046BD5" w:rsidRPr="00DE108C" w:rsidRDefault="00046BD5">
            <w:pPr>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r w:rsidRPr="00DE108C">
              <w:rPr>
                <w:rFonts w:asciiTheme="majorHAnsi" w:eastAsiaTheme="minorEastAsia" w:hAnsiTheme="majorHAnsi"/>
                <w:b/>
                <w:bCs/>
                <w:sz w:val="16"/>
                <w:szCs w:val="16"/>
              </w:rPr>
              <w:t>Residential</w:t>
            </w:r>
          </w:p>
        </w:tc>
        <w:tc>
          <w:tcPr>
            <w:tcW w:w="820" w:type="pct"/>
            <w:vAlign w:val="center"/>
          </w:tcPr>
          <w:p w14:paraId="16EF4FD8" w14:textId="77777777" w:rsidR="00046BD5" w:rsidRPr="00DE108C" w:rsidRDefault="00046BD5" w:rsidP="00ED094E">
            <w:pPr>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p>
        </w:tc>
        <w:tc>
          <w:tcPr>
            <w:tcW w:w="562" w:type="pct"/>
            <w:vAlign w:val="center"/>
          </w:tcPr>
          <w:p w14:paraId="75D6D547" w14:textId="77777777" w:rsidR="00046BD5" w:rsidRPr="00DE108C" w:rsidRDefault="00046BD5" w:rsidP="00ED094E">
            <w:pPr>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p>
        </w:tc>
        <w:tc>
          <w:tcPr>
            <w:tcW w:w="595" w:type="pct"/>
            <w:vAlign w:val="center"/>
          </w:tcPr>
          <w:p w14:paraId="4DC0ED64" w14:textId="77777777" w:rsidR="00046BD5" w:rsidRPr="00DE108C" w:rsidRDefault="00046BD5" w:rsidP="00ED094E">
            <w:pPr>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p>
        </w:tc>
        <w:tc>
          <w:tcPr>
            <w:tcW w:w="594" w:type="pct"/>
            <w:vAlign w:val="center"/>
          </w:tcPr>
          <w:p w14:paraId="7D60050B" w14:textId="77777777" w:rsidR="00046BD5" w:rsidRPr="00DE108C" w:rsidRDefault="00046BD5" w:rsidP="00ED094E">
            <w:pPr>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p>
        </w:tc>
        <w:tc>
          <w:tcPr>
            <w:tcW w:w="594" w:type="pct"/>
            <w:vAlign w:val="center"/>
          </w:tcPr>
          <w:p w14:paraId="67AE7087" w14:textId="77777777" w:rsidR="00046BD5" w:rsidRPr="00DE108C" w:rsidRDefault="00046BD5" w:rsidP="00ED094E">
            <w:pPr>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p>
        </w:tc>
        <w:tc>
          <w:tcPr>
            <w:tcW w:w="596" w:type="pct"/>
            <w:vAlign w:val="center"/>
          </w:tcPr>
          <w:p w14:paraId="2A1FDCDC" w14:textId="77777777" w:rsidR="00046BD5" w:rsidRPr="00DE108C" w:rsidRDefault="00046BD5" w:rsidP="00ED094E">
            <w:pPr>
              <w:spacing w:before="100" w:beforeAutospacing="1" w:after="100" w:afterAutospacing="1" w:line="240" w:lineRule="auto"/>
              <w:textAlignment w:val="baseline"/>
              <w:rPr>
                <w:rFonts w:asciiTheme="majorHAnsi" w:eastAsiaTheme="minorEastAsia" w:hAnsiTheme="majorHAnsi" w:cstheme="minorBidi"/>
                <w:color w:val="231F20"/>
                <w:sz w:val="16"/>
                <w:szCs w:val="16"/>
                <w:lang w:val="en-US"/>
              </w:rPr>
            </w:pPr>
          </w:p>
        </w:tc>
      </w:tr>
      <w:tr w:rsidR="00046BD5" w:rsidRPr="00DE108C" w14:paraId="671E1687" w14:textId="77777777" w:rsidTr="00ED094E">
        <w:trPr>
          <w:trHeight w:val="270"/>
        </w:trPr>
        <w:tc>
          <w:tcPr>
            <w:tcW w:w="1239" w:type="pct"/>
          </w:tcPr>
          <w:p w14:paraId="03C35956" w14:textId="77777777" w:rsidR="00046BD5" w:rsidRPr="00DE108C" w:rsidRDefault="00046BD5">
            <w:pPr>
              <w:spacing w:before="100" w:beforeAutospacing="1" w:after="100" w:afterAutospacing="1" w:line="240" w:lineRule="auto"/>
              <w:jc w:val="right"/>
              <w:textAlignment w:val="baseline"/>
              <w:rPr>
                <w:rFonts w:asciiTheme="majorHAnsi" w:eastAsiaTheme="minorEastAsia" w:hAnsiTheme="majorHAnsi" w:cstheme="minorBidi"/>
                <w:color w:val="231F20"/>
                <w:sz w:val="16"/>
                <w:szCs w:val="16"/>
              </w:rPr>
            </w:pPr>
            <w:r w:rsidRPr="00DE108C">
              <w:rPr>
                <w:rFonts w:asciiTheme="majorHAnsi" w:eastAsiaTheme="minorEastAsia" w:hAnsiTheme="majorHAnsi"/>
                <w:sz w:val="16"/>
                <w:szCs w:val="16"/>
              </w:rPr>
              <w:t>$ per annum</w:t>
            </w:r>
          </w:p>
        </w:tc>
        <w:tc>
          <w:tcPr>
            <w:tcW w:w="820" w:type="pct"/>
            <w:vAlign w:val="center"/>
          </w:tcPr>
          <w:p w14:paraId="7846E4E5" w14:textId="724CB17F" w:rsidR="00046BD5" w:rsidRPr="00DE108C" w:rsidRDefault="00046BD5" w:rsidP="00467E6F">
            <w:pPr>
              <w:spacing w:before="100" w:beforeAutospacing="1" w:after="100" w:afterAutospacing="1" w:line="240" w:lineRule="auto"/>
              <w:jc w:val="right"/>
              <w:textAlignment w:val="baseline"/>
              <w:rPr>
                <w:rFonts w:asciiTheme="majorHAnsi" w:eastAsiaTheme="minorEastAsia" w:hAnsiTheme="majorHAnsi" w:cstheme="minorBidi"/>
                <w:color w:val="231F20"/>
                <w:sz w:val="16"/>
                <w:szCs w:val="16"/>
                <w:lang w:val="en-US"/>
              </w:rPr>
            </w:pPr>
            <w:r w:rsidRPr="00DE108C">
              <w:rPr>
                <w:rFonts w:asciiTheme="majorHAnsi" w:eastAsiaTheme="minorEastAsia" w:hAnsiTheme="majorHAnsi"/>
                <w:sz w:val="16"/>
                <w:szCs w:val="16"/>
                <w:lang w:val="en-US"/>
              </w:rPr>
              <w:t>125.01</w:t>
            </w:r>
          </w:p>
        </w:tc>
        <w:tc>
          <w:tcPr>
            <w:tcW w:w="562" w:type="pct"/>
            <w:vAlign w:val="center"/>
          </w:tcPr>
          <w:p w14:paraId="52C82F49" w14:textId="7CC77F23" w:rsidR="00046BD5" w:rsidRPr="00DE108C" w:rsidRDefault="00467E6F" w:rsidP="00467E6F">
            <w:pPr>
              <w:spacing w:before="100" w:beforeAutospacing="1" w:after="100" w:afterAutospacing="1" w:line="240" w:lineRule="auto"/>
              <w:jc w:val="right"/>
              <w:textAlignment w:val="baseline"/>
              <w:rPr>
                <w:rFonts w:asciiTheme="majorHAnsi" w:eastAsiaTheme="minorEastAsia" w:hAnsiTheme="majorHAnsi"/>
                <w:sz w:val="16"/>
                <w:szCs w:val="16"/>
                <w:lang w:val="en-US"/>
              </w:rPr>
            </w:pPr>
            <w:r w:rsidRPr="001164EE">
              <w:rPr>
                <w:rFonts w:asciiTheme="majorHAnsi" w:hAnsiTheme="majorHAnsi" w:cs="Tahoma"/>
                <w:sz w:val="16"/>
                <w:szCs w:val="16"/>
              </w:rPr>
              <w:t>123.96</w:t>
            </w:r>
          </w:p>
        </w:tc>
        <w:tc>
          <w:tcPr>
            <w:tcW w:w="595" w:type="pct"/>
            <w:vAlign w:val="center"/>
          </w:tcPr>
          <w:p w14:paraId="64CAD45E" w14:textId="6421AD7E" w:rsidR="00046BD5" w:rsidRPr="00DE108C" w:rsidRDefault="00467E6F" w:rsidP="00467E6F">
            <w:pPr>
              <w:spacing w:before="100" w:beforeAutospacing="1" w:after="100" w:afterAutospacing="1" w:line="240" w:lineRule="auto"/>
              <w:jc w:val="right"/>
              <w:textAlignment w:val="baseline"/>
              <w:rPr>
                <w:rFonts w:asciiTheme="majorHAnsi" w:eastAsiaTheme="minorEastAsia" w:hAnsiTheme="majorHAnsi"/>
                <w:sz w:val="16"/>
                <w:szCs w:val="16"/>
                <w:lang w:val="en-US"/>
              </w:rPr>
            </w:pPr>
            <w:r w:rsidRPr="001164EE">
              <w:rPr>
                <w:rFonts w:asciiTheme="majorHAnsi" w:hAnsiTheme="majorHAnsi" w:cs="Tahoma"/>
                <w:sz w:val="16"/>
                <w:szCs w:val="16"/>
              </w:rPr>
              <w:t>123.96</w:t>
            </w:r>
          </w:p>
        </w:tc>
        <w:tc>
          <w:tcPr>
            <w:tcW w:w="594" w:type="pct"/>
            <w:vAlign w:val="center"/>
          </w:tcPr>
          <w:p w14:paraId="5441F39D" w14:textId="3CE7168E" w:rsidR="00046BD5" w:rsidRPr="00DE108C" w:rsidRDefault="00467E6F" w:rsidP="00467E6F">
            <w:pPr>
              <w:spacing w:before="100" w:beforeAutospacing="1" w:after="100" w:afterAutospacing="1" w:line="240" w:lineRule="auto"/>
              <w:jc w:val="right"/>
              <w:textAlignment w:val="baseline"/>
              <w:rPr>
                <w:rFonts w:asciiTheme="majorHAnsi" w:eastAsiaTheme="minorEastAsia" w:hAnsiTheme="majorHAnsi"/>
                <w:sz w:val="16"/>
                <w:szCs w:val="16"/>
                <w:lang w:val="en-US"/>
              </w:rPr>
            </w:pPr>
            <w:r w:rsidRPr="001164EE">
              <w:rPr>
                <w:rFonts w:asciiTheme="majorHAnsi" w:hAnsiTheme="majorHAnsi" w:cs="Tahoma"/>
                <w:sz w:val="16"/>
                <w:szCs w:val="16"/>
              </w:rPr>
              <w:t>123.96</w:t>
            </w:r>
          </w:p>
        </w:tc>
        <w:tc>
          <w:tcPr>
            <w:tcW w:w="594" w:type="pct"/>
            <w:vAlign w:val="center"/>
          </w:tcPr>
          <w:p w14:paraId="012BA33C" w14:textId="5FD2165A" w:rsidR="00046BD5" w:rsidRPr="00DE108C" w:rsidRDefault="00467E6F" w:rsidP="00467E6F">
            <w:pPr>
              <w:spacing w:before="100" w:beforeAutospacing="1" w:after="100" w:afterAutospacing="1" w:line="240" w:lineRule="auto"/>
              <w:jc w:val="right"/>
              <w:textAlignment w:val="baseline"/>
              <w:rPr>
                <w:rFonts w:asciiTheme="majorHAnsi" w:eastAsiaTheme="minorEastAsia" w:hAnsiTheme="majorHAnsi"/>
                <w:sz w:val="16"/>
                <w:szCs w:val="16"/>
                <w:lang w:val="en-US"/>
              </w:rPr>
            </w:pPr>
            <w:r w:rsidRPr="001164EE">
              <w:rPr>
                <w:rFonts w:asciiTheme="majorHAnsi" w:hAnsiTheme="majorHAnsi" w:cs="Tahoma"/>
                <w:sz w:val="16"/>
                <w:szCs w:val="16"/>
              </w:rPr>
              <w:t>123.96</w:t>
            </w:r>
          </w:p>
        </w:tc>
        <w:tc>
          <w:tcPr>
            <w:tcW w:w="596" w:type="pct"/>
            <w:vAlign w:val="center"/>
          </w:tcPr>
          <w:p w14:paraId="0221D612" w14:textId="1F373FF5" w:rsidR="00046BD5" w:rsidRPr="00DE108C" w:rsidRDefault="00467E6F" w:rsidP="00467E6F">
            <w:pPr>
              <w:spacing w:before="100" w:beforeAutospacing="1" w:after="100" w:afterAutospacing="1" w:line="240" w:lineRule="auto"/>
              <w:jc w:val="right"/>
              <w:textAlignment w:val="baseline"/>
              <w:rPr>
                <w:rFonts w:asciiTheme="majorHAnsi" w:eastAsiaTheme="minorEastAsia" w:hAnsiTheme="majorHAnsi"/>
                <w:sz w:val="16"/>
                <w:szCs w:val="16"/>
                <w:lang w:val="en-US"/>
              </w:rPr>
            </w:pPr>
            <w:r w:rsidRPr="001164EE">
              <w:rPr>
                <w:rFonts w:asciiTheme="majorHAnsi" w:hAnsiTheme="majorHAnsi" w:cs="Tahoma"/>
                <w:sz w:val="16"/>
                <w:szCs w:val="16"/>
              </w:rPr>
              <w:t>123.96</w:t>
            </w:r>
          </w:p>
        </w:tc>
      </w:tr>
    </w:tbl>
    <w:p w14:paraId="085321E8" w14:textId="77777777" w:rsidR="00046BD5" w:rsidRPr="00DE108C" w:rsidRDefault="00046BD5" w:rsidP="00ED094E"/>
    <w:p w14:paraId="784878E0" w14:textId="77777777" w:rsidR="00046BD5" w:rsidRPr="00DE108C" w:rsidRDefault="00046BD5">
      <w:pPr>
        <w:pStyle w:val="Heading2"/>
      </w:pPr>
      <w:bookmarkStart w:id="1105" w:name="_Toc207892934"/>
      <w:bookmarkStart w:id="1106" w:name="_Toc207853427"/>
      <w:r w:rsidRPr="00DE108C">
        <w:t>11.2 Bulk water and sewerage charges</w:t>
      </w:r>
      <w:bookmarkEnd w:id="1105"/>
      <w:bookmarkEnd w:id="1106"/>
    </w:p>
    <w:p w14:paraId="0F52210A" w14:textId="77777777" w:rsidR="00046BD5" w:rsidRPr="00DE108C" w:rsidRDefault="00046BD5">
      <w:pPr>
        <w:pStyle w:val="Heading3"/>
      </w:pPr>
      <w:r w:rsidRPr="00DE108C">
        <w:t>11.2.1 Approach and customer consultation</w:t>
      </w:r>
    </w:p>
    <w:p w14:paraId="5CCA3341" w14:textId="6598D835" w:rsidR="00046BD5" w:rsidRPr="00DE108C" w:rsidRDefault="00046BD5" w:rsidP="00ED094E">
      <w:r w:rsidRPr="00DE108C">
        <w:t xml:space="preserve">During Melbourne Water’s </w:t>
      </w:r>
      <w:r w:rsidR="479D794B">
        <w:t>PS21</w:t>
      </w:r>
      <w:r w:rsidRPr="00DE108C">
        <w:t xml:space="preserve"> process, a Regulatory Managers Forum was established to review bulk tariffs (among other matters). This Forum recognised a need for tariff reform but did not arrive at a proposal with broad support, instead recommending further work be undertaken in conjunction with the South-Central Market Trial. Melbourne Water’s </w:t>
      </w:r>
      <w:r w:rsidR="354EF1E7">
        <w:t>PS21</w:t>
      </w:r>
      <w:r w:rsidRPr="00DE108C">
        <w:t xml:space="preserve"> ultimately proposed to continue tariff structures that applied during the 2016-21 regulatory period, and this was accepted by the ESC.</w:t>
      </w:r>
    </w:p>
    <w:p w14:paraId="541D2E69" w14:textId="643364B2" w:rsidR="00046BD5" w:rsidRPr="00DE108C" w:rsidRDefault="00046BD5" w:rsidP="00ED094E">
      <w:r w:rsidRPr="00DE108C">
        <w:t xml:space="preserve">The </w:t>
      </w:r>
      <w:r w:rsidR="3F86A037">
        <w:t>PS21</w:t>
      </w:r>
      <w:r w:rsidRPr="00DE108C">
        <w:t xml:space="preserve"> committed Melbourne Water to initiate a comprehensive review of tariff structures. Melbourne Water established a Bulk Tariff Review working group in 2022</w:t>
      </w:r>
      <w:r w:rsidR="55727E0C">
        <w:t>,</w:t>
      </w:r>
      <w:r w:rsidRPr="00DE108C">
        <w:t xml:space="preserve"> which transitioned to the Regulatory and Tariff Forum in 2025</w:t>
      </w:r>
      <w:r w:rsidR="00332C15" w:rsidRPr="00DE108C">
        <w:t>,</w:t>
      </w:r>
      <w:r w:rsidRPr="00DE108C">
        <w:t xml:space="preserve"> with representative from all connected water corporations. The review was intimately linked to the South-Central Reform project</w:t>
      </w:r>
      <w:r w:rsidR="5BF338C4">
        <w:t>,</w:t>
      </w:r>
      <w:r w:rsidRPr="00DE108C">
        <w:t xml:space="preserve"> which evolved from the South-Central Market Trial. The group met over 20 times and considered objectives for a tariff review, various options and assessed options against the objectives to provide a majority or consensus view on several reform proposals</w:t>
      </w:r>
      <w:r w:rsidR="005244AA" w:rsidRPr="00DE108C">
        <w:t xml:space="preserve"> (outlined in Table 11.5)</w:t>
      </w:r>
      <w:r w:rsidRPr="00DE108C">
        <w:t xml:space="preserve">. </w:t>
      </w:r>
    </w:p>
    <w:p w14:paraId="7E8A5E43" w14:textId="31DC3A33" w:rsidR="00046BD5" w:rsidRPr="00DE108C" w:rsidRDefault="00046BD5" w:rsidP="00ED094E">
      <w:r w:rsidRPr="00DE108C">
        <w:lastRenderedPageBreak/>
        <w:t>The following objectives were agreed by all water corporations that were part of the review, which include reference to the WIRO and ESC’s Guidance</w:t>
      </w:r>
      <w:r w:rsidR="792FEF4A">
        <w:t>,</w:t>
      </w:r>
      <w:r w:rsidRPr="00DE108C">
        <w:t xml:space="preserve"> as well as the preferences of water corporations advocating for the interests of their customers.</w:t>
      </w:r>
    </w:p>
    <w:p w14:paraId="1D4F34AA" w14:textId="3C813F22" w:rsidR="00046BD5" w:rsidRPr="00DE108C" w:rsidRDefault="00046BD5" w:rsidP="00ED094E">
      <w:pPr>
        <w:pStyle w:val="Caption"/>
      </w:pPr>
      <w:bookmarkStart w:id="1107" w:name="_Toc207893108"/>
      <w:bookmarkStart w:id="1108" w:name="_Toc208490632"/>
      <w:bookmarkStart w:id="1109" w:name="_Toc208490970"/>
      <w:bookmarkStart w:id="1110" w:name="_Toc208911128"/>
      <w:bookmarkStart w:id="1111" w:name="_Toc210051434"/>
      <w:r w:rsidRPr="00DE108C">
        <w:t>Table 11.5: Tariff Review objectives</w:t>
      </w:r>
      <w:bookmarkEnd w:id="1107"/>
      <w:bookmarkEnd w:id="1108"/>
      <w:bookmarkEnd w:id="1109"/>
      <w:bookmarkEnd w:id="1110"/>
      <w:bookmarkEnd w:id="1111"/>
    </w:p>
    <w:tbl>
      <w:tblPr>
        <w:tblStyle w:val="TableGrid"/>
        <w:tblW w:w="5000" w:type="pct"/>
        <w:tblLook w:val="04A0" w:firstRow="1" w:lastRow="0" w:firstColumn="1" w:lastColumn="0" w:noHBand="0" w:noVBand="1"/>
      </w:tblPr>
      <w:tblGrid>
        <w:gridCol w:w="2122"/>
        <w:gridCol w:w="7506"/>
      </w:tblGrid>
      <w:tr w:rsidR="005B2F07" w:rsidRPr="00DE108C" w14:paraId="5F28D540" w14:textId="77777777" w:rsidTr="0028111A">
        <w:trPr>
          <w:cnfStyle w:val="100000000000" w:firstRow="1" w:lastRow="0" w:firstColumn="0" w:lastColumn="0" w:oddVBand="0" w:evenVBand="0" w:oddHBand="0" w:evenHBand="0" w:firstRowFirstColumn="0" w:firstRowLastColumn="0" w:lastRowFirstColumn="0" w:lastRowLastColumn="0"/>
          <w:trHeight w:val="300"/>
        </w:trPr>
        <w:tc>
          <w:tcPr>
            <w:tcW w:w="1102" w:type="pct"/>
            <w:vAlign w:val="center"/>
          </w:tcPr>
          <w:p w14:paraId="02A42F35" w14:textId="77777777" w:rsidR="00046BD5" w:rsidRPr="00DE108C" w:rsidRDefault="00046BD5" w:rsidP="0061018E">
            <w:pPr>
              <w:keepLines/>
              <w:rPr>
                <w:b/>
              </w:rPr>
            </w:pPr>
            <w:r w:rsidRPr="0061018E">
              <w:rPr>
                <w:b/>
                <w:sz w:val="16"/>
                <w:szCs w:val="16"/>
              </w:rPr>
              <w:t>Objective</w:t>
            </w:r>
          </w:p>
        </w:tc>
        <w:tc>
          <w:tcPr>
            <w:tcW w:w="3898" w:type="pct"/>
          </w:tcPr>
          <w:p w14:paraId="6FB3C8BC" w14:textId="77777777" w:rsidR="00046BD5" w:rsidRPr="00DE108C" w:rsidRDefault="00046BD5" w:rsidP="00467E6F">
            <w:pPr>
              <w:keepLines/>
              <w:rPr>
                <w:b/>
              </w:rPr>
            </w:pPr>
            <w:r w:rsidRPr="00DE108C">
              <w:rPr>
                <w:b/>
                <w:sz w:val="16"/>
                <w:szCs w:val="16"/>
              </w:rPr>
              <w:t>Supporting Statements</w:t>
            </w:r>
          </w:p>
        </w:tc>
      </w:tr>
      <w:tr w:rsidR="00AD10F1" w:rsidRPr="00DE108C" w14:paraId="281792DA" w14:textId="77777777" w:rsidTr="0028111A">
        <w:tc>
          <w:tcPr>
            <w:tcW w:w="1102" w:type="pct"/>
            <w:vAlign w:val="center"/>
          </w:tcPr>
          <w:p w14:paraId="3C89D9E2" w14:textId="77777777" w:rsidR="00046BD5" w:rsidRPr="00DE108C" w:rsidRDefault="00046BD5" w:rsidP="0061018E">
            <w:pPr>
              <w:pStyle w:val="TableBody"/>
              <w:rPr>
                <w:rFonts w:asciiTheme="majorHAnsi" w:hAnsiTheme="majorHAnsi"/>
                <w:b/>
                <w:szCs w:val="16"/>
              </w:rPr>
            </w:pPr>
            <w:r w:rsidRPr="0061018E">
              <w:t xml:space="preserve">Sustainable </w:t>
            </w:r>
            <w:r w:rsidRPr="00DE108C">
              <w:rPr>
                <w:rFonts w:asciiTheme="majorHAnsi" w:hAnsiTheme="majorHAnsi"/>
                <w:b/>
                <w:bCs/>
                <w:szCs w:val="16"/>
              </w:rPr>
              <w:t>r</w:t>
            </w:r>
            <w:r w:rsidRPr="00DE108C">
              <w:rPr>
                <w:rFonts w:asciiTheme="majorHAnsi" w:hAnsiTheme="majorHAnsi"/>
                <w:b/>
                <w:szCs w:val="16"/>
              </w:rPr>
              <w:t>evenue</w:t>
            </w:r>
          </w:p>
        </w:tc>
        <w:tc>
          <w:tcPr>
            <w:tcW w:w="3898" w:type="pct"/>
          </w:tcPr>
          <w:p w14:paraId="0F788095" w14:textId="728E2FB7" w:rsidR="00046BD5" w:rsidRPr="00DE108C" w:rsidRDefault="00046BD5">
            <w:pPr>
              <w:pStyle w:val="ListParagraph"/>
              <w:keepNext/>
              <w:keepLines/>
              <w:numPr>
                <w:ilvl w:val="0"/>
                <w:numId w:val="15"/>
              </w:numPr>
              <w:tabs>
                <w:tab w:val="left" w:pos="284"/>
                <w:tab w:val="left" w:pos="4536"/>
                <w:tab w:val="left" w:pos="6804"/>
                <w:tab w:val="right" w:pos="9638"/>
              </w:tabs>
              <w:spacing w:after="120" w:line="240" w:lineRule="auto"/>
              <w:ind w:left="284" w:hanging="284"/>
              <w:rPr>
                <w:sz w:val="16"/>
                <w:szCs w:val="16"/>
              </w:rPr>
            </w:pPr>
            <w:r w:rsidRPr="00DE108C">
              <w:rPr>
                <w:sz w:val="16"/>
                <w:szCs w:val="16"/>
              </w:rPr>
              <w:t>Melbourne Water can recover its revenue requirement</w:t>
            </w:r>
            <w:r w:rsidR="592212FA" w:rsidRPr="4ACF07AD">
              <w:rPr>
                <w:sz w:val="16"/>
                <w:szCs w:val="16"/>
              </w:rPr>
              <w:t>.</w:t>
            </w:r>
          </w:p>
          <w:p w14:paraId="1CE98090" w14:textId="4BA0D8EA" w:rsidR="00046BD5" w:rsidRPr="00DE108C" w:rsidRDefault="00046BD5">
            <w:pPr>
              <w:pStyle w:val="ListParagraph"/>
              <w:keepNext/>
              <w:keepLines/>
              <w:numPr>
                <w:ilvl w:val="0"/>
                <w:numId w:val="15"/>
              </w:numPr>
              <w:tabs>
                <w:tab w:val="left" w:pos="284"/>
                <w:tab w:val="left" w:pos="4536"/>
                <w:tab w:val="left" w:pos="6804"/>
                <w:tab w:val="right" w:pos="9638"/>
              </w:tabs>
              <w:spacing w:after="120" w:line="240" w:lineRule="auto"/>
              <w:ind w:left="284" w:hanging="284"/>
              <w:rPr>
                <w:sz w:val="16"/>
                <w:szCs w:val="16"/>
              </w:rPr>
            </w:pPr>
            <w:r w:rsidRPr="00DE108C">
              <w:rPr>
                <w:sz w:val="16"/>
                <w:szCs w:val="16"/>
              </w:rPr>
              <w:t>Risk is balanced between Melbourne Water and customers</w:t>
            </w:r>
            <w:r w:rsidR="7E0BD534" w:rsidRPr="4ACF07AD">
              <w:rPr>
                <w:sz w:val="16"/>
                <w:szCs w:val="16"/>
              </w:rPr>
              <w:t>.</w:t>
            </w:r>
            <w:r w:rsidRPr="00DE108C">
              <w:rPr>
                <w:sz w:val="16"/>
                <w:szCs w:val="16"/>
              </w:rPr>
              <w:t xml:space="preserve"> </w:t>
            </w:r>
          </w:p>
          <w:p w14:paraId="44F5E323" w14:textId="21EFD0ED" w:rsidR="00046BD5" w:rsidRPr="00DE108C" w:rsidRDefault="00046BD5">
            <w:pPr>
              <w:pStyle w:val="ListParagraph"/>
              <w:keepNext/>
              <w:keepLines/>
              <w:numPr>
                <w:ilvl w:val="0"/>
                <w:numId w:val="15"/>
              </w:numPr>
              <w:tabs>
                <w:tab w:val="left" w:pos="284"/>
                <w:tab w:val="left" w:pos="4536"/>
                <w:tab w:val="left" w:pos="6804"/>
                <w:tab w:val="right" w:pos="9638"/>
              </w:tabs>
              <w:spacing w:after="120" w:line="240" w:lineRule="auto"/>
              <w:ind w:left="284" w:hanging="284"/>
              <w:rPr>
                <w:sz w:val="16"/>
                <w:szCs w:val="16"/>
              </w:rPr>
            </w:pPr>
            <w:r w:rsidRPr="00DE108C">
              <w:rPr>
                <w:sz w:val="16"/>
                <w:szCs w:val="16"/>
              </w:rPr>
              <w:t>Cost of implementation of reform does not exceed benefits, including costs to capture any additional data required for a different charging structure and changes to retail water corporation billing systems</w:t>
            </w:r>
            <w:r w:rsidR="24486F64" w:rsidRPr="4ACF07AD">
              <w:rPr>
                <w:sz w:val="16"/>
                <w:szCs w:val="16"/>
              </w:rPr>
              <w:t>.</w:t>
            </w:r>
          </w:p>
        </w:tc>
      </w:tr>
      <w:tr w:rsidR="005B2F07" w:rsidRPr="00DE108C" w14:paraId="02B7A7DE" w14:textId="77777777" w:rsidTr="0028111A">
        <w:trPr>
          <w:cnfStyle w:val="000000010000" w:firstRow="0" w:lastRow="0" w:firstColumn="0" w:lastColumn="0" w:oddVBand="0" w:evenVBand="0" w:oddHBand="0" w:evenHBand="1" w:firstRowFirstColumn="0" w:firstRowLastColumn="0" w:lastRowFirstColumn="0" w:lastRowLastColumn="0"/>
        </w:trPr>
        <w:tc>
          <w:tcPr>
            <w:tcW w:w="1102" w:type="pct"/>
            <w:vAlign w:val="center"/>
          </w:tcPr>
          <w:p w14:paraId="2B698692" w14:textId="77777777" w:rsidR="00046BD5" w:rsidRPr="00DE108C" w:rsidRDefault="00046BD5" w:rsidP="0061018E">
            <w:pPr>
              <w:pStyle w:val="TableBody"/>
              <w:rPr>
                <w:rFonts w:asciiTheme="majorHAnsi" w:hAnsiTheme="majorHAnsi"/>
                <w:b/>
                <w:szCs w:val="16"/>
              </w:rPr>
            </w:pPr>
            <w:r w:rsidRPr="00DE108C">
              <w:t xml:space="preserve">Incentivising </w:t>
            </w:r>
            <w:r w:rsidRPr="00DE108C">
              <w:rPr>
                <w:rFonts w:asciiTheme="majorHAnsi" w:hAnsiTheme="majorHAnsi"/>
                <w:b/>
                <w:bCs/>
                <w:szCs w:val="16"/>
              </w:rPr>
              <w:t>efficient i</w:t>
            </w:r>
            <w:r w:rsidRPr="00DE108C">
              <w:rPr>
                <w:rFonts w:asciiTheme="majorHAnsi" w:hAnsiTheme="majorHAnsi"/>
                <w:b/>
                <w:szCs w:val="16"/>
              </w:rPr>
              <w:t>nvestment</w:t>
            </w:r>
          </w:p>
        </w:tc>
        <w:tc>
          <w:tcPr>
            <w:tcW w:w="3898" w:type="pct"/>
          </w:tcPr>
          <w:p w14:paraId="0A5C4C8F" w14:textId="18F4CA22" w:rsidR="00046BD5" w:rsidRPr="00DE108C" w:rsidRDefault="00046BD5">
            <w:pPr>
              <w:pStyle w:val="ListParagraph"/>
              <w:keepNext/>
              <w:keepLines/>
              <w:numPr>
                <w:ilvl w:val="0"/>
                <w:numId w:val="15"/>
              </w:numPr>
              <w:tabs>
                <w:tab w:val="left" w:pos="284"/>
                <w:tab w:val="left" w:pos="4536"/>
                <w:tab w:val="left" w:pos="6804"/>
                <w:tab w:val="right" w:pos="9638"/>
              </w:tabs>
              <w:spacing w:after="120" w:line="240" w:lineRule="auto"/>
              <w:ind w:left="284" w:hanging="284"/>
              <w:rPr>
                <w:sz w:val="16"/>
                <w:szCs w:val="16"/>
              </w:rPr>
            </w:pPr>
            <w:r w:rsidRPr="00DE108C">
              <w:rPr>
                <w:sz w:val="16"/>
                <w:szCs w:val="16"/>
              </w:rPr>
              <w:t>Efficient investment is incentivised by price signals that can be responded to</w:t>
            </w:r>
            <w:r w:rsidR="66D70CD0" w:rsidRPr="4ACF07AD">
              <w:rPr>
                <w:sz w:val="16"/>
                <w:szCs w:val="16"/>
              </w:rPr>
              <w:t>.</w:t>
            </w:r>
            <w:r w:rsidRPr="00DE108C">
              <w:rPr>
                <w:sz w:val="16"/>
                <w:szCs w:val="16"/>
              </w:rPr>
              <w:t xml:space="preserve"> </w:t>
            </w:r>
          </w:p>
          <w:p w14:paraId="11F1C24C" w14:textId="3ECFE3DC" w:rsidR="00046BD5" w:rsidRPr="00DE108C" w:rsidRDefault="00046BD5">
            <w:pPr>
              <w:pStyle w:val="ListParagraph"/>
              <w:keepNext/>
              <w:keepLines/>
              <w:numPr>
                <w:ilvl w:val="0"/>
                <w:numId w:val="15"/>
              </w:numPr>
              <w:tabs>
                <w:tab w:val="left" w:pos="284"/>
                <w:tab w:val="left" w:pos="4536"/>
                <w:tab w:val="left" w:pos="6804"/>
                <w:tab w:val="right" w:pos="9638"/>
              </w:tabs>
              <w:spacing w:after="120" w:line="240" w:lineRule="auto"/>
              <w:ind w:left="284" w:hanging="284"/>
              <w:rPr>
                <w:sz w:val="16"/>
                <w:szCs w:val="16"/>
              </w:rPr>
            </w:pPr>
            <w:r w:rsidRPr="00DE108C">
              <w:rPr>
                <w:sz w:val="16"/>
                <w:szCs w:val="16"/>
              </w:rPr>
              <w:t>Water security, including the need for future augmentations and their impact has been considered</w:t>
            </w:r>
            <w:r w:rsidR="2EEA65BE" w:rsidRPr="4ACF07AD">
              <w:rPr>
                <w:sz w:val="16"/>
                <w:szCs w:val="16"/>
              </w:rPr>
              <w:t>.</w:t>
            </w:r>
          </w:p>
        </w:tc>
      </w:tr>
      <w:tr w:rsidR="00AD10F1" w:rsidRPr="00DE108C" w14:paraId="1AADDE5E" w14:textId="77777777" w:rsidTr="0028111A">
        <w:tc>
          <w:tcPr>
            <w:tcW w:w="1102" w:type="pct"/>
            <w:vAlign w:val="center"/>
          </w:tcPr>
          <w:p w14:paraId="5AAFA359" w14:textId="77777777" w:rsidR="00046BD5" w:rsidRPr="00DE108C" w:rsidRDefault="00046BD5" w:rsidP="0061018E">
            <w:pPr>
              <w:pStyle w:val="TableBody"/>
              <w:rPr>
                <w:rFonts w:asciiTheme="majorHAnsi" w:hAnsiTheme="majorHAnsi"/>
                <w:b/>
                <w:szCs w:val="16"/>
              </w:rPr>
            </w:pPr>
            <w:r w:rsidRPr="00DE108C">
              <w:t xml:space="preserve">Consistency with </w:t>
            </w:r>
            <w:r w:rsidRPr="00DE108C">
              <w:rPr>
                <w:rFonts w:asciiTheme="majorHAnsi" w:hAnsiTheme="majorHAnsi"/>
                <w:b/>
                <w:bCs/>
                <w:szCs w:val="16"/>
              </w:rPr>
              <w:t>policy</w:t>
            </w:r>
            <w:r w:rsidRPr="00DE108C">
              <w:rPr>
                <w:rFonts w:asciiTheme="majorHAnsi" w:hAnsiTheme="majorHAnsi"/>
                <w:b/>
                <w:szCs w:val="16"/>
              </w:rPr>
              <w:t xml:space="preserve"> and </w:t>
            </w:r>
            <w:r w:rsidRPr="00DE108C">
              <w:rPr>
                <w:rFonts w:asciiTheme="majorHAnsi" w:hAnsiTheme="majorHAnsi"/>
                <w:b/>
                <w:bCs/>
                <w:szCs w:val="16"/>
              </w:rPr>
              <w:t>regulatory e</w:t>
            </w:r>
            <w:r w:rsidRPr="00DE108C">
              <w:rPr>
                <w:rFonts w:asciiTheme="majorHAnsi" w:hAnsiTheme="majorHAnsi"/>
                <w:b/>
                <w:szCs w:val="16"/>
              </w:rPr>
              <w:t>nvironment</w:t>
            </w:r>
          </w:p>
        </w:tc>
        <w:tc>
          <w:tcPr>
            <w:tcW w:w="3898" w:type="pct"/>
          </w:tcPr>
          <w:p w14:paraId="1F1A73EA" w14:textId="1F02D669" w:rsidR="00046BD5" w:rsidRPr="00DE108C" w:rsidRDefault="00046BD5">
            <w:pPr>
              <w:pStyle w:val="ListParagraph"/>
              <w:numPr>
                <w:ilvl w:val="0"/>
                <w:numId w:val="15"/>
              </w:numPr>
              <w:tabs>
                <w:tab w:val="left" w:pos="284"/>
                <w:tab w:val="left" w:pos="4536"/>
                <w:tab w:val="left" w:pos="6804"/>
                <w:tab w:val="right" w:pos="9638"/>
              </w:tabs>
              <w:spacing w:after="120" w:line="240" w:lineRule="auto"/>
              <w:ind w:left="284" w:hanging="284"/>
              <w:rPr>
                <w:sz w:val="16"/>
                <w:szCs w:val="16"/>
              </w:rPr>
            </w:pPr>
            <w:r w:rsidRPr="00DE108C">
              <w:rPr>
                <w:sz w:val="16"/>
                <w:szCs w:val="16"/>
              </w:rPr>
              <w:t xml:space="preserve">Tariffs are consistent with the South-Central reform process and </w:t>
            </w:r>
            <w:r w:rsidR="055C5187" w:rsidRPr="4ACF07AD">
              <w:rPr>
                <w:sz w:val="16"/>
                <w:szCs w:val="16"/>
              </w:rPr>
              <w:t xml:space="preserve">the </w:t>
            </w:r>
            <w:r w:rsidR="2846231F" w:rsidRPr="4ACF07AD">
              <w:rPr>
                <w:sz w:val="16"/>
                <w:szCs w:val="16"/>
              </w:rPr>
              <w:t>Department</w:t>
            </w:r>
            <w:r w:rsidR="4D99896E" w:rsidRPr="4ACF07AD">
              <w:rPr>
                <w:sz w:val="16"/>
                <w:szCs w:val="16"/>
              </w:rPr>
              <w:t xml:space="preserve"> of Environment, Energy and Climate Action’s (</w:t>
            </w:r>
            <w:r w:rsidRPr="00DE108C">
              <w:rPr>
                <w:sz w:val="16"/>
                <w:szCs w:val="16"/>
              </w:rPr>
              <w:t>DEECA</w:t>
            </w:r>
            <w:r w:rsidR="3F0373B1" w:rsidRPr="4ACF07AD">
              <w:rPr>
                <w:sz w:val="16"/>
                <w:szCs w:val="16"/>
              </w:rPr>
              <w:t>)</w:t>
            </w:r>
            <w:r w:rsidRPr="00DE108C">
              <w:rPr>
                <w:sz w:val="16"/>
                <w:szCs w:val="16"/>
              </w:rPr>
              <w:t xml:space="preserve"> timeline</w:t>
            </w:r>
            <w:r w:rsidR="399CB2DA" w:rsidRPr="4ACF07AD">
              <w:rPr>
                <w:sz w:val="16"/>
                <w:szCs w:val="16"/>
              </w:rPr>
              <w:t>.</w:t>
            </w:r>
          </w:p>
          <w:p w14:paraId="54DD95AC" w14:textId="05928357" w:rsidR="00046BD5" w:rsidRPr="00DE108C" w:rsidRDefault="00046BD5">
            <w:pPr>
              <w:pStyle w:val="ListParagraph"/>
              <w:numPr>
                <w:ilvl w:val="0"/>
                <w:numId w:val="15"/>
              </w:numPr>
              <w:tabs>
                <w:tab w:val="left" w:pos="284"/>
                <w:tab w:val="left" w:pos="4536"/>
                <w:tab w:val="left" w:pos="6804"/>
                <w:tab w:val="right" w:pos="9638"/>
              </w:tabs>
              <w:spacing w:after="120" w:line="240" w:lineRule="auto"/>
              <w:ind w:left="284" w:hanging="284"/>
              <w:rPr>
                <w:sz w:val="16"/>
                <w:szCs w:val="16"/>
              </w:rPr>
            </w:pPr>
            <w:r w:rsidRPr="00DE108C">
              <w:rPr>
                <w:sz w:val="16"/>
                <w:szCs w:val="16"/>
              </w:rPr>
              <w:t>Tariffs are in keeping with government policy and industry strategies</w:t>
            </w:r>
            <w:r w:rsidR="5D01EBF7" w:rsidRPr="4ACF07AD">
              <w:rPr>
                <w:sz w:val="16"/>
                <w:szCs w:val="16"/>
              </w:rPr>
              <w:t>.</w:t>
            </w:r>
          </w:p>
          <w:p w14:paraId="53C3D421" w14:textId="167F3ABC" w:rsidR="00046BD5" w:rsidRPr="00DE108C" w:rsidRDefault="00046BD5">
            <w:pPr>
              <w:pStyle w:val="ListParagraph"/>
              <w:numPr>
                <w:ilvl w:val="0"/>
                <w:numId w:val="15"/>
              </w:numPr>
              <w:tabs>
                <w:tab w:val="left" w:pos="284"/>
                <w:tab w:val="left" w:pos="4536"/>
                <w:tab w:val="left" w:pos="6804"/>
                <w:tab w:val="right" w:pos="9638"/>
              </w:tabs>
              <w:spacing w:after="120" w:line="240" w:lineRule="auto"/>
              <w:ind w:left="284" w:hanging="284"/>
              <w:rPr>
                <w:sz w:val="16"/>
                <w:szCs w:val="16"/>
              </w:rPr>
            </w:pPr>
            <w:r w:rsidRPr="00DE108C">
              <w:rPr>
                <w:sz w:val="16"/>
                <w:szCs w:val="16"/>
              </w:rPr>
              <w:t>Tariffs meet ESC guidance and the WIRO</w:t>
            </w:r>
            <w:r w:rsidR="5D01EBF7" w:rsidRPr="4ACF07AD">
              <w:rPr>
                <w:sz w:val="16"/>
                <w:szCs w:val="16"/>
              </w:rPr>
              <w:t>.</w:t>
            </w:r>
          </w:p>
        </w:tc>
      </w:tr>
      <w:tr w:rsidR="005B2F07" w:rsidRPr="00DE108C" w14:paraId="287BC01F" w14:textId="77777777" w:rsidTr="0028111A">
        <w:trPr>
          <w:cnfStyle w:val="000000010000" w:firstRow="0" w:lastRow="0" w:firstColumn="0" w:lastColumn="0" w:oddVBand="0" w:evenVBand="0" w:oddHBand="0" w:evenHBand="1" w:firstRowFirstColumn="0" w:firstRowLastColumn="0" w:lastRowFirstColumn="0" w:lastRowLastColumn="0"/>
        </w:trPr>
        <w:tc>
          <w:tcPr>
            <w:tcW w:w="1102" w:type="pct"/>
            <w:vAlign w:val="center"/>
          </w:tcPr>
          <w:p w14:paraId="1B38709A" w14:textId="77777777" w:rsidR="00046BD5" w:rsidRPr="00DE108C" w:rsidRDefault="00046BD5" w:rsidP="0061018E">
            <w:pPr>
              <w:pStyle w:val="TableBody"/>
              <w:rPr>
                <w:rFonts w:asciiTheme="majorHAnsi" w:hAnsiTheme="majorHAnsi"/>
                <w:b/>
                <w:szCs w:val="16"/>
              </w:rPr>
            </w:pPr>
            <w:r w:rsidRPr="00DE108C">
              <w:t xml:space="preserve">Customer </w:t>
            </w:r>
            <w:r w:rsidRPr="00DE108C">
              <w:rPr>
                <w:rFonts w:asciiTheme="majorHAnsi" w:hAnsiTheme="majorHAnsi"/>
                <w:b/>
                <w:bCs/>
                <w:szCs w:val="16"/>
              </w:rPr>
              <w:t>impacts</w:t>
            </w:r>
          </w:p>
        </w:tc>
        <w:tc>
          <w:tcPr>
            <w:tcW w:w="3898" w:type="pct"/>
          </w:tcPr>
          <w:p w14:paraId="5F447D1D" w14:textId="3BA1EDDD" w:rsidR="00046BD5" w:rsidRPr="00DE108C" w:rsidRDefault="00046BD5">
            <w:pPr>
              <w:pStyle w:val="ListParagraph"/>
              <w:numPr>
                <w:ilvl w:val="0"/>
                <w:numId w:val="15"/>
              </w:numPr>
              <w:tabs>
                <w:tab w:val="left" w:pos="284"/>
                <w:tab w:val="left" w:pos="4536"/>
                <w:tab w:val="left" w:pos="6804"/>
                <w:tab w:val="right" w:pos="9638"/>
              </w:tabs>
              <w:spacing w:after="120" w:line="240" w:lineRule="auto"/>
              <w:ind w:left="284" w:hanging="284"/>
              <w:rPr>
                <w:sz w:val="16"/>
                <w:szCs w:val="16"/>
              </w:rPr>
            </w:pPr>
            <w:r w:rsidRPr="00DE108C">
              <w:rPr>
                <w:sz w:val="16"/>
                <w:szCs w:val="16"/>
              </w:rPr>
              <w:t>Customer impacts (taking into account transition arrangement) are acceptable to the general public, customers and stakeholders</w:t>
            </w:r>
            <w:r w:rsidR="0EB2A72C" w:rsidRPr="4ACF07AD">
              <w:rPr>
                <w:sz w:val="16"/>
                <w:szCs w:val="16"/>
              </w:rPr>
              <w:t>.</w:t>
            </w:r>
          </w:p>
          <w:p w14:paraId="6180B213" w14:textId="7306077D" w:rsidR="00046BD5" w:rsidRPr="00DE108C" w:rsidRDefault="00046BD5">
            <w:pPr>
              <w:pStyle w:val="ListParagraph"/>
              <w:numPr>
                <w:ilvl w:val="0"/>
                <w:numId w:val="15"/>
              </w:numPr>
              <w:tabs>
                <w:tab w:val="left" w:pos="284"/>
                <w:tab w:val="left" w:pos="4536"/>
                <w:tab w:val="left" w:pos="6804"/>
                <w:tab w:val="right" w:pos="9638"/>
              </w:tabs>
              <w:spacing w:after="120" w:line="240" w:lineRule="auto"/>
              <w:ind w:left="284" w:hanging="284"/>
              <w:rPr>
                <w:sz w:val="16"/>
                <w:szCs w:val="16"/>
              </w:rPr>
            </w:pPr>
            <w:r w:rsidRPr="00DE108C">
              <w:rPr>
                <w:sz w:val="16"/>
                <w:szCs w:val="16"/>
              </w:rPr>
              <w:t>Impacts on water corporations’ viability is acceptable</w:t>
            </w:r>
            <w:r w:rsidR="0EB2A72C" w:rsidRPr="4ACF07AD">
              <w:rPr>
                <w:sz w:val="16"/>
                <w:szCs w:val="16"/>
              </w:rPr>
              <w:t>.</w:t>
            </w:r>
          </w:p>
          <w:p w14:paraId="213C7C5D" w14:textId="0C63D85E" w:rsidR="00046BD5" w:rsidRPr="00DE108C" w:rsidRDefault="00046BD5">
            <w:pPr>
              <w:pStyle w:val="ListParagraph"/>
              <w:numPr>
                <w:ilvl w:val="0"/>
                <w:numId w:val="15"/>
              </w:numPr>
              <w:tabs>
                <w:tab w:val="left" w:pos="284"/>
                <w:tab w:val="left" w:pos="4536"/>
                <w:tab w:val="left" w:pos="6804"/>
                <w:tab w:val="right" w:pos="9638"/>
              </w:tabs>
              <w:spacing w:after="120" w:line="240" w:lineRule="auto"/>
              <w:ind w:left="284" w:hanging="284"/>
              <w:rPr>
                <w:sz w:val="16"/>
                <w:szCs w:val="16"/>
              </w:rPr>
            </w:pPr>
            <w:r w:rsidRPr="00DE108C">
              <w:rPr>
                <w:sz w:val="16"/>
                <w:szCs w:val="16"/>
              </w:rPr>
              <w:t>Material differences in levels of service and product quality have been considered</w:t>
            </w:r>
            <w:r w:rsidR="01E0517C" w:rsidRPr="4ACF07AD">
              <w:rPr>
                <w:sz w:val="16"/>
                <w:szCs w:val="16"/>
              </w:rPr>
              <w:t>.</w:t>
            </w:r>
          </w:p>
        </w:tc>
      </w:tr>
    </w:tbl>
    <w:bookmarkEnd w:id="1082"/>
    <w:p w14:paraId="2E8631EA" w14:textId="77777777" w:rsidR="00046BD5" w:rsidRPr="00DE108C" w:rsidRDefault="00046BD5" w:rsidP="00ED094E">
      <w:r w:rsidRPr="00DE108C">
        <w:t>This bulk tariff review has resulted in proposed changes to bulk water tariffs and minor amendments to bulk sewerage tariffs.</w:t>
      </w:r>
    </w:p>
    <w:p w14:paraId="6D35B0E0" w14:textId="3D507974" w:rsidR="00046BD5" w:rsidRPr="00DE108C" w:rsidRDefault="00046BD5" w:rsidP="00ED094E">
      <w:r w:rsidRPr="00DE108C">
        <w:t xml:space="preserve">Melbourne Water has also considered a number of options for reform of waterways and drainage tariffs. We are proposing to continue the reforms to non-residential waterways and drainage tariffs, which we have only partly delivered and, which at full implementation, we consider better meet the requirements of the </w:t>
      </w:r>
      <w:r w:rsidR="243E5EA0">
        <w:t>WIRO</w:t>
      </w:r>
      <w:r w:rsidRPr="00DE108C">
        <w:t xml:space="preserve"> and the Guidance</w:t>
      </w:r>
      <w:r w:rsidR="00A86B88">
        <w:t xml:space="preserve"> Paper</w:t>
      </w:r>
      <w:r w:rsidRPr="00DE108C">
        <w:t xml:space="preserve">. </w:t>
      </w:r>
    </w:p>
    <w:p w14:paraId="3FCF7D88" w14:textId="77777777" w:rsidR="00046BD5" w:rsidRPr="00DE108C" w:rsidRDefault="00046BD5">
      <w:pPr>
        <w:pStyle w:val="Heading3"/>
      </w:pPr>
      <w:r w:rsidRPr="00DE108C">
        <w:t>11.2.2 South-Central Reforms</w:t>
      </w:r>
    </w:p>
    <w:p w14:paraId="160FA380" w14:textId="56C5E99A" w:rsidR="00046BD5" w:rsidRPr="00DE108C" w:rsidRDefault="00046BD5" w:rsidP="00ED094E">
      <w:r w:rsidRPr="00DE108C">
        <w:t>In the 2022 Central and Gippsland Region Sustainable Water Strategy</w:t>
      </w:r>
      <w:r w:rsidR="58FD97EE">
        <w:t xml:space="preserve"> (CGRSWS)</w:t>
      </w:r>
      <w:r>
        <w:t>,</w:t>
      </w:r>
      <w:r w:rsidRPr="00DE108C">
        <w:t xml:space="preserve"> in Action 9-3 DEECA committed to creating a south central pooled resource and associated reforms, to simplify and improve transparency in water sharing across the region. Over the past three years, DEECA has collaborated with metropolitan and regional water corporations to design a reformed bulk entitlement framework. This culminated in the development of a joint governance model, supported by newly drafted bulk entitlements that define roles, responsibilities, and access to a shared urban water source – the South-Central Pool – comprising surface and desalinated water from the Melbourne system.</w:t>
      </w:r>
    </w:p>
    <w:p w14:paraId="710017D9" w14:textId="77777777" w:rsidR="00046BD5" w:rsidRPr="00DE108C" w:rsidRDefault="00046BD5" w:rsidP="00ED094E">
      <w:r w:rsidRPr="00DE108C">
        <w:t>The new bulk entitlements will enable all connected water corporations to access water from the South-Central Pool as needed, within a collective volumetric cap, removing individual volumetric caps – on which headworks pricing has been based since the entitlements came into effect. Melbourne Water retains its entitlement to surface water and gains a new entitlement to desalinated water, both dedicated to the pool. The governance framework ensures statutory obligations are upheld while enabling coordinated decision-making. Existing entitlements for the Victorian Environmental Water Holder and Southern Rural Water, as well as those in Northern Victoria remain unaffected.</w:t>
      </w:r>
    </w:p>
    <w:p w14:paraId="2B9FE26F" w14:textId="77D312B3" w:rsidR="00046BD5" w:rsidRPr="00821A05" w:rsidRDefault="00046BD5" w:rsidP="00ED094E">
      <w:r w:rsidRPr="00DE108C">
        <w:t xml:space="preserve">The key aspects of the reforms that are to be enacted through Melbourne Water’s </w:t>
      </w:r>
      <w:r w:rsidR="3CCE964C">
        <w:t>P</w:t>
      </w:r>
      <w:r>
        <w:t xml:space="preserve">rice </w:t>
      </w:r>
      <w:r w:rsidR="10E28D71">
        <w:t>S</w:t>
      </w:r>
      <w:r>
        <w:t>ubmission</w:t>
      </w:r>
      <w:r w:rsidRPr="00DE108C">
        <w:t xml:space="preserve"> include pooling the costs of surface and desalinated water and moving to usage-</w:t>
      </w:r>
      <w:r w:rsidRPr="00DE108C">
        <w:lastRenderedPageBreak/>
        <w:t>based charges. This approach incentivises efficient water use, eliminates the need for inter-corporation water trading, and ensures fairer cost-sharing</w:t>
      </w:r>
      <w:r w:rsidR="7F5B817B">
        <w:t>,</w:t>
      </w:r>
      <w:r w:rsidRPr="00DE108C">
        <w:t xml:space="preserve"> especially for desalinated water. All connected corporations will begin to contribute to the costs of, and benefit from the water security of, current and future supply sources. DEECA has </w:t>
      </w:r>
      <w:r w:rsidR="000B1FA6" w:rsidRPr="00821A05">
        <w:t>drafted</w:t>
      </w:r>
      <w:r w:rsidRPr="00821A05">
        <w:t xml:space="preserve"> the new entitlements and </w:t>
      </w:r>
      <w:r w:rsidR="00783A5C" w:rsidRPr="00821A05">
        <w:t>the process</w:t>
      </w:r>
      <w:r w:rsidRPr="00821A05">
        <w:t xml:space="preserve"> to </w:t>
      </w:r>
      <w:r w:rsidR="00783A5C" w:rsidRPr="00821A05">
        <w:t xml:space="preserve">revoke existing entitlements and </w:t>
      </w:r>
      <w:r w:rsidR="00C1707F" w:rsidRPr="00821A05">
        <w:t>apply</w:t>
      </w:r>
      <w:r w:rsidRPr="00821A05">
        <w:t xml:space="preserve"> for </w:t>
      </w:r>
      <w:r w:rsidR="00C1707F" w:rsidRPr="00821A05">
        <w:t>new bulk entitlements has commenced with</w:t>
      </w:r>
      <w:r w:rsidRPr="00821A05">
        <w:t xml:space="preserve"> the new and amended bulk entitlements </w:t>
      </w:r>
      <w:r w:rsidR="00C1707F" w:rsidRPr="00821A05">
        <w:t xml:space="preserve">to be gazetted </w:t>
      </w:r>
      <w:r w:rsidRPr="00821A05">
        <w:t>by 1 July 2026</w:t>
      </w:r>
      <w:r w:rsidR="001B6591" w:rsidRPr="00821A05">
        <w:t>.</w:t>
      </w:r>
    </w:p>
    <w:p w14:paraId="2FBE86E1" w14:textId="77777777" w:rsidR="00046BD5" w:rsidRPr="00DE108C" w:rsidRDefault="00046BD5">
      <w:pPr>
        <w:pStyle w:val="Heading3"/>
      </w:pPr>
      <w:bookmarkStart w:id="1112" w:name="_Toc196745295"/>
      <w:r w:rsidRPr="00DE108C">
        <w:t>11.2.3 Bulk water</w:t>
      </w:r>
      <w:bookmarkEnd w:id="1112"/>
      <w:r w:rsidRPr="00DE108C">
        <w:t xml:space="preserve"> charges</w:t>
      </w:r>
    </w:p>
    <w:p w14:paraId="028F1429" w14:textId="0F8B5EC6" w:rsidR="00046BD5" w:rsidRPr="00DE108C" w:rsidRDefault="00046BD5" w:rsidP="00AA2D36">
      <w:r w:rsidRPr="00DE108C">
        <w:t>We undertook extensive engagement on tariff through the Bulk Tariff Review working group and the Regulatory and Tariff forums. We developed consensus positions with our bulk water customers. As a result, we are proposing to change our bulk water tariff structure to best put into effect the South-Central Reforms</w:t>
      </w:r>
      <w:r w:rsidR="002645D8" w:rsidRPr="00DE108C">
        <w:t xml:space="preserve"> (outlined in Table 11.6)</w:t>
      </w:r>
      <w:r w:rsidRPr="00DE108C">
        <w:t>. We are also updating the split between variable and fixed charging based on customer feedback that there should be more demand-revenue sharing between Melbourne Water and its customers. We will also formalise our raw water tariff to apply in instances where corporations supply point is upstream of water treatment infrastructure.</w:t>
      </w:r>
    </w:p>
    <w:p w14:paraId="4605110E" w14:textId="12C30BAC" w:rsidR="00046BD5" w:rsidRPr="00DE108C" w:rsidRDefault="00046BD5" w:rsidP="00ED094E">
      <w:pPr>
        <w:pStyle w:val="Caption"/>
      </w:pPr>
      <w:bookmarkStart w:id="1113" w:name="_Toc207893109"/>
      <w:bookmarkStart w:id="1114" w:name="_Toc208490633"/>
      <w:bookmarkStart w:id="1115" w:name="_Toc208490971"/>
      <w:bookmarkStart w:id="1116" w:name="_Toc208911129"/>
      <w:bookmarkStart w:id="1117" w:name="_Toc210051435"/>
      <w:r w:rsidRPr="00DE108C">
        <w:t xml:space="preserve">Table 11.6: Existing and </w:t>
      </w:r>
      <w:r w:rsidR="002645D8" w:rsidRPr="00DE108C">
        <w:t>p</w:t>
      </w:r>
      <w:r w:rsidRPr="00DE108C">
        <w:t>roposed bulk water charges</w:t>
      </w:r>
      <w:bookmarkEnd w:id="1113"/>
      <w:bookmarkEnd w:id="1114"/>
      <w:bookmarkEnd w:id="1115"/>
      <w:bookmarkEnd w:id="1116"/>
      <w:bookmarkEnd w:id="1117"/>
    </w:p>
    <w:tbl>
      <w:tblPr>
        <w:tblStyle w:val="TableGrid"/>
        <w:tblW w:w="9521" w:type="dxa"/>
        <w:tblInd w:w="-113" w:type="dxa"/>
        <w:tblLook w:val="04A0" w:firstRow="1" w:lastRow="0" w:firstColumn="1" w:lastColumn="0" w:noHBand="0" w:noVBand="1"/>
      </w:tblPr>
      <w:tblGrid>
        <w:gridCol w:w="4786"/>
        <w:gridCol w:w="4735"/>
      </w:tblGrid>
      <w:tr w:rsidR="005B2F07" w:rsidRPr="00DE108C" w14:paraId="1A2D2B23" w14:textId="77777777" w:rsidTr="0DEAD936">
        <w:trPr>
          <w:cnfStyle w:val="100000000000" w:firstRow="1" w:lastRow="0" w:firstColumn="0" w:lastColumn="0" w:oddVBand="0" w:evenVBand="0" w:oddHBand="0" w:evenHBand="0" w:firstRowFirstColumn="0" w:firstRowLastColumn="0" w:lastRowFirstColumn="0" w:lastRowLastColumn="0"/>
          <w:trHeight w:val="195"/>
        </w:trPr>
        <w:tc>
          <w:tcPr>
            <w:tcW w:w="4786" w:type="dxa"/>
            <w:vAlign w:val="center"/>
          </w:tcPr>
          <w:p w14:paraId="4B6C2DB7" w14:textId="46F3D54F" w:rsidR="00046BD5" w:rsidRPr="00DE108C" w:rsidRDefault="00046BD5" w:rsidP="00130248">
            <w:pPr>
              <w:pStyle w:val="Table"/>
            </w:pPr>
            <w:r w:rsidRPr="00DE108C">
              <w:t>Current Structure</w:t>
            </w:r>
          </w:p>
        </w:tc>
        <w:tc>
          <w:tcPr>
            <w:tcW w:w="4735" w:type="dxa"/>
          </w:tcPr>
          <w:p w14:paraId="102297FB" w14:textId="77777777" w:rsidR="00046BD5" w:rsidRPr="00DE108C" w:rsidRDefault="00046BD5" w:rsidP="00130248">
            <w:pPr>
              <w:pStyle w:val="Table"/>
            </w:pPr>
            <w:r w:rsidRPr="00DE108C">
              <w:t>Proposed structure</w:t>
            </w:r>
          </w:p>
        </w:tc>
      </w:tr>
      <w:tr w:rsidR="001E0631" w:rsidRPr="00DE108C" w14:paraId="22188BD3" w14:textId="77777777" w:rsidTr="00130248">
        <w:trPr>
          <w:trHeight w:val="1100"/>
        </w:trPr>
        <w:tc>
          <w:tcPr>
            <w:tcW w:w="4786" w:type="dxa"/>
            <w:tcBorders>
              <w:bottom w:val="single" w:sz="4" w:space="0" w:color="auto"/>
            </w:tcBorders>
            <w:vAlign w:val="center"/>
          </w:tcPr>
          <w:p w14:paraId="33829487" w14:textId="4126E331" w:rsidR="786F347E" w:rsidRDefault="786F347E" w:rsidP="00575A68">
            <w:pPr>
              <w:pStyle w:val="TableBody"/>
            </w:pPr>
            <w:r w:rsidRPr="0DEAD936">
              <w:t>The current bulk water tariff structure follows the water entitlement-based framework implemented in 2016. This provided for the following charges:</w:t>
            </w:r>
          </w:p>
          <w:p w14:paraId="2F401590" w14:textId="010A19B0" w:rsidR="00046BD5" w:rsidRPr="00DE108C" w:rsidRDefault="00046BD5" w:rsidP="00021409">
            <w:pPr>
              <w:pStyle w:val="TableBody"/>
            </w:pPr>
          </w:p>
        </w:tc>
        <w:tc>
          <w:tcPr>
            <w:tcW w:w="4735" w:type="dxa"/>
            <w:tcBorders>
              <w:bottom w:val="single" w:sz="4" w:space="0" w:color="auto"/>
            </w:tcBorders>
          </w:tcPr>
          <w:p w14:paraId="4C7E3DE0" w14:textId="75A1408B" w:rsidR="00046BD5" w:rsidRPr="00DE108C" w:rsidRDefault="26F9470A" w:rsidP="00C67C2F">
            <w:pPr>
              <w:pStyle w:val="TableBody"/>
              <w:rPr>
                <w:szCs w:val="16"/>
              </w:rPr>
            </w:pPr>
            <w:r w:rsidRPr="0DEAD936">
              <w:t>The current entitlements are due to be rescinded with new entitlements taking effect on 1 July 2026. The proposed tariff structure will apply from 1 July 2026 and is required to implement the South-Central Pooled Entitlement Reforms.</w:t>
            </w:r>
            <w:r w:rsidR="001B6591">
              <w:t xml:space="preserve"> </w:t>
            </w:r>
          </w:p>
        </w:tc>
      </w:tr>
      <w:tr w:rsidR="00087FD3" w:rsidRPr="00DE108C" w14:paraId="56B242EC" w14:textId="77777777" w:rsidTr="00FE3AD4">
        <w:trPr>
          <w:cnfStyle w:val="000000010000" w:firstRow="0" w:lastRow="0" w:firstColumn="0" w:lastColumn="0" w:oddVBand="0" w:evenVBand="0" w:oddHBand="0" w:evenHBand="1" w:firstRowFirstColumn="0" w:firstRowLastColumn="0" w:lastRowFirstColumn="0" w:lastRowLastColumn="0"/>
          <w:trHeight w:val="4345"/>
        </w:trPr>
        <w:tc>
          <w:tcPr>
            <w:tcW w:w="4786" w:type="dxa"/>
            <w:tcBorders>
              <w:top w:val="single" w:sz="4" w:space="0" w:color="auto"/>
            </w:tcBorders>
          </w:tcPr>
          <w:p w14:paraId="6E32DD54" w14:textId="4C9F672F" w:rsidR="00130248" w:rsidRPr="00DE108C" w:rsidRDefault="00130248" w:rsidP="00CE0C14">
            <w:pPr>
              <w:pStyle w:val="Tablebullet"/>
            </w:pPr>
            <w:r w:rsidRPr="00DE108C">
              <w:t>Storage operator and bulk water headworks charges</w:t>
            </w:r>
          </w:p>
          <w:p w14:paraId="3061D60E" w14:textId="77777777" w:rsidR="00130248" w:rsidRPr="00DE108C" w:rsidRDefault="00130248" w:rsidP="00CE0C14">
            <w:pPr>
              <w:pStyle w:val="Tablebullet"/>
            </w:pPr>
            <w:r w:rsidRPr="00DE108C">
              <w:t>Greater Yarra System – Thomson River ($/ML entitlement)</w:t>
            </w:r>
          </w:p>
          <w:p w14:paraId="345D9859" w14:textId="49EC31C8" w:rsidR="00130248" w:rsidRPr="00DE108C" w:rsidRDefault="00130248" w:rsidP="00CE0C14">
            <w:pPr>
              <w:pStyle w:val="Tablebullet"/>
            </w:pPr>
            <w:r w:rsidRPr="00DE108C">
              <w:t xml:space="preserve">Victorian Desalination Plant ($/ML entitlement) – </w:t>
            </w:r>
            <w:r w:rsidR="00E7119E">
              <w:t>metropolitan water corporation</w:t>
            </w:r>
            <w:r w:rsidRPr="00DE108C">
              <w:t xml:space="preserve"> only</w:t>
            </w:r>
          </w:p>
          <w:p w14:paraId="05AA7031" w14:textId="0EA0402B" w:rsidR="00130248" w:rsidRPr="00DE108C" w:rsidRDefault="00130248" w:rsidP="00CE0C14">
            <w:pPr>
              <w:pStyle w:val="Tablebullet"/>
            </w:pPr>
            <w:r w:rsidRPr="00DE108C">
              <w:t xml:space="preserve">North South Pipeline ($/ML entitlement) – </w:t>
            </w:r>
            <w:r w:rsidR="00E7119E">
              <w:t>metropolitan water corporation</w:t>
            </w:r>
            <w:r w:rsidRPr="00DE108C">
              <w:t xml:space="preserve"> only </w:t>
            </w:r>
          </w:p>
          <w:p w14:paraId="769EC3D1" w14:textId="77777777" w:rsidR="00130248" w:rsidRPr="00DE108C" w:rsidRDefault="00130248" w:rsidP="00CE0C14">
            <w:pPr>
              <w:pStyle w:val="Tablebullet"/>
            </w:pPr>
            <w:r w:rsidRPr="00DE108C">
              <w:t>Storage operator and bulk water usage charges</w:t>
            </w:r>
          </w:p>
          <w:p w14:paraId="43CB15B9" w14:textId="77777777" w:rsidR="00130248" w:rsidRPr="00DE108C" w:rsidRDefault="00130248" w:rsidP="00CE0C14">
            <w:pPr>
              <w:pStyle w:val="Tablebullet"/>
            </w:pPr>
            <w:r w:rsidRPr="00DE108C">
              <w:t>Transfer ($/ML)</w:t>
            </w:r>
          </w:p>
          <w:p w14:paraId="610D2A27" w14:textId="7B4C149B" w:rsidR="00130248" w:rsidRPr="00DE108C" w:rsidRDefault="00130248" w:rsidP="00CE0C14">
            <w:pPr>
              <w:pStyle w:val="Tablebullet"/>
            </w:pPr>
            <w:r w:rsidRPr="00DE108C">
              <w:t xml:space="preserve">Victorian Desalination Plant Water Order charge ($/ML Entitlement) – </w:t>
            </w:r>
            <w:r w:rsidR="00E7119E">
              <w:t>metropolitan water corporation</w:t>
            </w:r>
            <w:r w:rsidR="00E7119E" w:rsidRPr="00DE108C">
              <w:t xml:space="preserve"> </w:t>
            </w:r>
            <w:r w:rsidRPr="00DE108C">
              <w:t>only</w:t>
            </w:r>
          </w:p>
          <w:p w14:paraId="63C6CD40" w14:textId="77777777" w:rsidR="00130248" w:rsidRPr="0DEAD936" w:rsidRDefault="00130248" w:rsidP="00CE0C14">
            <w:pPr>
              <w:pStyle w:val="Tablebullet"/>
            </w:pPr>
            <w:r w:rsidRPr="00DE108C">
              <w:t>Bulk water headworks charge ($/month) – Gippsland Water only</w:t>
            </w:r>
          </w:p>
        </w:tc>
        <w:tc>
          <w:tcPr>
            <w:tcW w:w="4735" w:type="dxa"/>
            <w:tcBorders>
              <w:top w:val="single" w:sz="4" w:space="0" w:color="auto"/>
            </w:tcBorders>
          </w:tcPr>
          <w:p w14:paraId="64DECAF2" w14:textId="533C9970" w:rsidR="00130248" w:rsidRPr="00DE108C" w:rsidRDefault="00130248" w:rsidP="00CE0C14">
            <w:pPr>
              <w:pStyle w:val="Tablebullet"/>
            </w:pPr>
            <w:r w:rsidRPr="00DE108C">
              <w:t>Bulk water headworks charges – South-Central Pool (fixed, $/month)</w:t>
            </w:r>
          </w:p>
          <w:p w14:paraId="521C8320" w14:textId="77777777" w:rsidR="00130248" w:rsidRPr="00DE108C" w:rsidRDefault="00130248" w:rsidP="00CE0C14">
            <w:pPr>
              <w:pStyle w:val="Tablebullet"/>
            </w:pPr>
            <w:r w:rsidRPr="00DE108C">
              <w:t>Bulk drinking water usage charges– South-Central Pool ($/ML)</w:t>
            </w:r>
          </w:p>
          <w:p w14:paraId="2ADF3AF8" w14:textId="77777777" w:rsidR="00130248" w:rsidRPr="00DE108C" w:rsidRDefault="00130248" w:rsidP="00CE0C14">
            <w:pPr>
              <w:pStyle w:val="Tablebullet"/>
            </w:pPr>
            <w:r w:rsidRPr="00DE108C">
              <w:t>Victorian Desalination Plant Water Order charge ($/month)</w:t>
            </w:r>
          </w:p>
          <w:p w14:paraId="50E5F57D" w14:textId="3D4E3A5F" w:rsidR="00130248" w:rsidRPr="00DE108C" w:rsidRDefault="00130248" w:rsidP="00CE0C14">
            <w:pPr>
              <w:pStyle w:val="Tablebullet"/>
            </w:pPr>
            <w:r w:rsidRPr="00DE108C">
              <w:t xml:space="preserve">Bulk water headworks charges - North South Pipeline (fixed, $/ML) – </w:t>
            </w:r>
            <w:r w:rsidR="00E7119E">
              <w:t>metropolitan water corporation</w:t>
            </w:r>
            <w:r w:rsidR="00E7119E" w:rsidRPr="00DE108C">
              <w:t xml:space="preserve"> </w:t>
            </w:r>
            <w:r w:rsidRPr="00DE108C">
              <w:t xml:space="preserve">only </w:t>
            </w:r>
          </w:p>
          <w:p w14:paraId="5CBCEBE3" w14:textId="633A23AC" w:rsidR="00130248" w:rsidRPr="0DEAD936" w:rsidRDefault="00130248" w:rsidP="00CE0C14">
            <w:pPr>
              <w:pStyle w:val="Tablebullet"/>
            </w:pPr>
            <w:r w:rsidRPr="00DE108C">
              <w:t>Bulk raw water usage charges (fixed, $/ML) – raw water customers only (</w:t>
            </w:r>
            <w:r w:rsidRPr="3C95AF09">
              <w:t>Yarra Valley Water, South East Water</w:t>
            </w:r>
            <w:r w:rsidRPr="00DE108C">
              <w:t>, G</w:t>
            </w:r>
            <w:r w:rsidR="00654C0B">
              <w:t xml:space="preserve">ippsland </w:t>
            </w:r>
            <w:r w:rsidRPr="00DE108C">
              <w:t>W</w:t>
            </w:r>
            <w:r w:rsidR="00654C0B">
              <w:t>ater</w:t>
            </w:r>
            <w:r w:rsidRPr="00DE108C">
              <w:t>)</w:t>
            </w:r>
          </w:p>
        </w:tc>
      </w:tr>
    </w:tbl>
    <w:p w14:paraId="22B8E224" w14:textId="77777777" w:rsidR="00046BD5" w:rsidRPr="00DE108C" w:rsidRDefault="00046BD5" w:rsidP="00ED094E"/>
    <w:p w14:paraId="29C8334E" w14:textId="77777777" w:rsidR="00046BD5" w:rsidRPr="00DE108C" w:rsidRDefault="00046BD5" w:rsidP="00ED094E">
      <w:r w:rsidRPr="00DE108C">
        <w:t>Each tariff component – how it is proposed to be calculated and applied – is described further below. Minutes and materials from our engagement with water corporations are available on request.</w:t>
      </w:r>
    </w:p>
    <w:p w14:paraId="006501F8" w14:textId="07B0CDD2" w:rsidR="00046BD5" w:rsidRPr="00DE108C" w:rsidRDefault="00046BD5" w:rsidP="00ED094E">
      <w:r w:rsidRPr="00DE108C">
        <w:t xml:space="preserve">The Government’s South-Central reforms recognise that the Victorian Desalination Project benefits all corporations connected to the Melbourne System and </w:t>
      </w:r>
      <w:r w:rsidR="62F3484A">
        <w:t>therefore</w:t>
      </w:r>
      <w:r w:rsidRPr="00DE108C">
        <w:t xml:space="preserve"> its costs will be shared by the pool. </w:t>
      </w:r>
      <w:r w:rsidR="048D40E9">
        <w:t>W</w:t>
      </w:r>
      <w:r>
        <w:t>e</w:t>
      </w:r>
      <w:r w:rsidRPr="00DE108C">
        <w:t xml:space="preserve"> propose to combine costs previously allocated to the Greater Yarra System – Thomson River entitlements and entitlements associated with the Victorian </w:t>
      </w:r>
      <w:r w:rsidRPr="00DE108C">
        <w:lastRenderedPageBreak/>
        <w:t>Desalination Project and to collect the combined costs via Pooled headworks and usage charges.</w:t>
      </w:r>
    </w:p>
    <w:p w14:paraId="3E093746" w14:textId="77777777" w:rsidR="00046BD5" w:rsidRPr="00DE108C" w:rsidRDefault="00046BD5" w:rsidP="00ED094E">
      <w:r w:rsidRPr="00DE108C">
        <w:t xml:space="preserve">We engaged extensively with connected water corporations on the transitional arrangements and reached consensus around this tariff reform. </w:t>
      </w:r>
    </w:p>
    <w:p w14:paraId="029A4A68" w14:textId="77777777" w:rsidR="00046BD5" w:rsidRPr="00DE108C" w:rsidRDefault="00046BD5" w:rsidP="00ED094E">
      <w:pPr>
        <w:pStyle w:val="Heading4"/>
      </w:pPr>
      <w:r w:rsidRPr="00DE108C">
        <w:t>11.2.3.1 New bulk water headworks charges – South-Central Pool (fixed, $/month)</w:t>
      </w:r>
    </w:p>
    <w:p w14:paraId="74252EB3" w14:textId="0ABF3C07" w:rsidR="00046BD5" w:rsidRPr="00DE108C" w:rsidRDefault="00046BD5" w:rsidP="00ED094E">
      <w:r w:rsidRPr="00DE108C">
        <w:t xml:space="preserve">The bulk water headworks charge – South-Central Pool is a fixed charge that will apply to each water corporation connected to the Melbourne System. It will be billed </w:t>
      </w:r>
      <w:r w:rsidR="390B13D2">
        <w:t>monthly</w:t>
      </w:r>
      <w:r>
        <w:t>.</w:t>
      </w:r>
      <w:r w:rsidRPr="00DE108C">
        <w:t xml:space="preserve"> The water corporations’ new South-Central Pool bulk entitlements will not include individual entitlement volumes</w:t>
      </w:r>
      <w:r w:rsidR="3AA5DFD1">
        <w:t>,</w:t>
      </w:r>
      <w:r w:rsidRPr="00DE108C">
        <w:t xml:space="preserve"> which were previously the billing unit for fixed headworks charges. Therefore, a new basis is required. </w:t>
      </w:r>
    </w:p>
    <w:p w14:paraId="517D8EB3" w14:textId="5E3D7F22" w:rsidR="00046BD5" w:rsidRPr="00DE108C" w:rsidRDefault="00046BD5" w:rsidP="00ED094E">
      <w:r w:rsidRPr="00DE108C">
        <w:t xml:space="preserve">Fixed charges are proposed to be allocated to each connected corporation based on their relative share of historical 10-year average total demand at the time of the </w:t>
      </w:r>
      <w:r w:rsidR="0019523C">
        <w:t>P</w:t>
      </w:r>
      <w:r>
        <w:t xml:space="preserve">rice </w:t>
      </w:r>
      <w:r w:rsidR="0862A235">
        <w:t>S</w:t>
      </w:r>
      <w:r>
        <w:t>ubmission</w:t>
      </w:r>
      <w:r w:rsidRPr="00DE108C">
        <w:t xml:space="preserve"> – in this case 2024-25. This will be updated each regulatory period. Given this change in cost allocation results in distributional impacts, we have proposed to tailor price paths for each water corporation on a net present value neutral basis. This allows a smoother transition into the new pooled tariff structure. </w:t>
      </w:r>
    </w:p>
    <w:p w14:paraId="7F446561" w14:textId="20B3AB41" w:rsidR="00046BD5" w:rsidRPr="00DE108C" w:rsidRDefault="00046BD5" w:rsidP="00ED094E">
      <w:r w:rsidRPr="00DE108C">
        <w:t>The shares for the South-Central Pool are outlined in Table 11.7 below.</w:t>
      </w:r>
    </w:p>
    <w:p w14:paraId="7DF246E0" w14:textId="77777777" w:rsidR="00046BD5" w:rsidRPr="00DE108C" w:rsidRDefault="00046BD5" w:rsidP="00ED094E">
      <w:pPr>
        <w:pStyle w:val="Caption"/>
      </w:pPr>
      <w:bookmarkStart w:id="1118" w:name="_Toc207893110"/>
      <w:bookmarkStart w:id="1119" w:name="_Toc208490634"/>
      <w:bookmarkStart w:id="1120" w:name="_Toc208490972"/>
      <w:bookmarkStart w:id="1121" w:name="_Toc208911130"/>
      <w:bookmarkStart w:id="1122" w:name="_Toc210051436"/>
      <w:r w:rsidRPr="00DE108C">
        <w:t>Table 11.7: Shares in the South-Central Pool, 2026-31</w:t>
      </w:r>
      <w:bookmarkEnd w:id="1118"/>
      <w:bookmarkEnd w:id="1119"/>
      <w:bookmarkEnd w:id="1120"/>
      <w:bookmarkEnd w:id="1121"/>
      <w:bookmarkEnd w:id="1122"/>
    </w:p>
    <w:tbl>
      <w:tblPr>
        <w:tblStyle w:val="MWTableGrid"/>
        <w:tblW w:w="0" w:type="auto"/>
        <w:tblLook w:val="04E0" w:firstRow="1" w:lastRow="1" w:firstColumn="1" w:lastColumn="0" w:noHBand="0" w:noVBand="1"/>
      </w:tblPr>
      <w:tblGrid>
        <w:gridCol w:w="3209"/>
        <w:gridCol w:w="3209"/>
        <w:gridCol w:w="3210"/>
      </w:tblGrid>
      <w:tr w:rsidR="00087FD3" w:rsidRPr="00DE108C" w14:paraId="4517DD4C" w14:textId="77777777" w:rsidTr="00B46F82">
        <w:trPr>
          <w:cnfStyle w:val="100000000000" w:firstRow="1" w:lastRow="0" w:firstColumn="0" w:lastColumn="0" w:oddVBand="0" w:evenVBand="0" w:oddHBand="0" w:evenHBand="0" w:firstRowFirstColumn="0" w:firstRowLastColumn="0" w:lastRowFirstColumn="0" w:lastRowLastColumn="0"/>
        </w:trPr>
        <w:tc>
          <w:tcPr>
            <w:tcW w:w="3209" w:type="dxa"/>
          </w:tcPr>
          <w:p w14:paraId="5295FD54" w14:textId="77777777" w:rsidR="00046BD5" w:rsidRPr="00DE108C" w:rsidRDefault="00046BD5" w:rsidP="00ED094E">
            <w:pPr>
              <w:pStyle w:val="TableHeading"/>
            </w:pPr>
          </w:p>
        </w:tc>
        <w:tc>
          <w:tcPr>
            <w:tcW w:w="3209" w:type="dxa"/>
            <w:vAlign w:val="center"/>
          </w:tcPr>
          <w:p w14:paraId="5F246664" w14:textId="77777777" w:rsidR="00046BD5" w:rsidRPr="00DE108C" w:rsidRDefault="00046BD5" w:rsidP="00ED094E">
            <w:pPr>
              <w:pStyle w:val="TableHeading"/>
            </w:pPr>
            <w:r w:rsidRPr="00DE108C">
              <w:t>Average demand (2015-16 – 2024-25)</w:t>
            </w:r>
          </w:p>
        </w:tc>
        <w:tc>
          <w:tcPr>
            <w:tcW w:w="3210" w:type="dxa"/>
            <w:vAlign w:val="center"/>
          </w:tcPr>
          <w:p w14:paraId="1278F33B" w14:textId="77777777" w:rsidR="00046BD5" w:rsidRPr="00DE108C" w:rsidRDefault="00046BD5" w:rsidP="00ED094E">
            <w:pPr>
              <w:pStyle w:val="TableHeading"/>
            </w:pPr>
            <w:r w:rsidRPr="00DE108C">
              <w:t>Percentage share, South-Central Pool, 2026-31</w:t>
            </w:r>
          </w:p>
        </w:tc>
      </w:tr>
      <w:tr w:rsidR="00046BD5" w:rsidRPr="00DE108C" w14:paraId="175B4D03" w14:textId="77777777" w:rsidTr="00ED094E">
        <w:tc>
          <w:tcPr>
            <w:tcW w:w="3209" w:type="dxa"/>
          </w:tcPr>
          <w:p w14:paraId="3F9195A9" w14:textId="77777777" w:rsidR="00046BD5" w:rsidRPr="00DE108C" w:rsidRDefault="00046BD5" w:rsidP="00ED094E">
            <w:pPr>
              <w:pStyle w:val="TableText"/>
            </w:pPr>
            <w:r w:rsidRPr="00DE108C">
              <w:t>Greater Western Water</w:t>
            </w:r>
          </w:p>
        </w:tc>
        <w:tc>
          <w:tcPr>
            <w:tcW w:w="3209" w:type="dxa"/>
            <w:vAlign w:val="center"/>
          </w:tcPr>
          <w:p w14:paraId="4F274132" w14:textId="77777777" w:rsidR="00046BD5" w:rsidRPr="00DE108C" w:rsidRDefault="00046BD5" w:rsidP="00ED094E">
            <w:pPr>
              <w:pStyle w:val="TableText"/>
            </w:pPr>
            <w:r w:rsidRPr="00DE108C">
              <w:rPr>
                <w:rFonts w:cs="Tahoma"/>
                <w:szCs w:val="16"/>
              </w:rPr>
              <w:t xml:space="preserve">126,620 </w:t>
            </w:r>
          </w:p>
        </w:tc>
        <w:tc>
          <w:tcPr>
            <w:tcW w:w="3210" w:type="dxa"/>
            <w:vAlign w:val="center"/>
          </w:tcPr>
          <w:p w14:paraId="2FFCFBF9" w14:textId="77777777" w:rsidR="00046BD5" w:rsidRPr="00DE108C" w:rsidRDefault="00046BD5" w:rsidP="00ED094E">
            <w:pPr>
              <w:pStyle w:val="TableText"/>
            </w:pPr>
            <w:r w:rsidRPr="00DE108C">
              <w:t>28.048%</w:t>
            </w:r>
          </w:p>
        </w:tc>
      </w:tr>
      <w:tr w:rsidR="00087FD3" w:rsidRPr="00DE108C" w14:paraId="234BD13B" w14:textId="77777777" w:rsidTr="00B46F82">
        <w:trPr>
          <w:cnfStyle w:val="000000010000" w:firstRow="0" w:lastRow="0" w:firstColumn="0" w:lastColumn="0" w:oddVBand="0" w:evenVBand="0" w:oddHBand="0" w:evenHBand="1" w:firstRowFirstColumn="0" w:firstRowLastColumn="0" w:lastRowFirstColumn="0" w:lastRowLastColumn="0"/>
        </w:trPr>
        <w:tc>
          <w:tcPr>
            <w:tcW w:w="3209" w:type="dxa"/>
          </w:tcPr>
          <w:p w14:paraId="24A61F7E" w14:textId="77777777" w:rsidR="00046BD5" w:rsidRPr="00DE108C" w:rsidRDefault="00046BD5" w:rsidP="00ED094E">
            <w:pPr>
              <w:pStyle w:val="TableText"/>
            </w:pPr>
            <w:r w:rsidRPr="00DE108C">
              <w:t xml:space="preserve">South East Water </w:t>
            </w:r>
          </w:p>
        </w:tc>
        <w:tc>
          <w:tcPr>
            <w:tcW w:w="3209" w:type="dxa"/>
            <w:vAlign w:val="center"/>
          </w:tcPr>
          <w:p w14:paraId="1412EF7B" w14:textId="77777777" w:rsidR="00046BD5" w:rsidRPr="00DE108C" w:rsidRDefault="00046BD5" w:rsidP="00ED094E">
            <w:pPr>
              <w:pStyle w:val="TableText"/>
            </w:pPr>
            <w:r w:rsidRPr="00DE108C">
              <w:rPr>
                <w:rFonts w:cs="Tahoma"/>
                <w:szCs w:val="16"/>
              </w:rPr>
              <w:t xml:space="preserve">159,489 </w:t>
            </w:r>
          </w:p>
        </w:tc>
        <w:tc>
          <w:tcPr>
            <w:tcW w:w="3210" w:type="dxa"/>
            <w:vAlign w:val="center"/>
          </w:tcPr>
          <w:p w14:paraId="3579F8D5" w14:textId="77777777" w:rsidR="00046BD5" w:rsidRPr="00DE108C" w:rsidRDefault="00046BD5" w:rsidP="00ED094E">
            <w:pPr>
              <w:pStyle w:val="TableText"/>
            </w:pPr>
            <w:r w:rsidRPr="00DE108C">
              <w:t>35.329%</w:t>
            </w:r>
          </w:p>
        </w:tc>
      </w:tr>
      <w:tr w:rsidR="00046BD5" w:rsidRPr="00DE108C" w14:paraId="55BED660" w14:textId="77777777" w:rsidTr="00ED094E">
        <w:tc>
          <w:tcPr>
            <w:tcW w:w="3209" w:type="dxa"/>
          </w:tcPr>
          <w:p w14:paraId="2EA693B6" w14:textId="77777777" w:rsidR="00046BD5" w:rsidRPr="00DE108C" w:rsidRDefault="00046BD5" w:rsidP="00ED094E">
            <w:pPr>
              <w:pStyle w:val="TableText"/>
            </w:pPr>
            <w:r w:rsidRPr="00DE108C">
              <w:t xml:space="preserve">Yarra Valley Water </w:t>
            </w:r>
          </w:p>
        </w:tc>
        <w:tc>
          <w:tcPr>
            <w:tcW w:w="3209" w:type="dxa"/>
            <w:vAlign w:val="center"/>
          </w:tcPr>
          <w:p w14:paraId="477D6756" w14:textId="77777777" w:rsidR="00046BD5" w:rsidRPr="00DE108C" w:rsidRDefault="00046BD5" w:rsidP="00ED094E">
            <w:pPr>
              <w:pStyle w:val="TableText"/>
            </w:pPr>
            <w:r w:rsidRPr="00DE108C">
              <w:rPr>
                <w:rFonts w:cs="Tahoma"/>
                <w:szCs w:val="16"/>
              </w:rPr>
              <w:t xml:space="preserve">161,027 </w:t>
            </w:r>
          </w:p>
        </w:tc>
        <w:tc>
          <w:tcPr>
            <w:tcW w:w="3210" w:type="dxa"/>
            <w:vAlign w:val="center"/>
          </w:tcPr>
          <w:p w14:paraId="30F22D41" w14:textId="77777777" w:rsidR="00046BD5" w:rsidRPr="00DE108C" w:rsidRDefault="00046BD5" w:rsidP="00ED094E">
            <w:pPr>
              <w:pStyle w:val="TableText"/>
            </w:pPr>
            <w:r w:rsidRPr="00DE108C">
              <w:t>35.669%</w:t>
            </w:r>
          </w:p>
        </w:tc>
      </w:tr>
      <w:tr w:rsidR="00087FD3" w:rsidRPr="00DE108C" w14:paraId="19D084FE" w14:textId="77777777" w:rsidTr="00B46F82">
        <w:trPr>
          <w:cnfStyle w:val="000000010000" w:firstRow="0" w:lastRow="0" w:firstColumn="0" w:lastColumn="0" w:oddVBand="0" w:evenVBand="0" w:oddHBand="0" w:evenHBand="1" w:firstRowFirstColumn="0" w:firstRowLastColumn="0" w:lastRowFirstColumn="0" w:lastRowLastColumn="0"/>
        </w:trPr>
        <w:tc>
          <w:tcPr>
            <w:tcW w:w="3209" w:type="dxa"/>
          </w:tcPr>
          <w:p w14:paraId="153310D2" w14:textId="77777777" w:rsidR="00046BD5" w:rsidRPr="00DE108C" w:rsidRDefault="00046BD5" w:rsidP="00ED094E">
            <w:pPr>
              <w:pStyle w:val="TableText"/>
            </w:pPr>
            <w:r w:rsidRPr="00DE108C">
              <w:t>Barwon Water</w:t>
            </w:r>
          </w:p>
        </w:tc>
        <w:tc>
          <w:tcPr>
            <w:tcW w:w="3209" w:type="dxa"/>
            <w:vAlign w:val="center"/>
          </w:tcPr>
          <w:p w14:paraId="63190A00" w14:textId="77777777" w:rsidR="00046BD5" w:rsidRPr="00DE108C" w:rsidRDefault="00046BD5" w:rsidP="00ED094E">
            <w:pPr>
              <w:pStyle w:val="TableText"/>
            </w:pPr>
            <w:r w:rsidRPr="00DE108C">
              <w:rPr>
                <w:rFonts w:cs="Tahoma"/>
                <w:szCs w:val="16"/>
              </w:rPr>
              <w:t xml:space="preserve">3,184 </w:t>
            </w:r>
          </w:p>
        </w:tc>
        <w:tc>
          <w:tcPr>
            <w:tcW w:w="3210" w:type="dxa"/>
            <w:vAlign w:val="center"/>
          </w:tcPr>
          <w:p w14:paraId="52A1874D" w14:textId="77777777" w:rsidR="00046BD5" w:rsidRPr="00DE108C" w:rsidRDefault="00046BD5" w:rsidP="00ED094E">
            <w:pPr>
              <w:pStyle w:val="TableText"/>
            </w:pPr>
            <w:r w:rsidRPr="00DE108C">
              <w:t>0.705%</w:t>
            </w:r>
          </w:p>
        </w:tc>
      </w:tr>
      <w:tr w:rsidR="00046BD5" w:rsidRPr="00DE108C" w14:paraId="7C105B9A" w14:textId="77777777" w:rsidTr="00ED094E">
        <w:tc>
          <w:tcPr>
            <w:tcW w:w="3209" w:type="dxa"/>
          </w:tcPr>
          <w:p w14:paraId="6F8ACCF4" w14:textId="77777777" w:rsidR="00046BD5" w:rsidRPr="00DE108C" w:rsidRDefault="00046BD5" w:rsidP="00ED094E">
            <w:pPr>
              <w:pStyle w:val="TableText"/>
            </w:pPr>
            <w:r w:rsidRPr="00DE108C">
              <w:t>South Gippsland Water</w:t>
            </w:r>
          </w:p>
        </w:tc>
        <w:tc>
          <w:tcPr>
            <w:tcW w:w="3209" w:type="dxa"/>
            <w:vAlign w:val="center"/>
          </w:tcPr>
          <w:p w14:paraId="3AE58DD3" w14:textId="77777777" w:rsidR="00046BD5" w:rsidRPr="00DE108C" w:rsidRDefault="00046BD5" w:rsidP="00ED094E">
            <w:pPr>
              <w:pStyle w:val="TableText"/>
            </w:pPr>
            <w:r w:rsidRPr="00DE108C">
              <w:rPr>
                <w:rFonts w:cs="Tahoma"/>
                <w:szCs w:val="16"/>
              </w:rPr>
              <w:t xml:space="preserve">663 </w:t>
            </w:r>
          </w:p>
        </w:tc>
        <w:tc>
          <w:tcPr>
            <w:tcW w:w="3210" w:type="dxa"/>
            <w:vAlign w:val="center"/>
          </w:tcPr>
          <w:p w14:paraId="137EA1C2" w14:textId="77777777" w:rsidR="00046BD5" w:rsidRPr="00DE108C" w:rsidRDefault="00046BD5" w:rsidP="00ED094E">
            <w:pPr>
              <w:pStyle w:val="TableText"/>
            </w:pPr>
            <w:r w:rsidRPr="00DE108C">
              <w:t>0.147%</w:t>
            </w:r>
          </w:p>
        </w:tc>
      </w:tr>
      <w:tr w:rsidR="00087FD3" w:rsidRPr="00DE108C" w14:paraId="20065632" w14:textId="77777777" w:rsidTr="00B46F82">
        <w:trPr>
          <w:cnfStyle w:val="000000010000" w:firstRow="0" w:lastRow="0" w:firstColumn="0" w:lastColumn="0" w:oddVBand="0" w:evenVBand="0" w:oddHBand="0" w:evenHBand="1" w:firstRowFirstColumn="0" w:firstRowLastColumn="0" w:lastRowFirstColumn="0" w:lastRowLastColumn="0"/>
        </w:trPr>
        <w:tc>
          <w:tcPr>
            <w:tcW w:w="3209" w:type="dxa"/>
          </w:tcPr>
          <w:p w14:paraId="1A9711C4" w14:textId="77777777" w:rsidR="00046BD5" w:rsidRPr="00DE108C" w:rsidRDefault="00046BD5" w:rsidP="00ED094E">
            <w:pPr>
              <w:pStyle w:val="TableText"/>
            </w:pPr>
            <w:r w:rsidRPr="00DE108C">
              <w:t>Westernport Water</w:t>
            </w:r>
          </w:p>
        </w:tc>
        <w:tc>
          <w:tcPr>
            <w:tcW w:w="3209" w:type="dxa"/>
            <w:vAlign w:val="center"/>
          </w:tcPr>
          <w:p w14:paraId="3091588E" w14:textId="77777777" w:rsidR="00046BD5" w:rsidRPr="00DE108C" w:rsidRDefault="00046BD5" w:rsidP="00ED094E">
            <w:pPr>
              <w:pStyle w:val="TableText"/>
            </w:pPr>
            <w:r w:rsidRPr="00DE108C">
              <w:rPr>
                <w:rFonts w:cs="Tahoma"/>
                <w:szCs w:val="16"/>
              </w:rPr>
              <w:t xml:space="preserve">238 </w:t>
            </w:r>
          </w:p>
        </w:tc>
        <w:tc>
          <w:tcPr>
            <w:tcW w:w="3210" w:type="dxa"/>
            <w:vAlign w:val="center"/>
          </w:tcPr>
          <w:p w14:paraId="52FF1CF2" w14:textId="77777777" w:rsidR="00046BD5" w:rsidRPr="00DE108C" w:rsidRDefault="00046BD5" w:rsidP="00ED094E">
            <w:pPr>
              <w:pStyle w:val="TableText"/>
            </w:pPr>
            <w:r w:rsidRPr="00DE108C">
              <w:t>0.053%</w:t>
            </w:r>
          </w:p>
        </w:tc>
      </w:tr>
      <w:tr w:rsidR="00046BD5" w:rsidRPr="00DE108C" w14:paraId="4A0ED3AB" w14:textId="77777777" w:rsidTr="00ED094E">
        <w:tc>
          <w:tcPr>
            <w:tcW w:w="3209" w:type="dxa"/>
          </w:tcPr>
          <w:p w14:paraId="2E256D52" w14:textId="77777777" w:rsidR="00046BD5" w:rsidRPr="00DE108C" w:rsidRDefault="00046BD5" w:rsidP="00ED094E">
            <w:pPr>
              <w:pStyle w:val="TableText"/>
            </w:pPr>
            <w:r w:rsidRPr="00DE108C">
              <w:t>Gippsland Water</w:t>
            </w:r>
          </w:p>
        </w:tc>
        <w:tc>
          <w:tcPr>
            <w:tcW w:w="3209" w:type="dxa"/>
            <w:vAlign w:val="center"/>
          </w:tcPr>
          <w:p w14:paraId="6CDF9C42" w14:textId="77777777" w:rsidR="00046BD5" w:rsidRPr="00DE108C" w:rsidRDefault="00046BD5" w:rsidP="00ED094E">
            <w:pPr>
              <w:pStyle w:val="TableText"/>
            </w:pPr>
            <w:r w:rsidRPr="00DE108C">
              <w:rPr>
                <w:rFonts w:cs="Tahoma"/>
                <w:szCs w:val="16"/>
              </w:rPr>
              <w:t xml:space="preserve">224 </w:t>
            </w:r>
          </w:p>
        </w:tc>
        <w:tc>
          <w:tcPr>
            <w:tcW w:w="3210" w:type="dxa"/>
            <w:vAlign w:val="center"/>
          </w:tcPr>
          <w:p w14:paraId="597A7607" w14:textId="77777777" w:rsidR="00046BD5" w:rsidRPr="00DE108C" w:rsidRDefault="00046BD5" w:rsidP="00ED094E">
            <w:pPr>
              <w:pStyle w:val="TableText"/>
            </w:pPr>
            <w:r w:rsidRPr="00DE108C">
              <w:t>0.050%</w:t>
            </w:r>
          </w:p>
        </w:tc>
      </w:tr>
      <w:tr w:rsidR="00087FD3" w:rsidRPr="00DE108C" w14:paraId="3CD1AFFB" w14:textId="77777777" w:rsidTr="00B46F82">
        <w:trPr>
          <w:cnfStyle w:val="000000010000" w:firstRow="0" w:lastRow="0" w:firstColumn="0" w:lastColumn="0" w:oddVBand="0" w:evenVBand="0" w:oddHBand="0" w:evenHBand="1" w:firstRowFirstColumn="0" w:firstRowLastColumn="0" w:lastRowFirstColumn="0" w:lastRowLastColumn="0"/>
        </w:trPr>
        <w:tc>
          <w:tcPr>
            <w:tcW w:w="3209" w:type="dxa"/>
          </w:tcPr>
          <w:p w14:paraId="35DB1AE4" w14:textId="77777777" w:rsidR="00046BD5" w:rsidRPr="00DE108C" w:rsidRDefault="00046BD5" w:rsidP="00ED094E">
            <w:pPr>
              <w:pStyle w:val="TableText"/>
              <w:rPr>
                <w:b/>
              </w:rPr>
            </w:pPr>
            <w:r w:rsidRPr="00DE108C">
              <w:rPr>
                <w:b/>
                <w:bCs/>
              </w:rPr>
              <w:t>Total</w:t>
            </w:r>
          </w:p>
        </w:tc>
        <w:tc>
          <w:tcPr>
            <w:tcW w:w="3209" w:type="dxa"/>
            <w:vAlign w:val="center"/>
          </w:tcPr>
          <w:p w14:paraId="31A37984" w14:textId="77777777" w:rsidR="00046BD5" w:rsidRPr="00DE108C" w:rsidRDefault="00046BD5" w:rsidP="00ED094E">
            <w:pPr>
              <w:pStyle w:val="TableText"/>
            </w:pPr>
            <w:r w:rsidRPr="00DE108C">
              <w:rPr>
                <w:rFonts w:cs="Tahoma"/>
                <w:b/>
                <w:szCs w:val="16"/>
              </w:rPr>
              <w:t xml:space="preserve">451,444 </w:t>
            </w:r>
          </w:p>
        </w:tc>
        <w:tc>
          <w:tcPr>
            <w:tcW w:w="3210" w:type="dxa"/>
            <w:vAlign w:val="center"/>
          </w:tcPr>
          <w:p w14:paraId="67798AE0" w14:textId="77777777" w:rsidR="00046BD5" w:rsidRPr="00DE108C" w:rsidRDefault="00046BD5" w:rsidP="00ED094E">
            <w:pPr>
              <w:pStyle w:val="TableText"/>
              <w:rPr>
                <w:b/>
              </w:rPr>
            </w:pPr>
            <w:r w:rsidRPr="00DE108C">
              <w:rPr>
                <w:b/>
              </w:rPr>
              <w:t>100.000%</w:t>
            </w:r>
          </w:p>
        </w:tc>
      </w:tr>
    </w:tbl>
    <w:p w14:paraId="53590CA5" w14:textId="77777777" w:rsidR="00046BD5" w:rsidRPr="00DE108C" w:rsidRDefault="00046BD5" w:rsidP="00ED094E"/>
    <w:p w14:paraId="1A46F554" w14:textId="77777777" w:rsidR="00046BD5" w:rsidRPr="00DE108C" w:rsidRDefault="00046BD5">
      <w:pPr>
        <w:pStyle w:val="Heading4"/>
      </w:pPr>
      <w:r w:rsidRPr="00DE108C">
        <w:t>11.2.3.2 New bulk drinking water usage charges ($/ML)</w:t>
      </w:r>
    </w:p>
    <w:p w14:paraId="2F3E53C2" w14:textId="40EFA635" w:rsidR="00046BD5" w:rsidRPr="00DE108C" w:rsidRDefault="00046BD5" w:rsidP="00ED094E">
      <w:r w:rsidRPr="00DE108C">
        <w:t>The proposed bulk drinking water usage charge would be charged per megalitre of metered drinking water delivered to the connected water corporations. It includes recovery of costs that were previously recovered under both water transfer costs and headworks costs and has been set with regard to the marginal cost of drinking water and is closer to the short run marginal cost</w:t>
      </w:r>
      <w:r w:rsidR="66E9EBE3">
        <w:t>,</w:t>
      </w:r>
      <w:r w:rsidRPr="00DE108C">
        <w:t xml:space="preserve"> rather than long run marginal cost. Under this reform, Melbourne Water is significantly increasing the proportion of bulk water costs it recovers from volumetric charges, taking on more demand-revenue risk. A majority of water corporations supported moving to a higher variable charge, and all water corporations accepted Melbourne Water’s final proposal on the level of that charge.</w:t>
      </w:r>
    </w:p>
    <w:p w14:paraId="052014D1" w14:textId="77777777" w:rsidR="00046BD5" w:rsidRPr="00DE108C" w:rsidRDefault="00046BD5">
      <w:pPr>
        <w:pStyle w:val="Heading4"/>
      </w:pPr>
      <w:r w:rsidRPr="00DE108C">
        <w:lastRenderedPageBreak/>
        <w:t>11.2.3.3 New Victorian Desalination Plant Water Order charge ($/month)</w:t>
      </w:r>
    </w:p>
    <w:p w14:paraId="3ACB5983" w14:textId="44C803D0" w:rsidR="00046BD5" w:rsidRPr="00DE108C" w:rsidRDefault="00046BD5" w:rsidP="00ED094E">
      <w:r w:rsidRPr="00DE108C">
        <w:t xml:space="preserve">Under the South-Central Pool reforms, Victorian Desalination Plant Water Order charges will now extend to all water corporations connected to the </w:t>
      </w:r>
      <w:r>
        <w:t>Melbourn</w:t>
      </w:r>
      <w:r w:rsidR="74484425">
        <w:t>e</w:t>
      </w:r>
      <w:r w:rsidRPr="00DE108C">
        <w:t xml:space="preserve"> System. The Victorian Desalination Plant Water Order charge will apply in years when there is a desalination water order, or where there are Melbourne Water costs associated with an order from the previous year. The charge is proposed to remain as a pass-through, with each water corporation’s respective allocation of order costs (as advised by DEECA) set by their corporation’s relative share of historical 10-year average total demand (as per bulk water headworks charges</w:t>
      </w:r>
      <w:r>
        <w:t>)</w:t>
      </w:r>
      <w:r w:rsidR="31F0FF17">
        <w:t>,</w:t>
      </w:r>
      <w:r w:rsidRPr="00DE108C">
        <w:t xml:space="preserve"> as included in Table 11.7.</w:t>
      </w:r>
    </w:p>
    <w:p w14:paraId="2635CA49" w14:textId="77777777" w:rsidR="00046BD5" w:rsidRPr="00DE108C" w:rsidRDefault="00046BD5">
      <w:pPr>
        <w:pStyle w:val="Heading4"/>
      </w:pPr>
      <w:r w:rsidRPr="00DE108C">
        <w:t>11.2.3.4 Bulk water headworks charges - North South Pipeline (fixed, $/ML)</w:t>
      </w:r>
    </w:p>
    <w:p w14:paraId="789E283C" w14:textId="4847241E" w:rsidR="00046BD5" w:rsidRPr="00DE108C" w:rsidRDefault="00046BD5" w:rsidP="00ED094E">
      <w:r w:rsidRPr="00DE108C">
        <w:t xml:space="preserve">Under the South-Central pool reforms, the retail water corporations retain their volumetric bulk entitlements to the North-South Pipeline, and there are no changes proposed to this charge. This charge is collected </w:t>
      </w:r>
      <w:r w:rsidR="3B1DF41A">
        <w:t>monthly</w:t>
      </w:r>
      <w:r w:rsidRPr="00DE108C">
        <w:t xml:space="preserve"> and applies to each megalitre of volumetric bulk entitlement in this system held by that water corporation.</w:t>
      </w:r>
    </w:p>
    <w:p w14:paraId="667A7E34" w14:textId="77777777" w:rsidR="00046BD5" w:rsidRPr="00DE108C" w:rsidRDefault="00046BD5">
      <w:pPr>
        <w:pStyle w:val="Heading4"/>
      </w:pPr>
      <w:r w:rsidRPr="00DE108C">
        <w:t>11.2.3.5 Bulk raw water usage charges (fixed, $/ML)</w:t>
      </w:r>
    </w:p>
    <w:p w14:paraId="04488D33" w14:textId="0492D58F" w:rsidR="00046BD5" w:rsidRPr="00DE108C" w:rsidRDefault="00046BD5" w:rsidP="00ED094E">
      <w:r w:rsidRPr="00DE108C">
        <w:t>During the 2021-26 regulatory period, Gippsland Water acquired a bulk entitlement to the Greater Yarra System – Thomson River</w:t>
      </w:r>
      <w:r w:rsidR="3A407B36">
        <w:t xml:space="preserve">. </w:t>
      </w:r>
      <w:r w:rsidR="59B45772">
        <w:t>F</w:t>
      </w:r>
      <w:r>
        <w:t>ollowing</w:t>
      </w:r>
      <w:r w:rsidRPr="00DE108C">
        <w:t xml:space="preserve"> this acquisition</w:t>
      </w:r>
      <w:r w:rsidR="79E72EE3">
        <w:t>,</w:t>
      </w:r>
      <w:r w:rsidRPr="00DE108C">
        <w:t xml:space="preserve"> an interim arrangement was agreed whereby Gippsland Water received a lower, cost reflective transfer charge recognising that the water it receives from the Melbourne System is untreated. As part of the tariff review process, we heard from water corporations more broadly that bulk raw water, for which Melbourne Water incurs no treatment costs, should be charged at a rate that is commensurate with Melbourne Water’s costs to supply it. This new charge applies to each megalitre of bulk raw water supplied, which includes to Gippsland Water, and small volumes to Yarra Valley Water and South East Water. The charge is calculated by subtracting water treatment costs from the drinking water usage charge. The subtracted revenue is reallocated to all connected water corporations via the South-Central pool charges.</w:t>
      </w:r>
    </w:p>
    <w:p w14:paraId="6E5D9E1D" w14:textId="77777777" w:rsidR="00046BD5" w:rsidRPr="00DE108C" w:rsidRDefault="00046BD5">
      <w:pPr>
        <w:pStyle w:val="Heading4"/>
      </w:pPr>
      <w:r w:rsidRPr="00DE108C">
        <w:t>11.2.3.6 Assessment of proposed structure against Guidance and WIRO</w:t>
      </w:r>
    </w:p>
    <w:p w14:paraId="283A869A" w14:textId="24986489" w:rsidR="00046BD5" w:rsidRPr="00DE108C" w:rsidRDefault="00046BD5" w:rsidP="00ED094E">
      <w:r w:rsidRPr="00DE108C">
        <w:t>The proposed bulk water tariff structure is consistent with each of the ESC’s tariff principles. Table 11.8 outlines how the proposed structure meets the pricing principles included in Clause 11 (d) of the WIRO.</w:t>
      </w:r>
    </w:p>
    <w:p w14:paraId="684A8BF9" w14:textId="77777777" w:rsidR="00046BD5" w:rsidRPr="00DE108C" w:rsidRDefault="00046BD5" w:rsidP="00ED094E">
      <w:pPr>
        <w:pStyle w:val="Caption"/>
      </w:pPr>
      <w:bookmarkStart w:id="1123" w:name="_Toc207893111"/>
      <w:bookmarkStart w:id="1124" w:name="_Toc208490635"/>
      <w:bookmarkStart w:id="1125" w:name="_Toc208490973"/>
      <w:bookmarkStart w:id="1126" w:name="_Toc208911131"/>
      <w:bookmarkStart w:id="1127" w:name="_Toc210051437"/>
      <w:r w:rsidRPr="00DE108C">
        <w:t>Table 11.8: Bulk water tariff reforms - WIRO pricing principles assessment</w:t>
      </w:r>
      <w:bookmarkEnd w:id="1123"/>
      <w:bookmarkEnd w:id="1124"/>
      <w:bookmarkEnd w:id="1125"/>
      <w:bookmarkEnd w:id="1126"/>
      <w:bookmarkEnd w:id="1127"/>
    </w:p>
    <w:tbl>
      <w:tblPr>
        <w:tblStyle w:val="TableGrid"/>
        <w:tblW w:w="5000" w:type="pct"/>
        <w:tblLook w:val="04A0" w:firstRow="1" w:lastRow="0" w:firstColumn="1" w:lastColumn="0" w:noHBand="0" w:noVBand="1"/>
      </w:tblPr>
      <w:tblGrid>
        <w:gridCol w:w="4814"/>
        <w:gridCol w:w="4814"/>
      </w:tblGrid>
      <w:tr w:rsidR="00A5757A" w:rsidRPr="00DE108C" w14:paraId="441C33BE" w14:textId="77777777" w:rsidTr="000F52E3">
        <w:trPr>
          <w:cnfStyle w:val="100000000000" w:firstRow="1" w:lastRow="0" w:firstColumn="0" w:lastColumn="0" w:oddVBand="0" w:evenVBand="0" w:oddHBand="0" w:evenHBand="0" w:firstRowFirstColumn="0" w:firstRowLastColumn="0" w:lastRowFirstColumn="0" w:lastRowLastColumn="0"/>
          <w:trHeight w:val="327"/>
          <w:tblHeader/>
        </w:trPr>
        <w:tc>
          <w:tcPr>
            <w:tcW w:w="2500" w:type="pct"/>
          </w:tcPr>
          <w:p w14:paraId="0EE8BAFC" w14:textId="77777777" w:rsidR="00046BD5" w:rsidRPr="000F52E3" w:rsidRDefault="00046BD5" w:rsidP="000F52E3">
            <w:pPr>
              <w:pStyle w:val="TableHeading"/>
              <w:rPr>
                <w:szCs w:val="22"/>
              </w:rPr>
            </w:pPr>
            <w:r w:rsidRPr="000F52E3">
              <w:rPr>
                <w:szCs w:val="22"/>
              </w:rPr>
              <w:t>WIRO pricing principles</w:t>
            </w:r>
          </w:p>
        </w:tc>
        <w:tc>
          <w:tcPr>
            <w:tcW w:w="2500" w:type="pct"/>
          </w:tcPr>
          <w:p w14:paraId="1159FBC3" w14:textId="77777777" w:rsidR="00046BD5" w:rsidRPr="000F52E3" w:rsidRDefault="00046BD5" w:rsidP="000F52E3">
            <w:pPr>
              <w:pStyle w:val="TableHeading"/>
              <w:rPr>
                <w:szCs w:val="22"/>
              </w:rPr>
            </w:pPr>
            <w:r w:rsidRPr="000F52E3">
              <w:rPr>
                <w:szCs w:val="22"/>
              </w:rPr>
              <w:t>How tariff structure meets WIRO pricing principles</w:t>
            </w:r>
          </w:p>
        </w:tc>
      </w:tr>
      <w:tr w:rsidR="00046BD5" w:rsidRPr="00DE108C" w14:paraId="23022E49" w14:textId="77777777" w:rsidTr="6BAD7D01">
        <w:tc>
          <w:tcPr>
            <w:tcW w:w="2500" w:type="pct"/>
          </w:tcPr>
          <w:p w14:paraId="08F9D9F1" w14:textId="74A85ABB" w:rsidR="00046BD5" w:rsidRPr="00DE108C" w:rsidRDefault="00046BD5" w:rsidP="00ED094E">
            <w:pPr>
              <w:rPr>
                <w:sz w:val="16"/>
                <w:szCs w:val="16"/>
              </w:rPr>
            </w:pPr>
            <w:r w:rsidRPr="00DE108C">
              <w:rPr>
                <w:sz w:val="16"/>
                <w:szCs w:val="16"/>
              </w:rPr>
              <w:t>11(d) (i) enable customers or potential customers of the regulated entity to easily understand the prices charged by the regulated entity for prescribed services or the manner in which such prices are calculated, determined or otherwise regulated</w:t>
            </w:r>
            <w:r w:rsidR="4B3718F0" w:rsidRPr="564B443E">
              <w:rPr>
                <w:sz w:val="16"/>
                <w:szCs w:val="16"/>
              </w:rPr>
              <w:t>.</w:t>
            </w:r>
            <w:r w:rsidRPr="00DE108C">
              <w:rPr>
                <w:sz w:val="16"/>
                <w:szCs w:val="16"/>
              </w:rPr>
              <w:t xml:space="preserve"> </w:t>
            </w:r>
          </w:p>
        </w:tc>
        <w:tc>
          <w:tcPr>
            <w:tcW w:w="2500" w:type="pct"/>
          </w:tcPr>
          <w:p w14:paraId="742AA4D3" w14:textId="77777777" w:rsidR="00046BD5" w:rsidRPr="00DE108C" w:rsidRDefault="00046BD5" w:rsidP="00ED094E">
            <w:pPr>
              <w:rPr>
                <w:sz w:val="16"/>
                <w:szCs w:val="16"/>
              </w:rPr>
            </w:pPr>
            <w:r w:rsidRPr="00DE108C">
              <w:rPr>
                <w:sz w:val="16"/>
                <w:szCs w:val="16"/>
              </w:rPr>
              <w:t>We have co-designed new tariff structures with our water corporation customers to whom the tariff applies. We have explored a long list of options proposed by customers as part of that process. New structures are supported by all connected water corporations.</w:t>
            </w:r>
          </w:p>
        </w:tc>
      </w:tr>
      <w:tr w:rsidR="00A5757A" w:rsidRPr="00DE108C" w14:paraId="7ED20949" w14:textId="77777777" w:rsidTr="6BAD7D01">
        <w:trPr>
          <w:cnfStyle w:val="000000010000" w:firstRow="0" w:lastRow="0" w:firstColumn="0" w:lastColumn="0" w:oddVBand="0" w:evenVBand="0" w:oddHBand="0" w:evenHBand="1" w:firstRowFirstColumn="0" w:firstRowLastColumn="0" w:lastRowFirstColumn="0" w:lastRowLastColumn="0"/>
        </w:trPr>
        <w:tc>
          <w:tcPr>
            <w:tcW w:w="2500" w:type="pct"/>
          </w:tcPr>
          <w:p w14:paraId="25B67545" w14:textId="247B5AFE" w:rsidR="00046BD5" w:rsidRPr="00DE108C" w:rsidRDefault="00046BD5" w:rsidP="00ED094E">
            <w:pPr>
              <w:rPr>
                <w:sz w:val="16"/>
                <w:szCs w:val="16"/>
              </w:rPr>
            </w:pPr>
            <w:r w:rsidRPr="00DE108C">
              <w:rPr>
                <w:sz w:val="16"/>
                <w:szCs w:val="16"/>
              </w:rPr>
              <w:t>11(d) (ii) provide signals about the efficient costs of providing prescribed services to customers (either collectively or to an individual customer or class of customers) while avoiding price shocks where possible</w:t>
            </w:r>
            <w:r w:rsidR="4B3718F0" w:rsidRPr="564B443E">
              <w:rPr>
                <w:sz w:val="16"/>
                <w:szCs w:val="16"/>
              </w:rPr>
              <w:t>.</w:t>
            </w:r>
            <w:r w:rsidRPr="00DE108C">
              <w:rPr>
                <w:sz w:val="16"/>
                <w:szCs w:val="16"/>
              </w:rPr>
              <w:t xml:space="preserve"> </w:t>
            </w:r>
          </w:p>
        </w:tc>
        <w:tc>
          <w:tcPr>
            <w:tcW w:w="2500" w:type="pct"/>
          </w:tcPr>
          <w:p w14:paraId="63BDAE3B" w14:textId="09FA62DA" w:rsidR="00046BD5" w:rsidRPr="00DE108C" w:rsidRDefault="00046BD5" w:rsidP="00ED094E">
            <w:pPr>
              <w:rPr>
                <w:sz w:val="16"/>
                <w:szCs w:val="16"/>
              </w:rPr>
            </w:pPr>
            <w:r w:rsidRPr="6BAD7D01">
              <w:rPr>
                <w:sz w:val="16"/>
                <w:szCs w:val="16"/>
              </w:rPr>
              <w:t xml:space="preserve">Moving away from charging that relates to bulk entitlements to actual water usage and increasing volumetric charges with regard to the short and long run marginal costs of drinking water provide improved signals about the efficient costs of providing bulk water services compared to the current tariff structures. </w:t>
            </w:r>
            <w:r w:rsidRPr="6BAD7D01">
              <w:rPr>
                <w:sz w:val="16"/>
                <w:szCs w:val="16"/>
              </w:rPr>
              <w:lastRenderedPageBreak/>
              <w:t>Setting volumetric charges below the long run marginal cost and smoothing changes to fixed charges over multiple years helps avoid bill shock for end use customers.</w:t>
            </w:r>
          </w:p>
        </w:tc>
      </w:tr>
      <w:tr w:rsidR="00046BD5" w:rsidRPr="00DE108C" w14:paraId="0CFDAC07" w14:textId="77777777" w:rsidTr="6BAD7D01">
        <w:tc>
          <w:tcPr>
            <w:tcW w:w="2500" w:type="pct"/>
          </w:tcPr>
          <w:p w14:paraId="5ABB3F63" w14:textId="46026104" w:rsidR="00046BD5" w:rsidRPr="00DE108C" w:rsidRDefault="00046BD5" w:rsidP="00ED094E">
            <w:pPr>
              <w:rPr>
                <w:sz w:val="16"/>
                <w:szCs w:val="16"/>
              </w:rPr>
            </w:pPr>
            <w:r w:rsidRPr="00DE108C">
              <w:rPr>
                <w:sz w:val="16"/>
                <w:szCs w:val="16"/>
              </w:rPr>
              <w:lastRenderedPageBreak/>
              <w:t>11(d) (iii) take into account the interests of customers of the regulated entity, including low income and vulnerable customers</w:t>
            </w:r>
            <w:r w:rsidR="7BF8CAA8" w:rsidRPr="564B443E">
              <w:rPr>
                <w:sz w:val="16"/>
                <w:szCs w:val="16"/>
              </w:rPr>
              <w:t>.</w:t>
            </w:r>
            <w:r w:rsidRPr="00DE108C">
              <w:rPr>
                <w:sz w:val="16"/>
                <w:szCs w:val="16"/>
              </w:rPr>
              <w:t xml:space="preserve"> </w:t>
            </w:r>
          </w:p>
        </w:tc>
        <w:tc>
          <w:tcPr>
            <w:tcW w:w="2500" w:type="pct"/>
          </w:tcPr>
          <w:p w14:paraId="5C7B9B32" w14:textId="6B3F45A7" w:rsidR="00046BD5" w:rsidRPr="00DE108C" w:rsidRDefault="00046BD5" w:rsidP="00ED094E">
            <w:pPr>
              <w:rPr>
                <w:sz w:val="16"/>
                <w:szCs w:val="16"/>
              </w:rPr>
            </w:pPr>
            <w:r w:rsidRPr="6BAD7D01">
              <w:rPr>
                <w:sz w:val="16"/>
                <w:szCs w:val="16"/>
              </w:rPr>
              <w:t>As above, the new tariff structures were developed in collaboration with customers taking their interests into account. Extensive modelling has informed the final proposals</w:t>
            </w:r>
            <w:r w:rsidR="7A3A1615" w:rsidRPr="6BAD7D01">
              <w:rPr>
                <w:sz w:val="16"/>
                <w:szCs w:val="16"/>
              </w:rPr>
              <w:t>,</w:t>
            </w:r>
            <w:r w:rsidRPr="6BAD7D01">
              <w:rPr>
                <w:sz w:val="16"/>
                <w:szCs w:val="16"/>
              </w:rPr>
              <w:t xml:space="preserve"> which result in smoothed bill impacts and no annual bill impact exceeding 1.5 per cent above inflation as a result of Melbourne Water’s costs.</w:t>
            </w:r>
          </w:p>
        </w:tc>
      </w:tr>
    </w:tbl>
    <w:p w14:paraId="5E30A604" w14:textId="77777777" w:rsidR="00BE123A" w:rsidRPr="00DE108C" w:rsidRDefault="00BE123A" w:rsidP="00ED094E">
      <w:pPr>
        <w:sectPr w:rsidR="00BE123A" w:rsidRPr="00DE108C" w:rsidSect="00B03007">
          <w:pgSz w:w="11906" w:h="16838" w:code="9"/>
          <w:pgMar w:top="1134" w:right="1134" w:bottom="1134" w:left="1134" w:header="567" w:footer="680" w:gutter="0"/>
          <w:cols w:space="708"/>
          <w:docGrid w:linePitch="360"/>
        </w:sectPr>
      </w:pPr>
      <w:bookmarkStart w:id="1128" w:name="_Toc196745298"/>
    </w:p>
    <w:p w14:paraId="48752055" w14:textId="77777777" w:rsidR="00046BD5" w:rsidRPr="00DE108C" w:rsidRDefault="00046BD5">
      <w:pPr>
        <w:pStyle w:val="Heading4"/>
      </w:pPr>
      <w:r w:rsidRPr="00DE108C">
        <w:lastRenderedPageBreak/>
        <w:t>11.2.3.7 Proposed price schedule</w:t>
      </w:r>
      <w:bookmarkEnd w:id="1128"/>
    </w:p>
    <w:p w14:paraId="50664434" w14:textId="77777777" w:rsidR="00046BD5" w:rsidRPr="00DE108C" w:rsidRDefault="00046BD5" w:rsidP="00ED094E">
      <w:r w:rsidRPr="00DE108C">
        <w:t xml:space="preserve">The proposed price schedule for bulk water tariffs are presented in Table 11.9. </w:t>
      </w:r>
    </w:p>
    <w:p w14:paraId="7E536B3C" w14:textId="77777777" w:rsidR="00046BD5" w:rsidRPr="00DE108C" w:rsidRDefault="00046BD5" w:rsidP="00ED094E">
      <w:pPr>
        <w:pStyle w:val="Caption"/>
      </w:pPr>
      <w:bookmarkStart w:id="1129" w:name="_Toc207893112"/>
      <w:bookmarkStart w:id="1130" w:name="_Toc208490636"/>
      <w:bookmarkStart w:id="1131" w:name="_Toc208490974"/>
      <w:bookmarkStart w:id="1132" w:name="_Toc208911132"/>
      <w:bookmarkStart w:id="1133" w:name="_Toc210051438"/>
      <w:r w:rsidRPr="00DE108C">
        <w:t>Table 11.9: Proposed price schedule – Bulk Water ($real 2025-26)</w:t>
      </w:r>
      <w:bookmarkEnd w:id="1129"/>
      <w:bookmarkEnd w:id="1130"/>
      <w:bookmarkEnd w:id="1131"/>
      <w:bookmarkEnd w:id="1132"/>
      <w:bookmarkEnd w:id="1133"/>
    </w:p>
    <w:tbl>
      <w:tblPr>
        <w:tblStyle w:val="TableGridLight"/>
        <w:tblW w:w="0" w:type="auto"/>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Layout w:type="fixed"/>
        <w:tblLook w:val="04A0" w:firstRow="1" w:lastRow="0" w:firstColumn="1" w:lastColumn="0" w:noHBand="0" w:noVBand="1"/>
      </w:tblPr>
      <w:tblGrid>
        <w:gridCol w:w="1555"/>
        <w:gridCol w:w="3543"/>
        <w:gridCol w:w="993"/>
        <w:gridCol w:w="1672"/>
        <w:gridCol w:w="1673"/>
        <w:gridCol w:w="1672"/>
        <w:gridCol w:w="1673"/>
        <w:gridCol w:w="1673"/>
      </w:tblGrid>
      <w:tr w:rsidR="00943937" w:rsidRPr="00DE108C" w14:paraId="31592274" w14:textId="77777777" w:rsidTr="007A5AAB">
        <w:trPr>
          <w:trHeight w:val="21"/>
        </w:trPr>
        <w:tc>
          <w:tcPr>
            <w:tcW w:w="1555" w:type="dxa"/>
            <w:shd w:val="clear" w:color="auto" w:fill="00428B" w:themeFill="text2"/>
          </w:tcPr>
          <w:p w14:paraId="6145CFA9" w14:textId="77777777" w:rsidR="002A6F30" w:rsidRPr="00DE108C" w:rsidRDefault="002A6F30" w:rsidP="00ED094E">
            <w:pPr>
              <w:pStyle w:val="TableHeading"/>
              <w:rPr>
                <w:rFonts w:asciiTheme="majorHAnsi" w:hAnsiTheme="majorHAnsi"/>
                <w:sz w:val="15"/>
                <w:szCs w:val="15"/>
              </w:rPr>
            </w:pPr>
          </w:p>
        </w:tc>
        <w:tc>
          <w:tcPr>
            <w:tcW w:w="3543" w:type="dxa"/>
            <w:shd w:val="clear" w:color="auto" w:fill="00428B" w:themeFill="text2"/>
            <w:hideMark/>
          </w:tcPr>
          <w:p w14:paraId="4E3C71C4" w14:textId="77777777" w:rsidR="002A6F30" w:rsidRPr="00DE108C" w:rsidRDefault="002A6F30" w:rsidP="00ED094E">
            <w:pPr>
              <w:pStyle w:val="TableHeading"/>
              <w:rPr>
                <w:rFonts w:asciiTheme="majorHAnsi" w:hAnsiTheme="majorHAnsi"/>
                <w:sz w:val="15"/>
                <w:szCs w:val="15"/>
              </w:rPr>
            </w:pPr>
            <w:r w:rsidRPr="00DE108C">
              <w:rPr>
                <w:rFonts w:asciiTheme="majorHAnsi" w:hAnsiTheme="majorHAnsi"/>
                <w:sz w:val="15"/>
                <w:szCs w:val="15"/>
              </w:rPr>
              <w:t> </w:t>
            </w:r>
          </w:p>
        </w:tc>
        <w:tc>
          <w:tcPr>
            <w:tcW w:w="993" w:type="dxa"/>
            <w:shd w:val="clear" w:color="auto" w:fill="00428B" w:themeFill="text2"/>
          </w:tcPr>
          <w:p w14:paraId="47388728" w14:textId="4DEED7C0" w:rsidR="002A6F30" w:rsidRPr="00DE108C" w:rsidRDefault="00883A3D" w:rsidP="00ED094E">
            <w:pPr>
              <w:pStyle w:val="TableHeading"/>
              <w:rPr>
                <w:rFonts w:asciiTheme="majorHAnsi" w:hAnsiTheme="majorHAnsi"/>
                <w:sz w:val="15"/>
                <w:szCs w:val="15"/>
              </w:rPr>
            </w:pPr>
            <w:r w:rsidRPr="00DE108C">
              <w:rPr>
                <w:rFonts w:asciiTheme="majorHAnsi" w:hAnsiTheme="majorHAnsi"/>
                <w:sz w:val="15"/>
                <w:szCs w:val="15"/>
              </w:rPr>
              <w:t>2025-26</w:t>
            </w:r>
          </w:p>
        </w:tc>
        <w:tc>
          <w:tcPr>
            <w:tcW w:w="1672" w:type="dxa"/>
            <w:shd w:val="clear" w:color="auto" w:fill="00428B" w:themeFill="text2"/>
            <w:hideMark/>
          </w:tcPr>
          <w:p w14:paraId="7FE55134" w14:textId="271AA8C9" w:rsidR="002A6F30" w:rsidRPr="00DE108C" w:rsidRDefault="002A6F30" w:rsidP="00ED094E">
            <w:pPr>
              <w:pStyle w:val="TableHeading"/>
              <w:rPr>
                <w:rFonts w:asciiTheme="majorHAnsi" w:hAnsiTheme="majorHAnsi"/>
                <w:sz w:val="15"/>
                <w:szCs w:val="15"/>
              </w:rPr>
            </w:pPr>
            <w:r w:rsidRPr="00DE108C">
              <w:rPr>
                <w:rFonts w:asciiTheme="majorHAnsi" w:hAnsiTheme="majorHAnsi"/>
                <w:sz w:val="15"/>
                <w:szCs w:val="15"/>
              </w:rPr>
              <w:t>2026-27 </w:t>
            </w:r>
          </w:p>
        </w:tc>
        <w:tc>
          <w:tcPr>
            <w:tcW w:w="1673" w:type="dxa"/>
            <w:shd w:val="clear" w:color="auto" w:fill="00428B" w:themeFill="text2"/>
            <w:hideMark/>
          </w:tcPr>
          <w:p w14:paraId="1B693267" w14:textId="77777777" w:rsidR="002A6F30" w:rsidRPr="00DE108C" w:rsidRDefault="002A6F30" w:rsidP="00ED094E">
            <w:pPr>
              <w:pStyle w:val="TableHeading"/>
              <w:rPr>
                <w:rFonts w:asciiTheme="majorHAnsi" w:hAnsiTheme="majorHAnsi"/>
                <w:sz w:val="15"/>
                <w:szCs w:val="15"/>
              </w:rPr>
            </w:pPr>
            <w:r w:rsidRPr="00DE108C">
              <w:rPr>
                <w:rFonts w:asciiTheme="majorHAnsi" w:hAnsiTheme="majorHAnsi"/>
                <w:sz w:val="15"/>
                <w:szCs w:val="15"/>
              </w:rPr>
              <w:t>2027-28 </w:t>
            </w:r>
          </w:p>
        </w:tc>
        <w:tc>
          <w:tcPr>
            <w:tcW w:w="1672" w:type="dxa"/>
            <w:shd w:val="clear" w:color="auto" w:fill="00428B" w:themeFill="text2"/>
            <w:hideMark/>
          </w:tcPr>
          <w:p w14:paraId="2DBF4C4C" w14:textId="77777777" w:rsidR="002A6F30" w:rsidRPr="00DE108C" w:rsidRDefault="002A6F30" w:rsidP="00ED094E">
            <w:pPr>
              <w:pStyle w:val="TableHeading"/>
              <w:rPr>
                <w:rFonts w:asciiTheme="majorHAnsi" w:hAnsiTheme="majorHAnsi"/>
                <w:sz w:val="15"/>
                <w:szCs w:val="15"/>
              </w:rPr>
            </w:pPr>
            <w:r w:rsidRPr="00DE108C">
              <w:rPr>
                <w:rFonts w:asciiTheme="majorHAnsi" w:hAnsiTheme="majorHAnsi"/>
                <w:sz w:val="15"/>
                <w:szCs w:val="15"/>
              </w:rPr>
              <w:t>2028-29 </w:t>
            </w:r>
          </w:p>
        </w:tc>
        <w:tc>
          <w:tcPr>
            <w:tcW w:w="1673" w:type="dxa"/>
            <w:shd w:val="clear" w:color="auto" w:fill="00428B" w:themeFill="text2"/>
            <w:hideMark/>
          </w:tcPr>
          <w:p w14:paraId="1EDEBFE6" w14:textId="77777777" w:rsidR="002A6F30" w:rsidRPr="00DE108C" w:rsidRDefault="002A6F30" w:rsidP="00ED094E">
            <w:pPr>
              <w:pStyle w:val="TableHeading"/>
              <w:rPr>
                <w:rFonts w:asciiTheme="majorHAnsi" w:hAnsiTheme="majorHAnsi"/>
                <w:sz w:val="15"/>
                <w:szCs w:val="15"/>
              </w:rPr>
            </w:pPr>
            <w:r w:rsidRPr="00DE108C">
              <w:rPr>
                <w:rFonts w:asciiTheme="majorHAnsi" w:hAnsiTheme="majorHAnsi"/>
                <w:sz w:val="15"/>
                <w:szCs w:val="15"/>
              </w:rPr>
              <w:t>2029-30 </w:t>
            </w:r>
          </w:p>
        </w:tc>
        <w:tc>
          <w:tcPr>
            <w:tcW w:w="1673" w:type="dxa"/>
            <w:shd w:val="clear" w:color="auto" w:fill="00428B" w:themeFill="text2"/>
            <w:hideMark/>
          </w:tcPr>
          <w:p w14:paraId="6274AE8C" w14:textId="77777777" w:rsidR="002A6F30" w:rsidRPr="00DE108C" w:rsidRDefault="002A6F30" w:rsidP="00ED094E">
            <w:pPr>
              <w:pStyle w:val="TableHeading"/>
              <w:rPr>
                <w:rFonts w:asciiTheme="majorHAnsi" w:hAnsiTheme="majorHAnsi"/>
                <w:sz w:val="15"/>
                <w:szCs w:val="15"/>
              </w:rPr>
            </w:pPr>
            <w:r w:rsidRPr="00DE108C">
              <w:rPr>
                <w:rFonts w:asciiTheme="majorHAnsi" w:hAnsiTheme="majorHAnsi"/>
                <w:sz w:val="15"/>
                <w:szCs w:val="15"/>
              </w:rPr>
              <w:t>2030-31 </w:t>
            </w:r>
          </w:p>
        </w:tc>
      </w:tr>
      <w:tr w:rsidR="00943937" w:rsidRPr="00DE108C" w14:paraId="285514FD" w14:textId="77777777" w:rsidTr="00140891">
        <w:trPr>
          <w:trHeight w:val="21"/>
        </w:trPr>
        <w:tc>
          <w:tcPr>
            <w:tcW w:w="1555" w:type="dxa"/>
            <w:vMerge w:val="restart"/>
          </w:tcPr>
          <w:p w14:paraId="438B7DB4" w14:textId="17955E80" w:rsidR="00C5411A" w:rsidRPr="00DE108C" w:rsidRDefault="00C5411A" w:rsidP="00ED094E">
            <w:pPr>
              <w:pStyle w:val="TableBody"/>
              <w:rPr>
                <w:rFonts w:asciiTheme="majorHAnsi" w:hAnsiTheme="majorHAnsi"/>
                <w:sz w:val="15"/>
                <w:szCs w:val="15"/>
              </w:rPr>
            </w:pPr>
            <w:r w:rsidRPr="00DE108C">
              <w:rPr>
                <w:rFonts w:asciiTheme="majorHAnsi" w:hAnsiTheme="majorHAnsi"/>
                <w:sz w:val="15"/>
                <w:szCs w:val="15"/>
              </w:rPr>
              <w:t xml:space="preserve">South-Central </w:t>
            </w:r>
            <w:r w:rsidR="00B8448E" w:rsidRPr="00DE108C">
              <w:rPr>
                <w:rFonts w:asciiTheme="majorHAnsi" w:hAnsiTheme="majorHAnsi"/>
                <w:sz w:val="15"/>
                <w:szCs w:val="15"/>
              </w:rPr>
              <w:t>Pool</w:t>
            </w:r>
            <w:r w:rsidRPr="00DE108C">
              <w:rPr>
                <w:rFonts w:asciiTheme="majorHAnsi" w:hAnsiTheme="majorHAnsi"/>
                <w:sz w:val="15"/>
                <w:szCs w:val="15"/>
              </w:rPr>
              <w:t xml:space="preserve"> ($/month)</w:t>
            </w:r>
          </w:p>
        </w:tc>
        <w:tc>
          <w:tcPr>
            <w:tcW w:w="3543" w:type="dxa"/>
            <w:shd w:val="clear" w:color="auto" w:fill="EFF5FB" w:themeFill="background2"/>
            <w:noWrap/>
            <w:vAlign w:val="center"/>
            <w:hideMark/>
          </w:tcPr>
          <w:p w14:paraId="596239C1" w14:textId="77777777" w:rsidR="00C5411A" w:rsidRPr="00DE108C" w:rsidRDefault="00C5411A" w:rsidP="00ED094E">
            <w:pPr>
              <w:pStyle w:val="TableBody"/>
              <w:rPr>
                <w:rFonts w:asciiTheme="majorHAnsi" w:hAnsiTheme="majorHAnsi"/>
                <w:sz w:val="15"/>
                <w:szCs w:val="15"/>
              </w:rPr>
            </w:pPr>
            <w:r w:rsidRPr="00DE108C">
              <w:rPr>
                <w:rFonts w:asciiTheme="majorHAnsi" w:hAnsiTheme="majorHAnsi"/>
                <w:sz w:val="15"/>
                <w:szCs w:val="15"/>
              </w:rPr>
              <w:t>Greater Western Water</w:t>
            </w:r>
          </w:p>
        </w:tc>
        <w:tc>
          <w:tcPr>
            <w:tcW w:w="993" w:type="dxa"/>
            <w:vMerge w:val="restart"/>
          </w:tcPr>
          <w:p w14:paraId="75F48A32" w14:textId="40CD590B" w:rsidR="00C5411A" w:rsidRPr="00DE108C" w:rsidRDefault="002014EC" w:rsidP="00B8448E">
            <w:pPr>
              <w:pStyle w:val="TableBody"/>
              <w:rPr>
                <w:rFonts w:asciiTheme="majorHAnsi" w:hAnsiTheme="majorHAnsi" w:cs="Tahoma"/>
                <w:sz w:val="15"/>
                <w:szCs w:val="15"/>
              </w:rPr>
            </w:pPr>
            <w:r w:rsidRPr="00DE108C">
              <w:rPr>
                <w:rFonts w:asciiTheme="majorHAnsi" w:hAnsiTheme="majorHAnsi" w:cs="Tahoma"/>
                <w:sz w:val="15"/>
                <w:szCs w:val="15"/>
              </w:rPr>
              <w:t>See note</w:t>
            </w:r>
          </w:p>
        </w:tc>
        <w:tc>
          <w:tcPr>
            <w:tcW w:w="1672" w:type="dxa"/>
            <w:shd w:val="clear" w:color="auto" w:fill="EFF5FB" w:themeFill="background2"/>
            <w:noWrap/>
            <w:vAlign w:val="center"/>
          </w:tcPr>
          <w:p w14:paraId="284E9960" w14:textId="201E5AC8" w:rsidR="00C5411A" w:rsidRPr="000C092E" w:rsidRDefault="002F5B91" w:rsidP="00C37C64">
            <w:pPr>
              <w:pStyle w:val="TableBody"/>
              <w:jc w:val="right"/>
            </w:pPr>
            <w:r w:rsidRPr="000C092E">
              <w:t>12,305,982.84</w:t>
            </w:r>
          </w:p>
        </w:tc>
        <w:tc>
          <w:tcPr>
            <w:tcW w:w="1673" w:type="dxa"/>
            <w:shd w:val="clear" w:color="auto" w:fill="EFF5FB" w:themeFill="background2"/>
            <w:noWrap/>
            <w:vAlign w:val="center"/>
          </w:tcPr>
          <w:p w14:paraId="6A5EBFCE" w14:textId="66B1B787" w:rsidR="00C5411A" w:rsidRPr="000C092E" w:rsidRDefault="00C5411A" w:rsidP="00C37C64">
            <w:pPr>
              <w:pStyle w:val="TableBody"/>
              <w:jc w:val="right"/>
            </w:pPr>
            <w:r w:rsidRPr="000C092E">
              <w:t>13,088,</w:t>
            </w:r>
            <w:r w:rsidR="002F5B91" w:rsidRPr="000C092E">
              <w:t>910.45</w:t>
            </w:r>
          </w:p>
        </w:tc>
        <w:tc>
          <w:tcPr>
            <w:tcW w:w="1672" w:type="dxa"/>
            <w:shd w:val="clear" w:color="auto" w:fill="EFF5FB" w:themeFill="background2"/>
            <w:noWrap/>
            <w:vAlign w:val="center"/>
          </w:tcPr>
          <w:p w14:paraId="4FF12A0F" w14:textId="5BDE2B58" w:rsidR="00C5411A" w:rsidRPr="000C092E" w:rsidRDefault="002F5B91" w:rsidP="00C37C64">
            <w:pPr>
              <w:pStyle w:val="TableBody"/>
              <w:jc w:val="right"/>
            </w:pPr>
            <w:r w:rsidRPr="000C092E">
              <w:t>13,505,279.85</w:t>
            </w:r>
          </w:p>
        </w:tc>
        <w:tc>
          <w:tcPr>
            <w:tcW w:w="1673" w:type="dxa"/>
            <w:shd w:val="clear" w:color="auto" w:fill="EFF5FB" w:themeFill="background2"/>
            <w:noWrap/>
            <w:vAlign w:val="center"/>
          </w:tcPr>
          <w:p w14:paraId="71E774B0" w14:textId="317AAA0F" w:rsidR="00C5411A" w:rsidRPr="000C092E" w:rsidRDefault="002F5B91" w:rsidP="00C37C64">
            <w:pPr>
              <w:pStyle w:val="TableBody"/>
              <w:jc w:val="right"/>
            </w:pPr>
            <w:r w:rsidRPr="000C092E">
              <w:t>13,934,894.32</w:t>
            </w:r>
          </w:p>
        </w:tc>
        <w:tc>
          <w:tcPr>
            <w:tcW w:w="1673" w:type="dxa"/>
            <w:shd w:val="clear" w:color="auto" w:fill="EFF5FB" w:themeFill="background2"/>
            <w:noWrap/>
            <w:vAlign w:val="center"/>
          </w:tcPr>
          <w:p w14:paraId="57746BB6" w14:textId="67D8072D" w:rsidR="00C5411A" w:rsidRPr="000C092E" w:rsidRDefault="002F5B91" w:rsidP="00C37C64">
            <w:pPr>
              <w:pStyle w:val="TableBody"/>
              <w:jc w:val="right"/>
            </w:pPr>
            <w:r w:rsidRPr="000C092E">
              <w:t>14,378,175.18</w:t>
            </w:r>
          </w:p>
        </w:tc>
      </w:tr>
      <w:tr w:rsidR="00943937" w:rsidRPr="00DE108C" w14:paraId="4EC70D45" w14:textId="77777777" w:rsidTr="00140891">
        <w:trPr>
          <w:trHeight w:val="21"/>
        </w:trPr>
        <w:tc>
          <w:tcPr>
            <w:tcW w:w="1555" w:type="dxa"/>
            <w:vMerge/>
          </w:tcPr>
          <w:p w14:paraId="6312E8A7" w14:textId="77777777" w:rsidR="00C5411A" w:rsidRPr="00DE108C" w:rsidRDefault="00C5411A" w:rsidP="00ED094E">
            <w:pPr>
              <w:pStyle w:val="TableBody"/>
              <w:rPr>
                <w:rFonts w:asciiTheme="majorHAnsi" w:hAnsiTheme="majorHAnsi"/>
                <w:sz w:val="15"/>
                <w:szCs w:val="15"/>
              </w:rPr>
            </w:pPr>
          </w:p>
        </w:tc>
        <w:tc>
          <w:tcPr>
            <w:tcW w:w="3543" w:type="dxa"/>
            <w:noWrap/>
            <w:vAlign w:val="center"/>
            <w:hideMark/>
          </w:tcPr>
          <w:p w14:paraId="67743817" w14:textId="77777777" w:rsidR="00C5411A" w:rsidRPr="00DE108C" w:rsidRDefault="00C5411A" w:rsidP="00ED094E">
            <w:pPr>
              <w:pStyle w:val="TableBody"/>
              <w:rPr>
                <w:rFonts w:asciiTheme="majorHAnsi" w:hAnsiTheme="majorHAnsi"/>
                <w:sz w:val="15"/>
                <w:szCs w:val="15"/>
              </w:rPr>
            </w:pPr>
            <w:r w:rsidRPr="00DE108C">
              <w:rPr>
                <w:rFonts w:asciiTheme="majorHAnsi" w:hAnsiTheme="majorHAnsi"/>
                <w:sz w:val="15"/>
                <w:szCs w:val="15"/>
              </w:rPr>
              <w:t xml:space="preserve">South East Water </w:t>
            </w:r>
          </w:p>
        </w:tc>
        <w:tc>
          <w:tcPr>
            <w:tcW w:w="993" w:type="dxa"/>
            <w:vMerge/>
          </w:tcPr>
          <w:p w14:paraId="1059B40C" w14:textId="77777777" w:rsidR="00C5411A" w:rsidRPr="00DE108C" w:rsidRDefault="00C5411A" w:rsidP="00B8448E">
            <w:pPr>
              <w:pStyle w:val="TableBody"/>
              <w:rPr>
                <w:rFonts w:asciiTheme="majorHAnsi" w:hAnsiTheme="majorHAnsi" w:cs="Tahoma"/>
                <w:sz w:val="15"/>
                <w:szCs w:val="15"/>
              </w:rPr>
            </w:pPr>
          </w:p>
        </w:tc>
        <w:tc>
          <w:tcPr>
            <w:tcW w:w="1672" w:type="dxa"/>
            <w:noWrap/>
            <w:vAlign w:val="center"/>
          </w:tcPr>
          <w:p w14:paraId="7098B9FF" w14:textId="1D529FE9" w:rsidR="00C5411A" w:rsidRPr="000C092E" w:rsidRDefault="002F5B91" w:rsidP="00C37C64">
            <w:pPr>
              <w:pStyle w:val="TableBody"/>
              <w:jc w:val="right"/>
            </w:pPr>
            <w:r w:rsidRPr="000C092E">
              <w:t>15,504,326.22</w:t>
            </w:r>
          </w:p>
        </w:tc>
        <w:tc>
          <w:tcPr>
            <w:tcW w:w="1673" w:type="dxa"/>
            <w:noWrap/>
            <w:vAlign w:val="center"/>
          </w:tcPr>
          <w:p w14:paraId="2E245E34" w14:textId="2F382EEB" w:rsidR="00C5411A" w:rsidRPr="000C092E" w:rsidRDefault="002F5B91" w:rsidP="00C37C64">
            <w:pPr>
              <w:pStyle w:val="TableBody"/>
              <w:jc w:val="right"/>
            </w:pPr>
            <w:r w:rsidRPr="000C092E">
              <w:t>16,886,177.97</w:t>
            </w:r>
          </w:p>
        </w:tc>
        <w:tc>
          <w:tcPr>
            <w:tcW w:w="1672" w:type="dxa"/>
            <w:noWrap/>
            <w:vAlign w:val="center"/>
          </w:tcPr>
          <w:p w14:paraId="443EC064" w14:textId="1816C413" w:rsidR="00C5411A" w:rsidRPr="000C092E" w:rsidRDefault="002F5B91" w:rsidP="00C37C64">
            <w:pPr>
              <w:pStyle w:val="TableBody"/>
              <w:jc w:val="right"/>
            </w:pPr>
            <w:r w:rsidRPr="000C092E">
              <w:t>17,145,662.77</w:t>
            </w:r>
          </w:p>
        </w:tc>
        <w:tc>
          <w:tcPr>
            <w:tcW w:w="1673" w:type="dxa"/>
            <w:noWrap/>
            <w:vAlign w:val="center"/>
          </w:tcPr>
          <w:p w14:paraId="36678B74" w14:textId="539CDA8C" w:rsidR="00C5411A" w:rsidRPr="000C092E" w:rsidRDefault="002F5B91" w:rsidP="00C37C64">
            <w:pPr>
              <w:pStyle w:val="TableBody"/>
              <w:jc w:val="right"/>
            </w:pPr>
            <w:r w:rsidRPr="000C092E">
              <w:t>17,409,135.00</w:t>
            </w:r>
          </w:p>
        </w:tc>
        <w:tc>
          <w:tcPr>
            <w:tcW w:w="1673" w:type="dxa"/>
            <w:noWrap/>
            <w:vAlign w:val="center"/>
          </w:tcPr>
          <w:p w14:paraId="3D5DB3C9" w14:textId="520251B2" w:rsidR="00C5411A" w:rsidRPr="000C092E" w:rsidRDefault="002F5B91" w:rsidP="00C37C64">
            <w:pPr>
              <w:pStyle w:val="TableBody"/>
              <w:jc w:val="right"/>
            </w:pPr>
            <w:r w:rsidRPr="000C092E">
              <w:t>17,676,655.92</w:t>
            </w:r>
          </w:p>
        </w:tc>
      </w:tr>
      <w:tr w:rsidR="00943937" w:rsidRPr="00DE108C" w14:paraId="0183FB99" w14:textId="77777777" w:rsidTr="00140891">
        <w:trPr>
          <w:trHeight w:val="21"/>
        </w:trPr>
        <w:tc>
          <w:tcPr>
            <w:tcW w:w="1555" w:type="dxa"/>
            <w:vMerge/>
          </w:tcPr>
          <w:p w14:paraId="4554F572" w14:textId="77777777" w:rsidR="00C5411A" w:rsidRPr="00DE108C" w:rsidRDefault="00C5411A" w:rsidP="00ED094E">
            <w:pPr>
              <w:pStyle w:val="TableBody"/>
              <w:rPr>
                <w:rFonts w:asciiTheme="majorHAnsi" w:hAnsiTheme="majorHAnsi"/>
                <w:sz w:val="15"/>
                <w:szCs w:val="15"/>
              </w:rPr>
            </w:pPr>
          </w:p>
        </w:tc>
        <w:tc>
          <w:tcPr>
            <w:tcW w:w="3543" w:type="dxa"/>
            <w:shd w:val="clear" w:color="auto" w:fill="EFF5FB" w:themeFill="background2"/>
            <w:noWrap/>
            <w:vAlign w:val="center"/>
            <w:hideMark/>
          </w:tcPr>
          <w:p w14:paraId="6758E709" w14:textId="77777777" w:rsidR="00C5411A" w:rsidRPr="00DE108C" w:rsidRDefault="00C5411A" w:rsidP="00ED094E">
            <w:pPr>
              <w:pStyle w:val="TableBody"/>
              <w:rPr>
                <w:rFonts w:asciiTheme="majorHAnsi" w:hAnsiTheme="majorHAnsi"/>
                <w:sz w:val="15"/>
                <w:szCs w:val="15"/>
              </w:rPr>
            </w:pPr>
            <w:r w:rsidRPr="00DE108C">
              <w:rPr>
                <w:rFonts w:asciiTheme="majorHAnsi" w:hAnsiTheme="majorHAnsi"/>
                <w:sz w:val="15"/>
                <w:szCs w:val="15"/>
              </w:rPr>
              <w:t xml:space="preserve">Yarra Valley Water </w:t>
            </w:r>
          </w:p>
        </w:tc>
        <w:tc>
          <w:tcPr>
            <w:tcW w:w="993" w:type="dxa"/>
            <w:vMerge/>
          </w:tcPr>
          <w:p w14:paraId="1991DEEE" w14:textId="77777777" w:rsidR="00C5411A" w:rsidRPr="00DE108C" w:rsidRDefault="00C5411A" w:rsidP="00B8448E">
            <w:pPr>
              <w:pStyle w:val="TableBody"/>
              <w:rPr>
                <w:rFonts w:asciiTheme="majorHAnsi" w:hAnsiTheme="majorHAnsi" w:cs="Tahoma"/>
                <w:sz w:val="15"/>
                <w:szCs w:val="15"/>
              </w:rPr>
            </w:pPr>
          </w:p>
        </w:tc>
        <w:tc>
          <w:tcPr>
            <w:tcW w:w="1672" w:type="dxa"/>
            <w:shd w:val="clear" w:color="auto" w:fill="EFF5FB" w:themeFill="background2"/>
            <w:noWrap/>
            <w:vAlign w:val="center"/>
          </w:tcPr>
          <w:p w14:paraId="58A42F31" w14:textId="3F9DF58E" w:rsidR="00C5411A" w:rsidRPr="000C092E" w:rsidRDefault="002F5B91" w:rsidP="00C37C64">
            <w:pPr>
              <w:pStyle w:val="TableBody"/>
              <w:jc w:val="right"/>
            </w:pPr>
            <w:r w:rsidRPr="000C092E">
              <w:t>15,525,549.51</w:t>
            </w:r>
          </w:p>
        </w:tc>
        <w:tc>
          <w:tcPr>
            <w:tcW w:w="1673" w:type="dxa"/>
            <w:shd w:val="clear" w:color="auto" w:fill="EFF5FB" w:themeFill="background2"/>
            <w:noWrap/>
            <w:vAlign w:val="center"/>
          </w:tcPr>
          <w:p w14:paraId="2DB34C5C" w14:textId="0D2AB5DD" w:rsidR="00C5411A" w:rsidRPr="000C092E" w:rsidRDefault="002F5B91" w:rsidP="00C37C64">
            <w:pPr>
              <w:pStyle w:val="TableBody"/>
              <w:jc w:val="right"/>
            </w:pPr>
            <w:r w:rsidRPr="000C092E">
              <w:t>17,471,209.90</w:t>
            </w:r>
          </w:p>
        </w:tc>
        <w:tc>
          <w:tcPr>
            <w:tcW w:w="1672" w:type="dxa"/>
            <w:shd w:val="clear" w:color="auto" w:fill="EFF5FB" w:themeFill="background2"/>
            <w:noWrap/>
            <w:vAlign w:val="center"/>
          </w:tcPr>
          <w:p w14:paraId="52852BEE" w14:textId="652FDAAF" w:rsidR="00C5411A" w:rsidRPr="000C092E" w:rsidRDefault="002F5B91" w:rsidP="00C37C64">
            <w:pPr>
              <w:pStyle w:val="TableBody"/>
              <w:jc w:val="right"/>
            </w:pPr>
            <w:r w:rsidRPr="000C092E">
              <w:t>17,471,209.90</w:t>
            </w:r>
          </w:p>
        </w:tc>
        <w:tc>
          <w:tcPr>
            <w:tcW w:w="1673" w:type="dxa"/>
            <w:shd w:val="clear" w:color="auto" w:fill="EFF5FB" w:themeFill="background2"/>
            <w:noWrap/>
            <w:vAlign w:val="center"/>
          </w:tcPr>
          <w:p w14:paraId="59F32060" w14:textId="07F22BBA" w:rsidR="00C5411A" w:rsidRPr="000C092E" w:rsidRDefault="002F5B91" w:rsidP="00C37C64">
            <w:pPr>
              <w:pStyle w:val="TableBody"/>
              <w:jc w:val="right"/>
            </w:pPr>
            <w:r w:rsidRPr="000C092E">
              <w:t>17,471,209.90</w:t>
            </w:r>
          </w:p>
        </w:tc>
        <w:tc>
          <w:tcPr>
            <w:tcW w:w="1673" w:type="dxa"/>
            <w:shd w:val="clear" w:color="auto" w:fill="EFF5FB" w:themeFill="background2"/>
            <w:noWrap/>
            <w:vAlign w:val="center"/>
          </w:tcPr>
          <w:p w14:paraId="5F2DF7B0" w14:textId="453073DC" w:rsidR="00C5411A" w:rsidRPr="000C092E" w:rsidRDefault="002F5B91" w:rsidP="00C37C64">
            <w:pPr>
              <w:pStyle w:val="TableBody"/>
              <w:jc w:val="right"/>
            </w:pPr>
            <w:r w:rsidRPr="000C092E">
              <w:t>17,471,209.90</w:t>
            </w:r>
          </w:p>
        </w:tc>
      </w:tr>
      <w:tr w:rsidR="00943937" w:rsidRPr="00DE108C" w14:paraId="356F1DA6" w14:textId="77777777" w:rsidTr="00140891">
        <w:trPr>
          <w:trHeight w:val="21"/>
        </w:trPr>
        <w:tc>
          <w:tcPr>
            <w:tcW w:w="1555" w:type="dxa"/>
            <w:vMerge/>
          </w:tcPr>
          <w:p w14:paraId="3F57DC32" w14:textId="77777777" w:rsidR="00C5411A" w:rsidRPr="00DE108C" w:rsidRDefault="00C5411A" w:rsidP="00ED094E">
            <w:pPr>
              <w:pStyle w:val="TableBody"/>
              <w:rPr>
                <w:rFonts w:asciiTheme="majorHAnsi" w:hAnsiTheme="majorHAnsi"/>
                <w:sz w:val="15"/>
                <w:szCs w:val="15"/>
              </w:rPr>
            </w:pPr>
          </w:p>
        </w:tc>
        <w:tc>
          <w:tcPr>
            <w:tcW w:w="3543" w:type="dxa"/>
            <w:noWrap/>
            <w:vAlign w:val="center"/>
            <w:hideMark/>
          </w:tcPr>
          <w:p w14:paraId="28A74C2C" w14:textId="77777777" w:rsidR="00C5411A" w:rsidRPr="00DE108C" w:rsidRDefault="00C5411A" w:rsidP="00ED094E">
            <w:pPr>
              <w:pStyle w:val="TableBody"/>
              <w:rPr>
                <w:rFonts w:asciiTheme="majorHAnsi" w:hAnsiTheme="majorHAnsi"/>
                <w:sz w:val="15"/>
                <w:szCs w:val="15"/>
              </w:rPr>
            </w:pPr>
            <w:r w:rsidRPr="00DE108C">
              <w:rPr>
                <w:rFonts w:asciiTheme="majorHAnsi" w:hAnsiTheme="majorHAnsi"/>
                <w:sz w:val="15"/>
                <w:szCs w:val="15"/>
              </w:rPr>
              <w:t>Barwon Water</w:t>
            </w:r>
          </w:p>
        </w:tc>
        <w:tc>
          <w:tcPr>
            <w:tcW w:w="993" w:type="dxa"/>
            <w:vMerge/>
          </w:tcPr>
          <w:p w14:paraId="76D83307" w14:textId="77777777" w:rsidR="00C5411A" w:rsidRPr="00DE108C" w:rsidRDefault="00C5411A" w:rsidP="00B8448E">
            <w:pPr>
              <w:pStyle w:val="TableBody"/>
              <w:rPr>
                <w:rFonts w:asciiTheme="majorHAnsi" w:hAnsiTheme="majorHAnsi" w:cs="Tahoma"/>
                <w:sz w:val="15"/>
                <w:szCs w:val="15"/>
              </w:rPr>
            </w:pPr>
          </w:p>
        </w:tc>
        <w:tc>
          <w:tcPr>
            <w:tcW w:w="1672" w:type="dxa"/>
            <w:noWrap/>
            <w:vAlign w:val="center"/>
          </w:tcPr>
          <w:p w14:paraId="35220967" w14:textId="0BA9FA39" w:rsidR="00C5411A" w:rsidRPr="000C092E" w:rsidRDefault="002F5B91" w:rsidP="00C37C64">
            <w:pPr>
              <w:pStyle w:val="TableBody"/>
              <w:jc w:val="right"/>
            </w:pPr>
            <w:r w:rsidRPr="000C092E">
              <w:t>337,280.72</w:t>
            </w:r>
          </w:p>
        </w:tc>
        <w:tc>
          <w:tcPr>
            <w:tcW w:w="1673" w:type="dxa"/>
            <w:noWrap/>
            <w:vAlign w:val="center"/>
          </w:tcPr>
          <w:p w14:paraId="75CF90F4" w14:textId="20044EB5" w:rsidR="00C5411A" w:rsidRPr="000C092E" w:rsidRDefault="002F5B91" w:rsidP="00C37C64">
            <w:pPr>
              <w:pStyle w:val="TableBody"/>
              <w:jc w:val="right"/>
            </w:pPr>
            <w:r w:rsidRPr="000C092E">
              <w:t>337,280.72</w:t>
            </w:r>
          </w:p>
        </w:tc>
        <w:tc>
          <w:tcPr>
            <w:tcW w:w="1672" w:type="dxa"/>
            <w:noWrap/>
            <w:vAlign w:val="center"/>
          </w:tcPr>
          <w:p w14:paraId="36F8C6FE" w14:textId="126DDE08" w:rsidR="00C5411A" w:rsidRPr="000C092E" w:rsidRDefault="002F5B91" w:rsidP="00C37C64">
            <w:pPr>
              <w:pStyle w:val="TableBody"/>
              <w:jc w:val="right"/>
            </w:pPr>
            <w:r w:rsidRPr="000C092E">
              <w:t>337,280.72</w:t>
            </w:r>
          </w:p>
        </w:tc>
        <w:tc>
          <w:tcPr>
            <w:tcW w:w="1673" w:type="dxa"/>
            <w:noWrap/>
            <w:vAlign w:val="center"/>
          </w:tcPr>
          <w:p w14:paraId="00F6DCE9" w14:textId="050036FA" w:rsidR="00C5411A" w:rsidRPr="000C092E" w:rsidRDefault="002F5B91" w:rsidP="00C37C64">
            <w:pPr>
              <w:pStyle w:val="TableBody"/>
              <w:jc w:val="right"/>
            </w:pPr>
            <w:r w:rsidRPr="000C092E">
              <w:t>337,280.72</w:t>
            </w:r>
          </w:p>
        </w:tc>
        <w:tc>
          <w:tcPr>
            <w:tcW w:w="1673" w:type="dxa"/>
            <w:noWrap/>
            <w:vAlign w:val="center"/>
          </w:tcPr>
          <w:p w14:paraId="198599EF" w14:textId="35812569" w:rsidR="00C5411A" w:rsidRPr="000C092E" w:rsidRDefault="002F5B91" w:rsidP="00C37C64">
            <w:pPr>
              <w:pStyle w:val="TableBody"/>
              <w:jc w:val="right"/>
            </w:pPr>
            <w:r w:rsidRPr="000C092E">
              <w:t>337,280.72</w:t>
            </w:r>
          </w:p>
        </w:tc>
      </w:tr>
      <w:tr w:rsidR="00943937" w:rsidRPr="00DE108C" w14:paraId="0E09325A" w14:textId="77777777" w:rsidTr="00140891">
        <w:trPr>
          <w:trHeight w:val="21"/>
        </w:trPr>
        <w:tc>
          <w:tcPr>
            <w:tcW w:w="1555" w:type="dxa"/>
            <w:vMerge/>
          </w:tcPr>
          <w:p w14:paraId="02D134A6" w14:textId="77777777" w:rsidR="00C5411A" w:rsidRPr="00DE108C" w:rsidRDefault="00C5411A" w:rsidP="00ED094E">
            <w:pPr>
              <w:pStyle w:val="TableBody"/>
              <w:rPr>
                <w:rFonts w:asciiTheme="majorHAnsi" w:hAnsiTheme="majorHAnsi"/>
                <w:sz w:val="15"/>
                <w:szCs w:val="15"/>
              </w:rPr>
            </w:pPr>
          </w:p>
        </w:tc>
        <w:tc>
          <w:tcPr>
            <w:tcW w:w="3543" w:type="dxa"/>
            <w:shd w:val="clear" w:color="auto" w:fill="EFF5FB" w:themeFill="background2"/>
            <w:noWrap/>
            <w:vAlign w:val="center"/>
            <w:hideMark/>
          </w:tcPr>
          <w:p w14:paraId="2EDD7D1A" w14:textId="77777777" w:rsidR="00C5411A" w:rsidRPr="00DE108C" w:rsidRDefault="00C5411A" w:rsidP="00ED094E">
            <w:pPr>
              <w:pStyle w:val="TableBody"/>
              <w:rPr>
                <w:rFonts w:asciiTheme="majorHAnsi" w:hAnsiTheme="majorHAnsi"/>
                <w:sz w:val="15"/>
                <w:szCs w:val="15"/>
              </w:rPr>
            </w:pPr>
            <w:r w:rsidRPr="00DE108C">
              <w:rPr>
                <w:rFonts w:asciiTheme="majorHAnsi" w:hAnsiTheme="majorHAnsi"/>
                <w:sz w:val="15"/>
                <w:szCs w:val="15"/>
              </w:rPr>
              <w:t>South Gippsland Water</w:t>
            </w:r>
          </w:p>
        </w:tc>
        <w:tc>
          <w:tcPr>
            <w:tcW w:w="993" w:type="dxa"/>
            <w:vMerge/>
          </w:tcPr>
          <w:p w14:paraId="2E973C80" w14:textId="77777777" w:rsidR="00C5411A" w:rsidRPr="00DE108C" w:rsidRDefault="00C5411A" w:rsidP="00B8448E">
            <w:pPr>
              <w:pStyle w:val="TableBody"/>
              <w:rPr>
                <w:rFonts w:asciiTheme="majorHAnsi" w:hAnsiTheme="majorHAnsi" w:cs="Tahoma"/>
                <w:sz w:val="15"/>
                <w:szCs w:val="15"/>
              </w:rPr>
            </w:pPr>
          </w:p>
        </w:tc>
        <w:tc>
          <w:tcPr>
            <w:tcW w:w="1672" w:type="dxa"/>
            <w:shd w:val="clear" w:color="auto" w:fill="EFF5FB" w:themeFill="background2"/>
            <w:noWrap/>
            <w:vAlign w:val="center"/>
          </w:tcPr>
          <w:p w14:paraId="02151C27" w14:textId="7722E38A" w:rsidR="00C5411A" w:rsidRPr="000C092E" w:rsidRDefault="00C5411A" w:rsidP="00C37C64">
            <w:pPr>
              <w:pStyle w:val="TableBody"/>
              <w:jc w:val="right"/>
            </w:pPr>
            <w:r w:rsidRPr="000C092E">
              <w:t>38,245.51</w:t>
            </w:r>
          </w:p>
        </w:tc>
        <w:tc>
          <w:tcPr>
            <w:tcW w:w="1673" w:type="dxa"/>
            <w:shd w:val="clear" w:color="auto" w:fill="EFF5FB" w:themeFill="background2"/>
            <w:noWrap/>
            <w:vAlign w:val="center"/>
          </w:tcPr>
          <w:p w14:paraId="7EE5B624" w14:textId="0BCF5601" w:rsidR="00C5411A" w:rsidRPr="000C092E" w:rsidRDefault="002F5B91" w:rsidP="00C37C64">
            <w:pPr>
              <w:pStyle w:val="TableBody"/>
              <w:jc w:val="right"/>
            </w:pPr>
            <w:r w:rsidRPr="000C092E">
              <w:t>50,308.45</w:t>
            </w:r>
          </w:p>
        </w:tc>
        <w:tc>
          <w:tcPr>
            <w:tcW w:w="1672" w:type="dxa"/>
            <w:shd w:val="clear" w:color="auto" w:fill="EFF5FB" w:themeFill="background2"/>
            <w:noWrap/>
            <w:vAlign w:val="center"/>
          </w:tcPr>
          <w:p w14:paraId="4D898934" w14:textId="28FAB3AF" w:rsidR="00C5411A" w:rsidRPr="000C092E" w:rsidRDefault="002F5B91" w:rsidP="00C37C64">
            <w:pPr>
              <w:pStyle w:val="TableBody"/>
              <w:jc w:val="right"/>
            </w:pPr>
            <w:r w:rsidRPr="000C092E">
              <w:t>66,176.13</w:t>
            </w:r>
          </w:p>
        </w:tc>
        <w:tc>
          <w:tcPr>
            <w:tcW w:w="1673" w:type="dxa"/>
            <w:shd w:val="clear" w:color="auto" w:fill="EFF5FB" w:themeFill="background2"/>
            <w:noWrap/>
            <w:vAlign w:val="center"/>
          </w:tcPr>
          <w:p w14:paraId="30615FB1" w14:textId="57F3182D" w:rsidR="00C5411A" w:rsidRPr="000C092E" w:rsidRDefault="002F5B91" w:rsidP="00C37C64">
            <w:pPr>
              <w:pStyle w:val="TableBody"/>
              <w:jc w:val="right"/>
            </w:pPr>
            <w:r w:rsidRPr="000C092E">
              <w:t>87,048.60</w:t>
            </w:r>
          </w:p>
        </w:tc>
        <w:tc>
          <w:tcPr>
            <w:tcW w:w="1673" w:type="dxa"/>
            <w:shd w:val="clear" w:color="auto" w:fill="EFF5FB" w:themeFill="background2"/>
            <w:noWrap/>
            <w:vAlign w:val="center"/>
          </w:tcPr>
          <w:p w14:paraId="22A0CDF0" w14:textId="44D4BC7B" w:rsidR="00C5411A" w:rsidRPr="000C092E" w:rsidRDefault="002F5B91" w:rsidP="00C37C64">
            <w:pPr>
              <w:pStyle w:val="TableBody"/>
              <w:jc w:val="right"/>
            </w:pPr>
            <w:r w:rsidRPr="000C092E">
              <w:t>114,504.41</w:t>
            </w:r>
          </w:p>
        </w:tc>
      </w:tr>
      <w:tr w:rsidR="00943937" w:rsidRPr="00DE108C" w14:paraId="1B1B92B7" w14:textId="77777777" w:rsidTr="00140891">
        <w:trPr>
          <w:trHeight w:val="21"/>
        </w:trPr>
        <w:tc>
          <w:tcPr>
            <w:tcW w:w="1555" w:type="dxa"/>
            <w:vMerge/>
          </w:tcPr>
          <w:p w14:paraId="11DD6916" w14:textId="77777777" w:rsidR="00C5411A" w:rsidRPr="00DE108C" w:rsidRDefault="00C5411A" w:rsidP="00ED094E">
            <w:pPr>
              <w:pStyle w:val="TableBody"/>
              <w:rPr>
                <w:rFonts w:asciiTheme="majorHAnsi" w:hAnsiTheme="majorHAnsi"/>
                <w:sz w:val="15"/>
                <w:szCs w:val="15"/>
              </w:rPr>
            </w:pPr>
          </w:p>
        </w:tc>
        <w:tc>
          <w:tcPr>
            <w:tcW w:w="3543" w:type="dxa"/>
            <w:noWrap/>
            <w:vAlign w:val="center"/>
            <w:hideMark/>
          </w:tcPr>
          <w:p w14:paraId="761521EB" w14:textId="77777777" w:rsidR="00C5411A" w:rsidRPr="00DE108C" w:rsidRDefault="00C5411A" w:rsidP="00ED094E">
            <w:pPr>
              <w:pStyle w:val="TableBody"/>
              <w:rPr>
                <w:rFonts w:asciiTheme="majorHAnsi" w:hAnsiTheme="majorHAnsi"/>
                <w:sz w:val="15"/>
                <w:szCs w:val="15"/>
              </w:rPr>
            </w:pPr>
            <w:r w:rsidRPr="00DE108C">
              <w:rPr>
                <w:rFonts w:asciiTheme="majorHAnsi" w:hAnsiTheme="majorHAnsi"/>
                <w:sz w:val="15"/>
                <w:szCs w:val="15"/>
              </w:rPr>
              <w:t>Westernport Water</w:t>
            </w:r>
          </w:p>
        </w:tc>
        <w:tc>
          <w:tcPr>
            <w:tcW w:w="993" w:type="dxa"/>
            <w:vMerge/>
          </w:tcPr>
          <w:p w14:paraId="5F431CBA" w14:textId="77777777" w:rsidR="00C5411A" w:rsidRPr="00DE108C" w:rsidRDefault="00C5411A" w:rsidP="00B8448E">
            <w:pPr>
              <w:pStyle w:val="TableBody"/>
              <w:rPr>
                <w:rFonts w:asciiTheme="majorHAnsi" w:hAnsiTheme="majorHAnsi" w:cs="Tahoma"/>
                <w:sz w:val="15"/>
                <w:szCs w:val="15"/>
              </w:rPr>
            </w:pPr>
          </w:p>
        </w:tc>
        <w:tc>
          <w:tcPr>
            <w:tcW w:w="1672" w:type="dxa"/>
            <w:noWrap/>
            <w:vAlign w:val="center"/>
          </w:tcPr>
          <w:p w14:paraId="23C325AA" w14:textId="29C74A22" w:rsidR="00C5411A" w:rsidRPr="000C092E" w:rsidRDefault="00C5411A" w:rsidP="00C37C64">
            <w:pPr>
              <w:pStyle w:val="TableBody"/>
              <w:jc w:val="right"/>
            </w:pPr>
            <w:r w:rsidRPr="000C092E">
              <w:t>16,828.29</w:t>
            </w:r>
          </w:p>
        </w:tc>
        <w:tc>
          <w:tcPr>
            <w:tcW w:w="1673" w:type="dxa"/>
            <w:noWrap/>
            <w:vAlign w:val="center"/>
          </w:tcPr>
          <w:p w14:paraId="1088B6D0" w14:textId="5374E2D1" w:rsidR="00C5411A" w:rsidRPr="000C092E" w:rsidRDefault="002F5B91" w:rsidP="00C37C64">
            <w:pPr>
              <w:pStyle w:val="TableBody"/>
              <w:jc w:val="right"/>
            </w:pPr>
            <w:r w:rsidRPr="000C092E">
              <w:t>20,355.28</w:t>
            </w:r>
          </w:p>
        </w:tc>
        <w:tc>
          <w:tcPr>
            <w:tcW w:w="1672" w:type="dxa"/>
            <w:noWrap/>
            <w:vAlign w:val="center"/>
          </w:tcPr>
          <w:p w14:paraId="67DA0B0C" w14:textId="537C304A" w:rsidR="00C5411A" w:rsidRPr="000C092E" w:rsidRDefault="002F5B91" w:rsidP="00C37C64">
            <w:pPr>
              <w:pStyle w:val="TableBody"/>
              <w:jc w:val="right"/>
            </w:pPr>
            <w:r w:rsidRPr="000C092E">
              <w:t>24,621.47</w:t>
            </w:r>
          </w:p>
        </w:tc>
        <w:tc>
          <w:tcPr>
            <w:tcW w:w="1673" w:type="dxa"/>
            <w:noWrap/>
            <w:vAlign w:val="center"/>
          </w:tcPr>
          <w:p w14:paraId="32E6C21F" w14:textId="5BDB2F43" w:rsidR="00C5411A" w:rsidRPr="000C092E" w:rsidRDefault="002F5B91" w:rsidP="00C37C64">
            <w:pPr>
              <w:pStyle w:val="TableBody"/>
              <w:jc w:val="right"/>
            </w:pPr>
            <w:r w:rsidRPr="000C092E">
              <w:t>29,781.80</w:t>
            </w:r>
          </w:p>
        </w:tc>
        <w:tc>
          <w:tcPr>
            <w:tcW w:w="1673" w:type="dxa"/>
            <w:noWrap/>
            <w:vAlign w:val="center"/>
          </w:tcPr>
          <w:p w14:paraId="59B1F547" w14:textId="6F11083B" w:rsidR="00C5411A" w:rsidRPr="000C092E" w:rsidRDefault="002F5B91" w:rsidP="00C37C64">
            <w:pPr>
              <w:pStyle w:val="TableBody"/>
              <w:jc w:val="right"/>
            </w:pPr>
            <w:r w:rsidRPr="000C092E">
              <w:t>36,023.67</w:t>
            </w:r>
          </w:p>
        </w:tc>
      </w:tr>
      <w:tr w:rsidR="00943937" w:rsidRPr="00DE108C" w14:paraId="4B5C9926" w14:textId="77777777" w:rsidTr="00140891">
        <w:trPr>
          <w:trHeight w:val="21"/>
        </w:trPr>
        <w:tc>
          <w:tcPr>
            <w:tcW w:w="1555" w:type="dxa"/>
            <w:vMerge/>
          </w:tcPr>
          <w:p w14:paraId="0BD83BDE" w14:textId="77777777" w:rsidR="00C5411A" w:rsidRPr="00DE108C" w:rsidRDefault="00C5411A" w:rsidP="00ED094E">
            <w:pPr>
              <w:pStyle w:val="TableBody"/>
              <w:rPr>
                <w:rFonts w:asciiTheme="majorHAnsi" w:hAnsiTheme="majorHAnsi"/>
                <w:sz w:val="15"/>
                <w:szCs w:val="15"/>
              </w:rPr>
            </w:pPr>
          </w:p>
        </w:tc>
        <w:tc>
          <w:tcPr>
            <w:tcW w:w="3543" w:type="dxa"/>
            <w:shd w:val="clear" w:color="auto" w:fill="EFF5FB" w:themeFill="background2"/>
            <w:noWrap/>
            <w:vAlign w:val="center"/>
            <w:hideMark/>
          </w:tcPr>
          <w:p w14:paraId="017D6EC5" w14:textId="77777777" w:rsidR="00C5411A" w:rsidRPr="00DE108C" w:rsidRDefault="00C5411A" w:rsidP="00ED094E">
            <w:pPr>
              <w:pStyle w:val="TableBody"/>
              <w:rPr>
                <w:rFonts w:asciiTheme="majorHAnsi" w:hAnsiTheme="majorHAnsi"/>
                <w:sz w:val="15"/>
                <w:szCs w:val="15"/>
              </w:rPr>
            </w:pPr>
            <w:r w:rsidRPr="00DE108C">
              <w:rPr>
                <w:rFonts w:asciiTheme="majorHAnsi" w:hAnsiTheme="majorHAnsi"/>
                <w:sz w:val="15"/>
                <w:szCs w:val="15"/>
              </w:rPr>
              <w:t>Gippsland Water</w:t>
            </w:r>
          </w:p>
        </w:tc>
        <w:tc>
          <w:tcPr>
            <w:tcW w:w="993" w:type="dxa"/>
            <w:vMerge/>
          </w:tcPr>
          <w:p w14:paraId="12B10C71" w14:textId="77777777" w:rsidR="00C5411A" w:rsidRPr="00DE108C" w:rsidRDefault="00C5411A" w:rsidP="00B8448E">
            <w:pPr>
              <w:pStyle w:val="TableBody"/>
              <w:rPr>
                <w:rFonts w:asciiTheme="majorHAnsi" w:hAnsiTheme="majorHAnsi" w:cs="Tahoma"/>
                <w:sz w:val="15"/>
                <w:szCs w:val="15"/>
              </w:rPr>
            </w:pPr>
          </w:p>
        </w:tc>
        <w:tc>
          <w:tcPr>
            <w:tcW w:w="1672" w:type="dxa"/>
            <w:shd w:val="clear" w:color="auto" w:fill="EFF5FB" w:themeFill="background2"/>
            <w:noWrap/>
            <w:vAlign w:val="center"/>
          </w:tcPr>
          <w:p w14:paraId="440F3B1B" w14:textId="338903D6" w:rsidR="00C5411A" w:rsidRPr="000C092E" w:rsidRDefault="002F5B91" w:rsidP="00C37C64">
            <w:pPr>
              <w:pStyle w:val="TableBody"/>
              <w:jc w:val="right"/>
            </w:pPr>
            <w:r w:rsidRPr="000C092E">
              <w:t>23,732.02</w:t>
            </w:r>
          </w:p>
        </w:tc>
        <w:tc>
          <w:tcPr>
            <w:tcW w:w="1673" w:type="dxa"/>
            <w:shd w:val="clear" w:color="auto" w:fill="EFF5FB" w:themeFill="background2"/>
            <w:noWrap/>
            <w:vAlign w:val="center"/>
          </w:tcPr>
          <w:p w14:paraId="175B55DA" w14:textId="4925F29A" w:rsidR="00C5411A" w:rsidRPr="000C092E" w:rsidRDefault="002F5B91" w:rsidP="00C37C64">
            <w:pPr>
              <w:pStyle w:val="TableBody"/>
              <w:jc w:val="right"/>
            </w:pPr>
            <w:r w:rsidRPr="000C092E">
              <w:t>23,732.02</w:t>
            </w:r>
          </w:p>
        </w:tc>
        <w:tc>
          <w:tcPr>
            <w:tcW w:w="1672" w:type="dxa"/>
            <w:shd w:val="clear" w:color="auto" w:fill="EFF5FB" w:themeFill="background2"/>
            <w:noWrap/>
            <w:vAlign w:val="center"/>
          </w:tcPr>
          <w:p w14:paraId="25F93F60" w14:textId="73A5BF33" w:rsidR="00C5411A" w:rsidRPr="000C092E" w:rsidRDefault="002F5B91" w:rsidP="00C37C64">
            <w:pPr>
              <w:pStyle w:val="TableBody"/>
              <w:jc w:val="right"/>
            </w:pPr>
            <w:r w:rsidRPr="000C092E">
              <w:t>23,732.02</w:t>
            </w:r>
          </w:p>
        </w:tc>
        <w:tc>
          <w:tcPr>
            <w:tcW w:w="1673" w:type="dxa"/>
            <w:shd w:val="clear" w:color="auto" w:fill="EFF5FB" w:themeFill="background2"/>
            <w:noWrap/>
            <w:vAlign w:val="center"/>
          </w:tcPr>
          <w:p w14:paraId="6600FBAC" w14:textId="26B5E2FA" w:rsidR="00C5411A" w:rsidRPr="000C092E" w:rsidRDefault="002F5B91" w:rsidP="00C37C64">
            <w:pPr>
              <w:pStyle w:val="TableBody"/>
              <w:jc w:val="right"/>
            </w:pPr>
            <w:r w:rsidRPr="000C092E">
              <w:t>23,732.02</w:t>
            </w:r>
          </w:p>
        </w:tc>
        <w:tc>
          <w:tcPr>
            <w:tcW w:w="1673" w:type="dxa"/>
            <w:shd w:val="clear" w:color="auto" w:fill="EFF5FB" w:themeFill="background2"/>
            <w:noWrap/>
            <w:vAlign w:val="center"/>
          </w:tcPr>
          <w:p w14:paraId="4EC3DF5C" w14:textId="04CCB4B6" w:rsidR="00C5411A" w:rsidRPr="000C092E" w:rsidRDefault="002F5B91" w:rsidP="00C37C64">
            <w:pPr>
              <w:pStyle w:val="TableBody"/>
              <w:jc w:val="right"/>
            </w:pPr>
            <w:r w:rsidRPr="000C092E">
              <w:t>23,732.02</w:t>
            </w:r>
          </w:p>
        </w:tc>
      </w:tr>
      <w:tr w:rsidR="00943937" w:rsidRPr="00DE108C" w14:paraId="4261C604" w14:textId="77777777" w:rsidTr="00140891">
        <w:trPr>
          <w:trHeight w:val="21"/>
        </w:trPr>
        <w:tc>
          <w:tcPr>
            <w:tcW w:w="1555" w:type="dxa"/>
          </w:tcPr>
          <w:p w14:paraId="3A6C20A5" w14:textId="77777777" w:rsidR="002A6F30" w:rsidRPr="00DE108C" w:rsidRDefault="002A6F30" w:rsidP="00ED094E">
            <w:pPr>
              <w:pStyle w:val="TableBody"/>
              <w:rPr>
                <w:rFonts w:asciiTheme="majorHAnsi" w:hAnsiTheme="majorHAnsi"/>
                <w:sz w:val="15"/>
                <w:szCs w:val="15"/>
              </w:rPr>
            </w:pPr>
            <w:r w:rsidRPr="00DE108C">
              <w:rPr>
                <w:rFonts w:asciiTheme="majorHAnsi" w:hAnsiTheme="majorHAnsi"/>
                <w:sz w:val="15"/>
                <w:szCs w:val="15"/>
              </w:rPr>
              <w:t>North South Pipeline ($/Entitlement)</w:t>
            </w:r>
          </w:p>
        </w:tc>
        <w:tc>
          <w:tcPr>
            <w:tcW w:w="3543" w:type="dxa"/>
            <w:noWrap/>
            <w:vAlign w:val="center"/>
          </w:tcPr>
          <w:p w14:paraId="612D2B9D" w14:textId="77777777" w:rsidR="002A6F30" w:rsidRPr="00DE108C" w:rsidRDefault="002A6F30" w:rsidP="00ED094E">
            <w:pPr>
              <w:pStyle w:val="TableBody"/>
              <w:rPr>
                <w:rFonts w:asciiTheme="majorHAnsi" w:hAnsiTheme="majorHAnsi"/>
                <w:sz w:val="15"/>
                <w:szCs w:val="15"/>
              </w:rPr>
            </w:pPr>
            <w:r w:rsidRPr="00DE108C">
              <w:rPr>
                <w:rFonts w:asciiTheme="majorHAnsi" w:hAnsiTheme="majorHAnsi"/>
                <w:sz w:val="15"/>
                <w:szCs w:val="15"/>
              </w:rPr>
              <w:t>Greater Western Water, South East Water, Yarra Valley Water</w:t>
            </w:r>
          </w:p>
        </w:tc>
        <w:tc>
          <w:tcPr>
            <w:tcW w:w="993" w:type="dxa"/>
            <w:vAlign w:val="center"/>
          </w:tcPr>
          <w:p w14:paraId="5FFD54CA" w14:textId="63B41382" w:rsidR="002A6F30" w:rsidRPr="00DE108C" w:rsidRDefault="00E83B95" w:rsidP="00B8448E">
            <w:pPr>
              <w:pStyle w:val="TableBody"/>
              <w:rPr>
                <w:rFonts w:asciiTheme="majorHAnsi" w:hAnsiTheme="majorHAnsi" w:cs="Tahoma"/>
                <w:sz w:val="15"/>
                <w:szCs w:val="15"/>
              </w:rPr>
            </w:pPr>
            <w:r w:rsidRPr="00DE108C">
              <w:rPr>
                <w:rFonts w:asciiTheme="majorHAnsi" w:hAnsiTheme="majorHAnsi" w:cs="Tahoma"/>
                <w:sz w:val="15"/>
                <w:szCs w:val="15"/>
              </w:rPr>
              <w:t>559.01</w:t>
            </w:r>
          </w:p>
        </w:tc>
        <w:tc>
          <w:tcPr>
            <w:tcW w:w="1672" w:type="dxa"/>
            <w:noWrap/>
            <w:vAlign w:val="center"/>
          </w:tcPr>
          <w:p w14:paraId="1CEEFF6D" w14:textId="27FCA4FB" w:rsidR="002A6F30" w:rsidRPr="000C092E" w:rsidRDefault="002A6F30" w:rsidP="00C37C64">
            <w:pPr>
              <w:pStyle w:val="TableBody"/>
              <w:jc w:val="right"/>
            </w:pPr>
            <w:r w:rsidRPr="000C092E">
              <w:t>457.</w:t>
            </w:r>
            <w:r w:rsidR="00C37C64" w:rsidRPr="000C092E">
              <w:t>28</w:t>
            </w:r>
          </w:p>
        </w:tc>
        <w:tc>
          <w:tcPr>
            <w:tcW w:w="1673" w:type="dxa"/>
            <w:noWrap/>
            <w:vAlign w:val="center"/>
          </w:tcPr>
          <w:p w14:paraId="17C9C6D3" w14:textId="31D758A1" w:rsidR="002A6F30" w:rsidRPr="000C092E" w:rsidRDefault="002A6F30" w:rsidP="00C37C64">
            <w:pPr>
              <w:pStyle w:val="TableBody"/>
              <w:jc w:val="right"/>
            </w:pPr>
            <w:r w:rsidRPr="000C092E">
              <w:t>457.</w:t>
            </w:r>
            <w:r w:rsidR="00C37C64" w:rsidRPr="000C092E">
              <w:t>28</w:t>
            </w:r>
          </w:p>
        </w:tc>
        <w:tc>
          <w:tcPr>
            <w:tcW w:w="1672" w:type="dxa"/>
            <w:noWrap/>
            <w:vAlign w:val="center"/>
          </w:tcPr>
          <w:p w14:paraId="32DD5868" w14:textId="207FEE7F" w:rsidR="002A6F30" w:rsidRPr="000C092E" w:rsidRDefault="002A6F30" w:rsidP="00C37C64">
            <w:pPr>
              <w:pStyle w:val="TableBody"/>
              <w:jc w:val="right"/>
            </w:pPr>
            <w:r w:rsidRPr="000C092E">
              <w:t>457.</w:t>
            </w:r>
            <w:r w:rsidR="00C37C64" w:rsidRPr="000C092E">
              <w:t>28</w:t>
            </w:r>
          </w:p>
        </w:tc>
        <w:tc>
          <w:tcPr>
            <w:tcW w:w="1673" w:type="dxa"/>
            <w:noWrap/>
            <w:vAlign w:val="center"/>
          </w:tcPr>
          <w:p w14:paraId="709559C2" w14:textId="2E06523B" w:rsidR="002A6F30" w:rsidRPr="000C092E" w:rsidRDefault="002A6F30" w:rsidP="00C37C64">
            <w:pPr>
              <w:pStyle w:val="TableBody"/>
              <w:jc w:val="right"/>
            </w:pPr>
            <w:r w:rsidRPr="000C092E">
              <w:t>457.</w:t>
            </w:r>
            <w:r w:rsidR="00C37C64" w:rsidRPr="000C092E">
              <w:t>28</w:t>
            </w:r>
          </w:p>
        </w:tc>
        <w:tc>
          <w:tcPr>
            <w:tcW w:w="1673" w:type="dxa"/>
            <w:noWrap/>
            <w:vAlign w:val="center"/>
          </w:tcPr>
          <w:p w14:paraId="2CA1485C" w14:textId="5CEBA5A7" w:rsidR="002A6F30" w:rsidRPr="000C092E" w:rsidRDefault="002A6F30" w:rsidP="00C37C64">
            <w:pPr>
              <w:pStyle w:val="TableBody"/>
              <w:jc w:val="right"/>
            </w:pPr>
            <w:r w:rsidRPr="000C092E">
              <w:t>457.</w:t>
            </w:r>
            <w:r w:rsidR="00C37C64" w:rsidRPr="000C092E">
              <w:t>28</w:t>
            </w:r>
          </w:p>
        </w:tc>
      </w:tr>
      <w:tr w:rsidR="006C5E49" w:rsidRPr="00DE108C" w14:paraId="5C321174" w14:textId="77777777" w:rsidTr="00140891">
        <w:trPr>
          <w:trHeight w:val="21"/>
        </w:trPr>
        <w:tc>
          <w:tcPr>
            <w:tcW w:w="1555" w:type="dxa"/>
            <w:shd w:val="clear" w:color="auto" w:fill="EFF5FB" w:themeFill="background2"/>
          </w:tcPr>
          <w:p w14:paraId="3BF66411" w14:textId="77777777" w:rsidR="002A6F30" w:rsidRPr="00DE108C" w:rsidRDefault="002A6F30" w:rsidP="00ED094E">
            <w:pPr>
              <w:pStyle w:val="TableBody"/>
              <w:rPr>
                <w:rFonts w:asciiTheme="majorHAnsi" w:hAnsiTheme="majorHAnsi"/>
                <w:sz w:val="15"/>
                <w:szCs w:val="15"/>
              </w:rPr>
            </w:pPr>
            <w:r w:rsidRPr="00DE108C">
              <w:rPr>
                <w:rFonts w:asciiTheme="majorHAnsi" w:hAnsiTheme="majorHAnsi"/>
                <w:sz w:val="15"/>
                <w:szCs w:val="15"/>
              </w:rPr>
              <w:t>Transfer ($/ML)- Treated Water</w:t>
            </w:r>
          </w:p>
        </w:tc>
        <w:tc>
          <w:tcPr>
            <w:tcW w:w="3543" w:type="dxa"/>
            <w:shd w:val="clear" w:color="auto" w:fill="EFF5FB" w:themeFill="background2"/>
            <w:noWrap/>
            <w:vAlign w:val="center"/>
          </w:tcPr>
          <w:p w14:paraId="7669A721" w14:textId="77777777" w:rsidR="002A6F30" w:rsidRPr="00DE108C" w:rsidRDefault="002A6F30" w:rsidP="00ED094E">
            <w:pPr>
              <w:pStyle w:val="TableBody"/>
              <w:rPr>
                <w:rFonts w:asciiTheme="majorHAnsi" w:hAnsiTheme="majorHAnsi"/>
                <w:sz w:val="15"/>
                <w:szCs w:val="15"/>
              </w:rPr>
            </w:pPr>
            <w:r w:rsidRPr="00DE108C">
              <w:rPr>
                <w:rFonts w:asciiTheme="majorHAnsi" w:hAnsiTheme="majorHAnsi"/>
                <w:sz w:val="15"/>
                <w:szCs w:val="15"/>
              </w:rPr>
              <w:t>Greater Western Water, South East Water, Yarra Valley Water, Barwon Water, South Gippsland Water, Westernport Water</w:t>
            </w:r>
          </w:p>
        </w:tc>
        <w:tc>
          <w:tcPr>
            <w:tcW w:w="993" w:type="dxa"/>
            <w:shd w:val="clear" w:color="auto" w:fill="EFF5FB" w:themeFill="background2"/>
            <w:vAlign w:val="center"/>
          </w:tcPr>
          <w:p w14:paraId="0EBDD02E" w14:textId="327D138B" w:rsidR="002A6F30" w:rsidRPr="00DE108C" w:rsidRDefault="002256E9" w:rsidP="00B8448E">
            <w:pPr>
              <w:pStyle w:val="TableBody"/>
              <w:rPr>
                <w:rFonts w:asciiTheme="majorHAnsi" w:hAnsiTheme="majorHAnsi" w:cs="Tahoma"/>
                <w:sz w:val="15"/>
                <w:szCs w:val="15"/>
              </w:rPr>
            </w:pPr>
            <w:r w:rsidRPr="00DE108C">
              <w:rPr>
                <w:rFonts w:asciiTheme="majorHAnsi" w:hAnsiTheme="majorHAnsi" w:cs="Tahoma"/>
                <w:sz w:val="15"/>
                <w:szCs w:val="15"/>
              </w:rPr>
              <w:t>320.06</w:t>
            </w:r>
            <w:r w:rsidR="00CF0548" w:rsidRPr="00DE108C">
              <w:rPr>
                <w:rFonts w:asciiTheme="majorHAnsi" w:hAnsiTheme="majorHAnsi" w:cs="Tahoma"/>
                <w:sz w:val="15"/>
                <w:szCs w:val="15"/>
              </w:rPr>
              <w:t>02</w:t>
            </w:r>
          </w:p>
        </w:tc>
        <w:tc>
          <w:tcPr>
            <w:tcW w:w="1672" w:type="dxa"/>
            <w:shd w:val="clear" w:color="auto" w:fill="EFF5FB" w:themeFill="background2"/>
            <w:noWrap/>
            <w:vAlign w:val="center"/>
            <w:hideMark/>
          </w:tcPr>
          <w:p w14:paraId="4E3D9DB7" w14:textId="3D58B252" w:rsidR="002A6F30" w:rsidRPr="00C37C64" w:rsidRDefault="002A6F30" w:rsidP="00C37C64">
            <w:pPr>
              <w:pStyle w:val="TableBody"/>
              <w:jc w:val="right"/>
            </w:pPr>
            <w:r w:rsidRPr="00C37C64">
              <w:t>800.0000</w:t>
            </w:r>
          </w:p>
        </w:tc>
        <w:tc>
          <w:tcPr>
            <w:tcW w:w="1673" w:type="dxa"/>
            <w:shd w:val="clear" w:color="auto" w:fill="EFF5FB" w:themeFill="background2"/>
            <w:noWrap/>
            <w:vAlign w:val="center"/>
            <w:hideMark/>
          </w:tcPr>
          <w:p w14:paraId="2CD851B8" w14:textId="03A0FF52" w:rsidR="002A6F30" w:rsidRPr="00C37C64" w:rsidRDefault="002A6F30" w:rsidP="00C37C64">
            <w:pPr>
              <w:pStyle w:val="TableBody"/>
              <w:jc w:val="right"/>
            </w:pPr>
            <w:r w:rsidRPr="00C37C64">
              <w:t>800.0000</w:t>
            </w:r>
          </w:p>
        </w:tc>
        <w:tc>
          <w:tcPr>
            <w:tcW w:w="1672" w:type="dxa"/>
            <w:shd w:val="clear" w:color="auto" w:fill="EFF5FB" w:themeFill="background2"/>
            <w:noWrap/>
            <w:vAlign w:val="center"/>
            <w:hideMark/>
          </w:tcPr>
          <w:p w14:paraId="01C3CA54" w14:textId="3B4A8B75" w:rsidR="002A6F30" w:rsidRPr="00C37C64" w:rsidRDefault="002A6F30" w:rsidP="00C37C64">
            <w:pPr>
              <w:pStyle w:val="TableBody"/>
              <w:jc w:val="right"/>
            </w:pPr>
            <w:r w:rsidRPr="00C37C64">
              <w:t>800.0000</w:t>
            </w:r>
          </w:p>
        </w:tc>
        <w:tc>
          <w:tcPr>
            <w:tcW w:w="1673" w:type="dxa"/>
            <w:shd w:val="clear" w:color="auto" w:fill="EFF5FB" w:themeFill="background2"/>
            <w:noWrap/>
            <w:vAlign w:val="center"/>
            <w:hideMark/>
          </w:tcPr>
          <w:p w14:paraId="4F359AC2" w14:textId="18A192CB" w:rsidR="002A6F30" w:rsidRPr="00C37C64" w:rsidRDefault="002A6F30" w:rsidP="00C37C64">
            <w:pPr>
              <w:pStyle w:val="TableBody"/>
              <w:jc w:val="right"/>
            </w:pPr>
            <w:r w:rsidRPr="00C37C64">
              <w:t>800.0000</w:t>
            </w:r>
          </w:p>
        </w:tc>
        <w:tc>
          <w:tcPr>
            <w:tcW w:w="1673" w:type="dxa"/>
            <w:shd w:val="clear" w:color="auto" w:fill="EFF5FB" w:themeFill="background2"/>
            <w:noWrap/>
            <w:vAlign w:val="center"/>
            <w:hideMark/>
          </w:tcPr>
          <w:p w14:paraId="567EDEB1" w14:textId="381C1D93" w:rsidR="002A6F30" w:rsidRPr="00C37C64" w:rsidRDefault="002A6F30" w:rsidP="00C37C64">
            <w:pPr>
              <w:pStyle w:val="TableBody"/>
              <w:jc w:val="right"/>
            </w:pPr>
            <w:r w:rsidRPr="00C37C64">
              <w:t>800.0000</w:t>
            </w:r>
          </w:p>
        </w:tc>
      </w:tr>
      <w:tr w:rsidR="00943937" w:rsidRPr="00DE108C" w14:paraId="02A243C8" w14:textId="77777777" w:rsidTr="00140891">
        <w:trPr>
          <w:trHeight w:val="21"/>
        </w:trPr>
        <w:tc>
          <w:tcPr>
            <w:tcW w:w="1555" w:type="dxa"/>
          </w:tcPr>
          <w:p w14:paraId="07D4713A" w14:textId="77777777" w:rsidR="002A6F30" w:rsidRPr="00DE108C" w:rsidRDefault="002A6F30" w:rsidP="00ED094E">
            <w:pPr>
              <w:pStyle w:val="TableBody"/>
              <w:rPr>
                <w:rFonts w:asciiTheme="majorHAnsi" w:hAnsiTheme="majorHAnsi"/>
                <w:sz w:val="15"/>
                <w:szCs w:val="15"/>
              </w:rPr>
            </w:pPr>
            <w:r w:rsidRPr="00DE108C">
              <w:rPr>
                <w:rFonts w:asciiTheme="majorHAnsi" w:hAnsiTheme="majorHAnsi"/>
                <w:sz w:val="15"/>
                <w:szCs w:val="15"/>
              </w:rPr>
              <w:t>Transfer ($/ML)- Raw Water</w:t>
            </w:r>
          </w:p>
        </w:tc>
        <w:tc>
          <w:tcPr>
            <w:tcW w:w="3543" w:type="dxa"/>
            <w:noWrap/>
            <w:vAlign w:val="center"/>
          </w:tcPr>
          <w:p w14:paraId="7C0868A0" w14:textId="77777777" w:rsidR="002A6F30" w:rsidRPr="00DE108C" w:rsidRDefault="002A6F30" w:rsidP="00ED094E">
            <w:pPr>
              <w:pStyle w:val="TableBody"/>
              <w:rPr>
                <w:rFonts w:asciiTheme="majorHAnsi" w:hAnsiTheme="majorHAnsi"/>
                <w:sz w:val="15"/>
                <w:szCs w:val="15"/>
              </w:rPr>
            </w:pPr>
            <w:r w:rsidRPr="00DE108C">
              <w:rPr>
                <w:rFonts w:asciiTheme="majorHAnsi" w:hAnsiTheme="majorHAnsi"/>
                <w:sz w:val="15"/>
                <w:szCs w:val="15"/>
              </w:rPr>
              <w:t>Gippsland Water, South East Water, Yarra Valley Water</w:t>
            </w:r>
          </w:p>
        </w:tc>
        <w:tc>
          <w:tcPr>
            <w:tcW w:w="993" w:type="dxa"/>
            <w:vAlign w:val="center"/>
          </w:tcPr>
          <w:p w14:paraId="050190B0" w14:textId="2C50C517" w:rsidR="002A6F30" w:rsidRPr="00DE108C" w:rsidRDefault="0080562A" w:rsidP="00B8448E">
            <w:pPr>
              <w:pStyle w:val="TableBody"/>
              <w:rPr>
                <w:rFonts w:asciiTheme="majorHAnsi" w:hAnsiTheme="majorHAnsi" w:cs="Tahoma"/>
                <w:sz w:val="15"/>
                <w:szCs w:val="15"/>
              </w:rPr>
            </w:pPr>
            <w:r w:rsidRPr="00DE108C">
              <w:rPr>
                <w:rFonts w:asciiTheme="majorHAnsi" w:hAnsiTheme="majorHAnsi" w:cs="Tahoma"/>
                <w:sz w:val="15"/>
                <w:szCs w:val="15"/>
              </w:rPr>
              <w:t>N/A</w:t>
            </w:r>
          </w:p>
        </w:tc>
        <w:tc>
          <w:tcPr>
            <w:tcW w:w="1672" w:type="dxa"/>
            <w:noWrap/>
            <w:vAlign w:val="center"/>
          </w:tcPr>
          <w:p w14:paraId="69A2C8EB" w14:textId="627BDD2F" w:rsidR="002A6F30" w:rsidRPr="000C092E" w:rsidRDefault="002A6F30" w:rsidP="00C37C64">
            <w:pPr>
              <w:pStyle w:val="TableBody"/>
              <w:jc w:val="right"/>
            </w:pPr>
            <w:r w:rsidRPr="000C092E">
              <w:t>612.</w:t>
            </w:r>
            <w:r w:rsidR="00C37C64" w:rsidRPr="000C092E">
              <w:t>6795</w:t>
            </w:r>
          </w:p>
        </w:tc>
        <w:tc>
          <w:tcPr>
            <w:tcW w:w="1673" w:type="dxa"/>
            <w:noWrap/>
            <w:vAlign w:val="center"/>
          </w:tcPr>
          <w:p w14:paraId="2502D6E2" w14:textId="18A625FE" w:rsidR="002A6F30" w:rsidRPr="000C092E" w:rsidRDefault="002A6F30" w:rsidP="00C37C64">
            <w:pPr>
              <w:pStyle w:val="TableBody"/>
              <w:jc w:val="right"/>
            </w:pPr>
            <w:r w:rsidRPr="000C092E">
              <w:t>612.</w:t>
            </w:r>
            <w:r w:rsidR="00C37C64" w:rsidRPr="000C092E">
              <w:t>6795</w:t>
            </w:r>
          </w:p>
        </w:tc>
        <w:tc>
          <w:tcPr>
            <w:tcW w:w="1672" w:type="dxa"/>
            <w:noWrap/>
            <w:vAlign w:val="center"/>
          </w:tcPr>
          <w:p w14:paraId="78FA6B13" w14:textId="759C6513" w:rsidR="002A6F30" w:rsidRPr="000C092E" w:rsidRDefault="002A6F30" w:rsidP="00C37C64">
            <w:pPr>
              <w:pStyle w:val="TableBody"/>
              <w:jc w:val="right"/>
            </w:pPr>
            <w:r w:rsidRPr="000C092E">
              <w:t>612.</w:t>
            </w:r>
            <w:r w:rsidR="00C37C64" w:rsidRPr="000C092E">
              <w:t>6795</w:t>
            </w:r>
          </w:p>
        </w:tc>
        <w:tc>
          <w:tcPr>
            <w:tcW w:w="1673" w:type="dxa"/>
            <w:noWrap/>
            <w:vAlign w:val="center"/>
          </w:tcPr>
          <w:p w14:paraId="39EAA2FA" w14:textId="7D64D628" w:rsidR="002A6F30" w:rsidRPr="000C092E" w:rsidRDefault="002A6F30" w:rsidP="00C37C64">
            <w:pPr>
              <w:pStyle w:val="TableBody"/>
              <w:jc w:val="right"/>
            </w:pPr>
            <w:r w:rsidRPr="000C092E">
              <w:t>612.</w:t>
            </w:r>
            <w:r w:rsidR="00C37C64" w:rsidRPr="000C092E">
              <w:t>6795</w:t>
            </w:r>
          </w:p>
        </w:tc>
        <w:tc>
          <w:tcPr>
            <w:tcW w:w="1673" w:type="dxa"/>
            <w:noWrap/>
            <w:vAlign w:val="center"/>
          </w:tcPr>
          <w:p w14:paraId="797B1A06" w14:textId="03F687E4" w:rsidR="002A6F30" w:rsidRPr="000C092E" w:rsidRDefault="002A6F30" w:rsidP="00C37C64">
            <w:pPr>
              <w:pStyle w:val="TableBody"/>
              <w:jc w:val="right"/>
            </w:pPr>
            <w:r w:rsidRPr="000C092E">
              <w:t>612.</w:t>
            </w:r>
            <w:r w:rsidR="00C37C64" w:rsidRPr="000C092E">
              <w:t>6795</w:t>
            </w:r>
          </w:p>
        </w:tc>
      </w:tr>
      <w:tr w:rsidR="00943937" w:rsidRPr="00DE108C" w14:paraId="6A590287" w14:textId="77777777" w:rsidTr="00140891">
        <w:trPr>
          <w:trHeight w:val="21"/>
        </w:trPr>
        <w:tc>
          <w:tcPr>
            <w:tcW w:w="1555" w:type="dxa"/>
            <w:tcBorders>
              <w:bottom w:val="single" w:sz="4" w:space="0" w:color="231F20" w:themeColor="text1"/>
            </w:tcBorders>
            <w:shd w:val="clear" w:color="auto" w:fill="EFF5FB" w:themeFill="background2"/>
          </w:tcPr>
          <w:p w14:paraId="260EFCD7" w14:textId="77777777" w:rsidR="002A6F30" w:rsidRPr="00DE108C" w:rsidRDefault="002A6F30" w:rsidP="00ED094E">
            <w:pPr>
              <w:pStyle w:val="TableBody"/>
              <w:rPr>
                <w:rFonts w:asciiTheme="majorHAnsi" w:hAnsiTheme="majorHAnsi"/>
                <w:sz w:val="15"/>
                <w:szCs w:val="15"/>
              </w:rPr>
            </w:pPr>
            <w:r w:rsidRPr="00DE108C">
              <w:rPr>
                <w:rFonts w:asciiTheme="majorHAnsi" w:hAnsiTheme="majorHAnsi"/>
                <w:sz w:val="15"/>
                <w:szCs w:val="15"/>
              </w:rPr>
              <w:t>Desalination Payments - Variable ($/ML)</w:t>
            </w:r>
          </w:p>
        </w:tc>
        <w:tc>
          <w:tcPr>
            <w:tcW w:w="3543" w:type="dxa"/>
            <w:tcBorders>
              <w:bottom w:val="single" w:sz="4" w:space="0" w:color="231F20" w:themeColor="text1"/>
            </w:tcBorders>
            <w:shd w:val="clear" w:color="auto" w:fill="EFF5FB" w:themeFill="background2"/>
            <w:noWrap/>
            <w:vAlign w:val="center"/>
          </w:tcPr>
          <w:p w14:paraId="28068BE4" w14:textId="77777777" w:rsidR="002A6F30" w:rsidRPr="00DE108C" w:rsidRDefault="002A6F30" w:rsidP="00ED094E">
            <w:pPr>
              <w:pStyle w:val="TableBody"/>
              <w:rPr>
                <w:rFonts w:asciiTheme="majorHAnsi" w:hAnsiTheme="majorHAnsi"/>
                <w:sz w:val="15"/>
                <w:szCs w:val="15"/>
              </w:rPr>
            </w:pPr>
            <w:r w:rsidRPr="00DE108C">
              <w:rPr>
                <w:rFonts w:asciiTheme="majorHAnsi" w:hAnsiTheme="majorHAnsi"/>
                <w:sz w:val="15"/>
                <w:szCs w:val="15"/>
              </w:rPr>
              <w:t xml:space="preserve">All </w:t>
            </w:r>
          </w:p>
        </w:tc>
        <w:tc>
          <w:tcPr>
            <w:tcW w:w="993" w:type="dxa"/>
            <w:tcBorders>
              <w:bottom w:val="single" w:sz="4" w:space="0" w:color="231F20" w:themeColor="text1"/>
            </w:tcBorders>
            <w:shd w:val="clear" w:color="auto" w:fill="EFF5FB" w:themeFill="background2"/>
            <w:vAlign w:val="center"/>
          </w:tcPr>
          <w:p w14:paraId="113873CF" w14:textId="2631FA89" w:rsidR="002A6F30" w:rsidRPr="00DE108C" w:rsidRDefault="00E50759" w:rsidP="00B8448E">
            <w:pPr>
              <w:pStyle w:val="TableBody"/>
              <w:rPr>
                <w:rFonts w:asciiTheme="majorHAnsi" w:hAnsiTheme="majorHAnsi"/>
                <w:sz w:val="15"/>
                <w:szCs w:val="15"/>
              </w:rPr>
            </w:pPr>
            <w:r w:rsidRPr="00DE108C">
              <w:rPr>
                <w:rFonts w:asciiTheme="majorHAnsi" w:hAnsiTheme="majorHAnsi"/>
                <w:sz w:val="15"/>
                <w:szCs w:val="15"/>
              </w:rPr>
              <w:t>610.33</w:t>
            </w:r>
          </w:p>
        </w:tc>
        <w:tc>
          <w:tcPr>
            <w:tcW w:w="8363" w:type="dxa"/>
            <w:gridSpan w:val="5"/>
            <w:tcBorders>
              <w:bottom w:val="single" w:sz="4" w:space="0" w:color="231F20" w:themeColor="text1"/>
            </w:tcBorders>
            <w:shd w:val="clear" w:color="auto" w:fill="EFF5FB" w:themeFill="background2"/>
            <w:noWrap/>
            <w:vAlign w:val="center"/>
            <w:hideMark/>
          </w:tcPr>
          <w:p w14:paraId="1E3174C2" w14:textId="77777777" w:rsidR="002A6F30" w:rsidRPr="00DE108C" w:rsidRDefault="002A6F30" w:rsidP="00ED094E">
            <w:pPr>
              <w:pStyle w:val="TableBody"/>
              <w:rPr>
                <w:rFonts w:asciiTheme="majorHAnsi" w:hAnsiTheme="majorHAnsi"/>
                <w:sz w:val="15"/>
                <w:szCs w:val="15"/>
              </w:rPr>
            </w:pPr>
            <w:r w:rsidRPr="00DE108C">
              <w:rPr>
                <w:rFonts w:asciiTheme="majorHAnsi" w:hAnsiTheme="majorHAnsi"/>
                <w:sz w:val="15"/>
                <w:szCs w:val="15"/>
              </w:rPr>
              <w:t xml:space="preserve"> &lt;&lt; based on forecast demands, subject to advice </w:t>
            </w:r>
          </w:p>
        </w:tc>
      </w:tr>
      <w:tr w:rsidR="002014EC" w:rsidRPr="00DE108C" w14:paraId="5D06FD33" w14:textId="77777777" w:rsidTr="007A5AAB">
        <w:trPr>
          <w:trHeight w:val="21"/>
        </w:trPr>
        <w:tc>
          <w:tcPr>
            <w:tcW w:w="14454" w:type="dxa"/>
            <w:gridSpan w:val="8"/>
            <w:tcBorders>
              <w:left w:val="single" w:sz="4" w:space="0" w:color="FFFFFF" w:themeColor="background1"/>
              <w:bottom w:val="single" w:sz="4" w:space="0" w:color="FFFFFF" w:themeColor="background1"/>
              <w:right w:val="single" w:sz="4" w:space="0" w:color="FFFFFF" w:themeColor="background1"/>
            </w:tcBorders>
          </w:tcPr>
          <w:p w14:paraId="5ADFF6AC" w14:textId="35AC2743" w:rsidR="002014EC" w:rsidRPr="00DE108C" w:rsidRDefault="004A589C" w:rsidP="00ED094E">
            <w:pPr>
              <w:pStyle w:val="TableBody"/>
              <w:rPr>
                <w:rFonts w:asciiTheme="majorHAnsi" w:hAnsiTheme="majorHAnsi"/>
                <w:sz w:val="15"/>
                <w:szCs w:val="15"/>
              </w:rPr>
            </w:pPr>
            <w:r w:rsidRPr="00DE108C">
              <w:rPr>
                <w:rFonts w:asciiTheme="majorHAnsi" w:hAnsiTheme="majorHAnsi"/>
                <w:sz w:val="15"/>
                <w:szCs w:val="15"/>
              </w:rPr>
              <w:t xml:space="preserve">Note: In 2025-26, </w:t>
            </w:r>
            <w:r w:rsidR="00EC4A26" w:rsidRPr="00DE108C">
              <w:rPr>
                <w:rFonts w:asciiTheme="majorHAnsi" w:hAnsiTheme="majorHAnsi"/>
                <w:sz w:val="15"/>
                <w:szCs w:val="15"/>
              </w:rPr>
              <w:t xml:space="preserve">Headworks charges included Greater Yarra System - Thomson River - $431.19 per ML entitlement and </w:t>
            </w:r>
            <w:r w:rsidR="00DF616F" w:rsidRPr="00DE108C">
              <w:rPr>
                <w:rFonts w:asciiTheme="majorHAnsi" w:hAnsiTheme="majorHAnsi"/>
                <w:sz w:val="15"/>
                <w:szCs w:val="15"/>
              </w:rPr>
              <w:t>Victorian Desalination Project - $3,520.23 per ML entitlement, refer section 11.2.3.1</w:t>
            </w:r>
          </w:p>
        </w:tc>
      </w:tr>
    </w:tbl>
    <w:p w14:paraId="4AD32D56" w14:textId="77777777" w:rsidR="00BE123A" w:rsidRPr="00DE108C" w:rsidRDefault="00BE123A">
      <w:pPr>
        <w:pStyle w:val="Heading3"/>
        <w:sectPr w:rsidR="00BE123A" w:rsidRPr="00DE108C" w:rsidSect="00BE123A">
          <w:pgSz w:w="16838" w:h="11906" w:orient="landscape" w:code="9"/>
          <w:pgMar w:top="1134" w:right="1134" w:bottom="1134" w:left="1134" w:header="567" w:footer="680" w:gutter="0"/>
          <w:cols w:space="708"/>
          <w:docGrid w:linePitch="360"/>
        </w:sectPr>
      </w:pPr>
      <w:bookmarkStart w:id="1134" w:name="_Toc196745299"/>
    </w:p>
    <w:p w14:paraId="73C2DCE4" w14:textId="77777777" w:rsidR="00046BD5" w:rsidRPr="00DE108C" w:rsidRDefault="00046BD5">
      <w:pPr>
        <w:pStyle w:val="Heading3"/>
      </w:pPr>
      <w:r w:rsidRPr="00DE108C">
        <w:lastRenderedPageBreak/>
        <w:t>11.2.4 Bulk sewerage</w:t>
      </w:r>
      <w:bookmarkEnd w:id="1134"/>
      <w:r w:rsidRPr="00DE108C">
        <w:t xml:space="preserve"> charges</w:t>
      </w:r>
    </w:p>
    <w:p w14:paraId="15A10D98" w14:textId="45C2907D" w:rsidR="00046BD5" w:rsidRPr="00DE108C" w:rsidRDefault="00046BD5" w:rsidP="00ED094E">
      <w:bookmarkStart w:id="1135" w:name="_Pricing_Principals"/>
      <w:bookmarkEnd w:id="1135"/>
      <w:r w:rsidRPr="00DE108C">
        <w:t>We engaged extensively with connected water corporations on bulk sewerage tariffs and reached consensus on tariff reform</w:t>
      </w:r>
      <w:r w:rsidR="008444A9" w:rsidRPr="00DE108C">
        <w:t xml:space="preserve"> (current and proposed tariff structures outlined in Table 11.10)</w:t>
      </w:r>
      <w:r w:rsidRPr="00DE108C">
        <w:t>. We are now proposing two reforms to our bulk sewerage tariffs:</w:t>
      </w:r>
    </w:p>
    <w:p w14:paraId="5E932FF2" w14:textId="4D4AC4AB" w:rsidR="00046BD5" w:rsidRPr="00DE108C" w:rsidRDefault="0409291B" w:rsidP="00021409">
      <w:pPr>
        <w:pStyle w:val="ListBullet"/>
      </w:pPr>
      <w:r>
        <w:t>replacing separate disaggregated Eastern and Western bulk sewage transfer charges with a common transfer charge</w:t>
      </w:r>
    </w:p>
    <w:p w14:paraId="4FA34BCD" w14:textId="744299C0" w:rsidR="00046BD5" w:rsidRPr="00DE108C" w:rsidRDefault="0409291B" w:rsidP="00021409">
      <w:pPr>
        <w:pStyle w:val="ListBullet"/>
      </w:pPr>
      <w:r>
        <w:t xml:space="preserve">moving to allocate fixed charges based on relative shares of </w:t>
      </w:r>
      <w:r w:rsidR="7DDACDA4">
        <w:t>five</w:t>
      </w:r>
      <w:r>
        <w:t>-year historical demands (similar to the change to fixed bulk water charges).</w:t>
      </w:r>
    </w:p>
    <w:p w14:paraId="79DE533B" w14:textId="1E6E8687" w:rsidR="7304A8AE" w:rsidRDefault="7304A8AE" w:rsidP="00021409"/>
    <w:p w14:paraId="469FDF19" w14:textId="0860957A" w:rsidR="00046BD5" w:rsidRPr="00DE108C" w:rsidRDefault="00046BD5" w:rsidP="00ED094E">
      <w:pPr>
        <w:pStyle w:val="Caption"/>
      </w:pPr>
      <w:bookmarkStart w:id="1136" w:name="_Toc207893113"/>
      <w:bookmarkStart w:id="1137" w:name="_Toc208490637"/>
      <w:bookmarkStart w:id="1138" w:name="_Toc208490975"/>
      <w:bookmarkStart w:id="1139" w:name="_Toc208911133"/>
      <w:bookmarkStart w:id="1140" w:name="_Toc210051439"/>
      <w:r w:rsidRPr="00DE108C">
        <w:t xml:space="preserve">Table 11.10: Existing and </w:t>
      </w:r>
      <w:r w:rsidR="00106C13" w:rsidRPr="00DE108C">
        <w:t>p</w:t>
      </w:r>
      <w:r w:rsidRPr="00DE108C">
        <w:t>roposed bulk sewer tariffs</w:t>
      </w:r>
      <w:bookmarkEnd w:id="1136"/>
      <w:bookmarkEnd w:id="1137"/>
      <w:bookmarkEnd w:id="1138"/>
      <w:bookmarkEnd w:id="1139"/>
      <w:bookmarkEnd w:id="1140"/>
    </w:p>
    <w:tbl>
      <w:tblPr>
        <w:tblStyle w:val="TableGrid"/>
        <w:tblW w:w="0" w:type="auto"/>
        <w:tblLook w:val="04A0" w:firstRow="1" w:lastRow="0" w:firstColumn="1" w:lastColumn="0" w:noHBand="0" w:noVBand="1"/>
      </w:tblPr>
      <w:tblGrid>
        <w:gridCol w:w="4564"/>
        <w:gridCol w:w="4565"/>
      </w:tblGrid>
      <w:tr w:rsidR="00A5757A" w:rsidRPr="00DE108C" w14:paraId="369C778C" w14:textId="77777777" w:rsidTr="7304A8AE">
        <w:trPr>
          <w:cnfStyle w:val="100000000000" w:firstRow="1" w:lastRow="0" w:firstColumn="0" w:lastColumn="0" w:oddVBand="0" w:evenVBand="0" w:oddHBand="0" w:evenHBand="0" w:firstRowFirstColumn="0" w:firstRowLastColumn="0" w:lastRowFirstColumn="0" w:lastRowLastColumn="0"/>
          <w:trHeight w:val="195"/>
        </w:trPr>
        <w:tc>
          <w:tcPr>
            <w:tcW w:w="4564" w:type="dxa"/>
          </w:tcPr>
          <w:p w14:paraId="7E3EA3EF" w14:textId="00D48D83" w:rsidR="00046BD5" w:rsidRPr="00DE108C" w:rsidRDefault="00046BD5" w:rsidP="00ED094E">
            <w:pPr>
              <w:pStyle w:val="TableHeading"/>
              <w:rPr>
                <w:color w:val="auto"/>
                <w:szCs w:val="16"/>
              </w:rPr>
            </w:pPr>
            <w:r w:rsidRPr="00DE108C">
              <w:rPr>
                <w:color w:val="auto"/>
                <w:szCs w:val="16"/>
              </w:rPr>
              <w:t xml:space="preserve">Current </w:t>
            </w:r>
            <w:r w:rsidR="008444A9" w:rsidRPr="00DE108C">
              <w:rPr>
                <w:color w:val="auto"/>
                <w:szCs w:val="16"/>
              </w:rPr>
              <w:t>s</w:t>
            </w:r>
            <w:r w:rsidRPr="00DE108C">
              <w:rPr>
                <w:color w:val="auto"/>
                <w:szCs w:val="16"/>
              </w:rPr>
              <w:t>tructure</w:t>
            </w:r>
          </w:p>
        </w:tc>
        <w:tc>
          <w:tcPr>
            <w:tcW w:w="4565" w:type="dxa"/>
          </w:tcPr>
          <w:p w14:paraId="44241092" w14:textId="77777777" w:rsidR="00046BD5" w:rsidRPr="00DE108C" w:rsidRDefault="00046BD5" w:rsidP="00ED094E">
            <w:pPr>
              <w:pStyle w:val="TableHeading"/>
              <w:rPr>
                <w:color w:val="auto"/>
                <w:szCs w:val="16"/>
              </w:rPr>
            </w:pPr>
            <w:r w:rsidRPr="00DE108C">
              <w:rPr>
                <w:color w:val="auto"/>
                <w:szCs w:val="16"/>
              </w:rPr>
              <w:t>Proposed structure</w:t>
            </w:r>
          </w:p>
        </w:tc>
      </w:tr>
      <w:tr w:rsidR="00046BD5" w:rsidRPr="00DE108C" w14:paraId="7756BAC6" w14:textId="77777777" w:rsidTr="7304A8AE">
        <w:tc>
          <w:tcPr>
            <w:tcW w:w="4564" w:type="dxa"/>
          </w:tcPr>
          <w:p w14:paraId="2BA30CC7" w14:textId="072C1148" w:rsidR="00046BD5" w:rsidRPr="00DE108C" w:rsidRDefault="0409291B" w:rsidP="7304A8AE">
            <w:pPr>
              <w:pStyle w:val="ListBullet"/>
              <w:ind w:left="270" w:hanging="270"/>
              <w:rPr>
                <w:sz w:val="16"/>
                <w:szCs w:val="16"/>
              </w:rPr>
            </w:pPr>
            <w:r w:rsidRPr="7304A8AE">
              <w:rPr>
                <w:sz w:val="16"/>
                <w:szCs w:val="16"/>
              </w:rPr>
              <w:t>Eastern and Western disaggregated sewerage transfer charges based on short-run marginal cost ($/ML)</w:t>
            </w:r>
            <w:r w:rsidR="625D8441" w:rsidRPr="7304A8AE">
              <w:rPr>
                <w:sz w:val="16"/>
                <w:szCs w:val="16"/>
              </w:rPr>
              <w:t>.</w:t>
            </w:r>
          </w:p>
          <w:p w14:paraId="292DFCBF" w14:textId="6DFD11B1" w:rsidR="00046BD5" w:rsidRPr="00DE108C" w:rsidRDefault="0409291B" w:rsidP="7304A8AE">
            <w:pPr>
              <w:pStyle w:val="ListBullet"/>
              <w:ind w:left="270" w:hanging="270"/>
              <w:rPr>
                <w:sz w:val="16"/>
                <w:szCs w:val="16"/>
              </w:rPr>
            </w:pPr>
            <w:r w:rsidRPr="7304A8AE">
              <w:rPr>
                <w:sz w:val="16"/>
                <w:szCs w:val="16"/>
              </w:rPr>
              <w:t xml:space="preserve">Disaggregated treatment plant tariff structures for the </w:t>
            </w:r>
            <w:r w:rsidRPr="26CE7658">
              <w:rPr>
                <w:sz w:val="16"/>
                <w:szCs w:val="16"/>
              </w:rPr>
              <w:t>E</w:t>
            </w:r>
            <w:r w:rsidR="014D0248" w:rsidRPr="26CE7658">
              <w:rPr>
                <w:sz w:val="16"/>
                <w:szCs w:val="16"/>
              </w:rPr>
              <w:t xml:space="preserve">astern </w:t>
            </w:r>
            <w:r w:rsidRPr="26CE7658">
              <w:rPr>
                <w:sz w:val="16"/>
                <w:szCs w:val="16"/>
              </w:rPr>
              <w:t>T</w:t>
            </w:r>
            <w:r w:rsidR="01BED43C" w:rsidRPr="26CE7658">
              <w:rPr>
                <w:sz w:val="16"/>
                <w:szCs w:val="16"/>
              </w:rPr>
              <w:t xml:space="preserve">reatment </w:t>
            </w:r>
            <w:r w:rsidRPr="26CE7658">
              <w:rPr>
                <w:sz w:val="16"/>
                <w:szCs w:val="16"/>
              </w:rPr>
              <w:t>P</w:t>
            </w:r>
            <w:r w:rsidR="33AECA5B" w:rsidRPr="26CE7658">
              <w:rPr>
                <w:sz w:val="16"/>
                <w:szCs w:val="16"/>
              </w:rPr>
              <w:t>lant (</w:t>
            </w:r>
            <w:r w:rsidRPr="7304A8AE">
              <w:rPr>
                <w:sz w:val="16"/>
                <w:szCs w:val="16"/>
              </w:rPr>
              <w:t>ETP</w:t>
            </w:r>
            <w:r w:rsidR="33AECA5B" w:rsidRPr="26CE7658">
              <w:rPr>
                <w:sz w:val="16"/>
                <w:szCs w:val="16"/>
              </w:rPr>
              <w:t>)</w:t>
            </w:r>
            <w:r w:rsidRPr="7304A8AE">
              <w:rPr>
                <w:sz w:val="16"/>
                <w:szCs w:val="16"/>
              </w:rPr>
              <w:t xml:space="preserve"> and </w:t>
            </w:r>
            <w:r w:rsidRPr="6071FAEF">
              <w:rPr>
                <w:sz w:val="16"/>
                <w:szCs w:val="16"/>
              </w:rPr>
              <w:t>W</w:t>
            </w:r>
            <w:r w:rsidR="724B33E7" w:rsidRPr="6071FAEF">
              <w:rPr>
                <w:sz w:val="16"/>
                <w:szCs w:val="16"/>
              </w:rPr>
              <w:t>estern Treatment Plant</w:t>
            </w:r>
            <w:r w:rsidR="00FB646F">
              <w:rPr>
                <w:sz w:val="16"/>
                <w:szCs w:val="16"/>
              </w:rPr>
              <w:t xml:space="preserve"> </w:t>
            </w:r>
            <w:r w:rsidR="329374DD" w:rsidRPr="6071FAEF">
              <w:rPr>
                <w:sz w:val="16"/>
                <w:szCs w:val="16"/>
              </w:rPr>
              <w:t>(</w:t>
            </w:r>
            <w:r w:rsidR="329374DD" w:rsidRPr="014D6DD7">
              <w:rPr>
                <w:sz w:val="16"/>
                <w:szCs w:val="16"/>
              </w:rPr>
              <w:t>WTP)</w:t>
            </w:r>
            <w:r w:rsidRPr="7304A8AE">
              <w:rPr>
                <w:sz w:val="16"/>
                <w:szCs w:val="16"/>
              </w:rPr>
              <w:t xml:space="preserve"> applying </w:t>
            </w:r>
            <w:r w:rsidR="00BF1BB9">
              <w:rPr>
                <w:sz w:val="16"/>
                <w:szCs w:val="16"/>
              </w:rPr>
              <w:t>long run marginal cost (</w:t>
            </w:r>
            <w:r w:rsidRPr="7304A8AE">
              <w:rPr>
                <w:sz w:val="16"/>
                <w:szCs w:val="16"/>
              </w:rPr>
              <w:t>LRMC</w:t>
            </w:r>
            <w:r w:rsidR="00BF1BB9">
              <w:rPr>
                <w:sz w:val="16"/>
                <w:szCs w:val="16"/>
              </w:rPr>
              <w:t>)</w:t>
            </w:r>
            <w:r w:rsidRPr="7304A8AE">
              <w:rPr>
                <w:sz w:val="16"/>
                <w:szCs w:val="16"/>
              </w:rPr>
              <w:t xml:space="preserve"> for volume and load ($/ML</w:t>
            </w:r>
            <w:r w:rsidR="0087200D">
              <w:rPr>
                <w:sz w:val="16"/>
                <w:szCs w:val="16"/>
              </w:rPr>
              <w:t xml:space="preserve"> and $/tonne</w:t>
            </w:r>
            <w:r w:rsidRPr="7304A8AE">
              <w:rPr>
                <w:sz w:val="16"/>
                <w:szCs w:val="16"/>
              </w:rPr>
              <w:t>)</w:t>
            </w:r>
            <w:r w:rsidR="1F68D21E" w:rsidRPr="7304A8AE">
              <w:rPr>
                <w:sz w:val="16"/>
                <w:szCs w:val="16"/>
              </w:rPr>
              <w:t>.</w:t>
            </w:r>
          </w:p>
          <w:p w14:paraId="6445E5AE" w14:textId="3D2D8F67" w:rsidR="00046BD5" w:rsidRPr="00DE108C" w:rsidRDefault="0409291B" w:rsidP="7304A8AE">
            <w:pPr>
              <w:pStyle w:val="ListBullet"/>
              <w:ind w:left="270" w:hanging="270"/>
            </w:pPr>
            <w:r w:rsidRPr="7304A8AE">
              <w:rPr>
                <w:sz w:val="16"/>
                <w:szCs w:val="16"/>
              </w:rPr>
              <w:t xml:space="preserve">Fixed charges make up the shortfall between variable charges and total revenue requirement by </w:t>
            </w:r>
            <w:r w:rsidR="00FB646F">
              <w:rPr>
                <w:sz w:val="16"/>
                <w:szCs w:val="16"/>
              </w:rPr>
              <w:t>water corporation</w:t>
            </w:r>
            <w:r w:rsidRPr="7304A8AE">
              <w:rPr>
                <w:sz w:val="16"/>
                <w:szCs w:val="16"/>
              </w:rPr>
              <w:t xml:space="preserve">. Revenue requirement by </w:t>
            </w:r>
            <w:r w:rsidR="00FB646F">
              <w:rPr>
                <w:sz w:val="16"/>
                <w:szCs w:val="16"/>
              </w:rPr>
              <w:t>water corporation</w:t>
            </w:r>
            <w:r w:rsidRPr="7304A8AE">
              <w:rPr>
                <w:sz w:val="16"/>
                <w:szCs w:val="16"/>
              </w:rPr>
              <w:t xml:space="preserve"> is determined based on relative forecast use of the system ($/</w:t>
            </w:r>
            <w:r w:rsidR="0087200D">
              <w:rPr>
                <w:sz w:val="16"/>
                <w:szCs w:val="16"/>
              </w:rPr>
              <w:t>m</w:t>
            </w:r>
            <w:r w:rsidRPr="7304A8AE">
              <w:rPr>
                <w:sz w:val="16"/>
                <w:szCs w:val="16"/>
              </w:rPr>
              <w:t>onth</w:t>
            </w:r>
            <w:r>
              <w:t>)</w:t>
            </w:r>
            <w:r w:rsidR="1F68D21E">
              <w:t>.</w:t>
            </w:r>
          </w:p>
        </w:tc>
        <w:tc>
          <w:tcPr>
            <w:tcW w:w="4565" w:type="dxa"/>
          </w:tcPr>
          <w:p w14:paraId="68892A30" w14:textId="3FA429BA" w:rsidR="00046BD5" w:rsidRPr="00DE108C" w:rsidRDefault="0409291B" w:rsidP="7304A8AE">
            <w:pPr>
              <w:pStyle w:val="ListBullet"/>
              <w:ind w:left="270" w:hanging="270"/>
              <w:rPr>
                <w:sz w:val="16"/>
                <w:szCs w:val="16"/>
              </w:rPr>
            </w:pPr>
            <w:r w:rsidRPr="7304A8AE">
              <w:rPr>
                <w:sz w:val="16"/>
                <w:szCs w:val="16"/>
              </w:rPr>
              <w:t>Common sewage transfer charge based on short-run marginal cost ($/ML</w:t>
            </w:r>
            <w:r w:rsidRPr="003D7927">
              <w:rPr>
                <w:sz w:val="16"/>
                <w:szCs w:val="16"/>
              </w:rPr>
              <w:t>)</w:t>
            </w:r>
            <w:r w:rsidR="42769D04" w:rsidRPr="003D7927">
              <w:rPr>
                <w:sz w:val="16"/>
                <w:szCs w:val="16"/>
              </w:rPr>
              <w:t>.</w:t>
            </w:r>
          </w:p>
          <w:p w14:paraId="71245571" w14:textId="4D002DE9" w:rsidR="00046BD5" w:rsidRPr="00DE108C" w:rsidRDefault="0409291B" w:rsidP="7304A8AE">
            <w:pPr>
              <w:pStyle w:val="ListBullet"/>
              <w:ind w:left="270" w:hanging="270"/>
              <w:rPr>
                <w:sz w:val="16"/>
                <w:szCs w:val="16"/>
              </w:rPr>
            </w:pPr>
            <w:r w:rsidRPr="7304A8AE">
              <w:rPr>
                <w:sz w:val="16"/>
                <w:szCs w:val="16"/>
              </w:rPr>
              <w:t>Disaggregated treatment plant tariff structures for the ETP and WTP (no change) with regard to LRMC for volume and load ($/ML</w:t>
            </w:r>
            <w:r w:rsidR="0087200D">
              <w:rPr>
                <w:sz w:val="16"/>
                <w:szCs w:val="16"/>
              </w:rPr>
              <w:t xml:space="preserve"> and $/tonne</w:t>
            </w:r>
            <w:r w:rsidRPr="003D7927">
              <w:rPr>
                <w:sz w:val="16"/>
                <w:szCs w:val="16"/>
              </w:rPr>
              <w:t>)</w:t>
            </w:r>
            <w:r w:rsidR="4FD40DCD" w:rsidRPr="003D7927">
              <w:rPr>
                <w:sz w:val="16"/>
                <w:szCs w:val="16"/>
              </w:rPr>
              <w:t>.</w:t>
            </w:r>
          </w:p>
          <w:p w14:paraId="19EEC05F" w14:textId="37D95E26" w:rsidR="00046BD5" w:rsidRPr="00DE108C" w:rsidRDefault="0409291B" w:rsidP="7304A8AE">
            <w:pPr>
              <w:pStyle w:val="ListBullet"/>
              <w:ind w:left="270" w:hanging="270"/>
              <w:rPr>
                <w:sz w:val="16"/>
                <w:szCs w:val="16"/>
              </w:rPr>
            </w:pPr>
            <w:r w:rsidRPr="7304A8AE">
              <w:rPr>
                <w:sz w:val="16"/>
                <w:szCs w:val="16"/>
              </w:rPr>
              <w:t xml:space="preserve">Fixed charges make up the shortfall between variable charges and total revenue requirement by </w:t>
            </w:r>
            <w:r w:rsidR="00FB646F">
              <w:rPr>
                <w:sz w:val="16"/>
                <w:szCs w:val="16"/>
              </w:rPr>
              <w:t>water corporation</w:t>
            </w:r>
            <w:r w:rsidRPr="7304A8AE">
              <w:rPr>
                <w:sz w:val="16"/>
                <w:szCs w:val="16"/>
              </w:rPr>
              <w:t xml:space="preserve">. Revenue requirement by </w:t>
            </w:r>
            <w:r w:rsidR="00FB646F">
              <w:rPr>
                <w:sz w:val="16"/>
                <w:szCs w:val="16"/>
              </w:rPr>
              <w:t>water corporation</w:t>
            </w:r>
            <w:r w:rsidRPr="7304A8AE">
              <w:rPr>
                <w:sz w:val="16"/>
                <w:szCs w:val="16"/>
              </w:rPr>
              <w:t xml:space="preserve"> is determined based on relative historical use of the system ($/</w:t>
            </w:r>
            <w:r w:rsidR="000B0373">
              <w:rPr>
                <w:sz w:val="16"/>
                <w:szCs w:val="16"/>
              </w:rPr>
              <w:t>m</w:t>
            </w:r>
            <w:r w:rsidRPr="7304A8AE">
              <w:rPr>
                <w:sz w:val="16"/>
                <w:szCs w:val="16"/>
              </w:rPr>
              <w:t>onth</w:t>
            </w:r>
            <w:r w:rsidRPr="003D7927">
              <w:rPr>
                <w:sz w:val="16"/>
                <w:szCs w:val="16"/>
              </w:rPr>
              <w:t>)</w:t>
            </w:r>
            <w:r w:rsidR="7141F3B0" w:rsidRPr="003D7927">
              <w:rPr>
                <w:sz w:val="16"/>
                <w:szCs w:val="16"/>
              </w:rPr>
              <w:t>.</w:t>
            </w:r>
          </w:p>
        </w:tc>
      </w:tr>
    </w:tbl>
    <w:p w14:paraId="55483BF5" w14:textId="77777777" w:rsidR="00046BD5" w:rsidRPr="00DE108C" w:rsidRDefault="00046BD5" w:rsidP="3DAA87BE">
      <w:pPr>
        <w:pStyle w:val="ListBullet3"/>
        <w:numPr>
          <w:ilvl w:val="0"/>
          <w:numId w:val="0"/>
        </w:numPr>
      </w:pPr>
      <w:r w:rsidRPr="00DE108C">
        <w:t>Each tariff component – how each of these tariffs are calculated and applied – is described further below. Minutes and materials from our engagement with water corporations are available on request.</w:t>
      </w:r>
    </w:p>
    <w:p w14:paraId="4F3113EC" w14:textId="460C6A69" w:rsidR="00046BD5" w:rsidRPr="00DE108C" w:rsidRDefault="00046BD5">
      <w:pPr>
        <w:pStyle w:val="Heading4"/>
      </w:pPr>
      <w:r w:rsidRPr="00DE108C">
        <w:t xml:space="preserve">11.2.4.1 New </w:t>
      </w:r>
      <w:r>
        <w:t xml:space="preserve">Sewage Transfer </w:t>
      </w:r>
      <w:r w:rsidRPr="00DE108C">
        <w:t>Charge</w:t>
      </w:r>
      <w:r w:rsidR="000B0373">
        <w:t xml:space="preserve"> ($/ML)</w:t>
      </w:r>
    </w:p>
    <w:p w14:paraId="28D6307C" w14:textId="3720CC69" w:rsidR="00046BD5" w:rsidRPr="00DE108C" w:rsidRDefault="00046BD5" w:rsidP="00ED094E">
      <w:r w:rsidRPr="00DE108C">
        <w:t>Sewage transfer charges will be collected on each megalitre of sewage transferred to Melbourne Water. We are proposing to move to an aggregated sewage transfer charge based on short-run marginal cost ($ per ML). Cost allocation for sewage transfer has already been based on a pooled system</w:t>
      </w:r>
      <w:r w:rsidR="28D7D9F7">
        <w:t>,</w:t>
      </w:r>
      <w:r w:rsidRPr="00DE108C">
        <w:t xml:space="preserve"> which has meant a different fixed to variable split depending on which plant sewage is transferred to. While there are differences in costs (</w:t>
      </w:r>
      <w:r w:rsidR="5E16F24B">
        <w:t>for example</w:t>
      </w:r>
      <w:r w:rsidR="00F23362">
        <w:t>,</w:t>
      </w:r>
      <w:r w:rsidRPr="00DE108C">
        <w:t xml:space="preserve"> more sewage is pumped to transfer it to the WTP), these are much less material than cost differences in treatment. Furthermore, a material portion of sewage is able to be diverted by Melbourne Water to either treatment plant, depending on operational requirements, and water corporations are unable to respond to the price signal of the different transfer charge currently provides.</w:t>
      </w:r>
    </w:p>
    <w:p w14:paraId="3C0EC02A" w14:textId="02551F5B" w:rsidR="00046BD5" w:rsidRPr="00DE108C" w:rsidRDefault="00046BD5">
      <w:pPr>
        <w:pStyle w:val="Heading4"/>
      </w:pPr>
      <w:r w:rsidRPr="00DE108C">
        <w:t xml:space="preserve">11.2.4.2 Sewage </w:t>
      </w:r>
      <w:r>
        <w:t xml:space="preserve">Treatment </w:t>
      </w:r>
      <w:r w:rsidRPr="00DE108C">
        <w:t xml:space="preserve">Volumetric and </w:t>
      </w:r>
      <w:r>
        <w:t xml:space="preserve">Load </w:t>
      </w:r>
      <w:r w:rsidRPr="00DE108C">
        <w:t>Charges</w:t>
      </w:r>
      <w:r w:rsidR="000B0373">
        <w:t xml:space="preserve"> ($/ML and $/tonne)</w:t>
      </w:r>
    </w:p>
    <w:p w14:paraId="1CEEF12A" w14:textId="77777777" w:rsidR="00046BD5" w:rsidRPr="00DE108C" w:rsidRDefault="00046BD5" w:rsidP="00ED094E">
      <w:r w:rsidRPr="00DE108C">
        <w:t xml:space="preserve">We are not proposing changes to the tariff structure for sewage treatment charges, which apply to each megalitre of sewage treated at each treatment plant, as well as each tonne of pollutant loads for Class A trade waste customers, and are set with regard to long-run marginal costs, consistent with the ESC’s guidance. </w:t>
      </w:r>
    </w:p>
    <w:p w14:paraId="15A68CEF" w14:textId="78C121F3" w:rsidR="00046BD5" w:rsidRPr="00DE108C" w:rsidRDefault="00046BD5">
      <w:pPr>
        <w:pStyle w:val="Heading4"/>
      </w:pPr>
      <w:r w:rsidRPr="00DE108C">
        <w:lastRenderedPageBreak/>
        <w:t>11.2.4.3 New Fixed Sewerage Charges</w:t>
      </w:r>
      <w:r w:rsidR="000B0373">
        <w:t xml:space="preserve"> ($/month)</w:t>
      </w:r>
    </w:p>
    <w:p w14:paraId="31797AE7" w14:textId="42637BA3" w:rsidR="00046BD5" w:rsidRPr="00DE108C" w:rsidRDefault="00046BD5" w:rsidP="00ED094E">
      <w:r w:rsidRPr="00DE108C">
        <w:t xml:space="preserve">Fixed sewerage charges are collected from each water corporation with a bulk sewerage service on a monthly basis. We are proposing to change the basis on which fixed sewerage charges are set for each water corporation. This relates to the contribution to the costs at each treatment plant required to treat flow, and each of the treatable loads </w:t>
      </w:r>
      <w:r w:rsidR="000B0373">
        <w:t xml:space="preserve">– </w:t>
      </w:r>
      <w:r w:rsidRPr="00DE108C">
        <w:t xml:space="preserve">Total Kjeldahl Nitrogen </w:t>
      </w:r>
      <w:r w:rsidR="50F98DFA">
        <w:t>(</w:t>
      </w:r>
      <w:r w:rsidRPr="00DE108C">
        <w:t>TKN</w:t>
      </w:r>
      <w:r w:rsidR="60E8629D">
        <w:t>)</w:t>
      </w:r>
      <w:r>
        <w:t>,</w:t>
      </w:r>
      <w:r w:rsidRPr="00DE108C">
        <w:t xml:space="preserve"> Total Suspended Solids </w:t>
      </w:r>
      <w:r w:rsidR="17FF141D">
        <w:t>(</w:t>
      </w:r>
      <w:r w:rsidRPr="00DE108C">
        <w:t>TSS</w:t>
      </w:r>
      <w:r w:rsidR="2B26704A">
        <w:t>)</w:t>
      </w:r>
      <w:r>
        <w:t>,</w:t>
      </w:r>
      <w:r w:rsidRPr="00DE108C">
        <w:t xml:space="preserve"> </w:t>
      </w:r>
      <w:r w:rsidR="000B0373">
        <w:t xml:space="preserve">and </w:t>
      </w:r>
      <w:r w:rsidRPr="00DE108C">
        <w:t xml:space="preserve">Biological Oxygen Demand </w:t>
      </w:r>
      <w:r w:rsidR="3EA04D67">
        <w:t>(</w:t>
      </w:r>
      <w:r w:rsidRPr="00DE108C">
        <w:t>BOD</w:t>
      </w:r>
      <w:r w:rsidR="773E8483">
        <w:t>)</w:t>
      </w:r>
      <w:r>
        <w:t>.</w:t>
      </w:r>
      <w:r w:rsidRPr="00DE108C">
        <w:t xml:space="preserve"> We base cost allocations on demands from each corporation for each plant. Rather than allocating costs based on forecast demands, we are proposing to set shares of fixed costs based on historical actual usage over the last five years at the time of price setting, upon request from water corporations. This provides corporations a greater incentive to forecast demands and timing of projects that will remove demands from the centralised transfer network accurately.</w:t>
      </w:r>
    </w:p>
    <w:p w14:paraId="1C6CADBC" w14:textId="77777777" w:rsidR="00046BD5" w:rsidRPr="00DE108C" w:rsidRDefault="00046BD5" w:rsidP="00ED094E">
      <w:r w:rsidRPr="00DE108C">
        <w:t>Sewerage cost allocations are outlined in Table 11.11 below. Total allocations reflect our proposal and will need to be updated at the time of the determination.</w:t>
      </w:r>
    </w:p>
    <w:p w14:paraId="1051D985" w14:textId="77777777" w:rsidR="00046BD5" w:rsidRPr="00DE108C" w:rsidRDefault="00046BD5" w:rsidP="00ED094E">
      <w:pPr>
        <w:pStyle w:val="Caption"/>
      </w:pPr>
      <w:bookmarkStart w:id="1141" w:name="_Toc207893114"/>
      <w:bookmarkStart w:id="1142" w:name="_Toc208490638"/>
      <w:bookmarkStart w:id="1143" w:name="_Toc208490976"/>
      <w:bookmarkStart w:id="1144" w:name="_Toc208911134"/>
      <w:bookmarkStart w:id="1145" w:name="_Toc210051440"/>
      <w:r w:rsidRPr="00DE108C">
        <w:t>Table 11.11: Proposed sewerage cost allocations 2026-31</w:t>
      </w:r>
      <w:bookmarkEnd w:id="1141"/>
      <w:bookmarkEnd w:id="1142"/>
      <w:bookmarkEnd w:id="1143"/>
      <w:bookmarkEnd w:id="1144"/>
      <w:bookmarkEnd w:id="1145"/>
    </w:p>
    <w:tbl>
      <w:tblPr>
        <w:tblStyle w:val="MWTableGrid"/>
        <w:tblW w:w="0" w:type="auto"/>
        <w:tblLook w:val="04A0" w:firstRow="1" w:lastRow="0" w:firstColumn="1" w:lastColumn="0" w:noHBand="0" w:noVBand="1"/>
      </w:tblPr>
      <w:tblGrid>
        <w:gridCol w:w="1925"/>
        <w:gridCol w:w="1925"/>
        <w:gridCol w:w="1926"/>
        <w:gridCol w:w="1926"/>
        <w:gridCol w:w="1926"/>
      </w:tblGrid>
      <w:tr w:rsidR="00556A0D" w:rsidRPr="00DE108C" w14:paraId="797F60F7" w14:textId="77777777">
        <w:trPr>
          <w:cnfStyle w:val="100000000000" w:firstRow="1" w:lastRow="0" w:firstColumn="0" w:lastColumn="0" w:oddVBand="0" w:evenVBand="0" w:oddHBand="0" w:evenHBand="0" w:firstRowFirstColumn="0" w:firstRowLastColumn="0" w:lastRowFirstColumn="0" w:lastRowLastColumn="0"/>
        </w:trPr>
        <w:tc>
          <w:tcPr>
            <w:tcW w:w="1925" w:type="dxa"/>
          </w:tcPr>
          <w:p w14:paraId="2F127D16" w14:textId="77777777" w:rsidR="00046BD5" w:rsidRPr="00B54440" w:rsidRDefault="00046BD5" w:rsidP="00ED094E">
            <w:pPr>
              <w:pStyle w:val="TableHeading"/>
              <w:rPr>
                <w:szCs w:val="16"/>
              </w:rPr>
            </w:pPr>
          </w:p>
        </w:tc>
        <w:tc>
          <w:tcPr>
            <w:tcW w:w="1925" w:type="dxa"/>
          </w:tcPr>
          <w:p w14:paraId="7355908D" w14:textId="77777777" w:rsidR="00046BD5" w:rsidRPr="00B54440" w:rsidRDefault="00046BD5" w:rsidP="00ED094E">
            <w:pPr>
              <w:pStyle w:val="TableHeading"/>
              <w:rPr>
                <w:szCs w:val="16"/>
              </w:rPr>
            </w:pPr>
            <w:r w:rsidRPr="00B54440">
              <w:rPr>
                <w:szCs w:val="16"/>
              </w:rPr>
              <w:t>WTP</w:t>
            </w:r>
          </w:p>
        </w:tc>
        <w:tc>
          <w:tcPr>
            <w:tcW w:w="1926" w:type="dxa"/>
          </w:tcPr>
          <w:p w14:paraId="34977014" w14:textId="7444BC85" w:rsidR="00046BD5" w:rsidRPr="00DE108C" w:rsidRDefault="00046BD5" w:rsidP="00ED094E">
            <w:pPr>
              <w:pStyle w:val="TableHeading"/>
              <w:rPr>
                <w:szCs w:val="16"/>
              </w:rPr>
            </w:pPr>
            <w:r w:rsidRPr="00B32B89">
              <w:rPr>
                <w:szCs w:val="16"/>
              </w:rPr>
              <w:t>ETP</w:t>
            </w:r>
          </w:p>
        </w:tc>
        <w:tc>
          <w:tcPr>
            <w:tcW w:w="1926" w:type="dxa"/>
          </w:tcPr>
          <w:p w14:paraId="30B376AC" w14:textId="09967216" w:rsidR="00046BD5" w:rsidRPr="00DE108C" w:rsidRDefault="00046BD5" w:rsidP="00ED094E">
            <w:pPr>
              <w:pStyle w:val="TableHeading"/>
              <w:rPr>
                <w:szCs w:val="16"/>
              </w:rPr>
            </w:pPr>
            <w:r w:rsidRPr="00B32B89">
              <w:rPr>
                <w:szCs w:val="16"/>
              </w:rPr>
              <w:t>Transfer</w:t>
            </w:r>
          </w:p>
        </w:tc>
        <w:tc>
          <w:tcPr>
            <w:tcW w:w="1926" w:type="dxa"/>
          </w:tcPr>
          <w:p w14:paraId="6FDC824B" w14:textId="4BF89A5F" w:rsidR="00046BD5" w:rsidRPr="00DE108C" w:rsidRDefault="00046BD5" w:rsidP="00ED094E">
            <w:pPr>
              <w:pStyle w:val="TableHeading"/>
              <w:rPr>
                <w:szCs w:val="16"/>
              </w:rPr>
            </w:pPr>
            <w:r w:rsidRPr="00B32B89">
              <w:rPr>
                <w:szCs w:val="16"/>
              </w:rPr>
              <w:t>Total</w:t>
            </w:r>
          </w:p>
        </w:tc>
      </w:tr>
      <w:tr w:rsidR="00046BD5" w:rsidRPr="00DE108C" w14:paraId="3C54E232" w14:textId="77777777">
        <w:tc>
          <w:tcPr>
            <w:tcW w:w="1925" w:type="dxa"/>
          </w:tcPr>
          <w:p w14:paraId="26B7EF53" w14:textId="77777777" w:rsidR="00046BD5" w:rsidRPr="00DE108C" w:rsidRDefault="00046BD5" w:rsidP="00ED094E">
            <w:pPr>
              <w:pStyle w:val="TableBody"/>
              <w:rPr>
                <w:szCs w:val="16"/>
              </w:rPr>
            </w:pPr>
            <w:r w:rsidRPr="00DE108C">
              <w:rPr>
                <w:szCs w:val="16"/>
              </w:rPr>
              <w:t>Greater Western Water</w:t>
            </w:r>
          </w:p>
        </w:tc>
        <w:tc>
          <w:tcPr>
            <w:tcW w:w="1925" w:type="dxa"/>
          </w:tcPr>
          <w:p w14:paraId="796505E9" w14:textId="77777777" w:rsidR="00046BD5" w:rsidRPr="00DE108C" w:rsidRDefault="00046BD5" w:rsidP="00ED094E">
            <w:pPr>
              <w:pStyle w:val="TableBody"/>
              <w:rPr>
                <w:szCs w:val="16"/>
              </w:rPr>
            </w:pPr>
            <w:r w:rsidRPr="00DE108C">
              <w:rPr>
                <w:szCs w:val="16"/>
              </w:rPr>
              <w:t>45.0%</w:t>
            </w:r>
          </w:p>
        </w:tc>
        <w:tc>
          <w:tcPr>
            <w:tcW w:w="1926" w:type="dxa"/>
          </w:tcPr>
          <w:p w14:paraId="33A0B5C7" w14:textId="77777777" w:rsidR="00046BD5" w:rsidRPr="00DE108C" w:rsidRDefault="00046BD5" w:rsidP="00ED094E">
            <w:pPr>
              <w:pStyle w:val="TableBody"/>
              <w:rPr>
                <w:szCs w:val="16"/>
              </w:rPr>
            </w:pPr>
            <w:r w:rsidRPr="00DE108C">
              <w:rPr>
                <w:szCs w:val="16"/>
              </w:rPr>
              <w:t>-</w:t>
            </w:r>
          </w:p>
        </w:tc>
        <w:tc>
          <w:tcPr>
            <w:tcW w:w="1926" w:type="dxa"/>
          </w:tcPr>
          <w:p w14:paraId="376A7021" w14:textId="77777777" w:rsidR="00046BD5" w:rsidRPr="00DE108C" w:rsidRDefault="00046BD5" w:rsidP="00ED094E">
            <w:pPr>
              <w:pStyle w:val="TableBody"/>
              <w:rPr>
                <w:szCs w:val="16"/>
              </w:rPr>
            </w:pPr>
            <w:r w:rsidRPr="00DE108C">
              <w:rPr>
                <w:szCs w:val="16"/>
              </w:rPr>
              <w:t>25.5%</w:t>
            </w:r>
          </w:p>
        </w:tc>
        <w:tc>
          <w:tcPr>
            <w:tcW w:w="1926" w:type="dxa"/>
          </w:tcPr>
          <w:p w14:paraId="095C7DDB" w14:textId="77777777" w:rsidR="00046BD5" w:rsidRPr="00DE108C" w:rsidRDefault="00046BD5" w:rsidP="00ED094E">
            <w:pPr>
              <w:pStyle w:val="TableBody"/>
              <w:rPr>
                <w:szCs w:val="16"/>
              </w:rPr>
            </w:pPr>
            <w:r w:rsidRPr="00DE108C">
              <w:rPr>
                <w:szCs w:val="16"/>
              </w:rPr>
              <w:t>22.7%</w:t>
            </w:r>
          </w:p>
        </w:tc>
      </w:tr>
      <w:tr w:rsidR="00556A0D" w:rsidRPr="00DE108C" w14:paraId="7166DE97" w14:textId="77777777">
        <w:trPr>
          <w:cnfStyle w:val="000000010000" w:firstRow="0" w:lastRow="0" w:firstColumn="0" w:lastColumn="0" w:oddVBand="0" w:evenVBand="0" w:oddHBand="0" w:evenHBand="1" w:firstRowFirstColumn="0" w:firstRowLastColumn="0" w:lastRowFirstColumn="0" w:lastRowLastColumn="0"/>
        </w:trPr>
        <w:tc>
          <w:tcPr>
            <w:tcW w:w="1925" w:type="dxa"/>
          </w:tcPr>
          <w:p w14:paraId="1F767561" w14:textId="77777777" w:rsidR="00046BD5" w:rsidRPr="00DE108C" w:rsidRDefault="00046BD5" w:rsidP="00ED094E">
            <w:pPr>
              <w:pStyle w:val="TableBody"/>
              <w:rPr>
                <w:szCs w:val="16"/>
              </w:rPr>
            </w:pPr>
            <w:r w:rsidRPr="00DE108C">
              <w:rPr>
                <w:szCs w:val="16"/>
              </w:rPr>
              <w:t>South East Water</w:t>
            </w:r>
          </w:p>
        </w:tc>
        <w:tc>
          <w:tcPr>
            <w:tcW w:w="1925" w:type="dxa"/>
          </w:tcPr>
          <w:p w14:paraId="1E81BC38" w14:textId="77777777" w:rsidR="00046BD5" w:rsidRPr="00DE108C" w:rsidRDefault="00046BD5" w:rsidP="00ED094E">
            <w:pPr>
              <w:pStyle w:val="TableBody"/>
              <w:rPr>
                <w:szCs w:val="16"/>
              </w:rPr>
            </w:pPr>
            <w:r w:rsidRPr="00DE108C">
              <w:rPr>
                <w:szCs w:val="16"/>
              </w:rPr>
              <w:t>13.7%</w:t>
            </w:r>
          </w:p>
        </w:tc>
        <w:tc>
          <w:tcPr>
            <w:tcW w:w="1926" w:type="dxa"/>
          </w:tcPr>
          <w:p w14:paraId="721E69BC" w14:textId="77777777" w:rsidR="00046BD5" w:rsidRPr="00DE108C" w:rsidRDefault="00046BD5" w:rsidP="00ED094E">
            <w:pPr>
              <w:pStyle w:val="TableBody"/>
              <w:rPr>
                <w:szCs w:val="16"/>
              </w:rPr>
            </w:pPr>
            <w:r w:rsidRPr="00DE108C">
              <w:rPr>
                <w:szCs w:val="16"/>
              </w:rPr>
              <w:t>67.0%</w:t>
            </w:r>
          </w:p>
        </w:tc>
        <w:tc>
          <w:tcPr>
            <w:tcW w:w="1926" w:type="dxa"/>
          </w:tcPr>
          <w:p w14:paraId="13CB56BF" w14:textId="77777777" w:rsidR="00046BD5" w:rsidRPr="00DE108C" w:rsidRDefault="00046BD5" w:rsidP="00ED094E">
            <w:pPr>
              <w:pStyle w:val="TableBody"/>
              <w:rPr>
                <w:szCs w:val="16"/>
              </w:rPr>
            </w:pPr>
            <w:r w:rsidRPr="00DE108C">
              <w:rPr>
                <w:szCs w:val="16"/>
              </w:rPr>
              <w:t>36.3%</w:t>
            </w:r>
          </w:p>
        </w:tc>
        <w:tc>
          <w:tcPr>
            <w:tcW w:w="1926" w:type="dxa"/>
          </w:tcPr>
          <w:p w14:paraId="7ACBA431" w14:textId="77777777" w:rsidR="00046BD5" w:rsidRPr="00DE108C" w:rsidRDefault="00046BD5" w:rsidP="00ED094E">
            <w:pPr>
              <w:pStyle w:val="TableBody"/>
              <w:rPr>
                <w:szCs w:val="16"/>
              </w:rPr>
            </w:pPr>
            <w:r w:rsidRPr="00DE108C">
              <w:rPr>
                <w:szCs w:val="16"/>
              </w:rPr>
              <w:t>40.0%</w:t>
            </w:r>
          </w:p>
        </w:tc>
      </w:tr>
      <w:tr w:rsidR="00046BD5" w:rsidRPr="00DE108C" w14:paraId="3E446011" w14:textId="77777777">
        <w:tc>
          <w:tcPr>
            <w:tcW w:w="1925" w:type="dxa"/>
          </w:tcPr>
          <w:p w14:paraId="12762B30" w14:textId="77777777" w:rsidR="00046BD5" w:rsidRPr="00DE108C" w:rsidRDefault="00046BD5" w:rsidP="00ED094E">
            <w:pPr>
              <w:pStyle w:val="TableBody"/>
              <w:rPr>
                <w:szCs w:val="16"/>
              </w:rPr>
            </w:pPr>
            <w:r w:rsidRPr="00DE108C">
              <w:rPr>
                <w:szCs w:val="16"/>
              </w:rPr>
              <w:t>Yarra Valley Water</w:t>
            </w:r>
          </w:p>
        </w:tc>
        <w:tc>
          <w:tcPr>
            <w:tcW w:w="1925" w:type="dxa"/>
          </w:tcPr>
          <w:p w14:paraId="5A638C4E" w14:textId="77777777" w:rsidR="00046BD5" w:rsidRPr="00DE108C" w:rsidRDefault="00046BD5" w:rsidP="00ED094E">
            <w:pPr>
              <w:pStyle w:val="TableBody"/>
              <w:rPr>
                <w:szCs w:val="16"/>
              </w:rPr>
            </w:pPr>
            <w:r w:rsidRPr="00DE108C">
              <w:rPr>
                <w:szCs w:val="16"/>
              </w:rPr>
              <w:t>41.3%</w:t>
            </w:r>
          </w:p>
        </w:tc>
        <w:tc>
          <w:tcPr>
            <w:tcW w:w="1926" w:type="dxa"/>
          </w:tcPr>
          <w:p w14:paraId="380A6B32" w14:textId="77777777" w:rsidR="00046BD5" w:rsidRPr="00DE108C" w:rsidRDefault="00046BD5" w:rsidP="00ED094E">
            <w:pPr>
              <w:pStyle w:val="TableBody"/>
              <w:rPr>
                <w:szCs w:val="16"/>
              </w:rPr>
            </w:pPr>
            <w:r w:rsidRPr="00DE108C">
              <w:rPr>
                <w:szCs w:val="16"/>
              </w:rPr>
              <w:t>33.0%</w:t>
            </w:r>
          </w:p>
        </w:tc>
        <w:tc>
          <w:tcPr>
            <w:tcW w:w="1926" w:type="dxa"/>
          </w:tcPr>
          <w:p w14:paraId="02BF355C" w14:textId="77777777" w:rsidR="00046BD5" w:rsidRPr="00DE108C" w:rsidRDefault="00046BD5" w:rsidP="00ED094E">
            <w:pPr>
              <w:pStyle w:val="TableBody"/>
              <w:rPr>
                <w:szCs w:val="16"/>
              </w:rPr>
            </w:pPr>
            <w:r w:rsidRPr="00DE108C">
              <w:rPr>
                <w:szCs w:val="16"/>
              </w:rPr>
              <w:t>38.1%</w:t>
            </w:r>
          </w:p>
        </w:tc>
        <w:tc>
          <w:tcPr>
            <w:tcW w:w="1926" w:type="dxa"/>
          </w:tcPr>
          <w:p w14:paraId="7C6EB5E0" w14:textId="77777777" w:rsidR="00046BD5" w:rsidRPr="00DE108C" w:rsidRDefault="00046BD5" w:rsidP="00ED094E">
            <w:pPr>
              <w:pStyle w:val="TableBody"/>
              <w:rPr>
                <w:szCs w:val="16"/>
              </w:rPr>
            </w:pPr>
            <w:r w:rsidRPr="00DE108C">
              <w:rPr>
                <w:szCs w:val="16"/>
              </w:rPr>
              <w:t>37.3%</w:t>
            </w:r>
          </w:p>
        </w:tc>
      </w:tr>
    </w:tbl>
    <w:p w14:paraId="37D193B2" w14:textId="77777777" w:rsidR="00046BD5" w:rsidRPr="00DE108C" w:rsidRDefault="00046BD5">
      <w:pPr>
        <w:pStyle w:val="Heading4"/>
      </w:pPr>
      <w:r w:rsidRPr="00DE108C">
        <w:t>11.2.4.4 Assessment of proposed structure against Guidance and WIRO</w:t>
      </w:r>
    </w:p>
    <w:p w14:paraId="7E1BD96B" w14:textId="77777777" w:rsidR="00046BD5" w:rsidRPr="00DE108C" w:rsidRDefault="00046BD5" w:rsidP="00ED094E">
      <w:r w:rsidRPr="00DE108C">
        <w:t>The proposed bulk sewerage tariff structure is consistent with each of the ESC’s tariff principles. Table 11.12 outlines how the proposed structure meets the pricing principles included in Clause 11 (d) of the WIRO.</w:t>
      </w:r>
    </w:p>
    <w:p w14:paraId="0D70E233" w14:textId="77777777" w:rsidR="00046BD5" w:rsidRPr="00DE108C" w:rsidRDefault="00046BD5" w:rsidP="00ED094E">
      <w:pPr>
        <w:pStyle w:val="Caption"/>
      </w:pPr>
      <w:bookmarkStart w:id="1146" w:name="_Toc207893115"/>
      <w:bookmarkStart w:id="1147" w:name="_Toc208490639"/>
      <w:bookmarkStart w:id="1148" w:name="_Toc208490977"/>
      <w:bookmarkStart w:id="1149" w:name="_Toc208911135"/>
      <w:bookmarkStart w:id="1150" w:name="_Toc210051441"/>
      <w:r w:rsidRPr="00DE108C">
        <w:t>Table 11.12: Bulk sewer tariff reforms - WIRO pricing principles assessment</w:t>
      </w:r>
      <w:bookmarkEnd w:id="1146"/>
      <w:bookmarkEnd w:id="1147"/>
      <w:bookmarkEnd w:id="1148"/>
      <w:bookmarkEnd w:id="1149"/>
      <w:bookmarkEnd w:id="1150"/>
    </w:p>
    <w:tbl>
      <w:tblPr>
        <w:tblStyle w:val="TableGrid"/>
        <w:tblW w:w="0" w:type="auto"/>
        <w:tblLook w:val="04A0" w:firstRow="1" w:lastRow="0" w:firstColumn="1" w:lastColumn="0" w:noHBand="0" w:noVBand="1"/>
      </w:tblPr>
      <w:tblGrid>
        <w:gridCol w:w="3823"/>
        <w:gridCol w:w="5805"/>
      </w:tblGrid>
      <w:tr w:rsidR="00DA7A8D" w:rsidRPr="00DE108C" w14:paraId="467B78E8" w14:textId="77777777" w:rsidTr="000F52E3">
        <w:trPr>
          <w:cnfStyle w:val="100000000000" w:firstRow="1" w:lastRow="0" w:firstColumn="0" w:lastColumn="0" w:oddVBand="0" w:evenVBand="0" w:oddHBand="0" w:evenHBand="0" w:firstRowFirstColumn="0" w:firstRowLastColumn="0" w:lastRowFirstColumn="0" w:lastRowLastColumn="0"/>
          <w:trHeight w:val="327"/>
          <w:tblHeader/>
        </w:trPr>
        <w:tc>
          <w:tcPr>
            <w:tcW w:w="3823" w:type="dxa"/>
          </w:tcPr>
          <w:p w14:paraId="3EA2699D" w14:textId="77777777" w:rsidR="00046BD5" w:rsidRPr="000F52E3" w:rsidRDefault="00046BD5" w:rsidP="000F52E3">
            <w:pPr>
              <w:pStyle w:val="TableHeading"/>
              <w:rPr>
                <w:szCs w:val="22"/>
              </w:rPr>
            </w:pPr>
            <w:r w:rsidRPr="000F52E3">
              <w:rPr>
                <w:szCs w:val="22"/>
              </w:rPr>
              <w:t>WIRO pricing principles</w:t>
            </w:r>
          </w:p>
        </w:tc>
        <w:tc>
          <w:tcPr>
            <w:tcW w:w="5805" w:type="dxa"/>
          </w:tcPr>
          <w:p w14:paraId="77BA7084" w14:textId="77777777" w:rsidR="00046BD5" w:rsidRPr="000F52E3" w:rsidRDefault="00046BD5" w:rsidP="000F52E3">
            <w:pPr>
              <w:pStyle w:val="TableHeading"/>
              <w:rPr>
                <w:szCs w:val="22"/>
              </w:rPr>
            </w:pPr>
            <w:r w:rsidRPr="000F52E3">
              <w:rPr>
                <w:szCs w:val="22"/>
              </w:rPr>
              <w:t>How tariff structure meets WIRO pricing principles</w:t>
            </w:r>
          </w:p>
        </w:tc>
      </w:tr>
      <w:tr w:rsidR="00046BD5" w:rsidRPr="00DE108C" w14:paraId="24AF604D" w14:textId="77777777" w:rsidTr="000F52E3">
        <w:tc>
          <w:tcPr>
            <w:tcW w:w="3823" w:type="dxa"/>
          </w:tcPr>
          <w:p w14:paraId="09DA26FD" w14:textId="0261BBAE" w:rsidR="00046BD5" w:rsidRPr="00DE108C" w:rsidRDefault="00046BD5" w:rsidP="00ED094E">
            <w:pPr>
              <w:rPr>
                <w:sz w:val="16"/>
                <w:szCs w:val="16"/>
              </w:rPr>
            </w:pPr>
            <w:r w:rsidRPr="00DE108C">
              <w:rPr>
                <w:sz w:val="16"/>
                <w:szCs w:val="16"/>
              </w:rPr>
              <w:t>11(d) (i) enable customers or potential customers of the regulated entity to easily understand the prices charged by the regulated entity for prescribed services or the manner in which such prices are calculated, determined or otherwise regulated</w:t>
            </w:r>
            <w:r w:rsidR="5DC1E187" w:rsidRPr="4B0B25C3">
              <w:rPr>
                <w:sz w:val="16"/>
                <w:szCs w:val="16"/>
              </w:rPr>
              <w:t>.</w:t>
            </w:r>
            <w:r w:rsidRPr="00DE108C">
              <w:rPr>
                <w:sz w:val="16"/>
                <w:szCs w:val="16"/>
              </w:rPr>
              <w:t xml:space="preserve"> </w:t>
            </w:r>
          </w:p>
        </w:tc>
        <w:tc>
          <w:tcPr>
            <w:tcW w:w="5805" w:type="dxa"/>
          </w:tcPr>
          <w:p w14:paraId="11166F10" w14:textId="75A97715" w:rsidR="00046BD5" w:rsidRPr="00DE108C" w:rsidRDefault="00046BD5" w:rsidP="00ED094E">
            <w:pPr>
              <w:rPr>
                <w:sz w:val="16"/>
                <w:szCs w:val="16"/>
              </w:rPr>
            </w:pPr>
            <w:r w:rsidRPr="00DE108C">
              <w:rPr>
                <w:sz w:val="16"/>
                <w:szCs w:val="16"/>
              </w:rPr>
              <w:t>We have co-designed new tariff structures with our customers and explored a long list of options proposed by customers as part of that process. Changes result in simpler tariffs and are supported by all retail water corporations we provide a sewer service.</w:t>
            </w:r>
          </w:p>
        </w:tc>
      </w:tr>
      <w:tr w:rsidR="00A5757A" w:rsidRPr="00DE108C" w14:paraId="438008AE" w14:textId="77777777" w:rsidTr="000F52E3">
        <w:trPr>
          <w:cnfStyle w:val="000000010000" w:firstRow="0" w:lastRow="0" w:firstColumn="0" w:lastColumn="0" w:oddVBand="0" w:evenVBand="0" w:oddHBand="0" w:evenHBand="1" w:firstRowFirstColumn="0" w:firstRowLastColumn="0" w:lastRowFirstColumn="0" w:lastRowLastColumn="0"/>
        </w:trPr>
        <w:tc>
          <w:tcPr>
            <w:tcW w:w="3823" w:type="dxa"/>
          </w:tcPr>
          <w:p w14:paraId="770E393E" w14:textId="74889DAA" w:rsidR="00046BD5" w:rsidRPr="00DE108C" w:rsidRDefault="00046BD5" w:rsidP="00ED094E">
            <w:pPr>
              <w:rPr>
                <w:sz w:val="16"/>
                <w:szCs w:val="16"/>
              </w:rPr>
            </w:pPr>
            <w:r w:rsidRPr="00DE108C">
              <w:rPr>
                <w:sz w:val="16"/>
                <w:szCs w:val="16"/>
              </w:rPr>
              <w:t>11(d) (ii) provide signals about the efficient costs of providing prescribed services to customers (either collectively or to an individual customer or class of customers) while avoiding price shocks where possible</w:t>
            </w:r>
            <w:r w:rsidR="2B2F1644" w:rsidRPr="4B0B25C3">
              <w:rPr>
                <w:sz w:val="16"/>
                <w:szCs w:val="16"/>
              </w:rPr>
              <w:t>.</w:t>
            </w:r>
            <w:r w:rsidRPr="00DE108C">
              <w:rPr>
                <w:sz w:val="16"/>
                <w:szCs w:val="16"/>
              </w:rPr>
              <w:t xml:space="preserve"> </w:t>
            </w:r>
          </w:p>
        </w:tc>
        <w:tc>
          <w:tcPr>
            <w:tcW w:w="5805" w:type="dxa"/>
          </w:tcPr>
          <w:p w14:paraId="77B70677" w14:textId="5E51BC29" w:rsidR="00046BD5" w:rsidRPr="00DE108C" w:rsidRDefault="00046BD5" w:rsidP="00ED094E">
            <w:pPr>
              <w:rPr>
                <w:sz w:val="16"/>
                <w:szCs w:val="16"/>
              </w:rPr>
            </w:pPr>
            <w:r w:rsidRPr="00DE108C">
              <w:rPr>
                <w:sz w:val="16"/>
                <w:szCs w:val="16"/>
              </w:rPr>
              <w:t>Moving to a common transfer charge aligns fixed charges to actual utilisation rather than forecasts and strengthens price signals, removing disincentives for inaccurate demand forecasting. Smoothing changes to fixed charges over multiple years helps avoid bill shock for end</w:t>
            </w:r>
            <w:r w:rsidR="3E390EB1" w:rsidRPr="00DE108C">
              <w:rPr>
                <w:sz w:val="16"/>
                <w:szCs w:val="16"/>
              </w:rPr>
              <w:t>-</w:t>
            </w:r>
            <w:r w:rsidRPr="00DE108C">
              <w:rPr>
                <w:sz w:val="16"/>
                <w:szCs w:val="16"/>
              </w:rPr>
              <w:t>use customers. Moving to pooled sewerage treatment pricing was considered to further reduce bill impacts to customers but was ultimately not supported by the majority of water corporations.</w:t>
            </w:r>
          </w:p>
        </w:tc>
      </w:tr>
      <w:tr w:rsidR="00046BD5" w:rsidRPr="00DE108C" w14:paraId="07FD5CDB" w14:textId="77777777" w:rsidTr="000F52E3">
        <w:tc>
          <w:tcPr>
            <w:tcW w:w="3823" w:type="dxa"/>
          </w:tcPr>
          <w:p w14:paraId="21D9C205" w14:textId="0C4DFE5E" w:rsidR="00046BD5" w:rsidRPr="00DE108C" w:rsidRDefault="00046BD5" w:rsidP="00ED094E">
            <w:pPr>
              <w:rPr>
                <w:sz w:val="16"/>
                <w:szCs w:val="16"/>
              </w:rPr>
            </w:pPr>
            <w:r w:rsidRPr="00DE108C">
              <w:rPr>
                <w:sz w:val="16"/>
                <w:szCs w:val="16"/>
              </w:rPr>
              <w:lastRenderedPageBreak/>
              <w:t>11(d) (iii) take into account the interests of customers of the regulated entity, including low income and vulnerable customers</w:t>
            </w:r>
            <w:r w:rsidR="301E902D" w:rsidRPr="4B0B25C3">
              <w:rPr>
                <w:sz w:val="16"/>
                <w:szCs w:val="16"/>
              </w:rPr>
              <w:t>.</w:t>
            </w:r>
            <w:r w:rsidRPr="00DE108C">
              <w:rPr>
                <w:sz w:val="16"/>
                <w:szCs w:val="16"/>
              </w:rPr>
              <w:t xml:space="preserve"> </w:t>
            </w:r>
          </w:p>
        </w:tc>
        <w:tc>
          <w:tcPr>
            <w:tcW w:w="5805" w:type="dxa"/>
          </w:tcPr>
          <w:p w14:paraId="39F5063E" w14:textId="7DAD1CBF" w:rsidR="00046BD5" w:rsidRPr="00DE108C" w:rsidRDefault="00046BD5" w:rsidP="00ED094E">
            <w:pPr>
              <w:rPr>
                <w:sz w:val="16"/>
                <w:szCs w:val="16"/>
              </w:rPr>
            </w:pPr>
            <w:r w:rsidRPr="00DE108C">
              <w:rPr>
                <w:sz w:val="16"/>
                <w:szCs w:val="16"/>
              </w:rPr>
              <w:t>As above, the new tariff structures were developed in collaboration with customers</w:t>
            </w:r>
            <w:r w:rsidR="7B289F57" w:rsidRPr="0AC7ED85">
              <w:rPr>
                <w:sz w:val="16"/>
                <w:szCs w:val="16"/>
              </w:rPr>
              <w:t>,</w:t>
            </w:r>
            <w:r w:rsidRPr="00DE108C">
              <w:rPr>
                <w:sz w:val="16"/>
                <w:szCs w:val="16"/>
              </w:rPr>
              <w:t xml:space="preserve"> taking their interests into account. Extensive modelling has informed the final proposals</w:t>
            </w:r>
            <w:r w:rsidR="664D189B" w:rsidRPr="0AC7ED85">
              <w:rPr>
                <w:sz w:val="16"/>
                <w:szCs w:val="16"/>
              </w:rPr>
              <w:t>,</w:t>
            </w:r>
            <w:r w:rsidRPr="00DE108C">
              <w:rPr>
                <w:sz w:val="16"/>
                <w:szCs w:val="16"/>
              </w:rPr>
              <w:t xml:space="preserve"> which result in smoothed bill impacts and no annual bill impact exceeding 1.5 per cent above inflation as a result of Melbourne Water’s costs.</w:t>
            </w:r>
          </w:p>
        </w:tc>
      </w:tr>
    </w:tbl>
    <w:p w14:paraId="723D4AF9" w14:textId="77777777" w:rsidR="009C57CB" w:rsidRPr="00DE108C" w:rsidRDefault="009C57CB" w:rsidP="00ED094E">
      <w:pPr>
        <w:sectPr w:rsidR="009C57CB" w:rsidRPr="00DE108C" w:rsidSect="00B03007">
          <w:pgSz w:w="11906" w:h="16838" w:code="9"/>
          <w:pgMar w:top="1134" w:right="1134" w:bottom="1134" w:left="1134" w:header="567" w:footer="680" w:gutter="0"/>
          <w:cols w:space="708"/>
          <w:docGrid w:linePitch="360"/>
        </w:sectPr>
      </w:pPr>
    </w:p>
    <w:p w14:paraId="1EEB87EF" w14:textId="4EFD32A0" w:rsidR="00731AA9" w:rsidRPr="00DE108C" w:rsidRDefault="00731AA9" w:rsidP="00731AA9">
      <w:pPr>
        <w:pStyle w:val="Heading4"/>
      </w:pPr>
      <w:r w:rsidRPr="00DE108C">
        <w:lastRenderedPageBreak/>
        <w:t>11.2.4.5 Proposed price schedule</w:t>
      </w:r>
    </w:p>
    <w:p w14:paraId="4CCA8EB3" w14:textId="5302A4A1" w:rsidR="00731AA9" w:rsidRPr="00DE108C" w:rsidRDefault="00731AA9" w:rsidP="00731AA9">
      <w:r w:rsidRPr="00DE108C">
        <w:t xml:space="preserve">The proposed price schedule for bulk sewerage tariffs are presented in Table 11.13. </w:t>
      </w:r>
    </w:p>
    <w:p w14:paraId="346DC996" w14:textId="77777777" w:rsidR="00046BD5" w:rsidRPr="00DE108C" w:rsidRDefault="00046BD5" w:rsidP="00ED094E">
      <w:pPr>
        <w:pStyle w:val="Caption"/>
      </w:pPr>
      <w:bookmarkStart w:id="1151" w:name="_Toc196745302"/>
      <w:bookmarkStart w:id="1152" w:name="_Toc207893116"/>
      <w:bookmarkStart w:id="1153" w:name="_Toc208490640"/>
      <w:bookmarkStart w:id="1154" w:name="_Toc208490978"/>
      <w:bookmarkStart w:id="1155" w:name="_Toc208911136"/>
      <w:bookmarkStart w:id="1156" w:name="_Toc210051442"/>
      <w:r w:rsidRPr="00DE108C">
        <w:t>Table 11.13: Proposed price schedule</w:t>
      </w:r>
      <w:bookmarkEnd w:id="1151"/>
      <w:r w:rsidRPr="00DE108C">
        <w:t xml:space="preserve"> – Bulk Sewerage ($real 2025-26)</w:t>
      </w:r>
      <w:bookmarkEnd w:id="1152"/>
      <w:bookmarkEnd w:id="1153"/>
      <w:bookmarkEnd w:id="1154"/>
      <w:bookmarkEnd w:id="1155"/>
      <w:bookmarkEnd w:id="1156"/>
    </w:p>
    <w:tbl>
      <w:tblPr>
        <w:tblStyle w:val="MWTableGrid"/>
        <w:tblW w:w="5000" w:type="pct"/>
        <w:tblLayout w:type="fixed"/>
        <w:tblLook w:val="0420" w:firstRow="1" w:lastRow="0" w:firstColumn="0" w:lastColumn="0" w:noHBand="0" w:noVBand="1"/>
      </w:tblPr>
      <w:tblGrid>
        <w:gridCol w:w="2259"/>
        <w:gridCol w:w="1295"/>
        <w:gridCol w:w="1834"/>
        <w:gridCol w:w="1835"/>
        <w:gridCol w:w="1835"/>
        <w:gridCol w:w="1835"/>
        <w:gridCol w:w="1835"/>
        <w:gridCol w:w="1832"/>
      </w:tblGrid>
      <w:tr w:rsidR="00055179" w:rsidRPr="00DE108C" w14:paraId="284A5432" w14:textId="77777777" w:rsidTr="009C57CB">
        <w:trPr>
          <w:cnfStyle w:val="100000000000" w:firstRow="1" w:lastRow="0" w:firstColumn="0" w:lastColumn="0" w:oddVBand="0" w:evenVBand="0" w:oddHBand="0" w:evenHBand="0" w:firstRowFirstColumn="0" w:firstRowLastColumn="0" w:lastRowFirstColumn="0" w:lastRowLastColumn="0"/>
          <w:cantSplit/>
        </w:trPr>
        <w:tc>
          <w:tcPr>
            <w:tcW w:w="776" w:type="pct"/>
            <w:vAlign w:val="center"/>
          </w:tcPr>
          <w:p w14:paraId="72DB5BCD" w14:textId="77777777" w:rsidR="00046BD5" w:rsidRPr="00DE108C" w:rsidRDefault="00046BD5" w:rsidP="00ED094E">
            <w:pPr>
              <w:pStyle w:val="TableHeading"/>
              <w:rPr>
                <w:lang w:eastAsia="fr-CA"/>
              </w:rPr>
            </w:pPr>
            <w:r w:rsidRPr="00DE108C">
              <w:rPr>
                <w:b w:val="0"/>
                <w:szCs w:val="16"/>
              </w:rPr>
              <w:t> </w:t>
            </w:r>
          </w:p>
        </w:tc>
        <w:tc>
          <w:tcPr>
            <w:tcW w:w="445" w:type="pct"/>
          </w:tcPr>
          <w:p w14:paraId="645DBF48" w14:textId="77777777" w:rsidR="00046BD5" w:rsidRPr="00DE108C" w:rsidRDefault="00046BD5" w:rsidP="00ED094E">
            <w:pPr>
              <w:pStyle w:val="TableHeading"/>
              <w:rPr>
                <w:b w:val="0"/>
                <w:color w:val="FFFFFF" w:themeColor="background1"/>
                <w:szCs w:val="16"/>
              </w:rPr>
            </w:pPr>
            <w:r w:rsidRPr="00DE108C">
              <w:rPr>
                <w:b w:val="0"/>
                <w:color w:val="FFFFFF" w:themeColor="background1"/>
                <w:szCs w:val="16"/>
              </w:rPr>
              <w:t>Units</w:t>
            </w:r>
          </w:p>
        </w:tc>
        <w:tc>
          <w:tcPr>
            <w:tcW w:w="630" w:type="pct"/>
          </w:tcPr>
          <w:p w14:paraId="34FBAC4B" w14:textId="7D5A9E76" w:rsidR="009C57CB" w:rsidRPr="00DE108C" w:rsidRDefault="009C57CB" w:rsidP="00ED094E">
            <w:pPr>
              <w:pStyle w:val="TableHeading"/>
              <w:rPr>
                <w:b w:val="0"/>
                <w:color w:val="FFFFFF" w:themeColor="background1"/>
                <w:szCs w:val="16"/>
              </w:rPr>
            </w:pPr>
            <w:r w:rsidRPr="00DE108C">
              <w:rPr>
                <w:b w:val="0"/>
                <w:color w:val="FFFFFF" w:themeColor="background1"/>
                <w:szCs w:val="16"/>
              </w:rPr>
              <w:t>2025-26</w:t>
            </w:r>
          </w:p>
        </w:tc>
        <w:tc>
          <w:tcPr>
            <w:tcW w:w="630" w:type="pct"/>
            <w:vAlign w:val="center"/>
          </w:tcPr>
          <w:p w14:paraId="7B801813" w14:textId="77777777" w:rsidR="00046BD5" w:rsidRPr="00DE108C" w:rsidRDefault="00046BD5" w:rsidP="00ED094E">
            <w:pPr>
              <w:pStyle w:val="TableHeading"/>
              <w:rPr>
                <w:lang w:eastAsia="fr-CA"/>
              </w:rPr>
            </w:pPr>
            <w:r w:rsidRPr="00DE108C">
              <w:rPr>
                <w:b w:val="0"/>
                <w:color w:val="FFFFFF" w:themeColor="background1"/>
                <w:szCs w:val="16"/>
              </w:rPr>
              <w:t>2026-27 </w:t>
            </w:r>
          </w:p>
        </w:tc>
        <w:tc>
          <w:tcPr>
            <w:tcW w:w="630" w:type="pct"/>
            <w:vAlign w:val="center"/>
          </w:tcPr>
          <w:p w14:paraId="7C2898D2" w14:textId="77777777" w:rsidR="00046BD5" w:rsidRPr="00DE108C" w:rsidRDefault="00046BD5" w:rsidP="00ED094E">
            <w:pPr>
              <w:pStyle w:val="TableHeading"/>
              <w:rPr>
                <w:lang w:eastAsia="fr-CA"/>
              </w:rPr>
            </w:pPr>
            <w:r w:rsidRPr="00DE108C">
              <w:rPr>
                <w:b w:val="0"/>
                <w:color w:val="FFFFFF" w:themeColor="background1"/>
                <w:szCs w:val="16"/>
              </w:rPr>
              <w:t>2027-28 </w:t>
            </w:r>
          </w:p>
        </w:tc>
        <w:tc>
          <w:tcPr>
            <w:tcW w:w="630" w:type="pct"/>
            <w:vAlign w:val="center"/>
          </w:tcPr>
          <w:p w14:paraId="3C7B9D4F" w14:textId="77777777" w:rsidR="00046BD5" w:rsidRPr="00DE108C" w:rsidRDefault="00046BD5" w:rsidP="00ED094E">
            <w:pPr>
              <w:pStyle w:val="TableHeading"/>
              <w:rPr>
                <w:lang w:eastAsia="fr-CA"/>
              </w:rPr>
            </w:pPr>
            <w:r w:rsidRPr="00DE108C">
              <w:rPr>
                <w:b w:val="0"/>
                <w:color w:val="FFFFFF" w:themeColor="background1"/>
                <w:szCs w:val="16"/>
              </w:rPr>
              <w:t>2028-29 </w:t>
            </w:r>
          </w:p>
        </w:tc>
        <w:tc>
          <w:tcPr>
            <w:tcW w:w="630" w:type="pct"/>
            <w:vAlign w:val="center"/>
          </w:tcPr>
          <w:p w14:paraId="6D4EC4A0" w14:textId="77777777" w:rsidR="00046BD5" w:rsidRPr="00DE108C" w:rsidRDefault="00046BD5" w:rsidP="00ED094E">
            <w:pPr>
              <w:pStyle w:val="TableHeading"/>
              <w:rPr>
                <w:lang w:eastAsia="fr-CA"/>
              </w:rPr>
            </w:pPr>
            <w:r w:rsidRPr="00DE108C">
              <w:rPr>
                <w:b w:val="0"/>
                <w:color w:val="FFFFFF" w:themeColor="background1"/>
                <w:szCs w:val="16"/>
              </w:rPr>
              <w:t>2029-30 </w:t>
            </w:r>
          </w:p>
        </w:tc>
        <w:tc>
          <w:tcPr>
            <w:tcW w:w="629" w:type="pct"/>
            <w:vAlign w:val="center"/>
          </w:tcPr>
          <w:p w14:paraId="01DA21AB" w14:textId="77777777" w:rsidR="00046BD5" w:rsidRPr="00DE108C" w:rsidRDefault="00046BD5" w:rsidP="00ED094E">
            <w:pPr>
              <w:pStyle w:val="TableHeading"/>
              <w:rPr>
                <w:lang w:eastAsia="fr-CA"/>
              </w:rPr>
            </w:pPr>
            <w:r w:rsidRPr="00DE108C">
              <w:rPr>
                <w:b w:val="0"/>
                <w:color w:val="FFFFFF" w:themeColor="background1"/>
                <w:szCs w:val="16"/>
              </w:rPr>
              <w:t>2030-31 </w:t>
            </w:r>
          </w:p>
        </w:tc>
      </w:tr>
      <w:tr w:rsidR="00046BD5" w:rsidRPr="00DE108C" w14:paraId="3047125D" w14:textId="77777777" w:rsidTr="009C57CB">
        <w:trPr>
          <w:cantSplit/>
        </w:trPr>
        <w:tc>
          <w:tcPr>
            <w:tcW w:w="776" w:type="pct"/>
            <w:vAlign w:val="center"/>
          </w:tcPr>
          <w:p w14:paraId="468CC90C" w14:textId="77777777" w:rsidR="00046BD5" w:rsidRPr="00DE108C" w:rsidRDefault="00046BD5" w:rsidP="00ED094E">
            <w:pPr>
              <w:pStyle w:val="TableText"/>
              <w:rPr>
                <w:lang w:eastAsia="fr-CA"/>
              </w:rPr>
            </w:pPr>
            <w:r w:rsidRPr="00DE108C">
              <w:rPr>
                <w:szCs w:val="16"/>
              </w:rPr>
              <w:t xml:space="preserve">Western transfer </w:t>
            </w:r>
          </w:p>
        </w:tc>
        <w:tc>
          <w:tcPr>
            <w:tcW w:w="445" w:type="pct"/>
            <w:vAlign w:val="center"/>
          </w:tcPr>
          <w:p w14:paraId="2209BBC2"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$/ML</w:t>
            </w:r>
          </w:p>
        </w:tc>
        <w:tc>
          <w:tcPr>
            <w:tcW w:w="630" w:type="pct"/>
          </w:tcPr>
          <w:p w14:paraId="587D454C" w14:textId="60D2581D" w:rsidR="00BE493A" w:rsidRPr="00DE108C" w:rsidRDefault="00BE493A" w:rsidP="00E1797F">
            <w:pPr>
              <w:pStyle w:val="TableText"/>
              <w:jc w:val="right"/>
              <w:rPr>
                <w:rFonts w:asciiTheme="majorHAnsi" w:hAnsiTheme="majorHAnsi" w:cs="Tahoma"/>
                <w:szCs w:val="16"/>
              </w:rPr>
            </w:pPr>
            <w:r w:rsidRPr="00DE108C">
              <w:rPr>
                <w:rFonts w:asciiTheme="majorHAnsi" w:hAnsiTheme="majorHAnsi" w:cs="Tahoma"/>
                <w:szCs w:val="16"/>
              </w:rPr>
              <w:t>48.3280</w:t>
            </w:r>
          </w:p>
        </w:tc>
        <w:tc>
          <w:tcPr>
            <w:tcW w:w="630" w:type="pct"/>
            <w:vAlign w:val="center"/>
          </w:tcPr>
          <w:p w14:paraId="6A74D89E" w14:textId="702D5577" w:rsidR="00046BD5" w:rsidRPr="00DE108C" w:rsidRDefault="00046BD5" w:rsidP="00E1797F">
            <w:pPr>
              <w:pStyle w:val="TableText"/>
              <w:jc w:val="right"/>
              <w:rPr>
                <w:lang w:eastAsia="fr-CA"/>
              </w:rPr>
            </w:pPr>
            <w:r w:rsidRPr="00DE108C">
              <w:rPr>
                <w:rFonts w:asciiTheme="majorHAnsi" w:hAnsiTheme="majorHAnsi" w:cs="Tahoma"/>
                <w:szCs w:val="16"/>
              </w:rPr>
              <w:t xml:space="preserve"> 50.8001 </w:t>
            </w:r>
          </w:p>
        </w:tc>
        <w:tc>
          <w:tcPr>
            <w:tcW w:w="630" w:type="pct"/>
            <w:vAlign w:val="center"/>
          </w:tcPr>
          <w:p w14:paraId="1FA708C1" w14:textId="7E89DA9A" w:rsidR="00046BD5" w:rsidRPr="00DE108C" w:rsidRDefault="00046BD5" w:rsidP="00E1797F">
            <w:pPr>
              <w:pStyle w:val="TableText"/>
              <w:jc w:val="right"/>
              <w:rPr>
                <w:lang w:eastAsia="fr-CA"/>
              </w:rPr>
            </w:pPr>
            <w:r w:rsidRPr="00DE108C">
              <w:rPr>
                <w:rFonts w:asciiTheme="majorHAnsi" w:hAnsiTheme="majorHAnsi" w:cs="Tahoma"/>
                <w:szCs w:val="16"/>
              </w:rPr>
              <w:t xml:space="preserve"> 50.8001 </w:t>
            </w:r>
          </w:p>
        </w:tc>
        <w:tc>
          <w:tcPr>
            <w:tcW w:w="630" w:type="pct"/>
            <w:vAlign w:val="center"/>
          </w:tcPr>
          <w:p w14:paraId="6607A868" w14:textId="19D24047" w:rsidR="00046BD5" w:rsidRPr="00DE108C" w:rsidRDefault="00046BD5" w:rsidP="00E1797F">
            <w:pPr>
              <w:pStyle w:val="TableText"/>
              <w:jc w:val="right"/>
              <w:rPr>
                <w:lang w:eastAsia="fr-CA"/>
              </w:rPr>
            </w:pPr>
            <w:r w:rsidRPr="00DE108C">
              <w:rPr>
                <w:rFonts w:asciiTheme="majorHAnsi" w:hAnsiTheme="majorHAnsi" w:cs="Tahoma"/>
                <w:szCs w:val="16"/>
              </w:rPr>
              <w:t xml:space="preserve"> 50.8001 </w:t>
            </w:r>
          </w:p>
        </w:tc>
        <w:tc>
          <w:tcPr>
            <w:tcW w:w="630" w:type="pct"/>
            <w:vAlign w:val="center"/>
          </w:tcPr>
          <w:p w14:paraId="4ED484E2" w14:textId="2CD7F550" w:rsidR="00046BD5" w:rsidRPr="00DE108C" w:rsidRDefault="00046BD5" w:rsidP="00E1797F">
            <w:pPr>
              <w:pStyle w:val="TableText"/>
              <w:jc w:val="right"/>
              <w:rPr>
                <w:lang w:eastAsia="fr-CA"/>
              </w:rPr>
            </w:pPr>
            <w:r w:rsidRPr="00DE108C">
              <w:rPr>
                <w:rFonts w:asciiTheme="majorHAnsi" w:hAnsiTheme="majorHAnsi" w:cs="Tahoma"/>
                <w:szCs w:val="16"/>
              </w:rPr>
              <w:t xml:space="preserve"> 50.8001 </w:t>
            </w:r>
          </w:p>
        </w:tc>
        <w:tc>
          <w:tcPr>
            <w:tcW w:w="629" w:type="pct"/>
            <w:vAlign w:val="center"/>
          </w:tcPr>
          <w:p w14:paraId="49FAA98B" w14:textId="101990BF" w:rsidR="00046BD5" w:rsidRPr="00DE108C" w:rsidRDefault="00046BD5" w:rsidP="00E1797F">
            <w:pPr>
              <w:pStyle w:val="TableText"/>
              <w:jc w:val="right"/>
              <w:rPr>
                <w:lang w:eastAsia="fr-CA"/>
              </w:rPr>
            </w:pPr>
            <w:r w:rsidRPr="00DE108C">
              <w:rPr>
                <w:rFonts w:asciiTheme="majorHAnsi" w:hAnsiTheme="majorHAnsi" w:cs="Tahoma"/>
                <w:szCs w:val="16"/>
              </w:rPr>
              <w:t xml:space="preserve"> 50.8001 </w:t>
            </w:r>
          </w:p>
        </w:tc>
      </w:tr>
      <w:tr w:rsidR="00055179" w:rsidRPr="00DE108C" w14:paraId="17833C08" w14:textId="77777777" w:rsidTr="009C57CB">
        <w:trPr>
          <w:cnfStyle w:val="000000010000" w:firstRow="0" w:lastRow="0" w:firstColumn="0" w:lastColumn="0" w:oddVBand="0" w:evenVBand="0" w:oddHBand="0" w:evenHBand="1" w:firstRowFirstColumn="0" w:firstRowLastColumn="0" w:lastRowFirstColumn="0" w:lastRowLastColumn="0"/>
          <w:cantSplit/>
        </w:trPr>
        <w:tc>
          <w:tcPr>
            <w:tcW w:w="776" w:type="pct"/>
            <w:vAlign w:val="center"/>
          </w:tcPr>
          <w:p w14:paraId="31983D99" w14:textId="77777777" w:rsidR="00046BD5" w:rsidRPr="00DE108C" w:rsidRDefault="00046BD5" w:rsidP="00ED094E">
            <w:pPr>
              <w:pStyle w:val="TableText"/>
              <w:rPr>
                <w:lang w:eastAsia="fr-CA"/>
              </w:rPr>
            </w:pPr>
            <w:r w:rsidRPr="00DE108C">
              <w:rPr>
                <w:szCs w:val="16"/>
              </w:rPr>
              <w:t xml:space="preserve">Western treatment </w:t>
            </w:r>
          </w:p>
        </w:tc>
        <w:tc>
          <w:tcPr>
            <w:tcW w:w="445" w:type="pct"/>
            <w:vAlign w:val="center"/>
          </w:tcPr>
          <w:p w14:paraId="387FD8D2"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$/ML</w:t>
            </w:r>
          </w:p>
        </w:tc>
        <w:tc>
          <w:tcPr>
            <w:tcW w:w="630" w:type="pct"/>
          </w:tcPr>
          <w:p w14:paraId="57370796" w14:textId="52A1B22D" w:rsidR="00BE493A" w:rsidRPr="00DE108C" w:rsidRDefault="00BE493A" w:rsidP="00E1797F">
            <w:pPr>
              <w:pStyle w:val="TableText"/>
              <w:jc w:val="right"/>
              <w:rPr>
                <w:rFonts w:asciiTheme="majorHAnsi" w:hAnsiTheme="majorHAnsi" w:cs="Tahoma"/>
                <w:szCs w:val="16"/>
              </w:rPr>
            </w:pPr>
            <w:r w:rsidRPr="00DE108C">
              <w:rPr>
                <w:rFonts w:asciiTheme="majorHAnsi" w:hAnsiTheme="majorHAnsi" w:cs="Tahoma"/>
                <w:szCs w:val="16"/>
              </w:rPr>
              <w:t>72.2804</w:t>
            </w:r>
          </w:p>
        </w:tc>
        <w:tc>
          <w:tcPr>
            <w:tcW w:w="630" w:type="pct"/>
            <w:vAlign w:val="center"/>
          </w:tcPr>
          <w:p w14:paraId="1BADB9A5" w14:textId="0CE75F2B" w:rsidR="00046BD5" w:rsidRPr="00DE108C" w:rsidRDefault="00046BD5" w:rsidP="00E1797F">
            <w:pPr>
              <w:pStyle w:val="TableText"/>
              <w:jc w:val="right"/>
              <w:rPr>
                <w:lang w:eastAsia="fr-CA"/>
              </w:rPr>
            </w:pPr>
            <w:r w:rsidRPr="00DE108C">
              <w:rPr>
                <w:rFonts w:asciiTheme="majorHAnsi" w:hAnsiTheme="majorHAnsi" w:cs="Tahoma"/>
                <w:szCs w:val="16"/>
              </w:rPr>
              <w:t xml:space="preserve"> 72.2800 </w:t>
            </w:r>
          </w:p>
        </w:tc>
        <w:tc>
          <w:tcPr>
            <w:tcW w:w="630" w:type="pct"/>
            <w:vAlign w:val="center"/>
          </w:tcPr>
          <w:p w14:paraId="72B7C21C" w14:textId="1FCAB0AA" w:rsidR="00046BD5" w:rsidRPr="00DE108C" w:rsidRDefault="00046BD5" w:rsidP="00E1797F">
            <w:pPr>
              <w:pStyle w:val="TableText"/>
              <w:jc w:val="right"/>
              <w:rPr>
                <w:lang w:eastAsia="fr-CA"/>
              </w:rPr>
            </w:pPr>
            <w:r w:rsidRPr="00DE108C">
              <w:rPr>
                <w:rFonts w:asciiTheme="majorHAnsi" w:hAnsiTheme="majorHAnsi" w:cs="Tahoma"/>
                <w:szCs w:val="16"/>
              </w:rPr>
              <w:t xml:space="preserve"> 72.2800 </w:t>
            </w:r>
          </w:p>
        </w:tc>
        <w:tc>
          <w:tcPr>
            <w:tcW w:w="630" w:type="pct"/>
            <w:vAlign w:val="center"/>
          </w:tcPr>
          <w:p w14:paraId="0E9E9DD7" w14:textId="10AA2AF3" w:rsidR="00046BD5" w:rsidRPr="00DE108C" w:rsidRDefault="00046BD5" w:rsidP="00E1797F">
            <w:pPr>
              <w:pStyle w:val="TableText"/>
              <w:jc w:val="right"/>
              <w:rPr>
                <w:lang w:eastAsia="fr-CA"/>
              </w:rPr>
            </w:pPr>
            <w:r w:rsidRPr="00DE108C">
              <w:rPr>
                <w:rFonts w:asciiTheme="majorHAnsi" w:hAnsiTheme="majorHAnsi" w:cs="Tahoma"/>
                <w:szCs w:val="16"/>
              </w:rPr>
              <w:t xml:space="preserve"> 72.2800 </w:t>
            </w:r>
          </w:p>
        </w:tc>
        <w:tc>
          <w:tcPr>
            <w:tcW w:w="630" w:type="pct"/>
            <w:vAlign w:val="center"/>
          </w:tcPr>
          <w:p w14:paraId="761A09B5" w14:textId="53EEF525" w:rsidR="00046BD5" w:rsidRPr="00DE108C" w:rsidRDefault="00046BD5" w:rsidP="00E1797F">
            <w:pPr>
              <w:pStyle w:val="TableText"/>
              <w:jc w:val="right"/>
              <w:rPr>
                <w:lang w:eastAsia="fr-CA"/>
              </w:rPr>
            </w:pPr>
            <w:r w:rsidRPr="00DE108C">
              <w:rPr>
                <w:rFonts w:asciiTheme="majorHAnsi" w:hAnsiTheme="majorHAnsi" w:cs="Tahoma"/>
                <w:szCs w:val="16"/>
              </w:rPr>
              <w:t xml:space="preserve"> 72.2800 </w:t>
            </w:r>
          </w:p>
        </w:tc>
        <w:tc>
          <w:tcPr>
            <w:tcW w:w="629" w:type="pct"/>
            <w:vAlign w:val="center"/>
          </w:tcPr>
          <w:p w14:paraId="5FF36554" w14:textId="4A1B149E" w:rsidR="00046BD5" w:rsidRPr="00DE108C" w:rsidRDefault="00046BD5" w:rsidP="00E1797F">
            <w:pPr>
              <w:pStyle w:val="TableText"/>
              <w:jc w:val="right"/>
              <w:rPr>
                <w:lang w:eastAsia="fr-CA"/>
              </w:rPr>
            </w:pPr>
            <w:r w:rsidRPr="00DE108C">
              <w:rPr>
                <w:rFonts w:asciiTheme="majorHAnsi" w:hAnsiTheme="majorHAnsi" w:cs="Tahoma"/>
                <w:szCs w:val="16"/>
              </w:rPr>
              <w:t xml:space="preserve"> 72.2800 </w:t>
            </w:r>
          </w:p>
        </w:tc>
      </w:tr>
      <w:tr w:rsidR="00046BD5" w:rsidRPr="00DE108C" w14:paraId="5A7A16AE" w14:textId="77777777" w:rsidTr="009C57CB">
        <w:trPr>
          <w:cantSplit/>
        </w:trPr>
        <w:tc>
          <w:tcPr>
            <w:tcW w:w="776" w:type="pct"/>
            <w:vAlign w:val="center"/>
          </w:tcPr>
          <w:p w14:paraId="20A2C3B1" w14:textId="77777777" w:rsidR="00046BD5" w:rsidRPr="00DE108C" w:rsidRDefault="00046BD5" w:rsidP="00ED094E">
            <w:pPr>
              <w:pStyle w:val="TableText"/>
              <w:rPr>
                <w:lang w:eastAsia="fr-CA"/>
              </w:rPr>
            </w:pPr>
            <w:r w:rsidRPr="00DE108C">
              <w:rPr>
                <w:szCs w:val="16"/>
              </w:rPr>
              <w:t xml:space="preserve">WTP BOD </w:t>
            </w:r>
          </w:p>
        </w:tc>
        <w:tc>
          <w:tcPr>
            <w:tcW w:w="445" w:type="pct"/>
            <w:vAlign w:val="center"/>
          </w:tcPr>
          <w:p w14:paraId="1F3A2D67"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$/tonne</w:t>
            </w:r>
          </w:p>
        </w:tc>
        <w:tc>
          <w:tcPr>
            <w:tcW w:w="630" w:type="pct"/>
          </w:tcPr>
          <w:p w14:paraId="601DCA53" w14:textId="1D40514A" w:rsidR="00BE493A" w:rsidRPr="00DE108C" w:rsidRDefault="00BE493A" w:rsidP="00E1797F">
            <w:pPr>
              <w:pStyle w:val="TableText"/>
              <w:jc w:val="right"/>
              <w:rPr>
                <w:rFonts w:asciiTheme="majorHAnsi" w:hAnsiTheme="majorHAnsi" w:cs="Tahoma"/>
                <w:szCs w:val="16"/>
              </w:rPr>
            </w:pPr>
            <w:r w:rsidRPr="00DE108C">
              <w:rPr>
                <w:rFonts w:asciiTheme="majorHAnsi" w:hAnsiTheme="majorHAnsi" w:cs="Tahoma"/>
                <w:szCs w:val="16"/>
              </w:rPr>
              <w:t>396.1559</w:t>
            </w:r>
          </w:p>
        </w:tc>
        <w:tc>
          <w:tcPr>
            <w:tcW w:w="630" w:type="pct"/>
            <w:vAlign w:val="center"/>
          </w:tcPr>
          <w:p w14:paraId="15EC8291" w14:textId="7E8DDC42" w:rsidR="00046BD5" w:rsidRPr="00DE108C" w:rsidRDefault="00046BD5" w:rsidP="00E1797F">
            <w:pPr>
              <w:pStyle w:val="TableText"/>
              <w:jc w:val="right"/>
              <w:rPr>
                <w:lang w:eastAsia="fr-CA"/>
              </w:rPr>
            </w:pPr>
            <w:r w:rsidRPr="00DE108C">
              <w:rPr>
                <w:rFonts w:asciiTheme="majorHAnsi" w:hAnsiTheme="majorHAnsi" w:cs="Tahoma"/>
                <w:szCs w:val="16"/>
              </w:rPr>
              <w:t xml:space="preserve"> 591.0000 </w:t>
            </w:r>
          </w:p>
        </w:tc>
        <w:tc>
          <w:tcPr>
            <w:tcW w:w="630" w:type="pct"/>
            <w:vAlign w:val="center"/>
          </w:tcPr>
          <w:p w14:paraId="2D59A65B" w14:textId="129D6265" w:rsidR="00046BD5" w:rsidRPr="00DE108C" w:rsidRDefault="00046BD5" w:rsidP="00E1797F">
            <w:pPr>
              <w:pStyle w:val="TableText"/>
              <w:jc w:val="right"/>
              <w:rPr>
                <w:lang w:eastAsia="fr-CA"/>
              </w:rPr>
            </w:pPr>
            <w:r w:rsidRPr="00DE108C">
              <w:rPr>
                <w:rFonts w:asciiTheme="majorHAnsi" w:hAnsiTheme="majorHAnsi" w:cs="Tahoma"/>
                <w:szCs w:val="16"/>
              </w:rPr>
              <w:t xml:space="preserve"> 591.0000 </w:t>
            </w:r>
          </w:p>
        </w:tc>
        <w:tc>
          <w:tcPr>
            <w:tcW w:w="630" w:type="pct"/>
            <w:vAlign w:val="center"/>
          </w:tcPr>
          <w:p w14:paraId="634FB4F1" w14:textId="0504FA98" w:rsidR="00046BD5" w:rsidRPr="00DE108C" w:rsidRDefault="00046BD5" w:rsidP="00E1797F">
            <w:pPr>
              <w:pStyle w:val="TableText"/>
              <w:jc w:val="right"/>
              <w:rPr>
                <w:lang w:eastAsia="fr-CA"/>
              </w:rPr>
            </w:pPr>
            <w:r w:rsidRPr="00DE108C">
              <w:rPr>
                <w:rFonts w:asciiTheme="majorHAnsi" w:hAnsiTheme="majorHAnsi" w:cs="Tahoma"/>
                <w:szCs w:val="16"/>
              </w:rPr>
              <w:t xml:space="preserve"> 591.0000 </w:t>
            </w:r>
          </w:p>
        </w:tc>
        <w:tc>
          <w:tcPr>
            <w:tcW w:w="630" w:type="pct"/>
            <w:vAlign w:val="center"/>
          </w:tcPr>
          <w:p w14:paraId="03DD711F" w14:textId="6155DB2B" w:rsidR="00046BD5" w:rsidRPr="00DE108C" w:rsidRDefault="00046BD5" w:rsidP="00E1797F">
            <w:pPr>
              <w:pStyle w:val="TableText"/>
              <w:jc w:val="right"/>
              <w:rPr>
                <w:lang w:eastAsia="fr-CA"/>
              </w:rPr>
            </w:pPr>
            <w:r w:rsidRPr="00DE108C">
              <w:rPr>
                <w:rFonts w:asciiTheme="majorHAnsi" w:hAnsiTheme="majorHAnsi" w:cs="Tahoma"/>
                <w:szCs w:val="16"/>
              </w:rPr>
              <w:t xml:space="preserve"> 591.0000 </w:t>
            </w:r>
          </w:p>
        </w:tc>
        <w:tc>
          <w:tcPr>
            <w:tcW w:w="629" w:type="pct"/>
            <w:vAlign w:val="center"/>
          </w:tcPr>
          <w:p w14:paraId="6149777E" w14:textId="02ED4BF3" w:rsidR="00046BD5" w:rsidRPr="00DE108C" w:rsidRDefault="00046BD5" w:rsidP="00E1797F">
            <w:pPr>
              <w:pStyle w:val="TableText"/>
              <w:jc w:val="right"/>
              <w:rPr>
                <w:lang w:eastAsia="fr-CA"/>
              </w:rPr>
            </w:pPr>
            <w:r w:rsidRPr="00DE108C">
              <w:rPr>
                <w:rFonts w:asciiTheme="majorHAnsi" w:hAnsiTheme="majorHAnsi" w:cs="Tahoma"/>
                <w:szCs w:val="16"/>
              </w:rPr>
              <w:t xml:space="preserve"> 591.0000 </w:t>
            </w:r>
          </w:p>
        </w:tc>
      </w:tr>
      <w:tr w:rsidR="00055179" w:rsidRPr="00DE108C" w14:paraId="14455A6B" w14:textId="77777777" w:rsidTr="009C57CB">
        <w:trPr>
          <w:cnfStyle w:val="000000010000" w:firstRow="0" w:lastRow="0" w:firstColumn="0" w:lastColumn="0" w:oddVBand="0" w:evenVBand="0" w:oddHBand="0" w:evenHBand="1" w:firstRowFirstColumn="0" w:firstRowLastColumn="0" w:lastRowFirstColumn="0" w:lastRowLastColumn="0"/>
          <w:cantSplit/>
        </w:trPr>
        <w:tc>
          <w:tcPr>
            <w:tcW w:w="776" w:type="pct"/>
            <w:vAlign w:val="center"/>
          </w:tcPr>
          <w:p w14:paraId="18C4FF5C" w14:textId="77777777" w:rsidR="00046BD5" w:rsidRPr="00DE108C" w:rsidRDefault="00046BD5" w:rsidP="00ED094E">
            <w:pPr>
              <w:pStyle w:val="TableText"/>
              <w:rPr>
                <w:lang w:eastAsia="fr-CA"/>
              </w:rPr>
            </w:pPr>
            <w:r w:rsidRPr="00DE108C">
              <w:rPr>
                <w:szCs w:val="16"/>
              </w:rPr>
              <w:t xml:space="preserve">WTP SS </w:t>
            </w:r>
          </w:p>
        </w:tc>
        <w:tc>
          <w:tcPr>
            <w:tcW w:w="445" w:type="pct"/>
            <w:vAlign w:val="center"/>
          </w:tcPr>
          <w:p w14:paraId="58852059"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$/tonne</w:t>
            </w:r>
          </w:p>
        </w:tc>
        <w:tc>
          <w:tcPr>
            <w:tcW w:w="630" w:type="pct"/>
          </w:tcPr>
          <w:p w14:paraId="67DE99F4" w14:textId="52B901D5" w:rsidR="0013583D" w:rsidRPr="00DE108C" w:rsidRDefault="0013583D" w:rsidP="00E1797F">
            <w:pPr>
              <w:pStyle w:val="TableText"/>
              <w:jc w:val="right"/>
              <w:rPr>
                <w:rFonts w:asciiTheme="majorHAnsi" w:hAnsiTheme="majorHAnsi" w:cs="Tahoma"/>
                <w:szCs w:val="16"/>
              </w:rPr>
            </w:pPr>
            <w:r w:rsidRPr="00DE108C">
              <w:rPr>
                <w:rFonts w:asciiTheme="majorHAnsi" w:hAnsiTheme="majorHAnsi" w:cs="Tahoma"/>
                <w:szCs w:val="16"/>
              </w:rPr>
              <w:t>648.9573</w:t>
            </w:r>
          </w:p>
        </w:tc>
        <w:tc>
          <w:tcPr>
            <w:tcW w:w="630" w:type="pct"/>
            <w:vAlign w:val="center"/>
          </w:tcPr>
          <w:p w14:paraId="0636CB74" w14:textId="352CAA40" w:rsidR="00046BD5" w:rsidRPr="00DE108C" w:rsidRDefault="00046BD5" w:rsidP="00E1797F">
            <w:pPr>
              <w:pStyle w:val="TableText"/>
              <w:jc w:val="right"/>
              <w:rPr>
                <w:lang w:eastAsia="fr-CA"/>
              </w:rPr>
            </w:pPr>
            <w:r w:rsidRPr="00DE108C">
              <w:rPr>
                <w:rFonts w:asciiTheme="majorHAnsi" w:hAnsiTheme="majorHAnsi" w:cs="Tahoma"/>
                <w:szCs w:val="16"/>
              </w:rPr>
              <w:t xml:space="preserve"> 161.0000 </w:t>
            </w:r>
          </w:p>
        </w:tc>
        <w:tc>
          <w:tcPr>
            <w:tcW w:w="630" w:type="pct"/>
            <w:vAlign w:val="center"/>
          </w:tcPr>
          <w:p w14:paraId="7F27E1CD" w14:textId="53FBA8C5" w:rsidR="00046BD5" w:rsidRPr="00DE108C" w:rsidRDefault="00046BD5" w:rsidP="00E1797F">
            <w:pPr>
              <w:pStyle w:val="TableText"/>
              <w:jc w:val="right"/>
              <w:rPr>
                <w:lang w:eastAsia="fr-CA"/>
              </w:rPr>
            </w:pPr>
            <w:r w:rsidRPr="00DE108C">
              <w:rPr>
                <w:rFonts w:asciiTheme="majorHAnsi" w:hAnsiTheme="majorHAnsi" w:cs="Tahoma"/>
                <w:szCs w:val="16"/>
              </w:rPr>
              <w:t xml:space="preserve"> 161.0000 </w:t>
            </w:r>
          </w:p>
        </w:tc>
        <w:tc>
          <w:tcPr>
            <w:tcW w:w="630" w:type="pct"/>
            <w:vAlign w:val="center"/>
          </w:tcPr>
          <w:p w14:paraId="380E6C4F" w14:textId="5B392469" w:rsidR="00046BD5" w:rsidRPr="00DE108C" w:rsidRDefault="00046BD5" w:rsidP="00E1797F">
            <w:pPr>
              <w:pStyle w:val="TableText"/>
              <w:jc w:val="right"/>
              <w:rPr>
                <w:lang w:eastAsia="fr-CA"/>
              </w:rPr>
            </w:pPr>
            <w:r w:rsidRPr="00DE108C">
              <w:rPr>
                <w:rFonts w:asciiTheme="majorHAnsi" w:hAnsiTheme="majorHAnsi" w:cs="Tahoma"/>
                <w:szCs w:val="16"/>
              </w:rPr>
              <w:t xml:space="preserve"> 161.0000 </w:t>
            </w:r>
          </w:p>
        </w:tc>
        <w:tc>
          <w:tcPr>
            <w:tcW w:w="630" w:type="pct"/>
            <w:vAlign w:val="center"/>
          </w:tcPr>
          <w:p w14:paraId="1C5DEFD6" w14:textId="6273C88E" w:rsidR="00046BD5" w:rsidRPr="00DE108C" w:rsidRDefault="00046BD5" w:rsidP="00E1797F">
            <w:pPr>
              <w:pStyle w:val="TableText"/>
              <w:jc w:val="right"/>
              <w:rPr>
                <w:lang w:eastAsia="fr-CA"/>
              </w:rPr>
            </w:pPr>
            <w:r w:rsidRPr="00DE108C">
              <w:rPr>
                <w:rFonts w:asciiTheme="majorHAnsi" w:hAnsiTheme="majorHAnsi" w:cs="Tahoma"/>
                <w:szCs w:val="16"/>
              </w:rPr>
              <w:t xml:space="preserve"> 161.0000 </w:t>
            </w:r>
          </w:p>
        </w:tc>
        <w:tc>
          <w:tcPr>
            <w:tcW w:w="629" w:type="pct"/>
            <w:vAlign w:val="center"/>
          </w:tcPr>
          <w:p w14:paraId="5AC6B61D" w14:textId="0B37BB63" w:rsidR="00046BD5" w:rsidRPr="00DE108C" w:rsidRDefault="00046BD5" w:rsidP="00E1797F">
            <w:pPr>
              <w:pStyle w:val="TableText"/>
              <w:jc w:val="right"/>
              <w:rPr>
                <w:lang w:eastAsia="fr-CA"/>
              </w:rPr>
            </w:pPr>
            <w:r w:rsidRPr="00DE108C">
              <w:rPr>
                <w:rFonts w:asciiTheme="majorHAnsi" w:hAnsiTheme="majorHAnsi" w:cs="Tahoma"/>
                <w:szCs w:val="16"/>
              </w:rPr>
              <w:t xml:space="preserve"> 161.0000 </w:t>
            </w:r>
          </w:p>
        </w:tc>
      </w:tr>
      <w:tr w:rsidR="00046BD5" w:rsidRPr="00DE108C" w14:paraId="08B82853" w14:textId="77777777" w:rsidTr="009C57CB">
        <w:trPr>
          <w:cantSplit/>
        </w:trPr>
        <w:tc>
          <w:tcPr>
            <w:tcW w:w="776" w:type="pct"/>
            <w:vAlign w:val="center"/>
          </w:tcPr>
          <w:p w14:paraId="43AA7338" w14:textId="77777777" w:rsidR="00046BD5" w:rsidRPr="00DE108C" w:rsidRDefault="00046BD5" w:rsidP="00ED094E">
            <w:pPr>
              <w:pStyle w:val="TableText"/>
              <w:rPr>
                <w:lang w:eastAsia="fr-CA"/>
              </w:rPr>
            </w:pPr>
            <w:r w:rsidRPr="00DE108C">
              <w:rPr>
                <w:szCs w:val="16"/>
              </w:rPr>
              <w:t xml:space="preserve">WTP TKN </w:t>
            </w:r>
          </w:p>
        </w:tc>
        <w:tc>
          <w:tcPr>
            <w:tcW w:w="445" w:type="pct"/>
            <w:vAlign w:val="center"/>
          </w:tcPr>
          <w:p w14:paraId="7D12F598"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$/tonne</w:t>
            </w:r>
          </w:p>
        </w:tc>
        <w:tc>
          <w:tcPr>
            <w:tcW w:w="630" w:type="pct"/>
          </w:tcPr>
          <w:p w14:paraId="677355FA" w14:textId="64611F3D" w:rsidR="0013583D" w:rsidRPr="00DE108C" w:rsidRDefault="0013583D" w:rsidP="00E1797F">
            <w:pPr>
              <w:pStyle w:val="TableText"/>
              <w:jc w:val="right"/>
              <w:rPr>
                <w:rFonts w:asciiTheme="majorHAnsi" w:hAnsiTheme="majorHAnsi" w:cs="Tahoma"/>
                <w:szCs w:val="16"/>
              </w:rPr>
            </w:pPr>
            <w:r w:rsidRPr="00DE108C">
              <w:rPr>
                <w:rFonts w:asciiTheme="majorHAnsi" w:hAnsiTheme="majorHAnsi" w:cs="Tahoma"/>
                <w:szCs w:val="16"/>
              </w:rPr>
              <w:t>1,349.4405</w:t>
            </w:r>
          </w:p>
        </w:tc>
        <w:tc>
          <w:tcPr>
            <w:tcW w:w="630" w:type="pct"/>
            <w:vAlign w:val="center"/>
          </w:tcPr>
          <w:p w14:paraId="5B64C8A5" w14:textId="0578BF61" w:rsidR="00046BD5" w:rsidRPr="00DE108C" w:rsidRDefault="00046BD5" w:rsidP="00E1797F">
            <w:pPr>
              <w:pStyle w:val="TableText"/>
              <w:jc w:val="right"/>
              <w:rPr>
                <w:lang w:eastAsia="fr-CA"/>
              </w:rPr>
            </w:pPr>
            <w:r w:rsidRPr="00DE108C">
              <w:rPr>
                <w:rFonts w:asciiTheme="majorHAnsi" w:hAnsiTheme="majorHAnsi" w:cs="Tahoma"/>
                <w:szCs w:val="16"/>
              </w:rPr>
              <w:t xml:space="preserve"> 1,549.5000 </w:t>
            </w:r>
          </w:p>
        </w:tc>
        <w:tc>
          <w:tcPr>
            <w:tcW w:w="630" w:type="pct"/>
            <w:vAlign w:val="center"/>
          </w:tcPr>
          <w:p w14:paraId="447248AB" w14:textId="706A054A" w:rsidR="00046BD5" w:rsidRPr="00DE108C" w:rsidRDefault="00046BD5" w:rsidP="00E1797F">
            <w:pPr>
              <w:pStyle w:val="TableText"/>
              <w:jc w:val="right"/>
              <w:rPr>
                <w:lang w:eastAsia="fr-CA"/>
              </w:rPr>
            </w:pPr>
            <w:r w:rsidRPr="00DE108C">
              <w:rPr>
                <w:rFonts w:asciiTheme="majorHAnsi" w:hAnsiTheme="majorHAnsi" w:cs="Tahoma"/>
                <w:szCs w:val="16"/>
              </w:rPr>
              <w:t xml:space="preserve"> 1,549.5000 </w:t>
            </w:r>
          </w:p>
        </w:tc>
        <w:tc>
          <w:tcPr>
            <w:tcW w:w="630" w:type="pct"/>
            <w:vAlign w:val="center"/>
          </w:tcPr>
          <w:p w14:paraId="6F5AA315" w14:textId="46DC4BC3" w:rsidR="00046BD5" w:rsidRPr="00DE108C" w:rsidRDefault="00046BD5" w:rsidP="00E1797F">
            <w:pPr>
              <w:pStyle w:val="TableText"/>
              <w:jc w:val="right"/>
              <w:rPr>
                <w:lang w:eastAsia="fr-CA"/>
              </w:rPr>
            </w:pPr>
            <w:r w:rsidRPr="00DE108C">
              <w:rPr>
                <w:rFonts w:asciiTheme="majorHAnsi" w:hAnsiTheme="majorHAnsi" w:cs="Tahoma"/>
                <w:szCs w:val="16"/>
              </w:rPr>
              <w:t xml:space="preserve"> 1,549.5000 </w:t>
            </w:r>
          </w:p>
        </w:tc>
        <w:tc>
          <w:tcPr>
            <w:tcW w:w="630" w:type="pct"/>
            <w:vAlign w:val="center"/>
          </w:tcPr>
          <w:p w14:paraId="032F4A1A" w14:textId="7204424E" w:rsidR="00046BD5" w:rsidRPr="00DE108C" w:rsidRDefault="00046BD5" w:rsidP="00E1797F">
            <w:pPr>
              <w:pStyle w:val="TableText"/>
              <w:jc w:val="right"/>
              <w:rPr>
                <w:lang w:eastAsia="fr-CA"/>
              </w:rPr>
            </w:pPr>
            <w:r w:rsidRPr="00DE108C">
              <w:rPr>
                <w:rFonts w:asciiTheme="majorHAnsi" w:hAnsiTheme="majorHAnsi" w:cs="Tahoma"/>
                <w:szCs w:val="16"/>
              </w:rPr>
              <w:t xml:space="preserve"> 1,549.5000 </w:t>
            </w:r>
          </w:p>
        </w:tc>
        <w:tc>
          <w:tcPr>
            <w:tcW w:w="629" w:type="pct"/>
            <w:vAlign w:val="center"/>
          </w:tcPr>
          <w:p w14:paraId="483A8975" w14:textId="032BFA67" w:rsidR="00046BD5" w:rsidRPr="00DE108C" w:rsidRDefault="00046BD5" w:rsidP="00E1797F">
            <w:pPr>
              <w:pStyle w:val="TableText"/>
              <w:jc w:val="right"/>
              <w:rPr>
                <w:lang w:eastAsia="fr-CA"/>
              </w:rPr>
            </w:pPr>
            <w:r w:rsidRPr="00DE108C">
              <w:rPr>
                <w:rFonts w:asciiTheme="majorHAnsi" w:hAnsiTheme="majorHAnsi" w:cs="Tahoma"/>
                <w:szCs w:val="16"/>
              </w:rPr>
              <w:t xml:space="preserve"> 1,549.5000 </w:t>
            </w:r>
          </w:p>
        </w:tc>
      </w:tr>
      <w:tr w:rsidR="00055179" w:rsidRPr="00DE108C" w14:paraId="3DB6A150" w14:textId="77777777" w:rsidTr="009C57CB">
        <w:trPr>
          <w:cnfStyle w:val="000000010000" w:firstRow="0" w:lastRow="0" w:firstColumn="0" w:lastColumn="0" w:oddVBand="0" w:evenVBand="0" w:oddHBand="0" w:evenHBand="1" w:firstRowFirstColumn="0" w:firstRowLastColumn="0" w:lastRowFirstColumn="0" w:lastRowLastColumn="0"/>
          <w:cantSplit/>
        </w:trPr>
        <w:tc>
          <w:tcPr>
            <w:tcW w:w="776" w:type="pct"/>
            <w:vAlign w:val="center"/>
          </w:tcPr>
          <w:p w14:paraId="1BEFA1F7" w14:textId="77777777" w:rsidR="00046BD5" w:rsidRPr="00DE108C" w:rsidRDefault="00046BD5" w:rsidP="00ED094E">
            <w:pPr>
              <w:pStyle w:val="TableText"/>
              <w:rPr>
                <w:lang w:eastAsia="fr-CA"/>
              </w:rPr>
            </w:pPr>
            <w:r w:rsidRPr="00DE108C">
              <w:rPr>
                <w:szCs w:val="16"/>
              </w:rPr>
              <w:t xml:space="preserve">WTP TDS </w:t>
            </w:r>
          </w:p>
        </w:tc>
        <w:tc>
          <w:tcPr>
            <w:tcW w:w="445" w:type="pct"/>
            <w:vAlign w:val="center"/>
          </w:tcPr>
          <w:p w14:paraId="532541D8"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$/tonne</w:t>
            </w:r>
          </w:p>
        </w:tc>
        <w:tc>
          <w:tcPr>
            <w:tcW w:w="630" w:type="pct"/>
          </w:tcPr>
          <w:p w14:paraId="1EEE7B34" w14:textId="2316F55E" w:rsidR="009C57CB" w:rsidRPr="00DE108C" w:rsidRDefault="00CC20D0" w:rsidP="00E1797F">
            <w:pPr>
              <w:pStyle w:val="TableText"/>
              <w:jc w:val="right"/>
              <w:rPr>
                <w:rFonts w:asciiTheme="majorHAnsi" w:hAnsiTheme="majorHAnsi" w:cs="Tahoma"/>
                <w:szCs w:val="16"/>
              </w:rPr>
            </w:pPr>
            <w:r w:rsidRPr="00DE108C">
              <w:rPr>
                <w:rFonts w:asciiTheme="majorHAnsi" w:hAnsiTheme="majorHAnsi" w:cs="Tahoma"/>
                <w:szCs w:val="16"/>
              </w:rPr>
              <w:t>38.5655</w:t>
            </w:r>
          </w:p>
        </w:tc>
        <w:tc>
          <w:tcPr>
            <w:tcW w:w="630" w:type="pct"/>
            <w:vAlign w:val="center"/>
          </w:tcPr>
          <w:p w14:paraId="575BCF63" w14:textId="1A8FFDC2" w:rsidR="00046BD5" w:rsidRPr="00DE108C" w:rsidRDefault="00046BD5" w:rsidP="00E1797F">
            <w:pPr>
              <w:pStyle w:val="TableText"/>
              <w:jc w:val="right"/>
              <w:rPr>
                <w:lang w:eastAsia="fr-CA"/>
              </w:rPr>
            </w:pPr>
            <w:r w:rsidRPr="00DE108C">
              <w:rPr>
                <w:rFonts w:asciiTheme="majorHAnsi" w:hAnsiTheme="majorHAnsi" w:cs="Tahoma"/>
                <w:szCs w:val="16"/>
              </w:rPr>
              <w:t xml:space="preserve"> 38.5600 </w:t>
            </w:r>
          </w:p>
        </w:tc>
        <w:tc>
          <w:tcPr>
            <w:tcW w:w="630" w:type="pct"/>
            <w:vAlign w:val="center"/>
          </w:tcPr>
          <w:p w14:paraId="782FF396" w14:textId="1BE7F07C" w:rsidR="00046BD5" w:rsidRPr="00DE108C" w:rsidRDefault="00046BD5" w:rsidP="00E1797F">
            <w:pPr>
              <w:pStyle w:val="TableText"/>
              <w:jc w:val="right"/>
              <w:rPr>
                <w:lang w:eastAsia="fr-CA"/>
              </w:rPr>
            </w:pPr>
            <w:r w:rsidRPr="00DE108C">
              <w:rPr>
                <w:rFonts w:asciiTheme="majorHAnsi" w:hAnsiTheme="majorHAnsi" w:cs="Tahoma"/>
                <w:szCs w:val="16"/>
              </w:rPr>
              <w:t xml:space="preserve"> 38.5600 </w:t>
            </w:r>
          </w:p>
        </w:tc>
        <w:tc>
          <w:tcPr>
            <w:tcW w:w="630" w:type="pct"/>
            <w:vAlign w:val="center"/>
          </w:tcPr>
          <w:p w14:paraId="62A0AD89" w14:textId="4EE9C4D1" w:rsidR="00046BD5" w:rsidRPr="00DE108C" w:rsidRDefault="00046BD5" w:rsidP="00E1797F">
            <w:pPr>
              <w:pStyle w:val="TableText"/>
              <w:jc w:val="right"/>
              <w:rPr>
                <w:lang w:eastAsia="fr-CA"/>
              </w:rPr>
            </w:pPr>
            <w:r w:rsidRPr="00DE108C">
              <w:rPr>
                <w:rFonts w:asciiTheme="majorHAnsi" w:hAnsiTheme="majorHAnsi" w:cs="Tahoma"/>
                <w:szCs w:val="16"/>
              </w:rPr>
              <w:t xml:space="preserve"> 38.5600 </w:t>
            </w:r>
          </w:p>
        </w:tc>
        <w:tc>
          <w:tcPr>
            <w:tcW w:w="630" w:type="pct"/>
            <w:vAlign w:val="center"/>
          </w:tcPr>
          <w:p w14:paraId="492E5E46" w14:textId="51E79C14" w:rsidR="00046BD5" w:rsidRPr="00DE108C" w:rsidRDefault="00046BD5" w:rsidP="00E1797F">
            <w:pPr>
              <w:pStyle w:val="TableText"/>
              <w:jc w:val="right"/>
              <w:rPr>
                <w:lang w:eastAsia="fr-CA"/>
              </w:rPr>
            </w:pPr>
            <w:r w:rsidRPr="00DE108C">
              <w:rPr>
                <w:rFonts w:asciiTheme="majorHAnsi" w:hAnsiTheme="majorHAnsi" w:cs="Tahoma"/>
                <w:szCs w:val="16"/>
              </w:rPr>
              <w:t xml:space="preserve"> 38.5600 </w:t>
            </w:r>
          </w:p>
        </w:tc>
        <w:tc>
          <w:tcPr>
            <w:tcW w:w="629" w:type="pct"/>
            <w:vAlign w:val="center"/>
          </w:tcPr>
          <w:p w14:paraId="12E386CA" w14:textId="7C5B9F7A" w:rsidR="00046BD5" w:rsidRPr="00DE108C" w:rsidRDefault="00046BD5" w:rsidP="00E1797F">
            <w:pPr>
              <w:pStyle w:val="TableText"/>
              <w:jc w:val="right"/>
              <w:rPr>
                <w:lang w:eastAsia="fr-CA"/>
              </w:rPr>
            </w:pPr>
            <w:r w:rsidRPr="00DE108C">
              <w:rPr>
                <w:rFonts w:asciiTheme="majorHAnsi" w:hAnsiTheme="majorHAnsi" w:cs="Tahoma"/>
                <w:szCs w:val="16"/>
              </w:rPr>
              <w:t xml:space="preserve"> 38.5600 </w:t>
            </w:r>
          </w:p>
        </w:tc>
      </w:tr>
      <w:tr w:rsidR="00046BD5" w:rsidRPr="00DE108C" w14:paraId="7657C79D" w14:textId="77777777" w:rsidTr="009C57CB">
        <w:trPr>
          <w:cantSplit/>
        </w:trPr>
        <w:tc>
          <w:tcPr>
            <w:tcW w:w="776" w:type="pct"/>
            <w:vAlign w:val="center"/>
          </w:tcPr>
          <w:p w14:paraId="2257612A" w14:textId="77777777" w:rsidR="00046BD5" w:rsidRPr="00DE108C" w:rsidRDefault="00046BD5" w:rsidP="00ED094E">
            <w:pPr>
              <w:pStyle w:val="TableText"/>
              <w:rPr>
                <w:lang w:eastAsia="fr-CA"/>
              </w:rPr>
            </w:pPr>
            <w:r w:rsidRPr="00DE108C">
              <w:rPr>
                <w:szCs w:val="16"/>
              </w:rPr>
              <w:t xml:space="preserve">Eastern transfer </w:t>
            </w:r>
          </w:p>
        </w:tc>
        <w:tc>
          <w:tcPr>
            <w:tcW w:w="445" w:type="pct"/>
            <w:vAlign w:val="center"/>
          </w:tcPr>
          <w:p w14:paraId="0D375FB4"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$/ML</w:t>
            </w:r>
          </w:p>
        </w:tc>
        <w:tc>
          <w:tcPr>
            <w:tcW w:w="630" w:type="pct"/>
          </w:tcPr>
          <w:p w14:paraId="43158189" w14:textId="6083D7B6" w:rsidR="009C57CB" w:rsidRPr="00DE108C" w:rsidRDefault="00CC20D0" w:rsidP="00E1797F">
            <w:pPr>
              <w:pStyle w:val="TableText"/>
              <w:jc w:val="right"/>
              <w:rPr>
                <w:rFonts w:asciiTheme="majorHAnsi" w:hAnsiTheme="majorHAnsi" w:cs="Tahoma"/>
                <w:szCs w:val="16"/>
              </w:rPr>
            </w:pPr>
            <w:r w:rsidRPr="00DE108C">
              <w:rPr>
                <w:rFonts w:asciiTheme="majorHAnsi" w:hAnsiTheme="majorHAnsi" w:cs="Tahoma"/>
                <w:szCs w:val="16"/>
              </w:rPr>
              <w:t>6.9020</w:t>
            </w:r>
          </w:p>
        </w:tc>
        <w:tc>
          <w:tcPr>
            <w:tcW w:w="630" w:type="pct"/>
            <w:vAlign w:val="center"/>
          </w:tcPr>
          <w:p w14:paraId="205F2EE5" w14:textId="00C944BA" w:rsidR="00046BD5" w:rsidRPr="00DE108C" w:rsidRDefault="00046BD5" w:rsidP="00E1797F">
            <w:pPr>
              <w:pStyle w:val="TableText"/>
              <w:jc w:val="right"/>
              <w:rPr>
                <w:lang w:eastAsia="fr-CA"/>
              </w:rPr>
            </w:pPr>
            <w:r w:rsidRPr="00DE108C">
              <w:rPr>
                <w:rFonts w:asciiTheme="majorHAnsi" w:hAnsiTheme="majorHAnsi" w:cs="Tahoma"/>
                <w:szCs w:val="16"/>
              </w:rPr>
              <w:t xml:space="preserve"> 50.8001 </w:t>
            </w:r>
          </w:p>
        </w:tc>
        <w:tc>
          <w:tcPr>
            <w:tcW w:w="630" w:type="pct"/>
            <w:vAlign w:val="center"/>
          </w:tcPr>
          <w:p w14:paraId="7E96CAFF" w14:textId="70CCBE09" w:rsidR="00046BD5" w:rsidRPr="00DE108C" w:rsidRDefault="00046BD5" w:rsidP="00E1797F">
            <w:pPr>
              <w:pStyle w:val="TableText"/>
              <w:jc w:val="right"/>
              <w:rPr>
                <w:lang w:eastAsia="fr-CA"/>
              </w:rPr>
            </w:pPr>
            <w:r w:rsidRPr="00DE108C">
              <w:rPr>
                <w:rFonts w:asciiTheme="majorHAnsi" w:hAnsiTheme="majorHAnsi" w:cs="Tahoma"/>
                <w:szCs w:val="16"/>
              </w:rPr>
              <w:t xml:space="preserve"> 50.8001 </w:t>
            </w:r>
          </w:p>
        </w:tc>
        <w:tc>
          <w:tcPr>
            <w:tcW w:w="630" w:type="pct"/>
            <w:vAlign w:val="center"/>
          </w:tcPr>
          <w:p w14:paraId="79F6A799" w14:textId="0C786C5C" w:rsidR="00046BD5" w:rsidRPr="00DE108C" w:rsidRDefault="00046BD5" w:rsidP="00E1797F">
            <w:pPr>
              <w:pStyle w:val="TableText"/>
              <w:jc w:val="right"/>
              <w:rPr>
                <w:lang w:eastAsia="fr-CA"/>
              </w:rPr>
            </w:pPr>
            <w:r w:rsidRPr="00DE108C">
              <w:rPr>
                <w:rFonts w:asciiTheme="majorHAnsi" w:hAnsiTheme="majorHAnsi" w:cs="Tahoma"/>
                <w:szCs w:val="16"/>
              </w:rPr>
              <w:t xml:space="preserve"> 50.8001 </w:t>
            </w:r>
          </w:p>
        </w:tc>
        <w:tc>
          <w:tcPr>
            <w:tcW w:w="630" w:type="pct"/>
            <w:vAlign w:val="center"/>
          </w:tcPr>
          <w:p w14:paraId="0688884E" w14:textId="2BD1FAF3" w:rsidR="00046BD5" w:rsidRPr="00DE108C" w:rsidRDefault="00046BD5" w:rsidP="00E1797F">
            <w:pPr>
              <w:pStyle w:val="TableText"/>
              <w:jc w:val="right"/>
              <w:rPr>
                <w:lang w:eastAsia="fr-CA"/>
              </w:rPr>
            </w:pPr>
            <w:r w:rsidRPr="00DE108C">
              <w:rPr>
                <w:rFonts w:asciiTheme="majorHAnsi" w:hAnsiTheme="majorHAnsi" w:cs="Tahoma"/>
                <w:szCs w:val="16"/>
              </w:rPr>
              <w:t xml:space="preserve"> 50.8001 </w:t>
            </w:r>
          </w:p>
        </w:tc>
        <w:tc>
          <w:tcPr>
            <w:tcW w:w="629" w:type="pct"/>
            <w:vAlign w:val="center"/>
          </w:tcPr>
          <w:p w14:paraId="3EE1C538" w14:textId="3AD85B1D" w:rsidR="00046BD5" w:rsidRPr="00DE108C" w:rsidRDefault="00046BD5" w:rsidP="00E1797F">
            <w:pPr>
              <w:pStyle w:val="TableText"/>
              <w:jc w:val="right"/>
              <w:rPr>
                <w:lang w:eastAsia="fr-CA"/>
              </w:rPr>
            </w:pPr>
            <w:r w:rsidRPr="00DE108C">
              <w:rPr>
                <w:rFonts w:asciiTheme="majorHAnsi" w:hAnsiTheme="majorHAnsi" w:cs="Tahoma"/>
                <w:szCs w:val="16"/>
              </w:rPr>
              <w:t xml:space="preserve"> 50.8001 </w:t>
            </w:r>
          </w:p>
        </w:tc>
      </w:tr>
      <w:tr w:rsidR="00055179" w:rsidRPr="00DE108C" w14:paraId="08D8CF8F" w14:textId="77777777" w:rsidTr="009C57CB">
        <w:trPr>
          <w:cnfStyle w:val="000000010000" w:firstRow="0" w:lastRow="0" w:firstColumn="0" w:lastColumn="0" w:oddVBand="0" w:evenVBand="0" w:oddHBand="0" w:evenHBand="1" w:firstRowFirstColumn="0" w:firstRowLastColumn="0" w:lastRowFirstColumn="0" w:lastRowLastColumn="0"/>
          <w:cantSplit/>
        </w:trPr>
        <w:tc>
          <w:tcPr>
            <w:tcW w:w="776" w:type="pct"/>
            <w:vAlign w:val="center"/>
          </w:tcPr>
          <w:p w14:paraId="2091BCCF" w14:textId="77777777" w:rsidR="00046BD5" w:rsidRPr="00DE108C" w:rsidRDefault="00046BD5" w:rsidP="00ED094E">
            <w:pPr>
              <w:pStyle w:val="TableText"/>
              <w:rPr>
                <w:lang w:eastAsia="fr-CA"/>
              </w:rPr>
            </w:pPr>
            <w:r w:rsidRPr="00DE108C">
              <w:rPr>
                <w:szCs w:val="16"/>
              </w:rPr>
              <w:t xml:space="preserve">Eastern treatment </w:t>
            </w:r>
          </w:p>
        </w:tc>
        <w:tc>
          <w:tcPr>
            <w:tcW w:w="445" w:type="pct"/>
            <w:vAlign w:val="center"/>
          </w:tcPr>
          <w:p w14:paraId="120524E6"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$/ML</w:t>
            </w:r>
          </w:p>
        </w:tc>
        <w:tc>
          <w:tcPr>
            <w:tcW w:w="630" w:type="pct"/>
          </w:tcPr>
          <w:p w14:paraId="74CF20BC" w14:textId="17358D2C" w:rsidR="009C57CB" w:rsidRPr="00DE108C" w:rsidRDefault="006F3025" w:rsidP="00E1797F">
            <w:pPr>
              <w:pStyle w:val="TableText"/>
              <w:jc w:val="right"/>
              <w:rPr>
                <w:rFonts w:asciiTheme="majorHAnsi" w:hAnsiTheme="majorHAnsi" w:cs="Tahoma"/>
                <w:szCs w:val="16"/>
              </w:rPr>
            </w:pPr>
            <w:r w:rsidRPr="00DE108C">
              <w:rPr>
                <w:rFonts w:asciiTheme="majorHAnsi" w:hAnsiTheme="majorHAnsi" w:cs="Tahoma"/>
                <w:szCs w:val="16"/>
              </w:rPr>
              <w:t>4</w:t>
            </w:r>
            <w:r w:rsidR="00CC20D0" w:rsidRPr="00DE108C">
              <w:rPr>
                <w:rFonts w:asciiTheme="majorHAnsi" w:hAnsiTheme="majorHAnsi" w:cs="Tahoma"/>
                <w:szCs w:val="16"/>
              </w:rPr>
              <w:t>7.4226</w:t>
            </w:r>
          </w:p>
        </w:tc>
        <w:tc>
          <w:tcPr>
            <w:tcW w:w="630" w:type="pct"/>
            <w:vAlign w:val="center"/>
          </w:tcPr>
          <w:p w14:paraId="6A653AE8" w14:textId="531F62AC" w:rsidR="00046BD5" w:rsidRPr="00DE108C" w:rsidRDefault="00046BD5" w:rsidP="00E1797F">
            <w:pPr>
              <w:pStyle w:val="TableText"/>
              <w:jc w:val="right"/>
              <w:rPr>
                <w:lang w:eastAsia="fr-CA"/>
              </w:rPr>
            </w:pPr>
            <w:r w:rsidRPr="00DE108C">
              <w:rPr>
                <w:rFonts w:asciiTheme="majorHAnsi" w:hAnsiTheme="majorHAnsi" w:cs="Tahoma"/>
                <w:szCs w:val="16"/>
              </w:rPr>
              <w:t xml:space="preserve"> 88.0000 </w:t>
            </w:r>
          </w:p>
        </w:tc>
        <w:tc>
          <w:tcPr>
            <w:tcW w:w="630" w:type="pct"/>
            <w:vAlign w:val="center"/>
          </w:tcPr>
          <w:p w14:paraId="4891CEB1" w14:textId="448589CB" w:rsidR="00046BD5" w:rsidRPr="00DE108C" w:rsidRDefault="00046BD5" w:rsidP="00E1797F">
            <w:pPr>
              <w:pStyle w:val="TableText"/>
              <w:jc w:val="right"/>
              <w:rPr>
                <w:lang w:eastAsia="fr-CA"/>
              </w:rPr>
            </w:pPr>
            <w:r w:rsidRPr="00DE108C">
              <w:rPr>
                <w:rFonts w:asciiTheme="majorHAnsi" w:hAnsiTheme="majorHAnsi" w:cs="Tahoma"/>
                <w:szCs w:val="16"/>
              </w:rPr>
              <w:t xml:space="preserve"> 88.0000 </w:t>
            </w:r>
          </w:p>
        </w:tc>
        <w:tc>
          <w:tcPr>
            <w:tcW w:w="630" w:type="pct"/>
            <w:vAlign w:val="center"/>
          </w:tcPr>
          <w:p w14:paraId="1CB3322C" w14:textId="0089E8FF" w:rsidR="00046BD5" w:rsidRPr="00DE108C" w:rsidRDefault="00046BD5" w:rsidP="00E1797F">
            <w:pPr>
              <w:pStyle w:val="TableText"/>
              <w:jc w:val="right"/>
              <w:rPr>
                <w:lang w:eastAsia="fr-CA"/>
              </w:rPr>
            </w:pPr>
            <w:r w:rsidRPr="00DE108C">
              <w:rPr>
                <w:rFonts w:asciiTheme="majorHAnsi" w:hAnsiTheme="majorHAnsi" w:cs="Tahoma"/>
                <w:szCs w:val="16"/>
              </w:rPr>
              <w:t xml:space="preserve"> 88.0000 </w:t>
            </w:r>
          </w:p>
        </w:tc>
        <w:tc>
          <w:tcPr>
            <w:tcW w:w="630" w:type="pct"/>
            <w:vAlign w:val="center"/>
          </w:tcPr>
          <w:p w14:paraId="21987B9B" w14:textId="5E1528A4" w:rsidR="00046BD5" w:rsidRPr="00DE108C" w:rsidRDefault="00046BD5" w:rsidP="00E1797F">
            <w:pPr>
              <w:pStyle w:val="TableText"/>
              <w:jc w:val="right"/>
              <w:rPr>
                <w:lang w:eastAsia="fr-CA"/>
              </w:rPr>
            </w:pPr>
            <w:r w:rsidRPr="00DE108C">
              <w:rPr>
                <w:rFonts w:asciiTheme="majorHAnsi" w:hAnsiTheme="majorHAnsi" w:cs="Tahoma"/>
                <w:szCs w:val="16"/>
              </w:rPr>
              <w:t xml:space="preserve"> 88.0000 </w:t>
            </w:r>
          </w:p>
        </w:tc>
        <w:tc>
          <w:tcPr>
            <w:tcW w:w="629" w:type="pct"/>
            <w:vAlign w:val="center"/>
          </w:tcPr>
          <w:p w14:paraId="71CAB6EE" w14:textId="5C862A57" w:rsidR="00046BD5" w:rsidRPr="00DE108C" w:rsidRDefault="00046BD5" w:rsidP="00E1797F">
            <w:pPr>
              <w:pStyle w:val="TableText"/>
              <w:jc w:val="right"/>
              <w:rPr>
                <w:lang w:eastAsia="fr-CA"/>
              </w:rPr>
            </w:pPr>
            <w:r w:rsidRPr="00DE108C">
              <w:rPr>
                <w:rFonts w:asciiTheme="majorHAnsi" w:hAnsiTheme="majorHAnsi" w:cs="Tahoma"/>
                <w:szCs w:val="16"/>
              </w:rPr>
              <w:t xml:space="preserve"> 88.0000 </w:t>
            </w:r>
          </w:p>
        </w:tc>
      </w:tr>
      <w:tr w:rsidR="00046BD5" w:rsidRPr="00DE108C" w14:paraId="509F0FDB" w14:textId="77777777" w:rsidTr="009C57CB">
        <w:trPr>
          <w:cantSplit/>
        </w:trPr>
        <w:tc>
          <w:tcPr>
            <w:tcW w:w="776" w:type="pct"/>
            <w:vAlign w:val="center"/>
          </w:tcPr>
          <w:p w14:paraId="009F679C" w14:textId="77777777" w:rsidR="00046BD5" w:rsidRPr="00DE108C" w:rsidRDefault="00046BD5" w:rsidP="00ED094E">
            <w:pPr>
              <w:pStyle w:val="TableText"/>
              <w:rPr>
                <w:lang w:eastAsia="fr-CA"/>
              </w:rPr>
            </w:pPr>
            <w:r w:rsidRPr="00DE108C">
              <w:rPr>
                <w:szCs w:val="16"/>
              </w:rPr>
              <w:t>ETP BOD</w:t>
            </w:r>
          </w:p>
        </w:tc>
        <w:tc>
          <w:tcPr>
            <w:tcW w:w="445" w:type="pct"/>
            <w:vAlign w:val="center"/>
          </w:tcPr>
          <w:p w14:paraId="7E568A29"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$/tonne</w:t>
            </w:r>
          </w:p>
        </w:tc>
        <w:tc>
          <w:tcPr>
            <w:tcW w:w="630" w:type="pct"/>
          </w:tcPr>
          <w:p w14:paraId="37C3F1C8" w14:textId="4A96FF93" w:rsidR="00BE493A" w:rsidRPr="00DE108C" w:rsidRDefault="00BE493A" w:rsidP="00E1797F">
            <w:pPr>
              <w:pStyle w:val="TableText"/>
              <w:jc w:val="right"/>
              <w:rPr>
                <w:rFonts w:asciiTheme="majorHAnsi" w:hAnsiTheme="majorHAnsi" w:cs="Tahoma"/>
                <w:szCs w:val="16"/>
              </w:rPr>
            </w:pPr>
            <w:r w:rsidRPr="00DE108C">
              <w:rPr>
                <w:rFonts w:asciiTheme="majorHAnsi" w:hAnsiTheme="majorHAnsi" w:cs="Tahoma"/>
                <w:szCs w:val="16"/>
              </w:rPr>
              <w:t>298.8967</w:t>
            </w:r>
          </w:p>
        </w:tc>
        <w:tc>
          <w:tcPr>
            <w:tcW w:w="630" w:type="pct"/>
            <w:vAlign w:val="center"/>
          </w:tcPr>
          <w:p w14:paraId="58FF3377" w14:textId="579B2987" w:rsidR="00046BD5" w:rsidRPr="00DE108C" w:rsidRDefault="00046BD5" w:rsidP="00E1797F">
            <w:pPr>
              <w:pStyle w:val="TableText"/>
              <w:jc w:val="right"/>
              <w:rPr>
                <w:lang w:eastAsia="fr-CA"/>
              </w:rPr>
            </w:pPr>
            <w:r w:rsidRPr="00DE108C">
              <w:rPr>
                <w:rFonts w:asciiTheme="majorHAnsi" w:hAnsiTheme="majorHAnsi" w:cs="Tahoma"/>
                <w:szCs w:val="16"/>
              </w:rPr>
              <w:t xml:space="preserve"> 926.2000 </w:t>
            </w:r>
          </w:p>
        </w:tc>
        <w:tc>
          <w:tcPr>
            <w:tcW w:w="630" w:type="pct"/>
            <w:vAlign w:val="center"/>
          </w:tcPr>
          <w:p w14:paraId="51664940" w14:textId="4E14CFD2" w:rsidR="00046BD5" w:rsidRPr="00DE108C" w:rsidRDefault="00046BD5" w:rsidP="00E1797F">
            <w:pPr>
              <w:pStyle w:val="TableText"/>
              <w:jc w:val="right"/>
              <w:rPr>
                <w:lang w:eastAsia="fr-CA"/>
              </w:rPr>
            </w:pPr>
            <w:r w:rsidRPr="00DE108C">
              <w:rPr>
                <w:rFonts w:asciiTheme="majorHAnsi" w:hAnsiTheme="majorHAnsi" w:cs="Tahoma"/>
                <w:szCs w:val="16"/>
              </w:rPr>
              <w:t xml:space="preserve"> 926.2000 </w:t>
            </w:r>
          </w:p>
        </w:tc>
        <w:tc>
          <w:tcPr>
            <w:tcW w:w="630" w:type="pct"/>
            <w:vAlign w:val="center"/>
          </w:tcPr>
          <w:p w14:paraId="5C15011A" w14:textId="2DDF6DDD" w:rsidR="00046BD5" w:rsidRPr="00DE108C" w:rsidRDefault="00046BD5" w:rsidP="00E1797F">
            <w:pPr>
              <w:pStyle w:val="TableText"/>
              <w:jc w:val="right"/>
              <w:rPr>
                <w:lang w:eastAsia="fr-CA"/>
              </w:rPr>
            </w:pPr>
            <w:r w:rsidRPr="00DE108C">
              <w:rPr>
                <w:rFonts w:asciiTheme="majorHAnsi" w:hAnsiTheme="majorHAnsi" w:cs="Tahoma"/>
                <w:szCs w:val="16"/>
              </w:rPr>
              <w:t xml:space="preserve"> 926.2000 </w:t>
            </w:r>
          </w:p>
        </w:tc>
        <w:tc>
          <w:tcPr>
            <w:tcW w:w="630" w:type="pct"/>
            <w:vAlign w:val="center"/>
          </w:tcPr>
          <w:p w14:paraId="2CD82F05" w14:textId="171B9A14" w:rsidR="00046BD5" w:rsidRPr="00DE108C" w:rsidRDefault="00046BD5" w:rsidP="00E1797F">
            <w:pPr>
              <w:pStyle w:val="TableText"/>
              <w:jc w:val="right"/>
              <w:rPr>
                <w:lang w:eastAsia="fr-CA"/>
              </w:rPr>
            </w:pPr>
            <w:r w:rsidRPr="00DE108C">
              <w:rPr>
                <w:rFonts w:asciiTheme="majorHAnsi" w:hAnsiTheme="majorHAnsi" w:cs="Tahoma"/>
                <w:szCs w:val="16"/>
              </w:rPr>
              <w:t xml:space="preserve"> 926.2000 </w:t>
            </w:r>
          </w:p>
        </w:tc>
        <w:tc>
          <w:tcPr>
            <w:tcW w:w="629" w:type="pct"/>
            <w:vAlign w:val="center"/>
          </w:tcPr>
          <w:p w14:paraId="7C908DDB" w14:textId="3030D87D" w:rsidR="00046BD5" w:rsidRPr="00DE108C" w:rsidRDefault="00046BD5" w:rsidP="00E1797F">
            <w:pPr>
              <w:pStyle w:val="TableText"/>
              <w:jc w:val="right"/>
              <w:rPr>
                <w:lang w:eastAsia="fr-CA"/>
              </w:rPr>
            </w:pPr>
            <w:r w:rsidRPr="00DE108C">
              <w:rPr>
                <w:rFonts w:asciiTheme="majorHAnsi" w:hAnsiTheme="majorHAnsi" w:cs="Tahoma"/>
                <w:szCs w:val="16"/>
              </w:rPr>
              <w:t xml:space="preserve"> 926.2000 </w:t>
            </w:r>
          </w:p>
        </w:tc>
      </w:tr>
      <w:tr w:rsidR="00055179" w:rsidRPr="00DE108C" w14:paraId="2CC4137B" w14:textId="77777777" w:rsidTr="009C57CB">
        <w:trPr>
          <w:cnfStyle w:val="000000010000" w:firstRow="0" w:lastRow="0" w:firstColumn="0" w:lastColumn="0" w:oddVBand="0" w:evenVBand="0" w:oddHBand="0" w:evenHBand="1" w:firstRowFirstColumn="0" w:firstRowLastColumn="0" w:lastRowFirstColumn="0" w:lastRowLastColumn="0"/>
          <w:cantSplit/>
        </w:trPr>
        <w:tc>
          <w:tcPr>
            <w:tcW w:w="776" w:type="pct"/>
            <w:vAlign w:val="center"/>
          </w:tcPr>
          <w:p w14:paraId="013023CC" w14:textId="77777777" w:rsidR="00046BD5" w:rsidRPr="00DE108C" w:rsidRDefault="00046BD5" w:rsidP="00ED094E">
            <w:pPr>
              <w:pStyle w:val="TableText"/>
              <w:rPr>
                <w:lang w:eastAsia="fr-CA"/>
              </w:rPr>
            </w:pPr>
            <w:r w:rsidRPr="00DE108C">
              <w:rPr>
                <w:szCs w:val="16"/>
              </w:rPr>
              <w:t xml:space="preserve">ETP SS </w:t>
            </w:r>
          </w:p>
        </w:tc>
        <w:tc>
          <w:tcPr>
            <w:tcW w:w="445" w:type="pct"/>
            <w:vAlign w:val="center"/>
          </w:tcPr>
          <w:p w14:paraId="2ED9F76B"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$/tonne</w:t>
            </w:r>
          </w:p>
        </w:tc>
        <w:tc>
          <w:tcPr>
            <w:tcW w:w="630" w:type="pct"/>
          </w:tcPr>
          <w:p w14:paraId="4D9102B4" w14:textId="5EE5CFE7" w:rsidR="0013583D" w:rsidRPr="00DE108C" w:rsidRDefault="0013583D" w:rsidP="00E1797F">
            <w:pPr>
              <w:pStyle w:val="TableText"/>
              <w:jc w:val="right"/>
              <w:rPr>
                <w:rFonts w:asciiTheme="majorHAnsi" w:hAnsiTheme="majorHAnsi" w:cs="Tahoma"/>
                <w:szCs w:val="16"/>
              </w:rPr>
            </w:pPr>
            <w:r w:rsidRPr="00DE108C">
              <w:rPr>
                <w:rFonts w:asciiTheme="majorHAnsi" w:hAnsiTheme="majorHAnsi" w:cs="Tahoma"/>
                <w:szCs w:val="16"/>
              </w:rPr>
              <w:t>692.0362</w:t>
            </w:r>
          </w:p>
        </w:tc>
        <w:tc>
          <w:tcPr>
            <w:tcW w:w="630" w:type="pct"/>
            <w:vAlign w:val="center"/>
          </w:tcPr>
          <w:p w14:paraId="7AF58116" w14:textId="3287ED0C" w:rsidR="00046BD5" w:rsidRPr="00DE108C" w:rsidRDefault="00046BD5" w:rsidP="00E1797F">
            <w:pPr>
              <w:pStyle w:val="TableText"/>
              <w:jc w:val="right"/>
              <w:rPr>
                <w:lang w:eastAsia="fr-CA"/>
              </w:rPr>
            </w:pPr>
            <w:r w:rsidRPr="00DE108C">
              <w:rPr>
                <w:rFonts w:asciiTheme="majorHAnsi" w:hAnsiTheme="majorHAnsi" w:cs="Tahoma"/>
                <w:szCs w:val="16"/>
              </w:rPr>
              <w:t xml:space="preserve"> 485.0000 </w:t>
            </w:r>
          </w:p>
        </w:tc>
        <w:tc>
          <w:tcPr>
            <w:tcW w:w="630" w:type="pct"/>
            <w:vAlign w:val="center"/>
          </w:tcPr>
          <w:p w14:paraId="37661DB2" w14:textId="714A8C69" w:rsidR="00046BD5" w:rsidRPr="00DE108C" w:rsidRDefault="00046BD5" w:rsidP="00E1797F">
            <w:pPr>
              <w:pStyle w:val="TableText"/>
              <w:jc w:val="right"/>
              <w:rPr>
                <w:lang w:eastAsia="fr-CA"/>
              </w:rPr>
            </w:pPr>
            <w:r w:rsidRPr="00DE108C">
              <w:rPr>
                <w:rFonts w:asciiTheme="majorHAnsi" w:hAnsiTheme="majorHAnsi" w:cs="Tahoma"/>
                <w:szCs w:val="16"/>
              </w:rPr>
              <w:t xml:space="preserve"> 485.0000 </w:t>
            </w:r>
          </w:p>
        </w:tc>
        <w:tc>
          <w:tcPr>
            <w:tcW w:w="630" w:type="pct"/>
            <w:vAlign w:val="center"/>
          </w:tcPr>
          <w:p w14:paraId="638DF8B9" w14:textId="269EBF61" w:rsidR="00046BD5" w:rsidRPr="00DE108C" w:rsidRDefault="00046BD5" w:rsidP="00E1797F">
            <w:pPr>
              <w:pStyle w:val="TableText"/>
              <w:jc w:val="right"/>
              <w:rPr>
                <w:lang w:eastAsia="fr-CA"/>
              </w:rPr>
            </w:pPr>
            <w:r w:rsidRPr="00DE108C">
              <w:rPr>
                <w:rFonts w:asciiTheme="majorHAnsi" w:hAnsiTheme="majorHAnsi" w:cs="Tahoma"/>
                <w:szCs w:val="16"/>
              </w:rPr>
              <w:t xml:space="preserve"> 485.0000 </w:t>
            </w:r>
          </w:p>
        </w:tc>
        <w:tc>
          <w:tcPr>
            <w:tcW w:w="630" w:type="pct"/>
            <w:vAlign w:val="center"/>
          </w:tcPr>
          <w:p w14:paraId="588BC0D9" w14:textId="0690562A" w:rsidR="00046BD5" w:rsidRPr="00DE108C" w:rsidRDefault="00046BD5" w:rsidP="00E1797F">
            <w:pPr>
              <w:pStyle w:val="TableText"/>
              <w:jc w:val="right"/>
              <w:rPr>
                <w:lang w:eastAsia="fr-CA"/>
              </w:rPr>
            </w:pPr>
            <w:r w:rsidRPr="00DE108C">
              <w:rPr>
                <w:rFonts w:asciiTheme="majorHAnsi" w:hAnsiTheme="majorHAnsi" w:cs="Tahoma"/>
                <w:szCs w:val="16"/>
              </w:rPr>
              <w:t xml:space="preserve"> 485.0000 </w:t>
            </w:r>
          </w:p>
        </w:tc>
        <w:tc>
          <w:tcPr>
            <w:tcW w:w="629" w:type="pct"/>
            <w:vAlign w:val="center"/>
          </w:tcPr>
          <w:p w14:paraId="04723767" w14:textId="22C2F369" w:rsidR="00046BD5" w:rsidRPr="00DE108C" w:rsidRDefault="00046BD5" w:rsidP="00E1797F">
            <w:pPr>
              <w:pStyle w:val="TableText"/>
              <w:jc w:val="right"/>
              <w:rPr>
                <w:lang w:eastAsia="fr-CA"/>
              </w:rPr>
            </w:pPr>
            <w:r w:rsidRPr="00DE108C">
              <w:rPr>
                <w:rFonts w:asciiTheme="majorHAnsi" w:hAnsiTheme="majorHAnsi" w:cs="Tahoma"/>
                <w:szCs w:val="16"/>
              </w:rPr>
              <w:t xml:space="preserve"> 485.0000 </w:t>
            </w:r>
          </w:p>
        </w:tc>
      </w:tr>
      <w:tr w:rsidR="00046BD5" w:rsidRPr="00DE108C" w14:paraId="430485CB" w14:textId="77777777" w:rsidTr="009C57CB">
        <w:trPr>
          <w:cantSplit/>
        </w:trPr>
        <w:tc>
          <w:tcPr>
            <w:tcW w:w="776" w:type="pct"/>
            <w:vAlign w:val="center"/>
          </w:tcPr>
          <w:p w14:paraId="792C1DD6" w14:textId="77777777" w:rsidR="00046BD5" w:rsidRPr="00DE108C" w:rsidRDefault="00046BD5" w:rsidP="00ED094E">
            <w:pPr>
              <w:pStyle w:val="TableText"/>
              <w:rPr>
                <w:lang w:eastAsia="fr-CA"/>
              </w:rPr>
            </w:pPr>
            <w:r w:rsidRPr="00DE108C">
              <w:rPr>
                <w:szCs w:val="16"/>
              </w:rPr>
              <w:t xml:space="preserve">ETP TKN </w:t>
            </w:r>
          </w:p>
        </w:tc>
        <w:tc>
          <w:tcPr>
            <w:tcW w:w="445" w:type="pct"/>
            <w:vAlign w:val="center"/>
          </w:tcPr>
          <w:p w14:paraId="2C8197E0"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$/tonne</w:t>
            </w:r>
          </w:p>
        </w:tc>
        <w:tc>
          <w:tcPr>
            <w:tcW w:w="630" w:type="pct"/>
          </w:tcPr>
          <w:p w14:paraId="55151756" w14:textId="37081472" w:rsidR="0013583D" w:rsidRPr="00DE108C" w:rsidRDefault="0013583D" w:rsidP="00E1797F">
            <w:pPr>
              <w:pStyle w:val="TableText"/>
              <w:jc w:val="right"/>
              <w:rPr>
                <w:rFonts w:asciiTheme="majorHAnsi" w:hAnsiTheme="majorHAnsi" w:cs="Tahoma"/>
                <w:szCs w:val="16"/>
              </w:rPr>
            </w:pPr>
            <w:r w:rsidRPr="00DE108C">
              <w:rPr>
                <w:rFonts w:asciiTheme="majorHAnsi" w:hAnsiTheme="majorHAnsi" w:cs="Tahoma"/>
                <w:szCs w:val="16"/>
              </w:rPr>
              <w:t>84.7092</w:t>
            </w:r>
          </w:p>
        </w:tc>
        <w:tc>
          <w:tcPr>
            <w:tcW w:w="630" w:type="pct"/>
            <w:vAlign w:val="center"/>
          </w:tcPr>
          <w:p w14:paraId="02AC2D0B" w14:textId="37306C79" w:rsidR="00046BD5" w:rsidRPr="00DE108C" w:rsidRDefault="00046BD5" w:rsidP="00E1797F">
            <w:pPr>
              <w:pStyle w:val="TableText"/>
              <w:jc w:val="right"/>
              <w:rPr>
                <w:lang w:eastAsia="fr-CA"/>
              </w:rPr>
            </w:pPr>
            <w:r w:rsidRPr="00DE108C">
              <w:rPr>
                <w:rFonts w:asciiTheme="majorHAnsi" w:hAnsiTheme="majorHAnsi" w:cs="Tahoma"/>
                <w:szCs w:val="16"/>
              </w:rPr>
              <w:t xml:space="preserve"> 371.0000 </w:t>
            </w:r>
          </w:p>
        </w:tc>
        <w:tc>
          <w:tcPr>
            <w:tcW w:w="630" w:type="pct"/>
            <w:vAlign w:val="center"/>
          </w:tcPr>
          <w:p w14:paraId="2248A91C" w14:textId="339B2AE2" w:rsidR="00046BD5" w:rsidRPr="00DE108C" w:rsidRDefault="00046BD5" w:rsidP="00E1797F">
            <w:pPr>
              <w:pStyle w:val="TableText"/>
              <w:jc w:val="right"/>
              <w:rPr>
                <w:lang w:eastAsia="fr-CA"/>
              </w:rPr>
            </w:pPr>
            <w:r w:rsidRPr="00DE108C">
              <w:rPr>
                <w:rFonts w:asciiTheme="majorHAnsi" w:hAnsiTheme="majorHAnsi" w:cs="Tahoma"/>
                <w:szCs w:val="16"/>
              </w:rPr>
              <w:t xml:space="preserve"> 371.0000 </w:t>
            </w:r>
          </w:p>
        </w:tc>
        <w:tc>
          <w:tcPr>
            <w:tcW w:w="630" w:type="pct"/>
            <w:vAlign w:val="center"/>
          </w:tcPr>
          <w:p w14:paraId="588C4DCC" w14:textId="50F8DD71" w:rsidR="00046BD5" w:rsidRPr="00DE108C" w:rsidRDefault="00046BD5" w:rsidP="00E1797F">
            <w:pPr>
              <w:pStyle w:val="TableText"/>
              <w:jc w:val="right"/>
              <w:rPr>
                <w:lang w:eastAsia="fr-CA"/>
              </w:rPr>
            </w:pPr>
            <w:r w:rsidRPr="00DE108C">
              <w:rPr>
                <w:rFonts w:asciiTheme="majorHAnsi" w:hAnsiTheme="majorHAnsi" w:cs="Tahoma"/>
                <w:szCs w:val="16"/>
              </w:rPr>
              <w:t xml:space="preserve"> 371.0000 </w:t>
            </w:r>
          </w:p>
        </w:tc>
        <w:tc>
          <w:tcPr>
            <w:tcW w:w="630" w:type="pct"/>
            <w:vAlign w:val="center"/>
          </w:tcPr>
          <w:p w14:paraId="1991658D" w14:textId="11E04DC5" w:rsidR="00046BD5" w:rsidRPr="00DE108C" w:rsidRDefault="00046BD5" w:rsidP="00E1797F">
            <w:pPr>
              <w:pStyle w:val="TableText"/>
              <w:jc w:val="right"/>
              <w:rPr>
                <w:lang w:eastAsia="fr-CA"/>
              </w:rPr>
            </w:pPr>
            <w:r w:rsidRPr="00DE108C">
              <w:rPr>
                <w:rFonts w:asciiTheme="majorHAnsi" w:hAnsiTheme="majorHAnsi" w:cs="Tahoma"/>
                <w:szCs w:val="16"/>
              </w:rPr>
              <w:t xml:space="preserve"> 371.0000 </w:t>
            </w:r>
          </w:p>
        </w:tc>
        <w:tc>
          <w:tcPr>
            <w:tcW w:w="629" w:type="pct"/>
            <w:vAlign w:val="center"/>
          </w:tcPr>
          <w:p w14:paraId="79F18EE9" w14:textId="55E43E3B" w:rsidR="00046BD5" w:rsidRPr="00DE108C" w:rsidRDefault="00046BD5" w:rsidP="00E1797F">
            <w:pPr>
              <w:pStyle w:val="TableText"/>
              <w:jc w:val="right"/>
              <w:rPr>
                <w:lang w:eastAsia="fr-CA"/>
              </w:rPr>
            </w:pPr>
            <w:r w:rsidRPr="00DE108C">
              <w:rPr>
                <w:rFonts w:asciiTheme="majorHAnsi" w:hAnsiTheme="majorHAnsi" w:cs="Tahoma"/>
                <w:szCs w:val="16"/>
              </w:rPr>
              <w:t xml:space="preserve"> 371.0000 </w:t>
            </w:r>
          </w:p>
        </w:tc>
      </w:tr>
      <w:tr w:rsidR="00055179" w:rsidRPr="00DE108C" w14:paraId="060AD07B" w14:textId="77777777">
        <w:trPr>
          <w:cnfStyle w:val="000000010000" w:firstRow="0" w:lastRow="0" w:firstColumn="0" w:lastColumn="0" w:oddVBand="0" w:evenVBand="0" w:oddHBand="0" w:evenHBand="1" w:firstRowFirstColumn="0" w:firstRowLastColumn="0" w:lastRowFirstColumn="0" w:lastRowLastColumn="0"/>
          <w:cantSplit/>
        </w:trPr>
        <w:tc>
          <w:tcPr>
            <w:tcW w:w="776" w:type="pct"/>
            <w:vAlign w:val="center"/>
          </w:tcPr>
          <w:p w14:paraId="1F8D8E0C" w14:textId="77777777" w:rsidR="00046BD5" w:rsidRPr="00DE108C" w:rsidRDefault="00046BD5" w:rsidP="00ED094E">
            <w:pPr>
              <w:pStyle w:val="TableText"/>
              <w:rPr>
                <w:lang w:eastAsia="fr-CA"/>
              </w:rPr>
            </w:pPr>
            <w:r w:rsidRPr="00DE108C">
              <w:rPr>
                <w:szCs w:val="16"/>
              </w:rPr>
              <w:t xml:space="preserve">Greater Western Water </w:t>
            </w:r>
          </w:p>
        </w:tc>
        <w:tc>
          <w:tcPr>
            <w:tcW w:w="445" w:type="pct"/>
            <w:vAlign w:val="center"/>
          </w:tcPr>
          <w:p w14:paraId="148F18E9"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 per month</w:t>
            </w:r>
          </w:p>
        </w:tc>
        <w:tc>
          <w:tcPr>
            <w:tcW w:w="630" w:type="pct"/>
          </w:tcPr>
          <w:p w14:paraId="4796A5C8" w14:textId="776BE95C" w:rsidR="009C57CB" w:rsidRPr="000C092E" w:rsidRDefault="0046489D" w:rsidP="00E1797F">
            <w:pPr>
              <w:pStyle w:val="TableBody"/>
              <w:jc w:val="right"/>
              <w:rPr>
                <w:rFonts w:asciiTheme="majorHAnsi" w:hAnsiTheme="majorHAnsi"/>
                <w:szCs w:val="16"/>
              </w:rPr>
            </w:pPr>
            <w:r w:rsidRPr="000C092E">
              <w:rPr>
                <w:rFonts w:asciiTheme="majorHAnsi" w:hAnsiTheme="majorHAnsi"/>
                <w:szCs w:val="16"/>
              </w:rPr>
              <w:t>8,</w:t>
            </w:r>
            <w:r w:rsidR="00DF0455" w:rsidRPr="000C092E">
              <w:rPr>
                <w:rFonts w:asciiTheme="majorHAnsi" w:hAnsiTheme="majorHAnsi"/>
                <w:szCs w:val="16"/>
              </w:rPr>
              <w:t>351,933.39</w:t>
            </w:r>
          </w:p>
        </w:tc>
        <w:tc>
          <w:tcPr>
            <w:tcW w:w="630" w:type="pct"/>
          </w:tcPr>
          <w:p w14:paraId="50BB5F1C" w14:textId="3FF3A37A" w:rsidR="00046BD5" w:rsidRPr="000C092E" w:rsidRDefault="00E1797F" w:rsidP="00E1797F">
            <w:pPr>
              <w:pStyle w:val="TableBody"/>
              <w:jc w:val="right"/>
              <w:rPr>
                <w:lang w:eastAsia="fr-CA"/>
              </w:rPr>
            </w:pPr>
            <w:r w:rsidRPr="000C092E">
              <w:t xml:space="preserve">   9,</w:t>
            </w:r>
            <w:r w:rsidR="009C03C8" w:rsidRPr="000C092E">
              <w:t>008,558.71</w:t>
            </w:r>
            <w:r w:rsidRPr="000C092E">
              <w:t xml:space="preserve"> </w:t>
            </w:r>
          </w:p>
        </w:tc>
        <w:tc>
          <w:tcPr>
            <w:tcW w:w="630" w:type="pct"/>
            <w:vAlign w:val="center"/>
          </w:tcPr>
          <w:p w14:paraId="3F3CA56A" w14:textId="489CF9B8" w:rsidR="00046BD5" w:rsidRPr="000C092E" w:rsidRDefault="009C03C8" w:rsidP="00E1797F">
            <w:pPr>
              <w:pStyle w:val="TableBody"/>
              <w:jc w:val="right"/>
              <w:rPr>
                <w:lang w:eastAsia="fr-CA"/>
              </w:rPr>
            </w:pPr>
            <w:r w:rsidRPr="000C092E">
              <w:t xml:space="preserve">   9,716,807.63 </w:t>
            </w:r>
          </w:p>
        </w:tc>
        <w:tc>
          <w:tcPr>
            <w:tcW w:w="630" w:type="pct"/>
            <w:vAlign w:val="center"/>
          </w:tcPr>
          <w:p w14:paraId="14A2B119" w14:textId="27E448D9" w:rsidR="00046BD5" w:rsidRPr="000C092E" w:rsidRDefault="009C03C8" w:rsidP="00E1797F">
            <w:pPr>
              <w:pStyle w:val="TableBody"/>
              <w:jc w:val="right"/>
              <w:rPr>
                <w:lang w:eastAsia="fr-CA"/>
              </w:rPr>
            </w:pPr>
            <w:r w:rsidRPr="000C092E">
              <w:t xml:space="preserve">  10,480,738.77 </w:t>
            </w:r>
          </w:p>
        </w:tc>
        <w:tc>
          <w:tcPr>
            <w:tcW w:w="630" w:type="pct"/>
            <w:vAlign w:val="center"/>
          </w:tcPr>
          <w:p w14:paraId="4070BA8A" w14:textId="4892F652" w:rsidR="00046BD5" w:rsidRPr="000C092E" w:rsidRDefault="009C03C8" w:rsidP="00E1797F">
            <w:pPr>
              <w:pStyle w:val="TableBody"/>
              <w:jc w:val="right"/>
              <w:rPr>
                <w:lang w:eastAsia="fr-CA"/>
              </w:rPr>
            </w:pPr>
            <w:r w:rsidRPr="000C092E">
              <w:t xml:space="preserve">  11,304,729.83 </w:t>
            </w:r>
          </w:p>
        </w:tc>
        <w:tc>
          <w:tcPr>
            <w:tcW w:w="629" w:type="pct"/>
            <w:vAlign w:val="center"/>
          </w:tcPr>
          <w:p w14:paraId="3FB10B49" w14:textId="490091AA" w:rsidR="00046BD5" w:rsidRPr="000C092E" w:rsidRDefault="00E1797F" w:rsidP="00E1797F">
            <w:pPr>
              <w:pStyle w:val="TableBody"/>
              <w:jc w:val="right"/>
              <w:rPr>
                <w:lang w:eastAsia="fr-CA"/>
              </w:rPr>
            </w:pPr>
            <w:r w:rsidRPr="000C092E">
              <w:t xml:space="preserve">  </w:t>
            </w:r>
            <w:r w:rsidR="009C03C8" w:rsidRPr="000C092E">
              <w:t>12,193,502</w:t>
            </w:r>
            <w:r w:rsidRPr="000C092E">
              <w:t xml:space="preserve">.71 </w:t>
            </w:r>
          </w:p>
        </w:tc>
      </w:tr>
      <w:tr w:rsidR="00046BD5" w:rsidRPr="00DE108C" w14:paraId="0AD20552" w14:textId="77777777">
        <w:trPr>
          <w:cantSplit/>
        </w:trPr>
        <w:tc>
          <w:tcPr>
            <w:tcW w:w="776" w:type="pct"/>
            <w:vAlign w:val="center"/>
          </w:tcPr>
          <w:p w14:paraId="67ECB3CE" w14:textId="77777777" w:rsidR="00046BD5" w:rsidRPr="00DE108C" w:rsidRDefault="00046BD5" w:rsidP="00ED094E">
            <w:pPr>
              <w:pStyle w:val="TableText"/>
              <w:rPr>
                <w:szCs w:val="16"/>
              </w:rPr>
            </w:pPr>
            <w:r w:rsidRPr="00DE108C">
              <w:rPr>
                <w:szCs w:val="16"/>
              </w:rPr>
              <w:t xml:space="preserve">South East Water </w:t>
            </w:r>
          </w:p>
        </w:tc>
        <w:tc>
          <w:tcPr>
            <w:tcW w:w="445" w:type="pct"/>
            <w:vAlign w:val="center"/>
          </w:tcPr>
          <w:p w14:paraId="7EBADDB8"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 per month</w:t>
            </w:r>
          </w:p>
        </w:tc>
        <w:tc>
          <w:tcPr>
            <w:tcW w:w="630" w:type="pct"/>
            <w:vAlign w:val="center"/>
          </w:tcPr>
          <w:p w14:paraId="25CD2870" w14:textId="35D38A16" w:rsidR="009C57CB" w:rsidRPr="000C092E" w:rsidRDefault="00DF0455" w:rsidP="00E1797F">
            <w:pPr>
              <w:pStyle w:val="TableBody"/>
              <w:jc w:val="right"/>
              <w:rPr>
                <w:rFonts w:asciiTheme="majorHAnsi" w:hAnsiTheme="majorHAnsi"/>
                <w:szCs w:val="16"/>
              </w:rPr>
            </w:pPr>
            <w:r w:rsidRPr="000C092E">
              <w:rPr>
                <w:rFonts w:asciiTheme="majorHAnsi" w:hAnsiTheme="majorHAnsi"/>
                <w:szCs w:val="16"/>
              </w:rPr>
              <w:t>17,415,949.88</w:t>
            </w:r>
          </w:p>
        </w:tc>
        <w:tc>
          <w:tcPr>
            <w:tcW w:w="630" w:type="pct"/>
            <w:vAlign w:val="center"/>
          </w:tcPr>
          <w:p w14:paraId="61D8CDA8" w14:textId="11E9B5E4" w:rsidR="00046BD5" w:rsidRPr="000C092E" w:rsidRDefault="009C03C8" w:rsidP="00E1797F">
            <w:pPr>
              <w:pStyle w:val="TableBody"/>
              <w:jc w:val="right"/>
              <w:rPr>
                <w:rFonts w:asciiTheme="majorHAnsi" w:hAnsiTheme="majorHAnsi"/>
                <w:szCs w:val="16"/>
              </w:rPr>
            </w:pPr>
            <w:r w:rsidRPr="000C092E">
              <w:t xml:space="preserve">  17,907,124.29 </w:t>
            </w:r>
          </w:p>
        </w:tc>
        <w:tc>
          <w:tcPr>
            <w:tcW w:w="630" w:type="pct"/>
            <w:vAlign w:val="center"/>
          </w:tcPr>
          <w:p w14:paraId="5556A2F0" w14:textId="14F9F31B" w:rsidR="00046BD5" w:rsidRPr="000C092E" w:rsidRDefault="00E1797F" w:rsidP="00E1797F">
            <w:pPr>
              <w:pStyle w:val="TableBody"/>
              <w:jc w:val="right"/>
              <w:rPr>
                <w:rFonts w:asciiTheme="majorHAnsi" w:hAnsiTheme="majorHAnsi"/>
                <w:szCs w:val="16"/>
              </w:rPr>
            </w:pPr>
            <w:r w:rsidRPr="000C092E">
              <w:t xml:space="preserve">  18,</w:t>
            </w:r>
            <w:r w:rsidR="009C03C8" w:rsidRPr="000C092E">
              <w:t>412,151.08</w:t>
            </w:r>
            <w:r w:rsidRPr="000C092E">
              <w:t xml:space="preserve"> </w:t>
            </w:r>
          </w:p>
        </w:tc>
        <w:tc>
          <w:tcPr>
            <w:tcW w:w="630" w:type="pct"/>
            <w:vAlign w:val="center"/>
          </w:tcPr>
          <w:p w14:paraId="77B5A328" w14:textId="3E302206" w:rsidR="00046BD5" w:rsidRPr="000C092E" w:rsidRDefault="009C03C8" w:rsidP="00E1797F">
            <w:pPr>
              <w:pStyle w:val="TableBody"/>
              <w:jc w:val="right"/>
              <w:rPr>
                <w:rFonts w:asciiTheme="majorHAnsi" w:hAnsiTheme="majorHAnsi"/>
                <w:szCs w:val="16"/>
              </w:rPr>
            </w:pPr>
            <w:r w:rsidRPr="000C092E">
              <w:t xml:space="preserve">  18,931,420.91 </w:t>
            </w:r>
          </w:p>
        </w:tc>
        <w:tc>
          <w:tcPr>
            <w:tcW w:w="630" w:type="pct"/>
            <w:vAlign w:val="center"/>
          </w:tcPr>
          <w:p w14:paraId="0E412ACC" w14:textId="325D3B6A" w:rsidR="00046BD5" w:rsidRPr="000C092E" w:rsidRDefault="009C03C8" w:rsidP="00E1797F">
            <w:pPr>
              <w:pStyle w:val="TableBody"/>
              <w:jc w:val="right"/>
              <w:rPr>
                <w:rFonts w:asciiTheme="majorHAnsi" w:hAnsiTheme="majorHAnsi"/>
                <w:szCs w:val="16"/>
              </w:rPr>
            </w:pPr>
            <w:r w:rsidRPr="000C092E">
              <w:t xml:space="preserve">  19,465,335.49 </w:t>
            </w:r>
          </w:p>
        </w:tc>
        <w:tc>
          <w:tcPr>
            <w:tcW w:w="629" w:type="pct"/>
            <w:vAlign w:val="center"/>
          </w:tcPr>
          <w:p w14:paraId="751391EC" w14:textId="3DBD2607" w:rsidR="00046BD5" w:rsidRPr="000C092E" w:rsidRDefault="009C03C8" w:rsidP="00E1797F">
            <w:pPr>
              <w:pStyle w:val="TableBody"/>
              <w:jc w:val="right"/>
              <w:rPr>
                <w:rFonts w:asciiTheme="majorHAnsi" w:hAnsiTheme="majorHAnsi"/>
                <w:szCs w:val="16"/>
              </w:rPr>
            </w:pPr>
            <w:r w:rsidRPr="000C092E">
              <w:t xml:space="preserve">  20,014,307.82 </w:t>
            </w:r>
          </w:p>
        </w:tc>
      </w:tr>
      <w:tr w:rsidR="00055179" w:rsidRPr="00DE108C" w14:paraId="3983FA19" w14:textId="77777777">
        <w:trPr>
          <w:cnfStyle w:val="000000010000" w:firstRow="0" w:lastRow="0" w:firstColumn="0" w:lastColumn="0" w:oddVBand="0" w:evenVBand="0" w:oddHBand="0" w:evenHBand="1" w:firstRowFirstColumn="0" w:firstRowLastColumn="0" w:lastRowFirstColumn="0" w:lastRowLastColumn="0"/>
          <w:cantSplit/>
        </w:trPr>
        <w:tc>
          <w:tcPr>
            <w:tcW w:w="776" w:type="pct"/>
            <w:vAlign w:val="center"/>
          </w:tcPr>
          <w:p w14:paraId="3622D48F" w14:textId="77777777" w:rsidR="00046BD5" w:rsidRPr="00DE108C" w:rsidRDefault="00046BD5" w:rsidP="00ED094E">
            <w:pPr>
              <w:pStyle w:val="TableText"/>
              <w:rPr>
                <w:szCs w:val="16"/>
              </w:rPr>
            </w:pPr>
            <w:r w:rsidRPr="00DE108C">
              <w:rPr>
                <w:szCs w:val="16"/>
              </w:rPr>
              <w:t xml:space="preserve">Yarra Valley Water </w:t>
            </w:r>
          </w:p>
        </w:tc>
        <w:tc>
          <w:tcPr>
            <w:tcW w:w="445" w:type="pct"/>
            <w:vAlign w:val="center"/>
          </w:tcPr>
          <w:p w14:paraId="71414D82" w14:textId="77777777" w:rsidR="00046BD5" w:rsidRPr="00DE108C" w:rsidRDefault="00046BD5" w:rsidP="00ED094E">
            <w:pPr>
              <w:pStyle w:val="TableText"/>
              <w:rPr>
                <w:rFonts w:asciiTheme="majorHAnsi" w:hAnsiTheme="majorHAnsi" w:cs="Tahoma"/>
                <w:szCs w:val="16"/>
              </w:rPr>
            </w:pPr>
            <w:r w:rsidRPr="00DE108C">
              <w:rPr>
                <w:rFonts w:asciiTheme="majorHAnsi" w:hAnsiTheme="majorHAnsi" w:cs="Tahoma"/>
                <w:szCs w:val="16"/>
              </w:rPr>
              <w:t>$ per month</w:t>
            </w:r>
          </w:p>
        </w:tc>
        <w:tc>
          <w:tcPr>
            <w:tcW w:w="630" w:type="pct"/>
          </w:tcPr>
          <w:p w14:paraId="64185C66" w14:textId="5A549C2F" w:rsidR="009C57CB" w:rsidRPr="000C092E" w:rsidRDefault="00DF0455" w:rsidP="00E1797F">
            <w:pPr>
              <w:pStyle w:val="TableBody"/>
              <w:jc w:val="right"/>
              <w:rPr>
                <w:rFonts w:asciiTheme="majorHAnsi" w:hAnsiTheme="majorHAnsi"/>
                <w:szCs w:val="16"/>
              </w:rPr>
            </w:pPr>
            <w:r w:rsidRPr="000C092E">
              <w:rPr>
                <w:rFonts w:asciiTheme="majorHAnsi" w:hAnsiTheme="majorHAnsi"/>
                <w:szCs w:val="16"/>
              </w:rPr>
              <w:t>15,413,68</w:t>
            </w:r>
            <w:r w:rsidR="009326D3" w:rsidRPr="000C092E">
              <w:rPr>
                <w:rFonts w:asciiTheme="majorHAnsi" w:hAnsiTheme="majorHAnsi"/>
                <w:szCs w:val="16"/>
              </w:rPr>
              <w:t>6</w:t>
            </w:r>
            <w:r w:rsidRPr="000C092E">
              <w:rPr>
                <w:rFonts w:asciiTheme="majorHAnsi" w:hAnsiTheme="majorHAnsi"/>
                <w:szCs w:val="16"/>
              </w:rPr>
              <w:t>.52</w:t>
            </w:r>
          </w:p>
        </w:tc>
        <w:tc>
          <w:tcPr>
            <w:tcW w:w="630" w:type="pct"/>
          </w:tcPr>
          <w:p w14:paraId="71477314" w14:textId="773BEC83" w:rsidR="00046BD5" w:rsidRPr="000C092E" w:rsidRDefault="00E1797F" w:rsidP="00E1797F">
            <w:pPr>
              <w:pStyle w:val="TableBody"/>
              <w:jc w:val="right"/>
              <w:rPr>
                <w:rFonts w:asciiTheme="majorHAnsi" w:hAnsiTheme="majorHAnsi"/>
                <w:szCs w:val="16"/>
              </w:rPr>
            </w:pPr>
            <w:r w:rsidRPr="000C092E">
              <w:t xml:space="preserve">  18,</w:t>
            </w:r>
            <w:r w:rsidR="009C03C8" w:rsidRPr="000C092E">
              <w:t>009,276.81</w:t>
            </w:r>
            <w:r w:rsidRPr="000C092E">
              <w:t xml:space="preserve"> </w:t>
            </w:r>
          </w:p>
        </w:tc>
        <w:tc>
          <w:tcPr>
            <w:tcW w:w="630" w:type="pct"/>
            <w:vAlign w:val="center"/>
          </w:tcPr>
          <w:p w14:paraId="5D16B409" w14:textId="3D39C63C" w:rsidR="00046BD5" w:rsidRPr="000C092E" w:rsidRDefault="00E1797F" w:rsidP="00E1797F">
            <w:pPr>
              <w:pStyle w:val="TableBody"/>
              <w:jc w:val="right"/>
              <w:rPr>
                <w:rFonts w:asciiTheme="majorHAnsi" w:hAnsiTheme="majorHAnsi"/>
                <w:szCs w:val="16"/>
              </w:rPr>
            </w:pPr>
            <w:r w:rsidRPr="000C092E">
              <w:t xml:space="preserve">  18,</w:t>
            </w:r>
            <w:r w:rsidR="009C03C8" w:rsidRPr="000C092E">
              <w:t>049,712.48</w:t>
            </w:r>
            <w:r w:rsidRPr="000C092E">
              <w:t xml:space="preserve"> </w:t>
            </w:r>
          </w:p>
        </w:tc>
        <w:tc>
          <w:tcPr>
            <w:tcW w:w="630" w:type="pct"/>
            <w:vAlign w:val="center"/>
          </w:tcPr>
          <w:p w14:paraId="4B059B28" w14:textId="2346B2DD" w:rsidR="00046BD5" w:rsidRPr="000C092E" w:rsidRDefault="00E1797F" w:rsidP="00E1797F">
            <w:pPr>
              <w:pStyle w:val="TableBody"/>
              <w:jc w:val="right"/>
              <w:rPr>
                <w:rFonts w:asciiTheme="majorHAnsi" w:hAnsiTheme="majorHAnsi"/>
                <w:szCs w:val="16"/>
              </w:rPr>
            </w:pPr>
            <w:r w:rsidRPr="000C092E">
              <w:t xml:space="preserve">  18,</w:t>
            </w:r>
            <w:r w:rsidR="009C03C8" w:rsidRPr="000C092E">
              <w:t>090,238.94</w:t>
            </w:r>
            <w:r w:rsidRPr="000C092E">
              <w:t xml:space="preserve"> </w:t>
            </w:r>
          </w:p>
        </w:tc>
        <w:tc>
          <w:tcPr>
            <w:tcW w:w="630" w:type="pct"/>
            <w:vAlign w:val="center"/>
          </w:tcPr>
          <w:p w14:paraId="311E17DD" w14:textId="7C671AFD" w:rsidR="00046BD5" w:rsidRPr="000C092E" w:rsidRDefault="00E1797F" w:rsidP="00E1797F">
            <w:pPr>
              <w:pStyle w:val="TableBody"/>
              <w:jc w:val="right"/>
              <w:rPr>
                <w:rFonts w:asciiTheme="majorHAnsi" w:hAnsiTheme="majorHAnsi"/>
                <w:szCs w:val="16"/>
              </w:rPr>
            </w:pPr>
            <w:r w:rsidRPr="000C092E">
              <w:t xml:space="preserve">  18,</w:t>
            </w:r>
            <w:r w:rsidR="009C03C8" w:rsidRPr="000C092E">
              <w:t>130,856.39</w:t>
            </w:r>
            <w:r w:rsidRPr="000C092E">
              <w:t xml:space="preserve"> </w:t>
            </w:r>
          </w:p>
        </w:tc>
        <w:tc>
          <w:tcPr>
            <w:tcW w:w="629" w:type="pct"/>
            <w:vAlign w:val="center"/>
          </w:tcPr>
          <w:p w14:paraId="6A8633F4" w14:textId="1A834E2E" w:rsidR="00046BD5" w:rsidRPr="000C092E" w:rsidRDefault="00E1797F" w:rsidP="00E1797F">
            <w:pPr>
              <w:pStyle w:val="TableBody"/>
              <w:jc w:val="right"/>
              <w:rPr>
                <w:rFonts w:asciiTheme="majorHAnsi" w:hAnsiTheme="majorHAnsi"/>
                <w:szCs w:val="16"/>
              </w:rPr>
            </w:pPr>
            <w:r w:rsidRPr="000C092E">
              <w:t xml:space="preserve">  18,</w:t>
            </w:r>
            <w:r w:rsidR="009C03C8" w:rsidRPr="000C092E">
              <w:t>171,565.04</w:t>
            </w:r>
            <w:r w:rsidRPr="000C092E">
              <w:t xml:space="preserve"> </w:t>
            </w:r>
          </w:p>
        </w:tc>
      </w:tr>
    </w:tbl>
    <w:p w14:paraId="577C433B" w14:textId="77777777" w:rsidR="009C57CB" w:rsidRPr="00DE108C" w:rsidRDefault="009C57CB" w:rsidP="00ED094E">
      <w:pPr>
        <w:pStyle w:val="BodyText"/>
        <w:rPr>
          <w:lang w:eastAsia="fr-CA"/>
        </w:rPr>
        <w:sectPr w:rsidR="009C57CB" w:rsidRPr="00DE108C" w:rsidSect="009C57CB">
          <w:pgSz w:w="16838" w:h="11906" w:orient="landscape" w:code="9"/>
          <w:pgMar w:top="1134" w:right="1134" w:bottom="1134" w:left="1134" w:header="567" w:footer="680" w:gutter="0"/>
          <w:cols w:space="708"/>
          <w:docGrid w:linePitch="360"/>
        </w:sectPr>
      </w:pPr>
    </w:p>
    <w:p w14:paraId="171E5E7C" w14:textId="77777777" w:rsidR="00046BD5" w:rsidRPr="00DE108C" w:rsidRDefault="00046BD5" w:rsidP="00ED094E">
      <w:pPr>
        <w:pStyle w:val="BodyText"/>
        <w:rPr>
          <w:lang w:eastAsia="fr-CA"/>
        </w:rPr>
      </w:pPr>
    </w:p>
    <w:p w14:paraId="52121252" w14:textId="77777777" w:rsidR="00046BD5" w:rsidRPr="00DE108C" w:rsidRDefault="00046BD5">
      <w:pPr>
        <w:pStyle w:val="Heading2"/>
      </w:pPr>
      <w:bookmarkStart w:id="1157" w:name="_Toc207892935"/>
      <w:bookmarkStart w:id="1158" w:name="_Toc207853428"/>
      <w:bookmarkStart w:id="1159" w:name="_Toc196745303"/>
      <w:r w:rsidRPr="00DE108C">
        <w:t>11.3 Water and sewerage customer contributions</w:t>
      </w:r>
      <w:bookmarkEnd w:id="1157"/>
      <w:bookmarkEnd w:id="1158"/>
    </w:p>
    <w:p w14:paraId="1A55B08E" w14:textId="2791CF32" w:rsidR="00046BD5" w:rsidRPr="00DE108C" w:rsidRDefault="00046BD5" w:rsidP="00ED094E">
      <w:pPr>
        <w:rPr>
          <w:rFonts w:eastAsia="Verdana"/>
        </w:rPr>
      </w:pPr>
      <w:r w:rsidRPr="00DE108C">
        <w:rPr>
          <w:rFonts w:eastAsia="Verdana"/>
        </w:rPr>
        <w:t>Water corporations have received applications for very large connections, such as those from hyper-scale data centres with projected instantaneous or annual demands exceeding those of nearly all top 30 non-residential customers in Melbourne. We have not accounted for this in our demand forecasts or expenditure planning. We feel it would be prudent to collect upfront capital contributions for any bring-forward or augmentation of headworks, transfer or treatment assets required to serve these very large customers, so that the financial burden of accelerating major capital works does not fall on the broader customer base.</w:t>
      </w:r>
    </w:p>
    <w:p w14:paraId="6462FD1E" w14:textId="588E902E" w:rsidR="00046BD5" w:rsidRPr="00DE108C" w:rsidRDefault="00046BD5" w:rsidP="00ED094E">
      <w:r w:rsidRPr="00DE108C">
        <w:rPr>
          <w:rFonts w:eastAsia="Verdana"/>
        </w:rPr>
        <w:t xml:space="preserve">Under the New Customer Contributions (NCC) framework, water corporations that directly serve customers can collect upfront contributions for capital works to serve growth. Metropolitan retail water businesses have not directly collected contributions towards wholesale-scale infrastructure, beyond a forecast of Melbourne Water’s incremental bulk charges in their NCC pricing models. </w:t>
      </w:r>
      <w:r w:rsidRPr="00DE108C">
        <w:t xml:space="preserve">While this approach has been broadly suitable to date, it may no longer be sufficient to protect the long term interests of Victorian water customers or meet the </w:t>
      </w:r>
      <w:r w:rsidR="2E7E146F" w:rsidRPr="00DE108C">
        <w:t>ESC</w:t>
      </w:r>
      <w:r w:rsidRPr="00DE108C">
        <w:t>’s NCC framework objectives</w:t>
      </w:r>
      <w:r w:rsidRPr="01FDEA01">
        <w:rPr>
          <w:rStyle w:val="FootnoteReference"/>
          <w:rFonts w:eastAsiaTheme="minorEastAsia"/>
          <w:sz w:val="22"/>
          <w:szCs w:val="22"/>
        </w:rPr>
        <w:footnoteReference w:id="29"/>
      </w:r>
      <w:r w:rsidRPr="00DE108C">
        <w:t xml:space="preserve"> given the scale and cost of upcoming infrastructure augmentations. </w:t>
      </w:r>
    </w:p>
    <w:p w14:paraId="44955751" w14:textId="3C2F1ED5" w:rsidR="00046BD5" w:rsidRPr="00DE108C" w:rsidRDefault="00046BD5" w:rsidP="00ED094E">
      <w:pPr>
        <w:rPr>
          <w:rFonts w:eastAsia="Verdana"/>
        </w:rPr>
      </w:pPr>
      <w:r w:rsidRPr="00DE108C">
        <w:rPr>
          <w:rFonts w:eastAsia="Verdana"/>
        </w:rPr>
        <w:t>There is no equivalent scheme that presently exists for Melbourne Water to collect capital contributions towards water or sewerage services as we do not currently provide directly to households or businesses. This is different to our established scheme for collecting contributions from developers in greenfield areas for waterways and drainage (refer to Section 8.2</w:t>
      </w:r>
      <w:r w:rsidR="0A79CA12" w:rsidRPr="2E78045B">
        <w:rPr>
          <w:rFonts w:eastAsia="Verdana"/>
        </w:rPr>
        <w:t xml:space="preserve"> (Developer contributions)</w:t>
      </w:r>
      <w:r w:rsidRPr="2E78045B">
        <w:rPr>
          <w:rFonts w:eastAsia="Verdana"/>
        </w:rPr>
        <w:t>).</w:t>
      </w:r>
    </w:p>
    <w:p w14:paraId="30439C16" w14:textId="6CF2F63A" w:rsidR="00046BD5" w:rsidRPr="00DE108C" w:rsidRDefault="00046BD5" w:rsidP="00ED094E">
      <w:pPr>
        <w:rPr>
          <w:rFonts w:eastAsia="Verdana"/>
        </w:rPr>
      </w:pPr>
      <w:r w:rsidRPr="00DE108C">
        <w:rPr>
          <w:rFonts w:eastAsia="Verdana"/>
        </w:rPr>
        <w:t xml:space="preserve">To address this gap, Melbourne Water proposes to introduce a mechanism that would ensure existing customers are not disadvantaged when new, large customers connect to Melbourne Water’s network. This mechanism proposes to recover the costs of developing appropriate servicing options, and bringing forward augmentations </w:t>
      </w:r>
      <w:r w:rsidR="3A260D97" w:rsidRPr="695C9200">
        <w:rPr>
          <w:rFonts w:eastAsia="Verdana"/>
        </w:rPr>
        <w:t xml:space="preserve">to </w:t>
      </w:r>
      <w:r w:rsidRPr="00DE108C">
        <w:rPr>
          <w:rFonts w:eastAsia="Verdana"/>
        </w:rPr>
        <w:t xml:space="preserve">our headworks, transfer, or treatment infrastructure. The costs for investigating service requirements will be recovered through a miscellaneous fee on a cost recovery basis – consistent with the current pricing principles in Schedule 4.5 of Melbourne Water’s 2021 </w:t>
      </w:r>
      <w:r w:rsidR="0124D8E4" w:rsidRPr="298BB511">
        <w:rPr>
          <w:rFonts w:eastAsia="Verdana"/>
        </w:rPr>
        <w:t>D</w:t>
      </w:r>
      <w:r w:rsidRPr="00DE108C">
        <w:rPr>
          <w:rFonts w:eastAsia="Verdana"/>
        </w:rPr>
        <w:t>etermination.</w:t>
      </w:r>
    </w:p>
    <w:p w14:paraId="2CC7D3C8" w14:textId="3FDD1232" w:rsidR="00046BD5" w:rsidRPr="00DE108C" w:rsidRDefault="00046BD5" w:rsidP="00ED094E">
      <w:pPr>
        <w:rPr>
          <w:rFonts w:eastAsia="Verdana"/>
        </w:rPr>
      </w:pPr>
      <w:r w:rsidRPr="00DE108C">
        <w:rPr>
          <w:rFonts w:eastAsia="Verdana"/>
        </w:rPr>
        <w:t xml:space="preserve">Given the emerging nature of this issue and recent guidance from the </w:t>
      </w:r>
      <w:r w:rsidR="04B330EE" w:rsidRPr="298BB511">
        <w:rPr>
          <w:rFonts w:eastAsia="Verdana"/>
        </w:rPr>
        <w:t>ESC</w:t>
      </w:r>
      <w:r w:rsidRPr="00DE108C">
        <w:rPr>
          <w:rFonts w:eastAsia="Verdana"/>
        </w:rPr>
        <w:t xml:space="preserve">, Melbourne Water has not yet defined the specific mechanisms for implementing this proposal. We have also not yet engaged with customers or the community on the matter. </w:t>
      </w:r>
    </w:p>
    <w:p w14:paraId="6EB44F44" w14:textId="59CC60A4" w:rsidR="00046BD5" w:rsidRDefault="00046BD5" w:rsidP="00ED094E">
      <w:pPr>
        <w:rPr>
          <w:rFonts w:eastAsia="Verdana"/>
        </w:rPr>
      </w:pPr>
      <w:r w:rsidRPr="00DE108C">
        <w:rPr>
          <w:rFonts w:eastAsia="Verdana"/>
        </w:rPr>
        <w:t xml:space="preserve">Melbourne Water proposes to work collaboratively with customers, the community, our water corporation customers, and the </w:t>
      </w:r>
      <w:r w:rsidR="31D27DC2" w:rsidRPr="298BB511">
        <w:rPr>
          <w:rFonts w:eastAsia="Verdana"/>
        </w:rPr>
        <w:t>ESC</w:t>
      </w:r>
      <w:r w:rsidRPr="00DE108C">
        <w:rPr>
          <w:rFonts w:eastAsia="Verdana"/>
        </w:rPr>
        <w:t xml:space="preserve"> to shape the structure and operation of the new water and sewerage capital contributions and negotiating framework. We intend this would apply to the connected water corporations, or in the case of a directly connected customer, during the 2026–31 regulatory period.</w:t>
      </w:r>
    </w:p>
    <w:p w14:paraId="1651E209" w14:textId="77777777" w:rsidR="00046BD5" w:rsidRPr="00DE108C" w:rsidRDefault="00046BD5">
      <w:pPr>
        <w:pStyle w:val="Heading2"/>
      </w:pPr>
      <w:bookmarkStart w:id="1160" w:name="_Toc207892936"/>
      <w:bookmarkStart w:id="1161" w:name="_Toc207853429"/>
      <w:r w:rsidRPr="00DE108C">
        <w:lastRenderedPageBreak/>
        <w:t>11.4 Waterways and drainage</w:t>
      </w:r>
      <w:bookmarkEnd w:id="1159"/>
      <w:r w:rsidRPr="00DE108C">
        <w:t xml:space="preserve"> charges</w:t>
      </w:r>
      <w:bookmarkEnd w:id="1160"/>
      <w:bookmarkEnd w:id="1161"/>
    </w:p>
    <w:p w14:paraId="5E593056" w14:textId="77777777" w:rsidR="00046BD5" w:rsidRPr="00DE108C" w:rsidRDefault="00046BD5" w:rsidP="00E1797F">
      <w:pPr>
        <w:keepNext/>
        <w:keepLines/>
      </w:pPr>
      <w:r w:rsidRPr="00DE108C">
        <w:t>Our waterways and drainage charges include:</w:t>
      </w:r>
    </w:p>
    <w:p w14:paraId="1EA02E82" w14:textId="37E6A86F" w:rsidR="00046BD5" w:rsidRPr="00DE108C" w:rsidRDefault="00046BD5" w:rsidP="003C606E">
      <w:pPr>
        <w:pStyle w:val="ListBullet"/>
      </w:pPr>
      <w:r w:rsidRPr="002E3BDE">
        <w:rPr>
          <w:b/>
        </w:rPr>
        <w:t xml:space="preserve">Core charges: </w:t>
      </w:r>
      <w:r w:rsidRPr="00DE108C">
        <w:t>Residential, Non-residential and Rural charges for all rateable properties within our service area</w:t>
      </w:r>
      <w:r w:rsidR="735D845F">
        <w:t>.</w:t>
      </w:r>
    </w:p>
    <w:p w14:paraId="0224EDD9" w14:textId="77777777" w:rsidR="00046BD5" w:rsidRPr="00DE108C" w:rsidRDefault="00046BD5" w:rsidP="003C606E">
      <w:pPr>
        <w:pStyle w:val="ListBullet"/>
      </w:pPr>
      <w:r w:rsidRPr="6CE4EA7C">
        <w:rPr>
          <w:b/>
        </w:rPr>
        <w:t>Special area charges:</w:t>
      </w:r>
      <w:r w:rsidRPr="00DE108C">
        <w:t xml:space="preserve"> Patterson Lakes, Quiet Lakes, Diversions, Koo Wee Rup, and miscellaneous fees and charges.</w:t>
      </w:r>
    </w:p>
    <w:p w14:paraId="5DC54F49" w14:textId="77777777" w:rsidR="00046BD5" w:rsidRPr="00DE108C" w:rsidRDefault="00046BD5">
      <w:pPr>
        <w:pStyle w:val="Heading3"/>
      </w:pPr>
      <w:r w:rsidRPr="00DE108C">
        <w:t>11.4.1 Approach and customer consultation</w:t>
      </w:r>
    </w:p>
    <w:p w14:paraId="757F78DD" w14:textId="77777777" w:rsidR="00046BD5" w:rsidRPr="00DE108C" w:rsidRDefault="00046BD5" w:rsidP="00ED094E">
      <w:r w:rsidRPr="00DE108C">
        <w:t xml:space="preserve">We engaged with our deliberative panel on core waterways and drainage charges, as well as bespoke engagements specifically with our special area charge customers. We heard from the deliberative panel that it is important that our charges reflect our costs. </w:t>
      </w:r>
    </w:p>
    <w:p w14:paraId="364CA2DB" w14:textId="77777777" w:rsidR="00046BD5" w:rsidRPr="00DE108C" w:rsidRDefault="00046BD5">
      <w:pPr>
        <w:pStyle w:val="Heading3"/>
      </w:pPr>
      <w:bookmarkStart w:id="1162" w:name="_Toc196745304"/>
      <w:r w:rsidRPr="00DE108C">
        <w:t>11.4.2 Core waterways and drainage</w:t>
      </w:r>
      <w:bookmarkEnd w:id="1162"/>
    </w:p>
    <w:p w14:paraId="35108D0B" w14:textId="38DF4A45" w:rsidR="00046BD5" w:rsidRPr="00DE108C" w:rsidRDefault="00046BD5" w:rsidP="00ED094E">
      <w:r w:rsidRPr="00DE108C">
        <w:t xml:space="preserve">We are proposing to continue our current tariff structures for core waterways and drainage charges, except for completion of the transition of all non-residential customers to a flat charge in preparation for further tariff reform in </w:t>
      </w:r>
      <w:r w:rsidR="00EE76AF">
        <w:t>future regulatory periods</w:t>
      </w:r>
      <w:r w:rsidRPr="00DE108C">
        <w:t>.</w:t>
      </w:r>
      <w:r w:rsidR="00760F22" w:rsidRPr="00DE108C">
        <w:t xml:space="preserve"> Existing and proposed core waterways and drainage tariff structures are outlined in Table 11.14.</w:t>
      </w:r>
    </w:p>
    <w:p w14:paraId="56FF9E89" w14:textId="77777777" w:rsidR="00046BD5" w:rsidRPr="00DE108C" w:rsidRDefault="00046BD5" w:rsidP="00ED094E">
      <w:r w:rsidRPr="00DE108C">
        <w:t xml:space="preserve">We are not proposing any changes to the mix of residential and rural tariffs. Rural waterways and drainage tariffs will continue to be set at 0.5 times the rate of the residential tariff. </w:t>
      </w:r>
    </w:p>
    <w:p w14:paraId="2771C8CF" w14:textId="3290CB69" w:rsidR="00046BD5" w:rsidRPr="00DE108C" w:rsidRDefault="00046BD5" w:rsidP="00ED094E">
      <w:r w:rsidRPr="00DE108C">
        <w:t>Since 2016, Melbourne Water has been investigating different tariff options for non-residential customers that reflect the impact these customers have on the waterways and drainage system. In 2016, we commenced transitioning customers off the rate in the NAV and increasing the flat charge such that it is approximately 1.5 times the residential charge. Since 2016, we have transitioned over 70,000 customers off the NAV</w:t>
      </w:r>
      <w:r w:rsidR="1B3A4FEA">
        <w:t>,</w:t>
      </w:r>
      <w:r w:rsidRPr="00DE108C">
        <w:t xml:space="preserve"> meaning we still </w:t>
      </w:r>
      <w:r>
        <w:t>ha</w:t>
      </w:r>
      <w:r w:rsidR="4F5CF66F">
        <w:t>ve</w:t>
      </w:r>
      <w:r w:rsidRPr="00DE108C">
        <w:t xml:space="preserve"> approximately 35,000 customers on the NAV. </w:t>
      </w:r>
    </w:p>
    <w:p w14:paraId="53317B46" w14:textId="5A89DB01" w:rsidR="00046BD5" w:rsidRPr="00DE108C" w:rsidRDefault="00046BD5" w:rsidP="00ED094E">
      <w:r w:rsidRPr="00DE108C">
        <w:t xml:space="preserve">In our </w:t>
      </w:r>
      <w:r w:rsidR="48B0E7A6">
        <w:t xml:space="preserve">PS26 </w:t>
      </w:r>
      <w:r w:rsidRPr="00DE108C">
        <w:t>customer engagement</w:t>
      </w:r>
      <w:r w:rsidR="48F8AD75">
        <w:t xml:space="preserve">, </w:t>
      </w:r>
      <w:r w:rsidRPr="00DE108C">
        <w:t xml:space="preserve">we heard that customers </w:t>
      </w:r>
      <w:r w:rsidR="19C99F5C">
        <w:t>with</w:t>
      </w:r>
      <w:r w:rsidRPr="00DE108C">
        <w:t xml:space="preserve"> a larger impact should pay more. We have also heard from the ESC and stakeholders that moving to more cost-reflective waterways and drainage pricing may lead to improved outcomes for waterways. </w:t>
      </w:r>
    </w:p>
    <w:p w14:paraId="5DF088CB" w14:textId="6538298A" w:rsidR="007C4A7F" w:rsidRPr="00DE108C" w:rsidRDefault="00046BD5" w:rsidP="00ED094E">
      <w:r w:rsidRPr="00DE108C">
        <w:t xml:space="preserve">Over the next regulatory period, we will work closely with Government, developers, key stakeholders, non-residential customers and the broader community on the best form of tariff structure. This will consider current Government objectives and aspirations outlined in the </w:t>
      </w:r>
      <w:r w:rsidRPr="00DE4E05">
        <w:rPr>
          <w:i/>
        </w:rPr>
        <w:t>Housing Statement</w:t>
      </w:r>
      <w:r w:rsidRPr="00DE108C">
        <w:t xml:space="preserve"> and the delivery of the </w:t>
      </w:r>
      <w:r w:rsidR="56B6F086">
        <w:t>A</w:t>
      </w:r>
      <w:r>
        <w:t xml:space="preserve">ctivity </w:t>
      </w:r>
      <w:r w:rsidR="6503DBAE">
        <w:t>C</w:t>
      </w:r>
      <w:r w:rsidRPr="00DE108C">
        <w:t>entres, including large re-development sites</w:t>
      </w:r>
      <w:r w:rsidR="0C4E868D">
        <w:t>,</w:t>
      </w:r>
      <w:r w:rsidRPr="00DE108C">
        <w:t xml:space="preserve"> such as Fishermans Bend and Arden Macauly. </w:t>
      </w:r>
    </w:p>
    <w:p w14:paraId="0A86DE29" w14:textId="555E7B61" w:rsidR="2344914C" w:rsidRDefault="2344914C"/>
    <w:p w14:paraId="67157EF6" w14:textId="77777777" w:rsidR="00046BD5" w:rsidRPr="00DE108C" w:rsidRDefault="00046BD5" w:rsidP="00ED094E">
      <w:pPr>
        <w:pStyle w:val="Caption"/>
      </w:pPr>
      <w:bookmarkStart w:id="1163" w:name="_Toc207893117"/>
      <w:bookmarkStart w:id="1164" w:name="_Toc208490641"/>
      <w:bookmarkStart w:id="1165" w:name="_Toc208490979"/>
      <w:bookmarkStart w:id="1166" w:name="_Toc208911137"/>
      <w:bookmarkStart w:id="1167" w:name="_Toc210051443"/>
      <w:r w:rsidRPr="00DE108C">
        <w:t>Table 11.14: Existing and proposed core waterways and drainage tariffs</w:t>
      </w:r>
      <w:bookmarkEnd w:id="1163"/>
      <w:bookmarkEnd w:id="1164"/>
      <w:bookmarkEnd w:id="1165"/>
      <w:bookmarkEnd w:id="1166"/>
      <w:bookmarkEnd w:id="1167"/>
    </w:p>
    <w:tbl>
      <w:tblPr>
        <w:tblStyle w:val="TableGrid"/>
        <w:tblW w:w="9645" w:type="dxa"/>
        <w:tblLook w:val="04A0" w:firstRow="1" w:lastRow="0" w:firstColumn="1" w:lastColumn="0" w:noHBand="0" w:noVBand="1"/>
      </w:tblPr>
      <w:tblGrid>
        <w:gridCol w:w="4710"/>
        <w:gridCol w:w="4935"/>
      </w:tblGrid>
      <w:tr w:rsidR="005B2F07" w:rsidRPr="00DE108C" w14:paraId="2DD97FF9" w14:textId="77777777" w:rsidTr="4F0A3DD0">
        <w:trPr>
          <w:cnfStyle w:val="100000000000" w:firstRow="1" w:lastRow="0" w:firstColumn="0" w:lastColumn="0" w:oddVBand="0" w:evenVBand="0" w:oddHBand="0" w:evenHBand="0" w:firstRowFirstColumn="0" w:firstRowLastColumn="0" w:lastRowFirstColumn="0" w:lastRowLastColumn="0"/>
          <w:trHeight w:val="195"/>
        </w:trPr>
        <w:tc>
          <w:tcPr>
            <w:tcW w:w="4710" w:type="dxa"/>
            <w:vAlign w:val="center"/>
          </w:tcPr>
          <w:p w14:paraId="3EB47EEE" w14:textId="77777777" w:rsidR="00046BD5" w:rsidRPr="00DE108C" w:rsidRDefault="00046BD5" w:rsidP="00F86182">
            <w:pPr>
              <w:pStyle w:val="TableHeading"/>
              <w:rPr>
                <w:rFonts w:asciiTheme="majorHAnsi" w:hAnsiTheme="majorHAnsi"/>
                <w:b w:val="0"/>
                <w:color w:val="FFFFFF" w:themeColor="background1"/>
                <w:szCs w:val="16"/>
              </w:rPr>
            </w:pPr>
            <w:r w:rsidRPr="69C3E4E9">
              <w:rPr>
                <w:szCs w:val="16"/>
              </w:rPr>
              <w:t>Current Structure</w:t>
            </w:r>
          </w:p>
        </w:tc>
        <w:tc>
          <w:tcPr>
            <w:tcW w:w="4935" w:type="dxa"/>
          </w:tcPr>
          <w:p w14:paraId="2D7648F4" w14:textId="77777777" w:rsidR="00046BD5" w:rsidRPr="00DE108C" w:rsidRDefault="00046BD5" w:rsidP="00F86182">
            <w:pPr>
              <w:pStyle w:val="TableHeading"/>
              <w:rPr>
                <w:szCs w:val="16"/>
              </w:rPr>
            </w:pPr>
            <w:r w:rsidRPr="69C3E4E9">
              <w:rPr>
                <w:szCs w:val="16"/>
              </w:rPr>
              <w:t>Proposed structure</w:t>
            </w:r>
          </w:p>
        </w:tc>
      </w:tr>
      <w:tr w:rsidR="00046BD5" w:rsidRPr="00DE108C" w14:paraId="31CA994F" w14:textId="77777777" w:rsidTr="4F0A3DD0">
        <w:trPr>
          <w:trHeight w:val="195"/>
        </w:trPr>
        <w:tc>
          <w:tcPr>
            <w:tcW w:w="4710" w:type="dxa"/>
          </w:tcPr>
          <w:p w14:paraId="0303FAD4" w14:textId="58D70C2F" w:rsidR="00046BD5" w:rsidRPr="00DE108C" w:rsidRDefault="00046BD5" w:rsidP="45604ED0">
            <w:pPr>
              <w:pStyle w:val="ListBullet"/>
              <w:spacing w:after="100" w:afterAutospacing="1" w:line="320" w:lineRule="atLeast"/>
              <w:ind w:left="270" w:hanging="270"/>
              <w:rPr>
                <w:rFonts w:asciiTheme="majorHAnsi" w:hAnsiTheme="majorHAnsi"/>
                <w:b/>
              </w:rPr>
            </w:pPr>
            <w:r w:rsidRPr="2D7D7EAA">
              <w:rPr>
                <w:sz w:val="16"/>
                <w:szCs w:val="16"/>
              </w:rPr>
              <w:t>Residential on minimum ($ per annum)</w:t>
            </w:r>
          </w:p>
          <w:p w14:paraId="1B1369E0" w14:textId="1F9ED4C9" w:rsidR="00046BD5" w:rsidRPr="00DE108C" w:rsidRDefault="00046BD5" w:rsidP="45604ED0">
            <w:pPr>
              <w:pStyle w:val="ListBullet"/>
              <w:spacing w:after="100" w:afterAutospacing="1" w:line="320" w:lineRule="atLeast"/>
              <w:ind w:left="270" w:hanging="270"/>
              <w:rPr>
                <w:rFonts w:asciiTheme="majorHAnsi" w:hAnsiTheme="majorHAnsi"/>
                <w:b/>
                <w:sz w:val="16"/>
                <w:szCs w:val="16"/>
              </w:rPr>
            </w:pPr>
            <w:r w:rsidRPr="2D7D7EAA">
              <w:rPr>
                <w:sz w:val="16"/>
                <w:szCs w:val="16"/>
              </w:rPr>
              <w:t>Non-residential on minimum ($ per annum)</w:t>
            </w:r>
          </w:p>
          <w:p w14:paraId="1C5A69C7" w14:textId="7B85A9DE" w:rsidR="00046BD5" w:rsidRPr="00DE108C" w:rsidRDefault="00046BD5" w:rsidP="45604ED0">
            <w:pPr>
              <w:pStyle w:val="ListBullet"/>
              <w:spacing w:after="100" w:afterAutospacing="1" w:line="320" w:lineRule="atLeast"/>
              <w:ind w:left="270" w:hanging="270"/>
              <w:rPr>
                <w:rFonts w:asciiTheme="majorHAnsi" w:hAnsiTheme="majorHAnsi"/>
                <w:b/>
                <w:sz w:val="16"/>
                <w:szCs w:val="16"/>
              </w:rPr>
            </w:pPr>
            <w:r w:rsidRPr="2D7D7EAA">
              <w:rPr>
                <w:sz w:val="16"/>
                <w:szCs w:val="16"/>
              </w:rPr>
              <w:t>Non-residential above minimum - Rate in $ NAV (cents per annum)</w:t>
            </w:r>
          </w:p>
          <w:p w14:paraId="489495F9" w14:textId="6B2FEA6C" w:rsidR="00046BD5" w:rsidRPr="00DE108C" w:rsidRDefault="00046BD5" w:rsidP="12E6C8E6">
            <w:pPr>
              <w:pStyle w:val="ListBullet"/>
              <w:spacing w:after="100" w:afterAutospacing="1" w:line="320" w:lineRule="atLeast"/>
              <w:ind w:left="270" w:hanging="270"/>
              <w:rPr>
                <w:rFonts w:asciiTheme="majorHAnsi" w:hAnsiTheme="majorHAnsi"/>
                <w:b/>
                <w:sz w:val="16"/>
                <w:szCs w:val="16"/>
              </w:rPr>
            </w:pPr>
            <w:r w:rsidRPr="2D7D7EAA">
              <w:rPr>
                <w:sz w:val="16"/>
                <w:szCs w:val="16"/>
              </w:rPr>
              <w:t>Rural ($ per annum)</w:t>
            </w:r>
          </w:p>
        </w:tc>
        <w:tc>
          <w:tcPr>
            <w:tcW w:w="4935" w:type="dxa"/>
          </w:tcPr>
          <w:p w14:paraId="074A56FD" w14:textId="77777777" w:rsidR="00046BD5" w:rsidRPr="00DE108C" w:rsidRDefault="00046BD5" w:rsidP="45604ED0">
            <w:pPr>
              <w:pStyle w:val="ListBullet"/>
              <w:spacing w:after="100" w:afterAutospacing="1" w:line="320" w:lineRule="atLeast"/>
              <w:ind w:left="270" w:hanging="270"/>
              <w:rPr>
                <w:sz w:val="16"/>
                <w:szCs w:val="16"/>
              </w:rPr>
            </w:pPr>
            <w:r w:rsidRPr="00DE108C">
              <w:rPr>
                <w:sz w:val="16"/>
                <w:szCs w:val="16"/>
              </w:rPr>
              <w:t>Residential on minimum ($ per annum)</w:t>
            </w:r>
          </w:p>
          <w:p w14:paraId="49F7E01B" w14:textId="77777777" w:rsidR="00046BD5" w:rsidRPr="00DE108C" w:rsidRDefault="00046BD5" w:rsidP="45604ED0">
            <w:pPr>
              <w:pStyle w:val="ListBullet"/>
              <w:spacing w:after="100" w:afterAutospacing="1" w:line="320" w:lineRule="atLeast"/>
              <w:ind w:left="270" w:hanging="270"/>
              <w:rPr>
                <w:sz w:val="16"/>
                <w:szCs w:val="16"/>
              </w:rPr>
            </w:pPr>
            <w:r w:rsidRPr="00DE108C">
              <w:rPr>
                <w:sz w:val="16"/>
                <w:szCs w:val="16"/>
              </w:rPr>
              <w:t>Non-residential on minimum ($ per annum)</w:t>
            </w:r>
          </w:p>
          <w:p w14:paraId="2798F3B8" w14:textId="7F12E699" w:rsidR="00046BD5" w:rsidRPr="00DE108C" w:rsidRDefault="00046BD5" w:rsidP="45604ED0">
            <w:pPr>
              <w:pStyle w:val="ListBullet"/>
              <w:spacing w:after="100" w:afterAutospacing="1" w:line="320" w:lineRule="atLeast"/>
              <w:ind w:left="270" w:hanging="270"/>
              <w:rPr>
                <w:sz w:val="16"/>
                <w:szCs w:val="16"/>
              </w:rPr>
            </w:pPr>
            <w:r w:rsidRPr="00DE108C">
              <w:rPr>
                <w:sz w:val="16"/>
                <w:szCs w:val="16"/>
              </w:rPr>
              <w:t>Rural ($ per annum)</w:t>
            </w:r>
          </w:p>
        </w:tc>
      </w:tr>
    </w:tbl>
    <w:p w14:paraId="44683FC5" w14:textId="77777777" w:rsidR="00046BD5" w:rsidRPr="00DE108C" w:rsidRDefault="00046BD5" w:rsidP="00ED094E">
      <w:r w:rsidRPr="00DE108C">
        <w:t>How each of these tariffs are calculated and applied is described further below.</w:t>
      </w:r>
    </w:p>
    <w:p w14:paraId="6E633AC3" w14:textId="77777777" w:rsidR="00046BD5" w:rsidRPr="00DE108C" w:rsidRDefault="00046BD5">
      <w:pPr>
        <w:pStyle w:val="Heading4"/>
      </w:pPr>
      <w:r w:rsidRPr="00DE108C">
        <w:lastRenderedPageBreak/>
        <w:t>11.4.2.1 Residential on minimum ($ per annum)</w:t>
      </w:r>
    </w:p>
    <w:p w14:paraId="6FD22EA4" w14:textId="67D1BF86" w:rsidR="00046BD5" w:rsidRPr="00DE108C" w:rsidRDefault="00046BD5" w:rsidP="00ED094E">
      <w:r w:rsidRPr="00DE108C">
        <w:t>All residential properties within the Urban Growth Boundary will remain on a single fixed charge</w:t>
      </w:r>
      <w:r w:rsidR="5F189DD6">
        <w:t>,</w:t>
      </w:r>
      <w:r w:rsidRPr="00DE108C">
        <w:t xml:space="preserve"> which reflects the shared regional nature of the service. The annual charge is collected in instalments each quarter by water corporations on Melbourne Water’s behalf.</w:t>
      </w:r>
    </w:p>
    <w:p w14:paraId="6D5447AE" w14:textId="77777777" w:rsidR="00046BD5" w:rsidRPr="00DE108C" w:rsidRDefault="00046BD5">
      <w:pPr>
        <w:pStyle w:val="Heading4"/>
      </w:pPr>
      <w:r w:rsidRPr="00DE108C">
        <w:t>11.4.2.2 Non-residential on minimum ($ per annum)</w:t>
      </w:r>
    </w:p>
    <w:p w14:paraId="554ED306" w14:textId="0C3F99AF" w:rsidR="00046BD5" w:rsidRPr="00DE108C" w:rsidRDefault="00046BD5" w:rsidP="00ED094E">
      <w:r w:rsidRPr="00DE108C">
        <w:t>Non-</w:t>
      </w:r>
      <w:r w:rsidR="41F1D273">
        <w:t>r</w:t>
      </w:r>
      <w:r w:rsidRPr="00DE108C">
        <w:t>esidential customers within the Urban Growth Boundary will transition to a single fixed charge. The non-residential charge is set higher than the residential charge to reflect the relative impact of the customer cohorts on waterways and drainage. The annual charge will be collected in instalments each quarter by water corporations on Melbourne Water’s behalf.</w:t>
      </w:r>
    </w:p>
    <w:p w14:paraId="4C026DE9" w14:textId="77777777" w:rsidR="00046BD5" w:rsidRPr="00DE108C" w:rsidRDefault="00046BD5">
      <w:pPr>
        <w:pStyle w:val="Heading4"/>
      </w:pPr>
      <w:r w:rsidRPr="00DE108C">
        <w:t>11.4.2.3 Rural ($ per annum)</w:t>
      </w:r>
    </w:p>
    <w:p w14:paraId="143F7098" w14:textId="77777777" w:rsidR="00046BD5" w:rsidRPr="00DE108C" w:rsidRDefault="00046BD5" w:rsidP="00ED094E">
      <w:r w:rsidRPr="00DE108C">
        <w:t>A fixed fee is charged to customers within our Waterways Management District but outside the Urban Growth Boundary, who benefit from our waterway services and some aspects of flood protection. They receive a lower charge reflecting the lower level of drainage and flood protection services compared to urban customers. Rural customers will continue to be billed a single fixed charge which is lower than the residential charge.</w:t>
      </w:r>
    </w:p>
    <w:p w14:paraId="60CF2EBD" w14:textId="77777777" w:rsidR="00046BD5" w:rsidRPr="00DE108C" w:rsidRDefault="00046BD5">
      <w:pPr>
        <w:pStyle w:val="Heading4"/>
      </w:pPr>
      <w:r w:rsidRPr="00DE108C">
        <w:t>11.4.2.4 Assessment of proposed structure against Guidance and WIRO</w:t>
      </w:r>
    </w:p>
    <w:p w14:paraId="0740F95B" w14:textId="7521D96A" w:rsidR="00046BD5" w:rsidRPr="00DE108C" w:rsidRDefault="00046BD5" w:rsidP="00ED094E">
      <w:r w:rsidRPr="00DE108C">
        <w:t>The proposed waterways and drainage tariff structure is consistent with each of the ESC’s tariff principles. Table 11.15 outlines how the proposed structure meets the pricing principles included in Clause 11 (d) of the WIRO.</w:t>
      </w:r>
      <w:r w:rsidR="00A85057" w:rsidRPr="00DE108C">
        <w:t xml:space="preserve"> Table 11.16 outlines the proposed waterways and drainage charges from 1 July 2026 to 30 June 2031.</w:t>
      </w:r>
    </w:p>
    <w:p w14:paraId="62AAD2BA" w14:textId="77777777" w:rsidR="00046BD5" w:rsidRPr="00DE108C" w:rsidRDefault="00046BD5" w:rsidP="00ED094E">
      <w:pPr>
        <w:pStyle w:val="Caption"/>
      </w:pPr>
      <w:bookmarkStart w:id="1168" w:name="_Toc207893118"/>
      <w:bookmarkStart w:id="1169" w:name="_Toc208490642"/>
      <w:bookmarkStart w:id="1170" w:name="_Toc208490980"/>
      <w:bookmarkStart w:id="1171" w:name="_Toc208911138"/>
      <w:bookmarkStart w:id="1172" w:name="_Toc210051444"/>
      <w:r w:rsidRPr="00DE108C">
        <w:t>Table 11.15: Waterways and drainage tariff reforms - WIRO pricing principles assessment</w:t>
      </w:r>
      <w:bookmarkEnd w:id="1168"/>
      <w:bookmarkEnd w:id="1169"/>
      <w:bookmarkEnd w:id="1170"/>
      <w:bookmarkEnd w:id="1171"/>
      <w:bookmarkEnd w:id="1172"/>
    </w:p>
    <w:tbl>
      <w:tblPr>
        <w:tblStyle w:val="TableGrid"/>
        <w:tblW w:w="5000" w:type="pct"/>
        <w:tblLook w:val="04A0" w:firstRow="1" w:lastRow="0" w:firstColumn="1" w:lastColumn="0" w:noHBand="0" w:noVBand="1"/>
      </w:tblPr>
      <w:tblGrid>
        <w:gridCol w:w="4814"/>
        <w:gridCol w:w="4814"/>
      </w:tblGrid>
      <w:tr w:rsidR="00A5757A" w:rsidRPr="00DE108C" w14:paraId="1D0F50BE" w14:textId="77777777" w:rsidTr="00F86182">
        <w:trPr>
          <w:cnfStyle w:val="100000000000" w:firstRow="1" w:lastRow="0" w:firstColumn="0" w:lastColumn="0" w:oddVBand="0" w:evenVBand="0" w:oddHBand="0" w:evenHBand="0" w:firstRowFirstColumn="0" w:firstRowLastColumn="0" w:lastRowFirstColumn="0" w:lastRowLastColumn="0"/>
          <w:trHeight w:val="327"/>
        </w:trPr>
        <w:tc>
          <w:tcPr>
            <w:tcW w:w="2500" w:type="pct"/>
          </w:tcPr>
          <w:p w14:paraId="4E630C07" w14:textId="77777777" w:rsidR="00046BD5" w:rsidRPr="000F52E3" w:rsidRDefault="00046BD5" w:rsidP="00F86182">
            <w:pPr>
              <w:pStyle w:val="TableHeading"/>
              <w:rPr>
                <w:szCs w:val="22"/>
              </w:rPr>
            </w:pPr>
            <w:r w:rsidRPr="000F52E3">
              <w:rPr>
                <w:szCs w:val="22"/>
              </w:rPr>
              <w:t>WIRO pricing principles</w:t>
            </w:r>
          </w:p>
        </w:tc>
        <w:tc>
          <w:tcPr>
            <w:tcW w:w="2500" w:type="pct"/>
          </w:tcPr>
          <w:p w14:paraId="48D135F2" w14:textId="77777777" w:rsidR="00046BD5" w:rsidRPr="000F52E3" w:rsidRDefault="00046BD5" w:rsidP="00F86182">
            <w:pPr>
              <w:pStyle w:val="TableHeading"/>
              <w:rPr>
                <w:szCs w:val="22"/>
              </w:rPr>
            </w:pPr>
            <w:r w:rsidRPr="000F52E3">
              <w:rPr>
                <w:szCs w:val="22"/>
              </w:rPr>
              <w:t>How tariff structure meets WIRO pricing principles</w:t>
            </w:r>
          </w:p>
        </w:tc>
      </w:tr>
      <w:tr w:rsidR="00046BD5" w:rsidRPr="00DE108C" w14:paraId="25D5479B" w14:textId="77777777" w:rsidTr="00F86182">
        <w:trPr>
          <w:trHeight w:val="801"/>
        </w:trPr>
        <w:tc>
          <w:tcPr>
            <w:tcW w:w="2500" w:type="pct"/>
          </w:tcPr>
          <w:p w14:paraId="6F995BF7" w14:textId="4D7E414E" w:rsidR="00046BD5" w:rsidRPr="00DE108C" w:rsidRDefault="00046BD5" w:rsidP="00ED094E">
            <w:pPr>
              <w:rPr>
                <w:sz w:val="16"/>
                <w:szCs w:val="16"/>
              </w:rPr>
            </w:pPr>
            <w:r w:rsidRPr="00DE108C">
              <w:rPr>
                <w:sz w:val="16"/>
                <w:szCs w:val="16"/>
              </w:rPr>
              <w:t>11(d) (i) enable customers or potential customers of the regulated entity to easily understand the prices charged by the regulated entity for prescribed services or the manner in which such prices are calculated, determined or otherwise regulated</w:t>
            </w:r>
            <w:r w:rsidR="74A80AF3" w:rsidRPr="05FF3046">
              <w:rPr>
                <w:sz w:val="16"/>
                <w:szCs w:val="16"/>
              </w:rPr>
              <w:t>.</w:t>
            </w:r>
            <w:r w:rsidRPr="00DE108C">
              <w:rPr>
                <w:sz w:val="16"/>
                <w:szCs w:val="16"/>
              </w:rPr>
              <w:t xml:space="preserve"> </w:t>
            </w:r>
          </w:p>
        </w:tc>
        <w:tc>
          <w:tcPr>
            <w:tcW w:w="2500" w:type="pct"/>
          </w:tcPr>
          <w:p w14:paraId="696A15DA" w14:textId="259AC2F1" w:rsidR="00046BD5" w:rsidRPr="00DE108C" w:rsidRDefault="00046BD5" w:rsidP="00ED094E">
            <w:pPr>
              <w:rPr>
                <w:sz w:val="16"/>
                <w:szCs w:val="16"/>
              </w:rPr>
            </w:pPr>
            <w:r w:rsidRPr="00DE108C">
              <w:rPr>
                <w:sz w:val="16"/>
                <w:szCs w:val="16"/>
              </w:rPr>
              <w:t>We have simplified non-residential waterways and drainage charges</w:t>
            </w:r>
            <w:r w:rsidR="5889EB76" w:rsidRPr="3E4C441B">
              <w:rPr>
                <w:sz w:val="16"/>
                <w:szCs w:val="16"/>
              </w:rPr>
              <w:t>,</w:t>
            </w:r>
            <w:r w:rsidRPr="00DE108C">
              <w:rPr>
                <w:sz w:val="16"/>
                <w:szCs w:val="16"/>
              </w:rPr>
              <w:t xml:space="preserve"> which will make them easier </w:t>
            </w:r>
            <w:r w:rsidR="680EB56D" w:rsidRPr="3E4C441B">
              <w:rPr>
                <w:sz w:val="16"/>
                <w:szCs w:val="16"/>
              </w:rPr>
              <w:t>for customers to</w:t>
            </w:r>
            <w:r w:rsidR="00023D0D">
              <w:rPr>
                <w:sz w:val="16"/>
                <w:szCs w:val="16"/>
              </w:rPr>
              <w:t xml:space="preserve"> </w:t>
            </w:r>
            <w:r w:rsidRPr="00DE108C">
              <w:rPr>
                <w:sz w:val="16"/>
                <w:szCs w:val="16"/>
              </w:rPr>
              <w:t>understand</w:t>
            </w:r>
            <w:r w:rsidR="18CFF7DD" w:rsidRPr="3E4C441B">
              <w:rPr>
                <w:sz w:val="16"/>
                <w:szCs w:val="16"/>
              </w:rPr>
              <w:t>.</w:t>
            </w:r>
            <w:r w:rsidRPr="00DE108C">
              <w:rPr>
                <w:sz w:val="16"/>
                <w:szCs w:val="16"/>
              </w:rPr>
              <w:t xml:space="preserve"> </w:t>
            </w:r>
          </w:p>
        </w:tc>
      </w:tr>
      <w:tr w:rsidR="00A5757A" w:rsidRPr="00DE108C" w14:paraId="24055C9F" w14:textId="77777777" w:rsidTr="00F86182">
        <w:trPr>
          <w:cnfStyle w:val="000000010000" w:firstRow="0" w:lastRow="0" w:firstColumn="0" w:lastColumn="0" w:oddVBand="0" w:evenVBand="0" w:oddHBand="0" w:evenHBand="1" w:firstRowFirstColumn="0" w:firstRowLastColumn="0" w:lastRowFirstColumn="0" w:lastRowLastColumn="0"/>
        </w:trPr>
        <w:tc>
          <w:tcPr>
            <w:tcW w:w="2500" w:type="pct"/>
          </w:tcPr>
          <w:p w14:paraId="0228BF02" w14:textId="166BD553" w:rsidR="00046BD5" w:rsidRPr="00DE108C" w:rsidRDefault="00046BD5" w:rsidP="00ED094E">
            <w:pPr>
              <w:rPr>
                <w:sz w:val="16"/>
                <w:szCs w:val="16"/>
              </w:rPr>
            </w:pPr>
            <w:r w:rsidRPr="00DE108C">
              <w:rPr>
                <w:sz w:val="16"/>
                <w:szCs w:val="16"/>
              </w:rPr>
              <w:t>11(d) (ii) provide signals about the efficient costs of providing prescribed services to customers (either collectively or to an individual customer or class of customers) while avoiding price shocks where possible</w:t>
            </w:r>
            <w:r w:rsidR="679C07D5" w:rsidRPr="3E4C441B">
              <w:rPr>
                <w:sz w:val="16"/>
                <w:szCs w:val="16"/>
              </w:rPr>
              <w:t>.</w:t>
            </w:r>
            <w:r w:rsidRPr="00DE108C">
              <w:rPr>
                <w:sz w:val="16"/>
                <w:szCs w:val="16"/>
              </w:rPr>
              <w:t xml:space="preserve"> </w:t>
            </w:r>
          </w:p>
        </w:tc>
        <w:tc>
          <w:tcPr>
            <w:tcW w:w="2500" w:type="pct"/>
          </w:tcPr>
          <w:p w14:paraId="70345DF4" w14:textId="77777777" w:rsidR="00046BD5" w:rsidRPr="00DE108C" w:rsidRDefault="00046BD5" w:rsidP="00ED094E">
            <w:pPr>
              <w:rPr>
                <w:sz w:val="16"/>
                <w:szCs w:val="16"/>
              </w:rPr>
            </w:pPr>
            <w:r w:rsidRPr="00DE108C">
              <w:rPr>
                <w:sz w:val="16"/>
                <w:szCs w:val="16"/>
              </w:rPr>
              <w:t xml:space="preserve">Each non-residential property, on average, has a larger impact on waterways and drainage than a non-residential customer, due to the average property size and proportion of hard surfaces across the two cohorts. Moving to a common charge for non-residential customers better reflects the costs of providing services to non-residential customers collectively than the current structure. Furthermore, this transition will facilitate tariff reforms to more cost-reflective waterways and drainage in 2031. </w:t>
            </w:r>
          </w:p>
        </w:tc>
      </w:tr>
      <w:tr w:rsidR="00046BD5" w:rsidRPr="00DE108C" w14:paraId="0C3FBACD" w14:textId="77777777" w:rsidTr="00F86182">
        <w:tc>
          <w:tcPr>
            <w:tcW w:w="2500" w:type="pct"/>
          </w:tcPr>
          <w:p w14:paraId="7CBEF76E" w14:textId="6640D778" w:rsidR="00046BD5" w:rsidRPr="00DE108C" w:rsidRDefault="00046BD5" w:rsidP="00ED094E">
            <w:pPr>
              <w:rPr>
                <w:sz w:val="16"/>
                <w:szCs w:val="16"/>
              </w:rPr>
            </w:pPr>
            <w:r w:rsidRPr="00DE108C">
              <w:rPr>
                <w:sz w:val="16"/>
                <w:szCs w:val="16"/>
              </w:rPr>
              <w:t>11(d) (iii) take into account the interests of customers of the regulated entity, including low income and vulnerable customers</w:t>
            </w:r>
            <w:r w:rsidR="00AF6069" w:rsidRPr="3E4C441B">
              <w:rPr>
                <w:sz w:val="16"/>
                <w:szCs w:val="16"/>
              </w:rPr>
              <w:t>.</w:t>
            </w:r>
            <w:r w:rsidRPr="00DE108C">
              <w:rPr>
                <w:sz w:val="16"/>
                <w:szCs w:val="16"/>
              </w:rPr>
              <w:t xml:space="preserve"> </w:t>
            </w:r>
          </w:p>
        </w:tc>
        <w:tc>
          <w:tcPr>
            <w:tcW w:w="2500" w:type="pct"/>
          </w:tcPr>
          <w:p w14:paraId="45273597" w14:textId="77777777" w:rsidR="00046BD5" w:rsidRPr="00DE108C" w:rsidRDefault="00046BD5" w:rsidP="00ED094E">
            <w:pPr>
              <w:rPr>
                <w:sz w:val="16"/>
                <w:szCs w:val="16"/>
              </w:rPr>
            </w:pPr>
            <w:r w:rsidRPr="00DE108C">
              <w:rPr>
                <w:sz w:val="16"/>
                <w:szCs w:val="16"/>
              </w:rPr>
              <w:t>There will be a real price reduction for waterways and drainage charges.</w:t>
            </w:r>
          </w:p>
        </w:tc>
      </w:tr>
    </w:tbl>
    <w:p w14:paraId="03EDEEE4" w14:textId="77777777" w:rsidR="00046BD5" w:rsidRPr="00DE108C" w:rsidRDefault="00046BD5" w:rsidP="00ED094E"/>
    <w:p w14:paraId="59F25EF1" w14:textId="77777777" w:rsidR="00046BD5" w:rsidRPr="00DE108C" w:rsidRDefault="00046BD5">
      <w:pPr>
        <w:pStyle w:val="Caption"/>
      </w:pPr>
      <w:bookmarkStart w:id="1173" w:name="_Toc207893119"/>
      <w:bookmarkStart w:id="1174" w:name="_Toc208490643"/>
      <w:bookmarkStart w:id="1175" w:name="_Toc208490981"/>
      <w:bookmarkStart w:id="1176" w:name="_Toc208911139"/>
      <w:bookmarkStart w:id="1177" w:name="_Toc210051445"/>
      <w:r w:rsidRPr="00DE108C">
        <w:lastRenderedPageBreak/>
        <w:t>Table 11.16: Waterways and drainage proposed charges from 1 July 2026</w:t>
      </w:r>
      <w:bookmarkEnd w:id="1173"/>
      <w:bookmarkEnd w:id="1174"/>
      <w:bookmarkEnd w:id="1175"/>
      <w:bookmarkEnd w:id="1176"/>
      <w:bookmarkEnd w:id="1177"/>
    </w:p>
    <w:tbl>
      <w:tblPr>
        <w:tblStyle w:val="TableGrid"/>
        <w:tblW w:w="5000" w:type="pct"/>
        <w:tblLayout w:type="fixed"/>
        <w:tblLook w:val="04A0" w:firstRow="1" w:lastRow="0" w:firstColumn="1" w:lastColumn="0" w:noHBand="0" w:noVBand="1"/>
      </w:tblPr>
      <w:tblGrid>
        <w:gridCol w:w="3256"/>
        <w:gridCol w:w="1061"/>
        <w:gridCol w:w="1063"/>
        <w:gridCol w:w="1063"/>
        <w:gridCol w:w="1063"/>
        <w:gridCol w:w="1063"/>
        <w:gridCol w:w="1059"/>
      </w:tblGrid>
      <w:tr w:rsidR="00055179" w:rsidRPr="00DE108C" w14:paraId="511FB54A" w14:textId="77777777" w:rsidTr="008A57BC">
        <w:trPr>
          <w:cnfStyle w:val="100000000000" w:firstRow="1" w:lastRow="0" w:firstColumn="0" w:lastColumn="0" w:oddVBand="0" w:evenVBand="0" w:oddHBand="0" w:evenHBand="0" w:firstRowFirstColumn="0" w:firstRowLastColumn="0" w:lastRowFirstColumn="0" w:lastRowLastColumn="0"/>
          <w:trHeight w:val="264"/>
        </w:trPr>
        <w:tc>
          <w:tcPr>
            <w:tcW w:w="1691" w:type="pct"/>
            <w:vAlign w:val="center"/>
            <w:hideMark/>
          </w:tcPr>
          <w:p w14:paraId="423133A5" w14:textId="77777777" w:rsidR="00046BD5" w:rsidRPr="00DE108C" w:rsidRDefault="00046BD5" w:rsidP="00ED094E">
            <w:pPr>
              <w:rPr>
                <w:color w:val="FFFFFF" w:themeColor="background1"/>
                <w:sz w:val="16"/>
                <w:szCs w:val="16"/>
              </w:rPr>
            </w:pPr>
            <w:r w:rsidRPr="550696F3">
              <w:rPr>
                <w:color w:val="FFFFFF" w:themeColor="background1"/>
                <w:sz w:val="16"/>
                <w:szCs w:val="16"/>
              </w:rPr>
              <w:t> </w:t>
            </w:r>
          </w:p>
        </w:tc>
        <w:tc>
          <w:tcPr>
            <w:tcW w:w="551" w:type="pct"/>
          </w:tcPr>
          <w:p w14:paraId="3384977C" w14:textId="7882E14D" w:rsidR="008A57BC" w:rsidRPr="00DE108C" w:rsidRDefault="008A57BC" w:rsidP="00ED094E">
            <w:pPr>
              <w:rPr>
                <w:b/>
                <w:color w:val="FFFFFF" w:themeColor="background1"/>
                <w:sz w:val="16"/>
                <w:szCs w:val="16"/>
              </w:rPr>
            </w:pPr>
            <w:r w:rsidRPr="00DE108C">
              <w:rPr>
                <w:b/>
                <w:bCs/>
                <w:sz w:val="16"/>
                <w:szCs w:val="16"/>
              </w:rPr>
              <w:t>2025-26</w:t>
            </w:r>
          </w:p>
        </w:tc>
        <w:tc>
          <w:tcPr>
            <w:tcW w:w="552" w:type="pct"/>
            <w:vAlign w:val="center"/>
            <w:hideMark/>
          </w:tcPr>
          <w:p w14:paraId="74971096" w14:textId="77777777" w:rsidR="00046BD5" w:rsidRPr="00DE108C" w:rsidRDefault="00046BD5" w:rsidP="00ED094E">
            <w:pPr>
              <w:rPr>
                <w:b/>
                <w:color w:val="FFFFFF" w:themeColor="background1"/>
                <w:sz w:val="16"/>
                <w:szCs w:val="16"/>
              </w:rPr>
            </w:pPr>
            <w:r w:rsidRPr="550696F3">
              <w:rPr>
                <w:b/>
                <w:color w:val="FFFFFF" w:themeColor="background1"/>
                <w:sz w:val="16"/>
                <w:szCs w:val="16"/>
              </w:rPr>
              <w:t>2026-27 </w:t>
            </w:r>
          </w:p>
        </w:tc>
        <w:tc>
          <w:tcPr>
            <w:tcW w:w="552" w:type="pct"/>
            <w:vAlign w:val="center"/>
            <w:hideMark/>
          </w:tcPr>
          <w:p w14:paraId="62644DEA" w14:textId="77777777" w:rsidR="00046BD5" w:rsidRPr="00DE108C" w:rsidRDefault="00046BD5" w:rsidP="00ED094E">
            <w:pPr>
              <w:rPr>
                <w:b/>
                <w:color w:val="FFFFFF" w:themeColor="background1"/>
                <w:sz w:val="16"/>
                <w:szCs w:val="16"/>
              </w:rPr>
            </w:pPr>
            <w:r w:rsidRPr="550696F3">
              <w:rPr>
                <w:b/>
                <w:color w:val="FFFFFF" w:themeColor="background1"/>
                <w:sz w:val="16"/>
                <w:szCs w:val="16"/>
              </w:rPr>
              <w:t>2027-28 </w:t>
            </w:r>
          </w:p>
        </w:tc>
        <w:tc>
          <w:tcPr>
            <w:tcW w:w="552" w:type="pct"/>
            <w:vAlign w:val="center"/>
            <w:hideMark/>
          </w:tcPr>
          <w:p w14:paraId="3D0DFAED" w14:textId="77777777" w:rsidR="00046BD5" w:rsidRPr="00DE108C" w:rsidRDefault="00046BD5" w:rsidP="00ED094E">
            <w:pPr>
              <w:rPr>
                <w:b/>
                <w:color w:val="FFFFFF" w:themeColor="background1"/>
                <w:sz w:val="16"/>
                <w:szCs w:val="16"/>
              </w:rPr>
            </w:pPr>
            <w:r w:rsidRPr="550696F3">
              <w:rPr>
                <w:b/>
                <w:color w:val="FFFFFF" w:themeColor="background1"/>
                <w:sz w:val="16"/>
                <w:szCs w:val="16"/>
              </w:rPr>
              <w:t>2028-29 </w:t>
            </w:r>
          </w:p>
        </w:tc>
        <w:tc>
          <w:tcPr>
            <w:tcW w:w="552" w:type="pct"/>
            <w:vAlign w:val="center"/>
            <w:hideMark/>
          </w:tcPr>
          <w:p w14:paraId="5C6025AC" w14:textId="77777777" w:rsidR="00046BD5" w:rsidRPr="00DE108C" w:rsidRDefault="00046BD5" w:rsidP="00ED094E">
            <w:pPr>
              <w:rPr>
                <w:b/>
                <w:color w:val="FFFFFF" w:themeColor="background1"/>
                <w:sz w:val="16"/>
                <w:szCs w:val="16"/>
              </w:rPr>
            </w:pPr>
            <w:r w:rsidRPr="550696F3">
              <w:rPr>
                <w:b/>
                <w:color w:val="FFFFFF" w:themeColor="background1"/>
                <w:sz w:val="16"/>
                <w:szCs w:val="16"/>
              </w:rPr>
              <w:t>2029-30 </w:t>
            </w:r>
          </w:p>
        </w:tc>
        <w:tc>
          <w:tcPr>
            <w:tcW w:w="552" w:type="pct"/>
            <w:vAlign w:val="center"/>
            <w:hideMark/>
          </w:tcPr>
          <w:p w14:paraId="6F920D93" w14:textId="77777777" w:rsidR="00046BD5" w:rsidRPr="00DE108C" w:rsidRDefault="00046BD5" w:rsidP="00ED094E">
            <w:pPr>
              <w:rPr>
                <w:b/>
                <w:color w:val="FFFFFF" w:themeColor="background1"/>
                <w:sz w:val="16"/>
                <w:szCs w:val="16"/>
              </w:rPr>
            </w:pPr>
            <w:r w:rsidRPr="550696F3">
              <w:rPr>
                <w:b/>
                <w:color w:val="FFFFFF" w:themeColor="background1"/>
                <w:sz w:val="16"/>
                <w:szCs w:val="16"/>
              </w:rPr>
              <w:t>2030-31 </w:t>
            </w:r>
          </w:p>
        </w:tc>
      </w:tr>
      <w:tr w:rsidR="00046BD5" w:rsidRPr="00DE108C" w14:paraId="283BCFBC" w14:textId="77777777" w:rsidTr="002A6563">
        <w:trPr>
          <w:trHeight w:val="264"/>
        </w:trPr>
        <w:tc>
          <w:tcPr>
            <w:tcW w:w="1691" w:type="pct"/>
            <w:noWrap/>
            <w:vAlign w:val="center"/>
            <w:hideMark/>
          </w:tcPr>
          <w:p w14:paraId="487ABF82" w14:textId="77777777" w:rsidR="00046BD5" w:rsidRPr="00DE108C" w:rsidRDefault="00046BD5" w:rsidP="00ED094E">
            <w:pPr>
              <w:rPr>
                <w:sz w:val="16"/>
                <w:szCs w:val="16"/>
              </w:rPr>
            </w:pPr>
            <w:r w:rsidRPr="00DE108C">
              <w:rPr>
                <w:sz w:val="16"/>
                <w:szCs w:val="16"/>
              </w:rPr>
              <w:t xml:space="preserve">Residential on minimum </w:t>
            </w:r>
            <w:r>
              <w:br/>
            </w:r>
            <w:r w:rsidRPr="00DE108C">
              <w:rPr>
                <w:sz w:val="16"/>
                <w:szCs w:val="16"/>
              </w:rPr>
              <w:t>$ per annum</w:t>
            </w:r>
          </w:p>
        </w:tc>
        <w:tc>
          <w:tcPr>
            <w:tcW w:w="551" w:type="pct"/>
            <w:vAlign w:val="center"/>
          </w:tcPr>
          <w:p w14:paraId="04FEBDD9" w14:textId="7CF09A04" w:rsidR="008A57BC" w:rsidRPr="00DE108C" w:rsidRDefault="008C2689" w:rsidP="002A6563">
            <w:pPr>
              <w:jc w:val="right"/>
              <w:rPr>
                <w:rFonts w:ascii="Verdana" w:hAnsi="Verdana" w:cs="Tahoma"/>
                <w:sz w:val="16"/>
                <w:szCs w:val="16"/>
              </w:rPr>
            </w:pPr>
            <w:r w:rsidRPr="00DE108C">
              <w:rPr>
                <w:rFonts w:ascii="Verdana" w:hAnsi="Verdana" w:cs="Tahoma"/>
                <w:sz w:val="16"/>
                <w:szCs w:val="16"/>
              </w:rPr>
              <w:t>125.01</w:t>
            </w:r>
          </w:p>
        </w:tc>
        <w:tc>
          <w:tcPr>
            <w:tcW w:w="552" w:type="pct"/>
            <w:noWrap/>
            <w:vAlign w:val="center"/>
            <w:hideMark/>
          </w:tcPr>
          <w:p w14:paraId="2811C016" w14:textId="077A1D3B" w:rsidR="00046BD5" w:rsidRPr="000C092E" w:rsidRDefault="002A6563" w:rsidP="002A6563">
            <w:pPr>
              <w:pStyle w:val="TableBody"/>
              <w:jc w:val="right"/>
              <w:rPr>
                <w:szCs w:val="16"/>
              </w:rPr>
            </w:pPr>
            <w:r w:rsidRPr="000C092E">
              <w:t>123.96</w:t>
            </w:r>
          </w:p>
        </w:tc>
        <w:tc>
          <w:tcPr>
            <w:tcW w:w="552" w:type="pct"/>
            <w:noWrap/>
            <w:vAlign w:val="center"/>
            <w:hideMark/>
          </w:tcPr>
          <w:p w14:paraId="4C02C802" w14:textId="1310BC75" w:rsidR="00046BD5" w:rsidRPr="000C092E" w:rsidRDefault="002A6563" w:rsidP="002A6563">
            <w:pPr>
              <w:pStyle w:val="TableBody"/>
              <w:jc w:val="right"/>
              <w:rPr>
                <w:szCs w:val="16"/>
              </w:rPr>
            </w:pPr>
            <w:r w:rsidRPr="000C092E">
              <w:t>123.96</w:t>
            </w:r>
          </w:p>
        </w:tc>
        <w:tc>
          <w:tcPr>
            <w:tcW w:w="552" w:type="pct"/>
            <w:noWrap/>
            <w:vAlign w:val="center"/>
            <w:hideMark/>
          </w:tcPr>
          <w:p w14:paraId="21BFE186" w14:textId="14318189" w:rsidR="00046BD5" w:rsidRPr="000C092E" w:rsidRDefault="002A6563" w:rsidP="002A6563">
            <w:pPr>
              <w:pStyle w:val="TableBody"/>
              <w:jc w:val="right"/>
              <w:rPr>
                <w:szCs w:val="16"/>
              </w:rPr>
            </w:pPr>
            <w:r w:rsidRPr="000C092E">
              <w:t>123.96</w:t>
            </w:r>
          </w:p>
        </w:tc>
        <w:tc>
          <w:tcPr>
            <w:tcW w:w="552" w:type="pct"/>
            <w:noWrap/>
            <w:vAlign w:val="center"/>
            <w:hideMark/>
          </w:tcPr>
          <w:p w14:paraId="593BA1A1" w14:textId="4B9055EF" w:rsidR="00046BD5" w:rsidRPr="000C092E" w:rsidRDefault="002A6563" w:rsidP="002A6563">
            <w:pPr>
              <w:pStyle w:val="TableBody"/>
              <w:jc w:val="right"/>
              <w:rPr>
                <w:szCs w:val="16"/>
              </w:rPr>
            </w:pPr>
            <w:r w:rsidRPr="000C092E">
              <w:t>123.96</w:t>
            </w:r>
          </w:p>
        </w:tc>
        <w:tc>
          <w:tcPr>
            <w:tcW w:w="550" w:type="pct"/>
            <w:noWrap/>
            <w:vAlign w:val="center"/>
            <w:hideMark/>
          </w:tcPr>
          <w:p w14:paraId="5FB4700F" w14:textId="65883E8F" w:rsidR="00046BD5" w:rsidRPr="000C092E" w:rsidRDefault="002A6563" w:rsidP="002A6563">
            <w:pPr>
              <w:pStyle w:val="TableBody"/>
              <w:jc w:val="right"/>
              <w:rPr>
                <w:szCs w:val="16"/>
              </w:rPr>
            </w:pPr>
            <w:r w:rsidRPr="000C092E">
              <w:t>123.96</w:t>
            </w:r>
          </w:p>
        </w:tc>
      </w:tr>
      <w:tr w:rsidR="00556A0D" w:rsidRPr="00DE108C" w14:paraId="50399DF0" w14:textId="77777777" w:rsidTr="008C2689">
        <w:trPr>
          <w:cnfStyle w:val="000000010000" w:firstRow="0" w:lastRow="0" w:firstColumn="0" w:lastColumn="0" w:oddVBand="0" w:evenVBand="0" w:oddHBand="0" w:evenHBand="1" w:firstRowFirstColumn="0" w:firstRowLastColumn="0" w:lastRowFirstColumn="0" w:lastRowLastColumn="0"/>
          <w:trHeight w:val="264"/>
        </w:trPr>
        <w:tc>
          <w:tcPr>
            <w:tcW w:w="1691" w:type="pct"/>
            <w:noWrap/>
            <w:vAlign w:val="center"/>
            <w:hideMark/>
          </w:tcPr>
          <w:p w14:paraId="199D226F" w14:textId="77777777" w:rsidR="00046BD5" w:rsidRPr="00DE108C" w:rsidRDefault="00046BD5" w:rsidP="00ED094E">
            <w:pPr>
              <w:rPr>
                <w:sz w:val="16"/>
                <w:szCs w:val="16"/>
              </w:rPr>
            </w:pPr>
            <w:r w:rsidRPr="00DE108C">
              <w:rPr>
                <w:sz w:val="16"/>
                <w:szCs w:val="16"/>
              </w:rPr>
              <w:t xml:space="preserve">Non-residential on minimum </w:t>
            </w:r>
            <w:r>
              <w:br/>
            </w:r>
            <w:r w:rsidRPr="00DE108C">
              <w:rPr>
                <w:sz w:val="16"/>
                <w:szCs w:val="16"/>
              </w:rPr>
              <w:t>$ per annum</w:t>
            </w:r>
          </w:p>
        </w:tc>
        <w:tc>
          <w:tcPr>
            <w:tcW w:w="551" w:type="pct"/>
            <w:vAlign w:val="center"/>
          </w:tcPr>
          <w:p w14:paraId="4283664A" w14:textId="25943C9E" w:rsidR="008A57BC" w:rsidRPr="00DE108C" w:rsidRDefault="008C2689" w:rsidP="002A6563">
            <w:pPr>
              <w:jc w:val="right"/>
              <w:rPr>
                <w:rFonts w:ascii="Verdana" w:hAnsi="Verdana" w:cs="Tahoma"/>
                <w:sz w:val="16"/>
                <w:szCs w:val="16"/>
              </w:rPr>
            </w:pPr>
            <w:r w:rsidRPr="00DE108C">
              <w:rPr>
                <w:rFonts w:ascii="Verdana" w:hAnsi="Verdana" w:cs="Tahoma"/>
                <w:sz w:val="16"/>
                <w:szCs w:val="16"/>
              </w:rPr>
              <w:t>187.81</w:t>
            </w:r>
          </w:p>
        </w:tc>
        <w:tc>
          <w:tcPr>
            <w:tcW w:w="552" w:type="pct"/>
            <w:noWrap/>
            <w:vAlign w:val="center"/>
            <w:hideMark/>
          </w:tcPr>
          <w:p w14:paraId="3C3ECC93" w14:textId="5B347CE6" w:rsidR="00046BD5" w:rsidRPr="000C092E" w:rsidRDefault="00046BD5" w:rsidP="002A6563">
            <w:pPr>
              <w:pStyle w:val="TableBody"/>
              <w:jc w:val="right"/>
              <w:rPr>
                <w:szCs w:val="16"/>
              </w:rPr>
            </w:pPr>
            <w:r w:rsidRPr="000C092E">
              <w:t>186.</w:t>
            </w:r>
            <w:r w:rsidR="002A6563" w:rsidRPr="000C092E">
              <w:t>23</w:t>
            </w:r>
          </w:p>
        </w:tc>
        <w:tc>
          <w:tcPr>
            <w:tcW w:w="552" w:type="pct"/>
            <w:noWrap/>
            <w:vAlign w:val="center"/>
            <w:hideMark/>
          </w:tcPr>
          <w:p w14:paraId="503AEB7C" w14:textId="17CD346E" w:rsidR="00046BD5" w:rsidRPr="000C092E" w:rsidRDefault="00046BD5" w:rsidP="002A6563">
            <w:pPr>
              <w:pStyle w:val="TableBody"/>
              <w:jc w:val="right"/>
              <w:rPr>
                <w:szCs w:val="16"/>
              </w:rPr>
            </w:pPr>
            <w:r w:rsidRPr="000C092E">
              <w:t>186.</w:t>
            </w:r>
            <w:r w:rsidR="002A6563" w:rsidRPr="000C092E">
              <w:t>23</w:t>
            </w:r>
          </w:p>
        </w:tc>
        <w:tc>
          <w:tcPr>
            <w:tcW w:w="552" w:type="pct"/>
            <w:noWrap/>
            <w:vAlign w:val="center"/>
            <w:hideMark/>
          </w:tcPr>
          <w:p w14:paraId="7F68C3D8" w14:textId="53322176" w:rsidR="00046BD5" w:rsidRPr="000C092E" w:rsidRDefault="00046BD5" w:rsidP="002A6563">
            <w:pPr>
              <w:pStyle w:val="TableBody"/>
              <w:jc w:val="right"/>
              <w:rPr>
                <w:szCs w:val="16"/>
              </w:rPr>
            </w:pPr>
            <w:r w:rsidRPr="000C092E">
              <w:t>186.</w:t>
            </w:r>
            <w:r w:rsidR="002A6563" w:rsidRPr="000C092E">
              <w:t>23</w:t>
            </w:r>
          </w:p>
        </w:tc>
        <w:tc>
          <w:tcPr>
            <w:tcW w:w="552" w:type="pct"/>
            <w:noWrap/>
            <w:vAlign w:val="center"/>
            <w:hideMark/>
          </w:tcPr>
          <w:p w14:paraId="712E2077" w14:textId="7FAAAD2A" w:rsidR="00046BD5" w:rsidRPr="000C092E" w:rsidRDefault="00046BD5" w:rsidP="002A6563">
            <w:pPr>
              <w:pStyle w:val="TableBody"/>
              <w:jc w:val="right"/>
              <w:rPr>
                <w:szCs w:val="16"/>
              </w:rPr>
            </w:pPr>
            <w:r w:rsidRPr="000C092E">
              <w:t>186.</w:t>
            </w:r>
            <w:r w:rsidR="002A6563" w:rsidRPr="000C092E">
              <w:t>23</w:t>
            </w:r>
          </w:p>
        </w:tc>
        <w:tc>
          <w:tcPr>
            <w:tcW w:w="552" w:type="pct"/>
            <w:noWrap/>
            <w:vAlign w:val="center"/>
            <w:hideMark/>
          </w:tcPr>
          <w:p w14:paraId="11A05DC2" w14:textId="6C83CC97" w:rsidR="00046BD5" w:rsidRPr="000C092E" w:rsidRDefault="00046BD5" w:rsidP="002A6563">
            <w:pPr>
              <w:pStyle w:val="TableBody"/>
              <w:jc w:val="right"/>
              <w:rPr>
                <w:szCs w:val="16"/>
              </w:rPr>
            </w:pPr>
            <w:r w:rsidRPr="000C092E">
              <w:t>186.</w:t>
            </w:r>
            <w:r w:rsidR="002A6563" w:rsidRPr="000C092E">
              <w:t>23</w:t>
            </w:r>
          </w:p>
        </w:tc>
      </w:tr>
      <w:tr w:rsidR="00046BD5" w:rsidRPr="00DE108C" w14:paraId="64054C0A" w14:textId="77777777" w:rsidTr="002A6563">
        <w:trPr>
          <w:trHeight w:val="264"/>
        </w:trPr>
        <w:tc>
          <w:tcPr>
            <w:tcW w:w="1691" w:type="pct"/>
            <w:noWrap/>
            <w:vAlign w:val="center"/>
            <w:hideMark/>
          </w:tcPr>
          <w:p w14:paraId="4D6CDE72" w14:textId="77777777" w:rsidR="00046BD5" w:rsidRPr="00DE108C" w:rsidRDefault="00046BD5" w:rsidP="00ED094E">
            <w:pPr>
              <w:rPr>
                <w:sz w:val="16"/>
                <w:szCs w:val="16"/>
              </w:rPr>
            </w:pPr>
            <w:r w:rsidRPr="00DE108C">
              <w:rPr>
                <w:sz w:val="16"/>
                <w:szCs w:val="16"/>
              </w:rPr>
              <w:t>Non-residential above minimum - Rate in $ NAV cents per annum</w:t>
            </w:r>
          </w:p>
        </w:tc>
        <w:tc>
          <w:tcPr>
            <w:tcW w:w="551" w:type="pct"/>
            <w:vAlign w:val="center"/>
          </w:tcPr>
          <w:p w14:paraId="0E09345A" w14:textId="56F99BBD" w:rsidR="008A57BC" w:rsidRPr="00DE108C" w:rsidRDefault="008C2689" w:rsidP="002A6563">
            <w:pPr>
              <w:jc w:val="right"/>
              <w:rPr>
                <w:rFonts w:ascii="Verdana" w:hAnsi="Verdana" w:cs="Tahoma"/>
                <w:sz w:val="16"/>
                <w:szCs w:val="16"/>
              </w:rPr>
            </w:pPr>
            <w:r w:rsidRPr="00DE108C">
              <w:rPr>
                <w:rFonts w:ascii="Verdana" w:hAnsi="Verdana" w:cs="Tahoma"/>
                <w:sz w:val="16"/>
                <w:szCs w:val="16"/>
              </w:rPr>
              <w:t>0.5032</w:t>
            </w:r>
          </w:p>
        </w:tc>
        <w:tc>
          <w:tcPr>
            <w:tcW w:w="552" w:type="pct"/>
            <w:noWrap/>
            <w:vAlign w:val="center"/>
            <w:hideMark/>
          </w:tcPr>
          <w:p w14:paraId="649EA895" w14:textId="05439EA6" w:rsidR="00046BD5" w:rsidRPr="002A6563" w:rsidRDefault="00046BD5" w:rsidP="002A6563">
            <w:pPr>
              <w:pStyle w:val="TableBody"/>
              <w:jc w:val="right"/>
              <w:rPr>
                <w:szCs w:val="16"/>
              </w:rPr>
            </w:pPr>
            <w:r w:rsidRPr="002A6563">
              <w:rPr>
                <w:szCs w:val="16"/>
              </w:rPr>
              <w:t>-</w:t>
            </w:r>
          </w:p>
        </w:tc>
        <w:tc>
          <w:tcPr>
            <w:tcW w:w="552" w:type="pct"/>
            <w:noWrap/>
            <w:vAlign w:val="center"/>
            <w:hideMark/>
          </w:tcPr>
          <w:p w14:paraId="35B64EEC" w14:textId="2695362C" w:rsidR="00046BD5" w:rsidRPr="002A6563" w:rsidRDefault="00046BD5" w:rsidP="002A6563">
            <w:pPr>
              <w:pStyle w:val="TableBody"/>
              <w:jc w:val="right"/>
              <w:rPr>
                <w:szCs w:val="16"/>
              </w:rPr>
            </w:pPr>
            <w:r w:rsidRPr="002A6563">
              <w:rPr>
                <w:szCs w:val="16"/>
              </w:rPr>
              <w:t>-</w:t>
            </w:r>
          </w:p>
        </w:tc>
        <w:tc>
          <w:tcPr>
            <w:tcW w:w="552" w:type="pct"/>
            <w:noWrap/>
            <w:vAlign w:val="center"/>
            <w:hideMark/>
          </w:tcPr>
          <w:p w14:paraId="2DFE71B4" w14:textId="0D1CC727" w:rsidR="00046BD5" w:rsidRPr="002A6563" w:rsidRDefault="00046BD5" w:rsidP="002A6563">
            <w:pPr>
              <w:pStyle w:val="TableBody"/>
              <w:jc w:val="right"/>
              <w:rPr>
                <w:szCs w:val="16"/>
              </w:rPr>
            </w:pPr>
            <w:r w:rsidRPr="002A6563">
              <w:rPr>
                <w:szCs w:val="16"/>
              </w:rPr>
              <w:t>-</w:t>
            </w:r>
          </w:p>
        </w:tc>
        <w:tc>
          <w:tcPr>
            <w:tcW w:w="552" w:type="pct"/>
            <w:noWrap/>
            <w:vAlign w:val="center"/>
            <w:hideMark/>
          </w:tcPr>
          <w:p w14:paraId="155CC230" w14:textId="29A166A8" w:rsidR="00046BD5" w:rsidRPr="002A6563" w:rsidRDefault="00046BD5" w:rsidP="002A6563">
            <w:pPr>
              <w:pStyle w:val="TableBody"/>
              <w:jc w:val="right"/>
              <w:rPr>
                <w:szCs w:val="16"/>
              </w:rPr>
            </w:pPr>
            <w:r w:rsidRPr="002A6563">
              <w:rPr>
                <w:szCs w:val="16"/>
              </w:rPr>
              <w:t>-</w:t>
            </w:r>
          </w:p>
        </w:tc>
        <w:tc>
          <w:tcPr>
            <w:tcW w:w="550" w:type="pct"/>
            <w:noWrap/>
            <w:vAlign w:val="center"/>
            <w:hideMark/>
          </w:tcPr>
          <w:p w14:paraId="22925CF8" w14:textId="2AF0444C" w:rsidR="00046BD5" w:rsidRPr="002A6563" w:rsidRDefault="00046BD5" w:rsidP="002A6563">
            <w:pPr>
              <w:pStyle w:val="TableBody"/>
              <w:jc w:val="right"/>
              <w:rPr>
                <w:szCs w:val="16"/>
              </w:rPr>
            </w:pPr>
            <w:r w:rsidRPr="002A6563">
              <w:rPr>
                <w:szCs w:val="16"/>
              </w:rPr>
              <w:t>-</w:t>
            </w:r>
          </w:p>
        </w:tc>
      </w:tr>
      <w:tr w:rsidR="00556A0D" w:rsidRPr="00DE108C" w14:paraId="081B6EB8" w14:textId="77777777" w:rsidTr="008C2689">
        <w:trPr>
          <w:cnfStyle w:val="000000010000" w:firstRow="0" w:lastRow="0" w:firstColumn="0" w:lastColumn="0" w:oddVBand="0" w:evenVBand="0" w:oddHBand="0" w:evenHBand="1" w:firstRowFirstColumn="0" w:firstRowLastColumn="0" w:lastRowFirstColumn="0" w:lastRowLastColumn="0"/>
          <w:trHeight w:val="264"/>
        </w:trPr>
        <w:tc>
          <w:tcPr>
            <w:tcW w:w="1691" w:type="pct"/>
            <w:noWrap/>
            <w:vAlign w:val="center"/>
            <w:hideMark/>
          </w:tcPr>
          <w:p w14:paraId="3A431372" w14:textId="77777777" w:rsidR="00046BD5" w:rsidRPr="00DE108C" w:rsidRDefault="00046BD5" w:rsidP="00ED094E">
            <w:pPr>
              <w:rPr>
                <w:sz w:val="16"/>
                <w:szCs w:val="16"/>
              </w:rPr>
            </w:pPr>
            <w:r w:rsidRPr="00DE108C">
              <w:rPr>
                <w:sz w:val="16"/>
                <w:szCs w:val="16"/>
              </w:rPr>
              <w:t xml:space="preserve">Rural </w:t>
            </w:r>
            <w:r>
              <w:br/>
            </w:r>
            <w:r w:rsidRPr="00DE108C">
              <w:rPr>
                <w:sz w:val="16"/>
                <w:szCs w:val="16"/>
              </w:rPr>
              <w:t>$ per annum</w:t>
            </w:r>
          </w:p>
        </w:tc>
        <w:tc>
          <w:tcPr>
            <w:tcW w:w="551" w:type="pct"/>
            <w:vAlign w:val="center"/>
          </w:tcPr>
          <w:p w14:paraId="333487E4" w14:textId="1ACFF9F0" w:rsidR="008A57BC" w:rsidRPr="00DE108C" w:rsidRDefault="008C2689" w:rsidP="002A6563">
            <w:pPr>
              <w:jc w:val="right"/>
              <w:rPr>
                <w:rFonts w:ascii="Verdana" w:hAnsi="Verdana" w:cs="Tahoma"/>
                <w:sz w:val="16"/>
                <w:szCs w:val="16"/>
              </w:rPr>
            </w:pPr>
            <w:r w:rsidRPr="00DE108C">
              <w:rPr>
                <w:rFonts w:ascii="Verdana" w:hAnsi="Verdana" w:cs="Tahoma"/>
                <w:sz w:val="16"/>
                <w:szCs w:val="16"/>
              </w:rPr>
              <w:t>68.63</w:t>
            </w:r>
          </w:p>
        </w:tc>
        <w:tc>
          <w:tcPr>
            <w:tcW w:w="552" w:type="pct"/>
            <w:noWrap/>
            <w:vAlign w:val="center"/>
            <w:hideMark/>
          </w:tcPr>
          <w:p w14:paraId="3A4DC0E6" w14:textId="0BAD6374" w:rsidR="00046BD5" w:rsidRPr="000C092E" w:rsidRDefault="00046BD5" w:rsidP="002A6563">
            <w:pPr>
              <w:pStyle w:val="TableBody"/>
              <w:jc w:val="right"/>
              <w:rPr>
                <w:szCs w:val="16"/>
              </w:rPr>
            </w:pPr>
            <w:r w:rsidRPr="000C092E">
              <w:t>68.</w:t>
            </w:r>
            <w:r w:rsidR="002A6563" w:rsidRPr="000C092E">
              <w:t>03</w:t>
            </w:r>
          </w:p>
        </w:tc>
        <w:tc>
          <w:tcPr>
            <w:tcW w:w="552" w:type="pct"/>
            <w:noWrap/>
            <w:vAlign w:val="center"/>
            <w:hideMark/>
          </w:tcPr>
          <w:p w14:paraId="53EE1224" w14:textId="0D19416B" w:rsidR="00046BD5" w:rsidRPr="000C092E" w:rsidRDefault="00046BD5" w:rsidP="002A6563">
            <w:pPr>
              <w:pStyle w:val="TableBody"/>
              <w:jc w:val="right"/>
              <w:rPr>
                <w:szCs w:val="16"/>
              </w:rPr>
            </w:pPr>
            <w:r w:rsidRPr="000C092E">
              <w:t>68.</w:t>
            </w:r>
            <w:r w:rsidR="002A6563" w:rsidRPr="000C092E">
              <w:t>03</w:t>
            </w:r>
          </w:p>
        </w:tc>
        <w:tc>
          <w:tcPr>
            <w:tcW w:w="552" w:type="pct"/>
            <w:noWrap/>
            <w:vAlign w:val="center"/>
            <w:hideMark/>
          </w:tcPr>
          <w:p w14:paraId="6F3AE011" w14:textId="5D6B8BC9" w:rsidR="00046BD5" w:rsidRPr="000C092E" w:rsidRDefault="00046BD5" w:rsidP="002A6563">
            <w:pPr>
              <w:pStyle w:val="TableBody"/>
              <w:jc w:val="right"/>
              <w:rPr>
                <w:szCs w:val="16"/>
              </w:rPr>
            </w:pPr>
            <w:r w:rsidRPr="000C092E">
              <w:t>68.</w:t>
            </w:r>
            <w:r w:rsidR="002A6563" w:rsidRPr="000C092E">
              <w:t>03</w:t>
            </w:r>
          </w:p>
        </w:tc>
        <w:tc>
          <w:tcPr>
            <w:tcW w:w="552" w:type="pct"/>
            <w:noWrap/>
            <w:vAlign w:val="center"/>
            <w:hideMark/>
          </w:tcPr>
          <w:p w14:paraId="40B2E915" w14:textId="48995329" w:rsidR="00046BD5" w:rsidRPr="000C092E" w:rsidRDefault="00046BD5" w:rsidP="002A6563">
            <w:pPr>
              <w:pStyle w:val="TableBody"/>
              <w:jc w:val="right"/>
              <w:rPr>
                <w:szCs w:val="16"/>
              </w:rPr>
            </w:pPr>
            <w:r w:rsidRPr="000C092E">
              <w:t>68.</w:t>
            </w:r>
            <w:r w:rsidR="002A6563" w:rsidRPr="000C092E">
              <w:t>03</w:t>
            </w:r>
          </w:p>
        </w:tc>
        <w:tc>
          <w:tcPr>
            <w:tcW w:w="552" w:type="pct"/>
            <w:noWrap/>
            <w:vAlign w:val="center"/>
            <w:hideMark/>
          </w:tcPr>
          <w:p w14:paraId="2AA49CAD" w14:textId="63B0B841" w:rsidR="00046BD5" w:rsidRPr="000C092E" w:rsidRDefault="00046BD5" w:rsidP="002A6563">
            <w:pPr>
              <w:pStyle w:val="TableBody"/>
              <w:jc w:val="right"/>
              <w:rPr>
                <w:szCs w:val="16"/>
              </w:rPr>
            </w:pPr>
            <w:r w:rsidRPr="000C092E">
              <w:t>68.</w:t>
            </w:r>
            <w:r w:rsidR="002A6563" w:rsidRPr="000C092E">
              <w:t>03</w:t>
            </w:r>
          </w:p>
        </w:tc>
      </w:tr>
    </w:tbl>
    <w:p w14:paraId="1F734277" w14:textId="77777777" w:rsidR="00046BD5" w:rsidRPr="00DE108C" w:rsidRDefault="00046BD5" w:rsidP="00ED094E">
      <w:bookmarkStart w:id="1178" w:name="_Toc196745305"/>
    </w:p>
    <w:p w14:paraId="23C99CDC" w14:textId="77777777" w:rsidR="00046BD5" w:rsidRPr="00DE108C" w:rsidRDefault="00046BD5">
      <w:pPr>
        <w:pStyle w:val="Heading3"/>
      </w:pPr>
      <w:r w:rsidRPr="00DE108C">
        <w:t>11.4.3 Special area charging</w:t>
      </w:r>
      <w:bookmarkEnd w:id="1178"/>
    </w:p>
    <w:p w14:paraId="08935E4B" w14:textId="77777777" w:rsidR="00046BD5" w:rsidRPr="00DE108C" w:rsidRDefault="00046BD5" w:rsidP="00ED094E">
      <w:pPr>
        <w:rPr>
          <w:rFonts w:eastAsia="Verdana"/>
        </w:rPr>
      </w:pPr>
      <w:r w:rsidRPr="00DE108C">
        <w:rPr>
          <w:rFonts w:eastAsia="Verdana"/>
        </w:rPr>
        <w:t xml:space="preserve">Melbourne Water will continue to maintain jetties for the Tidal Waterways community and conduct bore flushing and water quality inspections in the Quiet Lakes on a fee for service basis. </w:t>
      </w:r>
    </w:p>
    <w:p w14:paraId="189529D5" w14:textId="35857787" w:rsidR="00046BD5" w:rsidRPr="00DE108C" w:rsidRDefault="00046BD5">
      <w:pPr>
        <w:pStyle w:val="Heading4"/>
      </w:pPr>
      <w:r w:rsidRPr="00DE108C">
        <w:t xml:space="preserve">11.4.3.1 Patterson Lakes - </w:t>
      </w:r>
      <w:r w:rsidR="00B75A4D" w:rsidRPr="00DE108C">
        <w:t>j</w:t>
      </w:r>
      <w:r w:rsidRPr="00DE108C">
        <w:t>etty renewals charges</w:t>
      </w:r>
    </w:p>
    <w:p w14:paraId="2D7287E7" w14:textId="69A4CA40" w:rsidR="00046BD5" w:rsidRPr="00DE108C" w:rsidRDefault="00046BD5" w:rsidP="00ED094E">
      <w:pPr>
        <w:rPr>
          <w:rFonts w:eastAsiaTheme="minorEastAsia"/>
        </w:rPr>
      </w:pPr>
      <w:r w:rsidRPr="00DE108C">
        <w:rPr>
          <w:rFonts w:eastAsiaTheme="minorEastAsia"/>
        </w:rPr>
        <w:t>The timber jetty replacement program payments from 2014-15 are set to expire in 2028-29. While Melbourne Water considers how to charge for jetty replacements going forward from 2031, we are proposing to smooth prices over five years instead of the set term expiration date for 2028-29. This ensure</w:t>
      </w:r>
      <w:r w:rsidR="005B29A1" w:rsidRPr="00DE108C">
        <w:rPr>
          <w:rFonts w:eastAsiaTheme="minorEastAsia"/>
        </w:rPr>
        <w:t>s</w:t>
      </w:r>
      <w:r w:rsidRPr="00DE108C">
        <w:rPr>
          <w:rFonts w:eastAsiaTheme="minorEastAsia"/>
        </w:rPr>
        <w:t xml:space="preserve"> customers </w:t>
      </w:r>
      <w:r w:rsidR="000A14C7" w:rsidRPr="00DE108C">
        <w:rPr>
          <w:rFonts w:eastAsiaTheme="minorEastAsia"/>
        </w:rPr>
        <w:t>will not</w:t>
      </w:r>
      <w:r w:rsidRPr="00DE108C">
        <w:rPr>
          <w:rFonts w:eastAsiaTheme="minorEastAsia"/>
        </w:rPr>
        <w:t xml:space="preserve"> experience bill shock when new charges for new jetty replacements are introduced in 2031.</w:t>
      </w:r>
      <w:r w:rsidR="00BA6BB9" w:rsidRPr="00DE108C">
        <w:rPr>
          <w:rFonts w:eastAsiaTheme="minorEastAsia"/>
        </w:rPr>
        <w:t xml:space="preserve"> This also reflects customer sentiment, with </w:t>
      </w:r>
      <w:r w:rsidR="1CB30E15" w:rsidRPr="2F167CEE">
        <w:rPr>
          <w:rFonts w:eastAsiaTheme="minorEastAsia"/>
        </w:rPr>
        <w:t>jetty customers</w:t>
      </w:r>
      <w:r w:rsidR="00BA6BB9" w:rsidRPr="00DE108C">
        <w:rPr>
          <w:rFonts w:eastAsiaTheme="minorEastAsia"/>
        </w:rPr>
        <w:t xml:space="preserve"> </w:t>
      </w:r>
      <w:r w:rsidR="00467778" w:rsidRPr="00DE108C">
        <w:rPr>
          <w:rFonts w:eastAsiaTheme="minorEastAsia"/>
        </w:rPr>
        <w:t xml:space="preserve">being surveyed on proposed price paths in August 2025, and </w:t>
      </w:r>
      <w:r w:rsidR="00BD4208" w:rsidRPr="00DE108C">
        <w:rPr>
          <w:rFonts w:eastAsiaTheme="minorEastAsia"/>
        </w:rPr>
        <w:t xml:space="preserve">feedback indicating preference for a smooth path. </w:t>
      </w:r>
      <w:r w:rsidR="00BD77DF" w:rsidRPr="00DE108C">
        <w:rPr>
          <w:rFonts w:eastAsiaTheme="minorEastAsia"/>
        </w:rPr>
        <w:t>This engagement is outlined in Section 3.2.6</w:t>
      </w:r>
      <w:r w:rsidR="1DDF4293" w:rsidRPr="131E8634">
        <w:rPr>
          <w:rFonts w:eastAsiaTheme="minorEastAsia"/>
        </w:rPr>
        <w:t xml:space="preserve"> (Engaging with direct service customers)</w:t>
      </w:r>
      <w:r w:rsidR="00BD77DF" w:rsidRPr="131E8634">
        <w:rPr>
          <w:rFonts w:eastAsiaTheme="minorEastAsia"/>
        </w:rPr>
        <w:t>.</w:t>
      </w:r>
    </w:p>
    <w:p w14:paraId="1DD47340" w14:textId="17627998" w:rsidR="00046BD5" w:rsidRPr="00DE108C" w:rsidRDefault="00046BD5" w:rsidP="00ED094E">
      <w:pPr>
        <w:rPr>
          <w:rFonts w:eastAsiaTheme="minorEastAsia"/>
        </w:rPr>
      </w:pPr>
      <w:r w:rsidRPr="00DE108C">
        <w:rPr>
          <w:rFonts w:eastAsiaTheme="minorEastAsia"/>
        </w:rPr>
        <w:t xml:space="preserve">We have also reviewed the maintenance charge given the replacement program commencing during the regulatory period. Melbourne Water is proposing to move to </w:t>
      </w:r>
      <w:r w:rsidR="6C93AAB5" w:rsidRPr="00DE108C">
        <w:rPr>
          <w:rFonts w:eastAsiaTheme="minorEastAsia"/>
        </w:rPr>
        <w:t>a</w:t>
      </w:r>
      <w:r w:rsidRPr="00DE108C">
        <w:rPr>
          <w:rFonts w:eastAsiaTheme="minorEastAsia"/>
        </w:rPr>
        <w:t xml:space="preserve"> Regulatory Asset Base model rather than an individual price and cost recovery path for each customer base. The new forecast operating costs and new renewals cost have been allocated to the maintenance charge. </w:t>
      </w:r>
    </w:p>
    <w:p w14:paraId="7A5618EA" w14:textId="06CDB2F1" w:rsidR="00046BD5" w:rsidRPr="00DE108C" w:rsidRDefault="00046BD5" w:rsidP="00ED094E">
      <w:pPr>
        <w:rPr>
          <w:rFonts w:eastAsiaTheme="minorEastAsia"/>
        </w:rPr>
      </w:pPr>
      <w:r w:rsidRPr="00DE108C">
        <w:rPr>
          <w:rFonts w:eastAsiaTheme="minorEastAsia"/>
        </w:rPr>
        <w:t xml:space="preserve">The proposed charges are outlined in </w:t>
      </w:r>
      <w:r w:rsidR="0053208D" w:rsidRPr="00DE108C">
        <w:rPr>
          <w:rFonts w:eastAsiaTheme="minorEastAsia"/>
        </w:rPr>
        <w:t>Table 11.17</w:t>
      </w:r>
      <w:r w:rsidRPr="00DE108C">
        <w:rPr>
          <w:rFonts w:eastAsiaTheme="minorEastAsia"/>
        </w:rPr>
        <w:t xml:space="preserve"> below. This provides for a smooth price path for both the Timber Jetty and Concrete customers as we transition to a single maintenance and renewal charge once the existing jetty payments have been finalised (originally 20</w:t>
      </w:r>
      <w:r w:rsidR="323BE6B0" w:rsidRPr="00DE108C">
        <w:rPr>
          <w:rFonts w:eastAsiaTheme="minorEastAsia"/>
        </w:rPr>
        <w:t>29</w:t>
      </w:r>
      <w:r w:rsidRPr="00DE108C">
        <w:rPr>
          <w:rFonts w:eastAsiaTheme="minorEastAsia"/>
        </w:rPr>
        <w:t xml:space="preserve"> for </w:t>
      </w:r>
      <w:r w:rsidR="00B75A4D" w:rsidRPr="00DE108C">
        <w:rPr>
          <w:rFonts w:eastAsiaTheme="minorEastAsia"/>
        </w:rPr>
        <w:t>t</w:t>
      </w:r>
      <w:r w:rsidRPr="00DE108C">
        <w:rPr>
          <w:rFonts w:eastAsiaTheme="minorEastAsia"/>
        </w:rPr>
        <w:t>imber and 20</w:t>
      </w:r>
      <w:r w:rsidR="1B6CEC95" w:rsidRPr="00DE108C">
        <w:rPr>
          <w:rFonts w:eastAsiaTheme="minorEastAsia"/>
        </w:rPr>
        <w:t>39</w:t>
      </w:r>
      <w:r w:rsidRPr="00DE108C">
        <w:rPr>
          <w:rFonts w:eastAsiaTheme="minorEastAsia"/>
        </w:rPr>
        <w:t xml:space="preserve"> for </w:t>
      </w:r>
      <w:r w:rsidR="00B75A4D" w:rsidRPr="00DE108C">
        <w:rPr>
          <w:rFonts w:eastAsiaTheme="minorEastAsia"/>
        </w:rPr>
        <w:t>c</w:t>
      </w:r>
      <w:r w:rsidRPr="00DE108C">
        <w:rPr>
          <w:rFonts w:eastAsiaTheme="minorEastAsia"/>
        </w:rPr>
        <w:t xml:space="preserve">oncrete). </w:t>
      </w:r>
    </w:p>
    <w:p w14:paraId="5406D1D3" w14:textId="0C113334" w:rsidR="00046BD5" w:rsidRPr="00DE108C" w:rsidRDefault="00046BD5">
      <w:pPr>
        <w:pStyle w:val="Caption"/>
      </w:pPr>
      <w:bookmarkStart w:id="1179" w:name="_Toc207893120"/>
      <w:bookmarkStart w:id="1180" w:name="_Toc208490644"/>
      <w:bookmarkStart w:id="1181" w:name="_Toc208490982"/>
      <w:bookmarkStart w:id="1182" w:name="_Toc208911140"/>
      <w:bookmarkStart w:id="1183" w:name="_Toc210051446"/>
      <w:r w:rsidRPr="00DE108C">
        <w:t xml:space="preserve">Table 11.17: Patterson Lakes </w:t>
      </w:r>
      <w:r w:rsidR="00B75A4D" w:rsidRPr="00DE108C">
        <w:t>p</w:t>
      </w:r>
      <w:r w:rsidRPr="00DE108C">
        <w:t xml:space="preserve">roposed </w:t>
      </w:r>
      <w:r w:rsidR="00B75A4D" w:rsidRPr="00DE108C">
        <w:t>j</w:t>
      </w:r>
      <w:r w:rsidRPr="00DE108C">
        <w:t xml:space="preserve">etty </w:t>
      </w:r>
      <w:r w:rsidR="00B75A4D" w:rsidRPr="00DE108C">
        <w:t>c</w:t>
      </w:r>
      <w:r w:rsidRPr="00DE108C">
        <w:t>harges ($real 2025-26)</w:t>
      </w:r>
      <w:bookmarkEnd w:id="1179"/>
      <w:bookmarkEnd w:id="1180"/>
      <w:bookmarkEnd w:id="1181"/>
      <w:bookmarkEnd w:id="1182"/>
      <w:bookmarkEnd w:id="1183"/>
    </w:p>
    <w:tbl>
      <w:tblPr>
        <w:tblStyle w:val="MWTableGrid"/>
        <w:tblW w:w="5000" w:type="pct"/>
        <w:tblLook w:val="04A0" w:firstRow="1" w:lastRow="0" w:firstColumn="1" w:lastColumn="0" w:noHBand="0" w:noVBand="1"/>
      </w:tblPr>
      <w:tblGrid>
        <w:gridCol w:w="1882"/>
        <w:gridCol w:w="1296"/>
        <w:gridCol w:w="1296"/>
        <w:gridCol w:w="1294"/>
        <w:gridCol w:w="1294"/>
        <w:gridCol w:w="1284"/>
        <w:gridCol w:w="1282"/>
      </w:tblGrid>
      <w:tr w:rsidR="00556A0D" w:rsidRPr="00DE108C" w14:paraId="45CA874D" w14:textId="77777777" w:rsidTr="008A57BC">
        <w:trPr>
          <w:cnfStyle w:val="100000000000" w:firstRow="1" w:lastRow="0" w:firstColumn="0" w:lastColumn="0" w:oddVBand="0" w:evenVBand="0" w:oddHBand="0" w:evenHBand="0" w:firstRowFirstColumn="0" w:firstRowLastColumn="0" w:lastRowFirstColumn="0" w:lastRowLastColumn="0"/>
          <w:trHeight w:val="300"/>
        </w:trPr>
        <w:tc>
          <w:tcPr>
            <w:tcW w:w="977" w:type="pct"/>
            <w:hideMark/>
          </w:tcPr>
          <w:p w14:paraId="24AC7F92" w14:textId="77777777" w:rsidR="00046BD5" w:rsidRPr="00DE108C" w:rsidRDefault="00046BD5">
            <w:pPr>
              <w:rPr>
                <w:rFonts w:asciiTheme="majorHAnsi" w:eastAsiaTheme="minorEastAsia" w:hAnsiTheme="majorHAnsi" w:cstheme="minorBidi"/>
                <w:color w:val="FFFFFF" w:themeColor="background1"/>
                <w:sz w:val="16"/>
                <w:szCs w:val="16"/>
              </w:rPr>
            </w:pPr>
          </w:p>
        </w:tc>
        <w:tc>
          <w:tcPr>
            <w:tcW w:w="673" w:type="pct"/>
          </w:tcPr>
          <w:p w14:paraId="3ABA95EA" w14:textId="76F5796E" w:rsidR="008A57BC" w:rsidRPr="00DE108C" w:rsidRDefault="008A57BC" w:rsidP="00ED094E">
            <w:pPr>
              <w:rPr>
                <w:rFonts w:eastAsiaTheme="minorEastAsia"/>
                <w:b/>
                <w:color w:val="FFFFFF" w:themeColor="background1"/>
                <w:sz w:val="16"/>
                <w:szCs w:val="16"/>
              </w:rPr>
            </w:pPr>
            <w:r w:rsidRPr="003F412F">
              <w:rPr>
                <w:rFonts w:eastAsiaTheme="minorEastAsia"/>
                <w:b/>
                <w:color w:val="FFFFFF" w:themeColor="background1"/>
                <w:sz w:val="16"/>
                <w:szCs w:val="16"/>
              </w:rPr>
              <w:t>2025-26</w:t>
            </w:r>
          </w:p>
        </w:tc>
        <w:tc>
          <w:tcPr>
            <w:tcW w:w="673" w:type="pct"/>
            <w:hideMark/>
          </w:tcPr>
          <w:p w14:paraId="08A6B772" w14:textId="77777777" w:rsidR="00046BD5" w:rsidRPr="003F412F" w:rsidRDefault="00046BD5" w:rsidP="00ED094E">
            <w:pPr>
              <w:rPr>
                <w:rFonts w:eastAsiaTheme="minorEastAsia"/>
                <w:b/>
                <w:color w:val="FFFFFF" w:themeColor="background1"/>
                <w:sz w:val="16"/>
                <w:szCs w:val="16"/>
              </w:rPr>
            </w:pPr>
            <w:r w:rsidRPr="003F412F">
              <w:rPr>
                <w:rFonts w:eastAsiaTheme="minorEastAsia"/>
                <w:b/>
                <w:color w:val="FFFFFF" w:themeColor="background1"/>
                <w:sz w:val="16"/>
                <w:szCs w:val="16"/>
              </w:rPr>
              <w:t>2026-27 </w:t>
            </w:r>
          </w:p>
        </w:tc>
        <w:tc>
          <w:tcPr>
            <w:tcW w:w="672" w:type="pct"/>
            <w:hideMark/>
          </w:tcPr>
          <w:p w14:paraId="7ED834C0" w14:textId="77777777" w:rsidR="00046BD5" w:rsidRPr="003F412F" w:rsidRDefault="00046BD5" w:rsidP="00ED094E">
            <w:pPr>
              <w:rPr>
                <w:rFonts w:eastAsiaTheme="minorEastAsia"/>
                <w:b/>
                <w:color w:val="FFFFFF" w:themeColor="background1"/>
                <w:sz w:val="16"/>
                <w:szCs w:val="16"/>
              </w:rPr>
            </w:pPr>
            <w:r w:rsidRPr="003F412F">
              <w:rPr>
                <w:rFonts w:eastAsiaTheme="minorEastAsia"/>
                <w:b/>
                <w:color w:val="FFFFFF" w:themeColor="background1"/>
                <w:sz w:val="16"/>
                <w:szCs w:val="16"/>
              </w:rPr>
              <w:t>2027-28 </w:t>
            </w:r>
          </w:p>
        </w:tc>
        <w:tc>
          <w:tcPr>
            <w:tcW w:w="672" w:type="pct"/>
            <w:hideMark/>
          </w:tcPr>
          <w:p w14:paraId="476CADA0" w14:textId="77777777" w:rsidR="00046BD5" w:rsidRPr="003F412F" w:rsidRDefault="00046BD5" w:rsidP="00ED094E">
            <w:pPr>
              <w:rPr>
                <w:rFonts w:eastAsiaTheme="minorEastAsia"/>
                <w:b/>
                <w:color w:val="FFFFFF" w:themeColor="background1"/>
                <w:sz w:val="16"/>
                <w:szCs w:val="16"/>
              </w:rPr>
            </w:pPr>
            <w:r w:rsidRPr="003F412F">
              <w:rPr>
                <w:rFonts w:eastAsiaTheme="minorEastAsia"/>
                <w:b/>
                <w:color w:val="FFFFFF" w:themeColor="background1"/>
                <w:sz w:val="16"/>
                <w:szCs w:val="16"/>
              </w:rPr>
              <w:t>2028-29 </w:t>
            </w:r>
          </w:p>
        </w:tc>
        <w:tc>
          <w:tcPr>
            <w:tcW w:w="667" w:type="pct"/>
            <w:hideMark/>
          </w:tcPr>
          <w:p w14:paraId="2F4DA0FA" w14:textId="77777777" w:rsidR="00046BD5" w:rsidRPr="003F412F" w:rsidRDefault="00046BD5" w:rsidP="00ED094E">
            <w:pPr>
              <w:rPr>
                <w:rFonts w:eastAsiaTheme="minorEastAsia"/>
                <w:b/>
                <w:color w:val="FFFFFF" w:themeColor="background1"/>
                <w:sz w:val="16"/>
                <w:szCs w:val="16"/>
              </w:rPr>
            </w:pPr>
            <w:r w:rsidRPr="003F412F">
              <w:rPr>
                <w:rFonts w:eastAsiaTheme="minorEastAsia"/>
                <w:b/>
                <w:color w:val="FFFFFF" w:themeColor="background1"/>
                <w:sz w:val="16"/>
                <w:szCs w:val="16"/>
              </w:rPr>
              <w:t>2029-30 </w:t>
            </w:r>
          </w:p>
        </w:tc>
        <w:tc>
          <w:tcPr>
            <w:tcW w:w="666" w:type="pct"/>
            <w:hideMark/>
          </w:tcPr>
          <w:p w14:paraId="50256618" w14:textId="77777777" w:rsidR="00046BD5" w:rsidRPr="003F412F" w:rsidRDefault="00046BD5" w:rsidP="00ED094E">
            <w:pPr>
              <w:rPr>
                <w:rFonts w:eastAsiaTheme="minorEastAsia"/>
                <w:b/>
                <w:color w:val="FFFFFF" w:themeColor="background1"/>
                <w:sz w:val="16"/>
                <w:szCs w:val="16"/>
              </w:rPr>
            </w:pPr>
            <w:r w:rsidRPr="003F412F">
              <w:rPr>
                <w:rFonts w:eastAsiaTheme="minorEastAsia"/>
                <w:b/>
                <w:color w:val="FFFFFF" w:themeColor="background1"/>
                <w:sz w:val="16"/>
                <w:szCs w:val="16"/>
              </w:rPr>
              <w:t>2030-31 </w:t>
            </w:r>
          </w:p>
        </w:tc>
      </w:tr>
      <w:tr w:rsidR="00046BD5" w:rsidRPr="00DE108C" w14:paraId="233BA538" w14:textId="77777777" w:rsidTr="00B35F75">
        <w:trPr>
          <w:trHeight w:val="300"/>
        </w:trPr>
        <w:tc>
          <w:tcPr>
            <w:tcW w:w="977" w:type="pct"/>
            <w:hideMark/>
          </w:tcPr>
          <w:p w14:paraId="05B573FC" w14:textId="77777777" w:rsidR="00046BD5" w:rsidRPr="00DE108C" w:rsidRDefault="00046BD5" w:rsidP="00ED094E">
            <w:pPr>
              <w:rPr>
                <w:rFonts w:eastAsiaTheme="minorEastAsia"/>
                <w:sz w:val="16"/>
                <w:szCs w:val="16"/>
              </w:rPr>
            </w:pPr>
            <w:r w:rsidRPr="00DE108C">
              <w:rPr>
                <w:rFonts w:eastAsiaTheme="minorEastAsia"/>
                <w:sz w:val="16"/>
                <w:szCs w:val="16"/>
              </w:rPr>
              <w:t xml:space="preserve">Timber Jetty </w:t>
            </w:r>
          </w:p>
        </w:tc>
        <w:tc>
          <w:tcPr>
            <w:tcW w:w="673" w:type="pct"/>
            <w:vAlign w:val="center"/>
          </w:tcPr>
          <w:p w14:paraId="487A488D" w14:textId="28EB4106" w:rsidR="008A57BC" w:rsidRPr="00DE108C" w:rsidRDefault="00B35F75" w:rsidP="00ED094E">
            <w:pPr>
              <w:rPr>
                <w:rFonts w:eastAsiaTheme="minorEastAsia" w:cstheme="minorBidi"/>
                <w:sz w:val="16"/>
                <w:szCs w:val="16"/>
              </w:rPr>
            </w:pPr>
            <w:r w:rsidRPr="00DE108C">
              <w:rPr>
                <w:rFonts w:eastAsiaTheme="minorEastAsia" w:cstheme="minorBidi"/>
                <w:sz w:val="16"/>
                <w:szCs w:val="16"/>
              </w:rPr>
              <w:t>1,433.00</w:t>
            </w:r>
          </w:p>
        </w:tc>
        <w:tc>
          <w:tcPr>
            <w:tcW w:w="673" w:type="pct"/>
            <w:vAlign w:val="center"/>
          </w:tcPr>
          <w:p w14:paraId="1D2F4A50" w14:textId="77777777" w:rsidR="00046BD5" w:rsidRPr="00DE108C" w:rsidRDefault="00046BD5" w:rsidP="00ED094E">
            <w:pPr>
              <w:rPr>
                <w:rFonts w:eastAsiaTheme="minorEastAsia" w:cstheme="minorBidi"/>
                <w:sz w:val="16"/>
                <w:szCs w:val="16"/>
              </w:rPr>
            </w:pPr>
            <w:r w:rsidRPr="00DE108C">
              <w:rPr>
                <w:rFonts w:eastAsiaTheme="minorEastAsia" w:cstheme="minorBidi"/>
                <w:sz w:val="16"/>
                <w:szCs w:val="16"/>
              </w:rPr>
              <w:t>886.79</w:t>
            </w:r>
          </w:p>
        </w:tc>
        <w:tc>
          <w:tcPr>
            <w:tcW w:w="672" w:type="pct"/>
            <w:vAlign w:val="center"/>
          </w:tcPr>
          <w:p w14:paraId="3A42A8A5" w14:textId="77777777" w:rsidR="00046BD5" w:rsidRPr="00DE108C" w:rsidRDefault="00046BD5" w:rsidP="00ED094E">
            <w:pPr>
              <w:rPr>
                <w:rFonts w:eastAsiaTheme="minorEastAsia" w:cstheme="minorBidi"/>
                <w:sz w:val="16"/>
                <w:szCs w:val="16"/>
              </w:rPr>
            </w:pPr>
            <w:r w:rsidRPr="00DE108C">
              <w:rPr>
                <w:rFonts w:eastAsiaTheme="minorEastAsia" w:cstheme="minorBidi"/>
                <w:sz w:val="16"/>
                <w:szCs w:val="16"/>
              </w:rPr>
              <w:t>861.79</w:t>
            </w:r>
          </w:p>
        </w:tc>
        <w:tc>
          <w:tcPr>
            <w:tcW w:w="672" w:type="pct"/>
            <w:vAlign w:val="center"/>
          </w:tcPr>
          <w:p w14:paraId="2A4C83A8" w14:textId="77777777" w:rsidR="00046BD5" w:rsidRPr="00DE108C" w:rsidRDefault="00046BD5" w:rsidP="00ED094E">
            <w:pPr>
              <w:rPr>
                <w:rFonts w:eastAsiaTheme="minorEastAsia" w:cstheme="minorBidi"/>
                <w:sz w:val="16"/>
                <w:szCs w:val="16"/>
              </w:rPr>
            </w:pPr>
            <w:r w:rsidRPr="00DE108C">
              <w:rPr>
                <w:rFonts w:eastAsiaTheme="minorEastAsia" w:cstheme="minorBidi"/>
                <w:sz w:val="16"/>
                <w:szCs w:val="16"/>
              </w:rPr>
              <w:t>837.51</w:t>
            </w:r>
          </w:p>
        </w:tc>
        <w:tc>
          <w:tcPr>
            <w:tcW w:w="667" w:type="pct"/>
            <w:vAlign w:val="center"/>
          </w:tcPr>
          <w:p w14:paraId="546382F8" w14:textId="77777777" w:rsidR="00046BD5" w:rsidRPr="00DE108C" w:rsidRDefault="00046BD5" w:rsidP="00ED094E">
            <w:pPr>
              <w:rPr>
                <w:rFonts w:eastAsiaTheme="minorEastAsia" w:cstheme="minorBidi"/>
                <w:sz w:val="16"/>
                <w:szCs w:val="16"/>
              </w:rPr>
            </w:pPr>
            <w:r w:rsidRPr="00DE108C">
              <w:rPr>
                <w:rFonts w:eastAsiaTheme="minorEastAsia" w:cstheme="minorBidi"/>
                <w:sz w:val="16"/>
                <w:szCs w:val="16"/>
              </w:rPr>
              <w:t>813.90</w:t>
            </w:r>
          </w:p>
        </w:tc>
        <w:tc>
          <w:tcPr>
            <w:tcW w:w="666" w:type="pct"/>
            <w:vAlign w:val="center"/>
          </w:tcPr>
          <w:p w14:paraId="08A4541E" w14:textId="77777777" w:rsidR="00046BD5" w:rsidRPr="00DE108C" w:rsidRDefault="00046BD5" w:rsidP="00ED094E">
            <w:pPr>
              <w:rPr>
                <w:rFonts w:eastAsiaTheme="minorEastAsia" w:cstheme="minorBidi"/>
                <w:sz w:val="16"/>
                <w:szCs w:val="16"/>
              </w:rPr>
            </w:pPr>
            <w:r w:rsidRPr="00DE108C">
              <w:rPr>
                <w:rFonts w:eastAsiaTheme="minorEastAsia" w:cstheme="minorBidi"/>
                <w:sz w:val="16"/>
                <w:szCs w:val="16"/>
              </w:rPr>
              <w:t>790.96</w:t>
            </w:r>
          </w:p>
        </w:tc>
      </w:tr>
      <w:tr w:rsidR="00556A0D" w:rsidRPr="00DE108C" w14:paraId="161AF3C4" w14:textId="77777777" w:rsidTr="00B35F75">
        <w:trPr>
          <w:cnfStyle w:val="000000010000" w:firstRow="0" w:lastRow="0" w:firstColumn="0" w:lastColumn="0" w:oddVBand="0" w:evenVBand="0" w:oddHBand="0" w:evenHBand="1" w:firstRowFirstColumn="0" w:firstRowLastColumn="0" w:lastRowFirstColumn="0" w:lastRowLastColumn="0"/>
          <w:trHeight w:val="300"/>
        </w:trPr>
        <w:tc>
          <w:tcPr>
            <w:tcW w:w="977" w:type="pct"/>
            <w:hideMark/>
          </w:tcPr>
          <w:p w14:paraId="423E102A" w14:textId="77777777" w:rsidR="00046BD5" w:rsidRPr="00DE108C" w:rsidRDefault="00046BD5" w:rsidP="00ED094E">
            <w:pPr>
              <w:rPr>
                <w:rFonts w:eastAsiaTheme="minorEastAsia"/>
                <w:sz w:val="16"/>
                <w:szCs w:val="16"/>
              </w:rPr>
            </w:pPr>
            <w:r w:rsidRPr="00DE108C">
              <w:rPr>
                <w:rFonts w:eastAsiaTheme="minorEastAsia"/>
                <w:sz w:val="16"/>
                <w:szCs w:val="16"/>
              </w:rPr>
              <w:t>Concrete Jetty</w:t>
            </w:r>
          </w:p>
        </w:tc>
        <w:tc>
          <w:tcPr>
            <w:tcW w:w="673" w:type="pct"/>
            <w:vAlign w:val="center"/>
          </w:tcPr>
          <w:p w14:paraId="1F012CBE" w14:textId="1CE0F778" w:rsidR="008A57BC" w:rsidRPr="00DE108C" w:rsidRDefault="00B35F75" w:rsidP="00ED094E">
            <w:pPr>
              <w:rPr>
                <w:sz w:val="16"/>
                <w:szCs w:val="16"/>
              </w:rPr>
            </w:pPr>
            <w:r w:rsidRPr="00DE108C">
              <w:rPr>
                <w:sz w:val="16"/>
                <w:szCs w:val="16"/>
              </w:rPr>
              <w:t>948.00</w:t>
            </w:r>
          </w:p>
        </w:tc>
        <w:tc>
          <w:tcPr>
            <w:tcW w:w="673" w:type="pct"/>
            <w:vAlign w:val="center"/>
            <w:hideMark/>
          </w:tcPr>
          <w:p w14:paraId="61FEE549" w14:textId="77777777" w:rsidR="00046BD5" w:rsidRPr="00DE108C" w:rsidRDefault="00046BD5" w:rsidP="00ED094E">
            <w:pPr>
              <w:rPr>
                <w:rFonts w:eastAsiaTheme="minorEastAsia" w:cstheme="minorBidi"/>
                <w:sz w:val="16"/>
                <w:szCs w:val="16"/>
              </w:rPr>
            </w:pPr>
            <w:r w:rsidRPr="00DE108C">
              <w:rPr>
                <w:sz w:val="16"/>
                <w:szCs w:val="16"/>
              </w:rPr>
              <w:t xml:space="preserve"> 821.14 </w:t>
            </w:r>
          </w:p>
        </w:tc>
        <w:tc>
          <w:tcPr>
            <w:tcW w:w="672" w:type="pct"/>
            <w:vAlign w:val="center"/>
            <w:hideMark/>
          </w:tcPr>
          <w:p w14:paraId="0AAF0D0C" w14:textId="77777777" w:rsidR="00046BD5" w:rsidRPr="00DE108C" w:rsidRDefault="00046BD5" w:rsidP="00ED094E">
            <w:pPr>
              <w:rPr>
                <w:rFonts w:eastAsiaTheme="minorEastAsia"/>
                <w:sz w:val="16"/>
                <w:szCs w:val="16"/>
              </w:rPr>
            </w:pPr>
            <w:r w:rsidRPr="00DE108C">
              <w:rPr>
                <w:sz w:val="16"/>
                <w:szCs w:val="16"/>
              </w:rPr>
              <w:t>797.99</w:t>
            </w:r>
          </w:p>
        </w:tc>
        <w:tc>
          <w:tcPr>
            <w:tcW w:w="672" w:type="pct"/>
            <w:vAlign w:val="center"/>
            <w:hideMark/>
          </w:tcPr>
          <w:p w14:paraId="78942B92" w14:textId="77777777" w:rsidR="00046BD5" w:rsidRPr="00DE108C" w:rsidRDefault="00046BD5" w:rsidP="00ED094E">
            <w:pPr>
              <w:rPr>
                <w:rFonts w:eastAsiaTheme="minorEastAsia" w:cstheme="minorBidi"/>
                <w:sz w:val="16"/>
                <w:szCs w:val="16"/>
              </w:rPr>
            </w:pPr>
            <w:r w:rsidRPr="00DE108C">
              <w:rPr>
                <w:sz w:val="16"/>
                <w:szCs w:val="16"/>
              </w:rPr>
              <w:t>775.50</w:t>
            </w:r>
          </w:p>
        </w:tc>
        <w:tc>
          <w:tcPr>
            <w:tcW w:w="667" w:type="pct"/>
            <w:vAlign w:val="center"/>
            <w:hideMark/>
          </w:tcPr>
          <w:p w14:paraId="6758724D" w14:textId="77777777" w:rsidR="00046BD5" w:rsidRPr="00DE108C" w:rsidRDefault="00046BD5" w:rsidP="00ED094E">
            <w:pPr>
              <w:rPr>
                <w:rFonts w:eastAsiaTheme="minorEastAsia"/>
                <w:sz w:val="16"/>
                <w:szCs w:val="16"/>
              </w:rPr>
            </w:pPr>
            <w:r w:rsidRPr="00DE108C">
              <w:rPr>
                <w:sz w:val="16"/>
                <w:szCs w:val="16"/>
              </w:rPr>
              <w:t>753.65</w:t>
            </w:r>
          </w:p>
        </w:tc>
        <w:tc>
          <w:tcPr>
            <w:tcW w:w="666" w:type="pct"/>
            <w:vAlign w:val="center"/>
            <w:hideMark/>
          </w:tcPr>
          <w:p w14:paraId="4725F453" w14:textId="77777777" w:rsidR="00046BD5" w:rsidRPr="00DE108C" w:rsidRDefault="00046BD5" w:rsidP="00ED094E">
            <w:pPr>
              <w:rPr>
                <w:rFonts w:eastAsiaTheme="minorEastAsia" w:cstheme="minorBidi"/>
                <w:sz w:val="16"/>
                <w:szCs w:val="16"/>
              </w:rPr>
            </w:pPr>
            <w:r w:rsidRPr="00DE108C">
              <w:rPr>
                <w:sz w:val="16"/>
                <w:szCs w:val="16"/>
              </w:rPr>
              <w:t>732.41</w:t>
            </w:r>
          </w:p>
        </w:tc>
      </w:tr>
      <w:tr w:rsidR="00046BD5" w:rsidRPr="00DE108C" w14:paraId="3A4E1852" w14:textId="77777777" w:rsidTr="00B35F75">
        <w:trPr>
          <w:trHeight w:val="300"/>
        </w:trPr>
        <w:tc>
          <w:tcPr>
            <w:tcW w:w="977" w:type="pct"/>
            <w:tcBorders>
              <w:bottom w:val="single" w:sz="4" w:space="0" w:color="231F20" w:themeColor="text1"/>
            </w:tcBorders>
          </w:tcPr>
          <w:p w14:paraId="230650FD" w14:textId="77777777" w:rsidR="00046BD5" w:rsidRPr="00DE108C" w:rsidRDefault="00046BD5" w:rsidP="00ED094E">
            <w:pPr>
              <w:rPr>
                <w:rFonts w:eastAsiaTheme="minorEastAsia"/>
                <w:sz w:val="16"/>
                <w:szCs w:val="16"/>
              </w:rPr>
            </w:pPr>
            <w:r w:rsidRPr="00DE108C">
              <w:rPr>
                <w:rFonts w:eastAsiaTheme="minorEastAsia"/>
                <w:sz w:val="16"/>
                <w:szCs w:val="16"/>
              </w:rPr>
              <w:lastRenderedPageBreak/>
              <w:t>Jetties annual maintenance and renewal charge</w:t>
            </w:r>
          </w:p>
        </w:tc>
        <w:tc>
          <w:tcPr>
            <w:tcW w:w="673" w:type="pct"/>
            <w:tcBorders>
              <w:bottom w:val="single" w:sz="4" w:space="0" w:color="231F20" w:themeColor="text1"/>
            </w:tcBorders>
            <w:vAlign w:val="center"/>
          </w:tcPr>
          <w:p w14:paraId="551D2A9E" w14:textId="2CE3E793" w:rsidR="008A57BC" w:rsidRPr="00DE108C" w:rsidRDefault="00891F52" w:rsidP="00ED094E">
            <w:pPr>
              <w:rPr>
                <w:sz w:val="16"/>
                <w:szCs w:val="16"/>
              </w:rPr>
            </w:pPr>
            <w:r w:rsidRPr="00DE108C">
              <w:rPr>
                <w:sz w:val="16"/>
                <w:szCs w:val="16"/>
              </w:rPr>
              <w:t>163.56</w:t>
            </w:r>
          </w:p>
        </w:tc>
        <w:tc>
          <w:tcPr>
            <w:tcW w:w="673" w:type="pct"/>
            <w:tcBorders>
              <w:bottom w:val="single" w:sz="4" w:space="0" w:color="231F20" w:themeColor="text1"/>
            </w:tcBorders>
            <w:vAlign w:val="center"/>
          </w:tcPr>
          <w:p w14:paraId="445DC8E2" w14:textId="77777777" w:rsidR="00046BD5" w:rsidRPr="00DE108C" w:rsidRDefault="00046BD5" w:rsidP="00ED094E">
            <w:pPr>
              <w:rPr>
                <w:sz w:val="16"/>
                <w:szCs w:val="16"/>
              </w:rPr>
            </w:pPr>
            <w:r w:rsidRPr="00DE108C">
              <w:rPr>
                <w:sz w:val="16"/>
                <w:szCs w:val="16"/>
              </w:rPr>
              <w:t xml:space="preserve"> 163.57</w:t>
            </w:r>
          </w:p>
        </w:tc>
        <w:tc>
          <w:tcPr>
            <w:tcW w:w="672" w:type="pct"/>
            <w:tcBorders>
              <w:bottom w:val="single" w:sz="4" w:space="0" w:color="231F20" w:themeColor="text1"/>
            </w:tcBorders>
            <w:vAlign w:val="center"/>
          </w:tcPr>
          <w:p w14:paraId="5CF0712C" w14:textId="77777777" w:rsidR="00046BD5" w:rsidRPr="00DE108C" w:rsidRDefault="00046BD5" w:rsidP="00ED094E">
            <w:pPr>
              <w:rPr>
                <w:sz w:val="16"/>
                <w:szCs w:val="16"/>
              </w:rPr>
            </w:pPr>
            <w:r w:rsidRPr="00DE108C">
              <w:rPr>
                <w:sz w:val="16"/>
                <w:szCs w:val="16"/>
              </w:rPr>
              <w:t>212.66</w:t>
            </w:r>
          </w:p>
        </w:tc>
        <w:tc>
          <w:tcPr>
            <w:tcW w:w="672" w:type="pct"/>
            <w:tcBorders>
              <w:bottom w:val="single" w:sz="4" w:space="0" w:color="231F20" w:themeColor="text1"/>
            </w:tcBorders>
            <w:vAlign w:val="center"/>
          </w:tcPr>
          <w:p w14:paraId="0F32947B" w14:textId="62382B6C" w:rsidR="00046BD5" w:rsidRPr="00DE108C" w:rsidRDefault="00046BD5" w:rsidP="00ED094E">
            <w:pPr>
              <w:rPr>
                <w:sz w:val="16"/>
                <w:szCs w:val="16"/>
              </w:rPr>
            </w:pPr>
            <w:r w:rsidRPr="00DE108C">
              <w:rPr>
                <w:sz w:val="16"/>
                <w:szCs w:val="16"/>
              </w:rPr>
              <w:t>27</w:t>
            </w:r>
            <w:r w:rsidR="01DCE228" w:rsidRPr="00DE108C">
              <w:rPr>
                <w:sz w:val="16"/>
                <w:szCs w:val="16"/>
              </w:rPr>
              <w:t>6</w:t>
            </w:r>
            <w:r w:rsidRPr="00DE108C">
              <w:rPr>
                <w:sz w:val="16"/>
                <w:szCs w:val="16"/>
              </w:rPr>
              <w:t>.49</w:t>
            </w:r>
          </w:p>
        </w:tc>
        <w:tc>
          <w:tcPr>
            <w:tcW w:w="667" w:type="pct"/>
            <w:tcBorders>
              <w:bottom w:val="single" w:sz="4" w:space="0" w:color="231F20" w:themeColor="text1"/>
            </w:tcBorders>
            <w:vAlign w:val="center"/>
          </w:tcPr>
          <w:p w14:paraId="2276F0F3" w14:textId="77777777" w:rsidR="00046BD5" w:rsidRPr="00DE108C" w:rsidRDefault="00046BD5" w:rsidP="00ED094E">
            <w:pPr>
              <w:rPr>
                <w:sz w:val="16"/>
                <w:szCs w:val="16"/>
              </w:rPr>
            </w:pPr>
            <w:r w:rsidRPr="00DE108C">
              <w:rPr>
                <w:sz w:val="16"/>
                <w:szCs w:val="16"/>
              </w:rPr>
              <w:t>359.49</w:t>
            </w:r>
          </w:p>
        </w:tc>
        <w:tc>
          <w:tcPr>
            <w:tcW w:w="666" w:type="pct"/>
            <w:tcBorders>
              <w:bottom w:val="single" w:sz="4" w:space="0" w:color="231F20" w:themeColor="text1"/>
            </w:tcBorders>
            <w:vAlign w:val="center"/>
          </w:tcPr>
          <w:p w14:paraId="480671F1" w14:textId="77777777" w:rsidR="00046BD5" w:rsidRPr="00DE108C" w:rsidRDefault="00046BD5" w:rsidP="00ED094E">
            <w:pPr>
              <w:rPr>
                <w:sz w:val="16"/>
                <w:szCs w:val="16"/>
              </w:rPr>
            </w:pPr>
            <w:r w:rsidRPr="00DE108C">
              <w:rPr>
                <w:sz w:val="16"/>
                <w:szCs w:val="16"/>
              </w:rPr>
              <w:t>467.39</w:t>
            </w:r>
          </w:p>
        </w:tc>
      </w:tr>
    </w:tbl>
    <w:p w14:paraId="6107DF99" w14:textId="77777777" w:rsidR="00046BD5" w:rsidRPr="00DE108C" w:rsidRDefault="00046BD5">
      <w:pPr>
        <w:pStyle w:val="Heading4"/>
      </w:pPr>
      <w:r w:rsidRPr="00DE108C">
        <w:t>11.4.3.2 Quiet Lakes – Bore Flushing</w:t>
      </w:r>
    </w:p>
    <w:p w14:paraId="0619DA4F" w14:textId="1DE8DC78" w:rsidR="00046BD5" w:rsidRPr="00DE108C" w:rsidRDefault="00046BD5" w:rsidP="00ED094E">
      <w:pPr>
        <w:rPr>
          <w:rFonts w:eastAsia="Verdana"/>
        </w:rPr>
      </w:pPr>
      <w:r w:rsidRPr="00DE108C">
        <w:rPr>
          <w:rFonts w:eastAsia="Verdana"/>
        </w:rPr>
        <w:t>Melbourne Water is proposing to increase the Quiet Lakes – Bore Flushing charge</w:t>
      </w:r>
      <w:r w:rsidR="00A23F40" w:rsidRPr="00DE108C">
        <w:rPr>
          <w:rFonts w:eastAsia="Verdana"/>
        </w:rPr>
        <w:t>,</w:t>
      </w:r>
      <w:r w:rsidRPr="00DE108C">
        <w:rPr>
          <w:rFonts w:eastAsia="Verdana"/>
        </w:rPr>
        <w:t xml:space="preserve"> and to increase the number of customers who are subject to the charge. During consultation, there </w:t>
      </w:r>
      <w:r w:rsidR="00A23F40" w:rsidRPr="00DE108C">
        <w:rPr>
          <w:rFonts w:eastAsia="Verdana"/>
        </w:rPr>
        <w:t>was</w:t>
      </w:r>
      <w:r w:rsidRPr="00DE108C">
        <w:rPr>
          <w:rFonts w:eastAsia="Verdana"/>
        </w:rPr>
        <w:t xml:space="preserve"> a desire from the local community to resolve cyanobacterial </w:t>
      </w:r>
      <w:r w:rsidR="6862947A" w:rsidRPr="2B55DDEF">
        <w:rPr>
          <w:rFonts w:eastAsia="Verdana"/>
        </w:rPr>
        <w:t>(</w:t>
      </w:r>
      <w:r w:rsidR="6862947A" w:rsidRPr="3D7CA668">
        <w:rPr>
          <w:rFonts w:eastAsia="Verdana"/>
        </w:rPr>
        <w:t xml:space="preserve">blue-green algae) </w:t>
      </w:r>
      <w:r w:rsidRPr="00DE108C">
        <w:rPr>
          <w:rFonts w:eastAsia="Verdana"/>
        </w:rPr>
        <w:t>bloom issues and improve the overall water quality for the three interconnected lakes in Quiet Lakes</w:t>
      </w:r>
      <w:r w:rsidR="3A084695" w:rsidRPr="00DE108C">
        <w:rPr>
          <w:rFonts w:eastAsia="Verdana"/>
        </w:rPr>
        <w:t>.</w:t>
      </w:r>
      <w:r w:rsidRPr="00DE108C">
        <w:rPr>
          <w:rFonts w:eastAsia="Verdana"/>
        </w:rPr>
        <w:t xml:space="preserve"> This has led most recently to a number of options being investigated to improve water quality, most notably assessing engineered options involving modifying the flow dynamics of water passing through the Quiet Lakes system. </w:t>
      </w:r>
    </w:p>
    <w:p w14:paraId="28D8C77E" w14:textId="77777777" w:rsidR="00046BD5" w:rsidRPr="00DE108C" w:rsidRDefault="00046BD5" w:rsidP="00ED094E">
      <w:pPr>
        <w:rPr>
          <w:rFonts w:eastAsia="Verdana"/>
        </w:rPr>
      </w:pPr>
      <w:r w:rsidRPr="00DE108C">
        <w:rPr>
          <w:rFonts w:eastAsia="Verdana"/>
        </w:rPr>
        <w:t xml:space="preserve">While complete eradication of blue-green algae may be unlikely, any proposed solution will aim to minimise the risk of algae blooms as much as possible, as Melbourne Water will look to recoup costs for the proposed the bore flushing solution for all three interconnected lakes from residents. </w:t>
      </w:r>
    </w:p>
    <w:p w14:paraId="1F69E87E" w14:textId="1CC35A04" w:rsidR="00046BD5" w:rsidRPr="00DE108C" w:rsidRDefault="00046BD5" w:rsidP="00ED094E">
      <w:pPr>
        <w:rPr>
          <w:rFonts w:eastAsia="Verdana"/>
        </w:rPr>
      </w:pPr>
      <w:r w:rsidRPr="00DE108C">
        <w:rPr>
          <w:rFonts w:eastAsia="Verdana"/>
        </w:rPr>
        <w:t xml:space="preserve">Customers were supportive of the increased bore flushing to Lake Carramar in addition to the current two lakes (Lake Illawong and Lake Legana) and to smooth in the price increase across the regulatory period. The proposed charges is for a single Quiet Lakes – Bore Flushing charge to apply to all residences that benefit from the three interconnected lakes, as per </w:t>
      </w:r>
      <w:r w:rsidR="002B7F6D" w:rsidRPr="00DE108C">
        <w:rPr>
          <w:rFonts w:eastAsia="Verdana"/>
        </w:rPr>
        <w:t>T</w:t>
      </w:r>
      <w:r w:rsidRPr="00DE108C">
        <w:rPr>
          <w:rFonts w:eastAsia="Verdana"/>
        </w:rPr>
        <w:t>able</w:t>
      </w:r>
      <w:r w:rsidR="002B7F6D" w:rsidRPr="00DE108C">
        <w:rPr>
          <w:rFonts w:eastAsia="Verdana"/>
        </w:rPr>
        <w:t xml:space="preserve"> 11.18</w:t>
      </w:r>
      <w:r w:rsidRPr="00DE108C">
        <w:rPr>
          <w:rFonts w:eastAsia="Verdana"/>
        </w:rPr>
        <w:t xml:space="preserve">. </w:t>
      </w:r>
      <w:r w:rsidR="00BD77DF" w:rsidRPr="00DE108C">
        <w:rPr>
          <w:rFonts w:eastAsia="Verdana"/>
        </w:rPr>
        <w:t>This engagement is outlined in Section 3.2.6</w:t>
      </w:r>
      <w:r w:rsidR="6C046271" w:rsidRPr="05C86C00">
        <w:rPr>
          <w:rFonts w:eastAsia="Verdana"/>
        </w:rPr>
        <w:t xml:space="preserve"> (Engaging with direct service customers</w:t>
      </w:r>
      <w:r w:rsidR="6C046271" w:rsidRPr="2A3D9E99">
        <w:rPr>
          <w:rFonts w:eastAsia="Verdana"/>
        </w:rPr>
        <w:t>)</w:t>
      </w:r>
      <w:r w:rsidR="00BD77DF" w:rsidRPr="2A3D9E99">
        <w:rPr>
          <w:rFonts w:eastAsia="Verdana"/>
        </w:rPr>
        <w:t>.</w:t>
      </w:r>
      <w:r w:rsidRPr="05C86C00">
        <w:rPr>
          <w:rFonts w:eastAsia="Verdana"/>
        </w:rPr>
        <w:t xml:space="preserve"> </w:t>
      </w:r>
    </w:p>
    <w:p w14:paraId="3D08FAB2" w14:textId="77777777" w:rsidR="00046BD5" w:rsidRPr="00DE108C" w:rsidRDefault="00046BD5">
      <w:pPr>
        <w:pStyle w:val="Caption"/>
      </w:pPr>
      <w:bookmarkStart w:id="1184" w:name="_Toc207893121"/>
      <w:bookmarkStart w:id="1185" w:name="_Toc208490645"/>
      <w:bookmarkStart w:id="1186" w:name="_Toc208490983"/>
      <w:bookmarkStart w:id="1187" w:name="_Toc208911141"/>
      <w:bookmarkStart w:id="1188" w:name="_Toc210051447"/>
      <w:r w:rsidRPr="00DE108C">
        <w:t>Table 11.18: Quiet Lakes proposed tariffs ($real 2025-26)</w:t>
      </w:r>
      <w:bookmarkEnd w:id="1184"/>
      <w:bookmarkEnd w:id="1185"/>
      <w:bookmarkEnd w:id="1186"/>
      <w:bookmarkEnd w:id="1187"/>
      <w:bookmarkEnd w:id="1188"/>
    </w:p>
    <w:tbl>
      <w:tblPr>
        <w:tblStyle w:val="TableGridLigh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217"/>
        <w:gridCol w:w="1271"/>
        <w:gridCol w:w="1271"/>
        <w:gridCol w:w="1271"/>
        <w:gridCol w:w="1271"/>
        <w:gridCol w:w="1275"/>
      </w:tblGrid>
      <w:tr w:rsidR="000A705B" w:rsidRPr="00DE108C" w14:paraId="4B6F1A1C" w14:textId="77777777" w:rsidTr="00095E1B">
        <w:trPr>
          <w:trHeight w:val="300"/>
        </w:trPr>
        <w:tc>
          <w:tcPr>
            <w:tcW w:w="1066" w:type="pct"/>
            <w:tcBorders>
              <w:bottom w:val="single" w:sz="4" w:space="0" w:color="auto"/>
            </w:tcBorders>
            <w:shd w:val="clear" w:color="auto" w:fill="00428B" w:themeFill="accent1"/>
            <w:hideMark/>
          </w:tcPr>
          <w:p w14:paraId="1C865F19" w14:textId="77777777" w:rsidR="00046BD5" w:rsidRPr="00DE108C" w:rsidRDefault="00046BD5">
            <w:pPr>
              <w:rPr>
                <w:rFonts w:eastAsia="Verdana"/>
                <w:b/>
                <w:bCs/>
                <w:color w:val="FFFFFF" w:themeColor="background1"/>
                <w:sz w:val="16"/>
                <w:szCs w:val="16"/>
              </w:rPr>
            </w:pPr>
          </w:p>
        </w:tc>
        <w:tc>
          <w:tcPr>
            <w:tcW w:w="632" w:type="pct"/>
            <w:tcBorders>
              <w:bottom w:val="single" w:sz="4" w:space="0" w:color="auto"/>
            </w:tcBorders>
            <w:shd w:val="clear" w:color="auto" w:fill="00428B" w:themeFill="accent1"/>
            <w:hideMark/>
          </w:tcPr>
          <w:p w14:paraId="69FB1327" w14:textId="77777777" w:rsidR="00046BD5" w:rsidRPr="00DE108C" w:rsidRDefault="00046BD5" w:rsidP="00ED094E">
            <w:pPr>
              <w:rPr>
                <w:rFonts w:eastAsia="Verdana"/>
                <w:b/>
                <w:color w:val="FFFFFF" w:themeColor="background1"/>
                <w:sz w:val="16"/>
                <w:szCs w:val="16"/>
              </w:rPr>
            </w:pPr>
            <w:r w:rsidRPr="00DE108C">
              <w:rPr>
                <w:rFonts w:eastAsia="Verdana"/>
                <w:b/>
                <w:color w:val="FFFFFF" w:themeColor="background1"/>
                <w:sz w:val="16"/>
                <w:szCs w:val="16"/>
              </w:rPr>
              <w:t>2025-26 </w:t>
            </w:r>
          </w:p>
        </w:tc>
        <w:tc>
          <w:tcPr>
            <w:tcW w:w="660" w:type="pct"/>
            <w:tcBorders>
              <w:bottom w:val="single" w:sz="4" w:space="0" w:color="auto"/>
            </w:tcBorders>
            <w:shd w:val="clear" w:color="auto" w:fill="00428B" w:themeFill="accent1"/>
            <w:hideMark/>
          </w:tcPr>
          <w:p w14:paraId="601AAD89" w14:textId="77777777" w:rsidR="00046BD5" w:rsidRPr="00DE108C" w:rsidRDefault="00046BD5" w:rsidP="00ED094E">
            <w:pPr>
              <w:rPr>
                <w:rFonts w:eastAsia="Verdana"/>
                <w:b/>
                <w:color w:val="FFFFFF" w:themeColor="background1"/>
                <w:sz w:val="16"/>
                <w:szCs w:val="16"/>
              </w:rPr>
            </w:pPr>
            <w:r w:rsidRPr="00DE108C">
              <w:rPr>
                <w:rFonts w:eastAsia="Verdana"/>
                <w:b/>
                <w:color w:val="FFFFFF" w:themeColor="background1"/>
                <w:sz w:val="16"/>
                <w:szCs w:val="16"/>
              </w:rPr>
              <w:t>2026-27 </w:t>
            </w:r>
          </w:p>
        </w:tc>
        <w:tc>
          <w:tcPr>
            <w:tcW w:w="660" w:type="pct"/>
            <w:tcBorders>
              <w:bottom w:val="single" w:sz="4" w:space="0" w:color="auto"/>
            </w:tcBorders>
            <w:shd w:val="clear" w:color="auto" w:fill="00428B" w:themeFill="accent1"/>
            <w:hideMark/>
          </w:tcPr>
          <w:p w14:paraId="7A804FF6" w14:textId="77777777" w:rsidR="00046BD5" w:rsidRPr="00DE108C" w:rsidRDefault="00046BD5" w:rsidP="00ED094E">
            <w:pPr>
              <w:rPr>
                <w:rFonts w:eastAsia="Verdana"/>
                <w:b/>
                <w:color w:val="FFFFFF" w:themeColor="background1"/>
                <w:sz w:val="16"/>
                <w:szCs w:val="16"/>
              </w:rPr>
            </w:pPr>
            <w:r w:rsidRPr="00DE108C">
              <w:rPr>
                <w:rFonts w:eastAsia="Verdana"/>
                <w:b/>
                <w:color w:val="FFFFFF" w:themeColor="background1"/>
                <w:sz w:val="16"/>
                <w:szCs w:val="16"/>
              </w:rPr>
              <w:t>2027-28 </w:t>
            </w:r>
          </w:p>
        </w:tc>
        <w:tc>
          <w:tcPr>
            <w:tcW w:w="660" w:type="pct"/>
            <w:tcBorders>
              <w:bottom w:val="single" w:sz="4" w:space="0" w:color="auto"/>
            </w:tcBorders>
            <w:shd w:val="clear" w:color="auto" w:fill="00428B" w:themeFill="accent1"/>
            <w:hideMark/>
          </w:tcPr>
          <w:p w14:paraId="27887F7D" w14:textId="77777777" w:rsidR="00046BD5" w:rsidRPr="00DE108C" w:rsidRDefault="00046BD5" w:rsidP="00ED094E">
            <w:pPr>
              <w:rPr>
                <w:rFonts w:eastAsia="Verdana"/>
                <w:b/>
                <w:color w:val="FFFFFF" w:themeColor="background1"/>
                <w:sz w:val="16"/>
                <w:szCs w:val="16"/>
              </w:rPr>
            </w:pPr>
            <w:r w:rsidRPr="00DE108C">
              <w:rPr>
                <w:rFonts w:eastAsia="Verdana"/>
                <w:b/>
                <w:color w:val="FFFFFF" w:themeColor="background1"/>
                <w:sz w:val="16"/>
                <w:szCs w:val="16"/>
              </w:rPr>
              <w:t>2028-29 </w:t>
            </w:r>
          </w:p>
        </w:tc>
        <w:tc>
          <w:tcPr>
            <w:tcW w:w="660" w:type="pct"/>
            <w:tcBorders>
              <w:bottom w:val="single" w:sz="4" w:space="0" w:color="auto"/>
            </w:tcBorders>
            <w:shd w:val="clear" w:color="auto" w:fill="00428B" w:themeFill="accent1"/>
            <w:hideMark/>
          </w:tcPr>
          <w:p w14:paraId="3A8FA046" w14:textId="77777777" w:rsidR="00046BD5" w:rsidRPr="00DE108C" w:rsidRDefault="00046BD5" w:rsidP="00ED094E">
            <w:pPr>
              <w:rPr>
                <w:rFonts w:eastAsia="Verdana"/>
                <w:b/>
                <w:color w:val="FFFFFF" w:themeColor="background1"/>
                <w:sz w:val="16"/>
                <w:szCs w:val="16"/>
              </w:rPr>
            </w:pPr>
            <w:r w:rsidRPr="00DE108C">
              <w:rPr>
                <w:rFonts w:eastAsia="Verdana"/>
                <w:b/>
                <w:color w:val="FFFFFF" w:themeColor="background1"/>
                <w:sz w:val="16"/>
                <w:szCs w:val="16"/>
              </w:rPr>
              <w:t>2029-30 </w:t>
            </w:r>
          </w:p>
        </w:tc>
        <w:tc>
          <w:tcPr>
            <w:tcW w:w="662" w:type="pct"/>
            <w:tcBorders>
              <w:bottom w:val="single" w:sz="4" w:space="0" w:color="auto"/>
            </w:tcBorders>
            <w:shd w:val="clear" w:color="auto" w:fill="00428B" w:themeFill="accent1"/>
            <w:hideMark/>
          </w:tcPr>
          <w:p w14:paraId="33046A4F" w14:textId="77777777" w:rsidR="00046BD5" w:rsidRPr="00DE108C" w:rsidRDefault="00046BD5" w:rsidP="00ED094E">
            <w:pPr>
              <w:rPr>
                <w:rFonts w:eastAsia="Verdana"/>
                <w:b/>
                <w:color w:val="FFFFFF" w:themeColor="background1"/>
                <w:sz w:val="16"/>
                <w:szCs w:val="16"/>
              </w:rPr>
            </w:pPr>
            <w:r w:rsidRPr="00DE108C">
              <w:rPr>
                <w:rFonts w:eastAsia="Verdana"/>
                <w:b/>
                <w:color w:val="FFFFFF" w:themeColor="background1"/>
                <w:sz w:val="16"/>
                <w:szCs w:val="16"/>
              </w:rPr>
              <w:t>2030-31 </w:t>
            </w:r>
          </w:p>
        </w:tc>
      </w:tr>
      <w:tr w:rsidR="00046BD5" w:rsidRPr="00DE108C" w14:paraId="6BECE1F7" w14:textId="77777777" w:rsidTr="00095E1B">
        <w:trPr>
          <w:trHeight w:val="300"/>
        </w:trPr>
        <w:tc>
          <w:tcPr>
            <w:tcW w:w="1066" w:type="pct"/>
            <w:tcBorders>
              <w:bottom w:val="single" w:sz="4" w:space="0" w:color="231F20" w:themeColor="text1"/>
            </w:tcBorders>
            <w:hideMark/>
          </w:tcPr>
          <w:p w14:paraId="004993F8" w14:textId="77777777" w:rsidR="00046BD5" w:rsidRPr="00DE108C" w:rsidRDefault="00046BD5" w:rsidP="00ED094E">
            <w:pPr>
              <w:rPr>
                <w:rFonts w:eastAsia="Verdana"/>
                <w:sz w:val="16"/>
                <w:szCs w:val="16"/>
              </w:rPr>
            </w:pPr>
            <w:r w:rsidRPr="00DE108C">
              <w:rPr>
                <w:rFonts w:eastAsia="Verdana"/>
                <w:sz w:val="16"/>
                <w:szCs w:val="16"/>
              </w:rPr>
              <w:t xml:space="preserve">Bore flushing </w:t>
            </w:r>
            <w:r>
              <w:rPr>
                <w:rFonts w:eastAsia="Verdana"/>
              </w:rPr>
              <w:br/>
            </w:r>
            <w:r w:rsidRPr="00DE108C">
              <w:rPr>
                <w:rFonts w:eastAsia="Verdana"/>
                <w:sz w:val="16"/>
                <w:szCs w:val="16"/>
              </w:rPr>
              <w:t>$ per annum</w:t>
            </w:r>
          </w:p>
        </w:tc>
        <w:tc>
          <w:tcPr>
            <w:tcW w:w="632" w:type="pct"/>
            <w:tcBorders>
              <w:bottom w:val="single" w:sz="4" w:space="0" w:color="231F20" w:themeColor="text1"/>
            </w:tcBorders>
            <w:hideMark/>
          </w:tcPr>
          <w:p w14:paraId="21BE44DF" w14:textId="77777777" w:rsidR="00046BD5" w:rsidRPr="00DE108C" w:rsidRDefault="00046BD5" w:rsidP="00ED094E">
            <w:pPr>
              <w:rPr>
                <w:rFonts w:eastAsia="Verdana"/>
                <w:sz w:val="16"/>
                <w:szCs w:val="16"/>
              </w:rPr>
            </w:pPr>
            <w:r w:rsidRPr="00DE108C">
              <w:rPr>
                <w:rFonts w:eastAsia="Verdana"/>
                <w:sz w:val="16"/>
                <w:szCs w:val="16"/>
              </w:rPr>
              <w:t>153.22 </w:t>
            </w:r>
            <w:r w:rsidRPr="00DE108C">
              <w:rPr>
                <w:rFonts w:eastAsia="Verdana"/>
                <w:sz w:val="16"/>
                <w:szCs w:val="16"/>
                <w:vertAlign w:val="superscript"/>
              </w:rPr>
              <w:t>a</w:t>
            </w:r>
          </w:p>
        </w:tc>
        <w:tc>
          <w:tcPr>
            <w:tcW w:w="660" w:type="pct"/>
            <w:tcBorders>
              <w:bottom w:val="single" w:sz="4" w:space="0" w:color="231F20" w:themeColor="text1"/>
            </w:tcBorders>
            <w:hideMark/>
          </w:tcPr>
          <w:p w14:paraId="1B64E633" w14:textId="77777777" w:rsidR="00046BD5" w:rsidRPr="00DE108C" w:rsidRDefault="00046BD5" w:rsidP="00ED094E">
            <w:pPr>
              <w:rPr>
                <w:rFonts w:eastAsia="Verdana"/>
                <w:sz w:val="16"/>
                <w:szCs w:val="16"/>
              </w:rPr>
            </w:pPr>
            <w:r w:rsidRPr="00DE108C">
              <w:rPr>
                <w:rFonts w:eastAsia="Verdana"/>
                <w:sz w:val="16"/>
                <w:szCs w:val="16"/>
              </w:rPr>
              <w:t>153.22 </w:t>
            </w:r>
          </w:p>
        </w:tc>
        <w:tc>
          <w:tcPr>
            <w:tcW w:w="660" w:type="pct"/>
            <w:tcBorders>
              <w:bottom w:val="single" w:sz="4" w:space="0" w:color="231F20" w:themeColor="text1"/>
            </w:tcBorders>
          </w:tcPr>
          <w:p w14:paraId="08DFE376" w14:textId="77777777" w:rsidR="00046BD5" w:rsidRPr="00DE108C" w:rsidRDefault="00046BD5" w:rsidP="00ED094E">
            <w:pPr>
              <w:rPr>
                <w:rFonts w:eastAsia="Verdana"/>
                <w:sz w:val="16"/>
                <w:szCs w:val="16"/>
              </w:rPr>
            </w:pPr>
            <w:r w:rsidRPr="00DE108C">
              <w:rPr>
                <w:rFonts w:eastAsia="Verdana"/>
                <w:sz w:val="16"/>
                <w:szCs w:val="16"/>
              </w:rPr>
              <w:t>182.62</w:t>
            </w:r>
          </w:p>
        </w:tc>
        <w:tc>
          <w:tcPr>
            <w:tcW w:w="660" w:type="pct"/>
            <w:tcBorders>
              <w:bottom w:val="single" w:sz="4" w:space="0" w:color="231F20" w:themeColor="text1"/>
            </w:tcBorders>
          </w:tcPr>
          <w:p w14:paraId="1025CA6F" w14:textId="77777777" w:rsidR="00046BD5" w:rsidRPr="00DE108C" w:rsidRDefault="00046BD5" w:rsidP="00ED094E">
            <w:pPr>
              <w:rPr>
                <w:rFonts w:eastAsia="Verdana"/>
                <w:sz w:val="16"/>
                <w:szCs w:val="16"/>
              </w:rPr>
            </w:pPr>
            <w:r w:rsidRPr="00DE108C">
              <w:rPr>
                <w:rFonts w:eastAsia="Verdana"/>
                <w:sz w:val="16"/>
                <w:szCs w:val="16"/>
              </w:rPr>
              <w:t>217.65</w:t>
            </w:r>
          </w:p>
        </w:tc>
        <w:tc>
          <w:tcPr>
            <w:tcW w:w="660" w:type="pct"/>
            <w:tcBorders>
              <w:bottom w:val="single" w:sz="4" w:space="0" w:color="231F20" w:themeColor="text1"/>
            </w:tcBorders>
          </w:tcPr>
          <w:p w14:paraId="14D3D061" w14:textId="77777777" w:rsidR="00046BD5" w:rsidRPr="00DE108C" w:rsidRDefault="00046BD5" w:rsidP="00ED094E">
            <w:pPr>
              <w:rPr>
                <w:rFonts w:eastAsia="Verdana"/>
                <w:sz w:val="16"/>
                <w:szCs w:val="16"/>
              </w:rPr>
            </w:pPr>
            <w:r w:rsidRPr="00DE108C">
              <w:rPr>
                <w:rFonts w:eastAsia="Verdana"/>
                <w:sz w:val="16"/>
                <w:szCs w:val="16"/>
              </w:rPr>
              <w:t>259.41</w:t>
            </w:r>
          </w:p>
        </w:tc>
        <w:tc>
          <w:tcPr>
            <w:tcW w:w="662" w:type="pct"/>
            <w:tcBorders>
              <w:bottom w:val="single" w:sz="4" w:space="0" w:color="231F20" w:themeColor="text1"/>
            </w:tcBorders>
          </w:tcPr>
          <w:p w14:paraId="1CEDDABA" w14:textId="77777777" w:rsidR="00046BD5" w:rsidRPr="00DE108C" w:rsidRDefault="00046BD5" w:rsidP="00ED094E">
            <w:pPr>
              <w:rPr>
                <w:rFonts w:eastAsia="Verdana"/>
                <w:sz w:val="16"/>
                <w:szCs w:val="16"/>
              </w:rPr>
            </w:pPr>
            <w:r w:rsidRPr="00DE108C">
              <w:rPr>
                <w:rFonts w:eastAsia="Verdana"/>
                <w:sz w:val="16"/>
                <w:szCs w:val="16"/>
              </w:rPr>
              <w:t>309.19</w:t>
            </w:r>
          </w:p>
        </w:tc>
      </w:tr>
    </w:tbl>
    <w:p w14:paraId="2D83ABBF" w14:textId="22BD92F5" w:rsidR="00095E1B" w:rsidRDefault="00095E1B" w:rsidP="00095E1B">
      <w:pPr>
        <w:pStyle w:val="BodyText12ptAbove"/>
        <w:spacing w:before="80"/>
      </w:pPr>
      <w:bookmarkStart w:id="1189" w:name="_Toc196745306"/>
      <w:r w:rsidRPr="00DE108C">
        <w:rPr>
          <w:rFonts w:eastAsia="Verdana"/>
          <w:color w:val="auto"/>
          <w:sz w:val="16"/>
          <w:szCs w:val="16"/>
          <w:vertAlign w:val="superscript"/>
        </w:rPr>
        <w:t>a</w:t>
      </w:r>
      <w:r w:rsidRPr="00DE108C">
        <w:rPr>
          <w:rFonts w:eastAsia="Verdana"/>
          <w:color w:val="auto"/>
          <w:sz w:val="16"/>
          <w:szCs w:val="16"/>
        </w:rPr>
        <w:t xml:space="preserve"> </w:t>
      </w:r>
      <w:r w:rsidRPr="2A3D9E99">
        <w:rPr>
          <w:rFonts w:eastAsia="Verdana"/>
          <w:color w:val="auto"/>
          <w:sz w:val="16"/>
          <w:szCs w:val="16"/>
        </w:rPr>
        <w:t>In</w:t>
      </w:r>
      <w:r w:rsidRPr="00DE108C">
        <w:rPr>
          <w:rFonts w:eastAsia="Verdana"/>
          <w:color w:val="auto"/>
          <w:sz w:val="16"/>
          <w:szCs w:val="16"/>
        </w:rPr>
        <w:t xml:space="preserve"> 2025-26, the bore flushing charge only applies to residences of Lake Illawong and Lake Legana. From 2026-27, the bore flushing charge will also apply to residences of Lake Carramar.</w:t>
      </w:r>
    </w:p>
    <w:p w14:paraId="5DB3632D" w14:textId="1B2675D8" w:rsidR="00046BD5" w:rsidRPr="00DE108C" w:rsidRDefault="00046BD5" w:rsidP="00ED094E">
      <w:pPr>
        <w:pStyle w:val="Heading4"/>
      </w:pPr>
      <w:r w:rsidRPr="00DE108C">
        <w:t>11.4.3.3 Koo Wee Rup – Longwarry Flood Protection District</w:t>
      </w:r>
    </w:p>
    <w:p w14:paraId="45F09DCC" w14:textId="77777777" w:rsidR="00046BD5" w:rsidRPr="00DE108C" w:rsidRDefault="00046BD5" w:rsidP="00ED094E">
      <w:pPr>
        <w:pStyle w:val="BodyText"/>
        <w:rPr>
          <w:rFonts w:eastAsia="Verdana"/>
        </w:rPr>
      </w:pPr>
      <w:r w:rsidRPr="00DE108C">
        <w:t xml:space="preserve">Melbourne Water charges property owners in the Koo Wee Rup–Longwarry Flood Protection District a special drainage area rate. It covers maintenance services on an extensive network of channels used to drain the area and mitigate flood risks. During the last regulatory period, we finalised the transition from a rate in the NAV to a single cost reflective price. </w:t>
      </w:r>
    </w:p>
    <w:p w14:paraId="3AE27CE4" w14:textId="57D32545" w:rsidR="00046BD5" w:rsidRPr="00DE108C" w:rsidRDefault="00046BD5" w:rsidP="00ED094E">
      <w:pPr>
        <w:rPr>
          <w:rFonts w:eastAsia="Verdana"/>
        </w:rPr>
      </w:pPr>
      <w:r w:rsidRPr="00DE108C">
        <w:rPr>
          <w:rFonts w:eastAsia="Verdana"/>
        </w:rPr>
        <w:t xml:space="preserve">A single tariff has been calculated using the principles of cost recovery and reflect direct expenditure on the floodplain district. After consultation with customers about changes in levels of services, Melbourne Water is proposing to increase Koo-Wee Rup – Longwarry Flood Protection District by CPI only in 2026-27 and by 5.2 per cent in real terms each year from 2027-28 to 2030-31. </w:t>
      </w:r>
      <w:r w:rsidR="00AC4949" w:rsidRPr="00DE108C">
        <w:rPr>
          <w:rFonts w:eastAsia="Verdana"/>
        </w:rPr>
        <w:t>Information regarding this engagement is outlined in Section 3.2.6</w:t>
      </w:r>
      <w:r w:rsidR="22DD62C9" w:rsidRPr="4725FE8B">
        <w:rPr>
          <w:rFonts w:eastAsia="Verdana"/>
        </w:rPr>
        <w:t xml:space="preserve"> (Engaging with direct service customers)</w:t>
      </w:r>
      <w:r w:rsidRPr="4725FE8B">
        <w:rPr>
          <w:rFonts w:eastAsia="Verdana"/>
        </w:rPr>
        <w:t>.</w:t>
      </w:r>
      <w:r w:rsidRPr="00DE108C">
        <w:rPr>
          <w:rFonts w:eastAsia="Verdana"/>
        </w:rPr>
        <w:t xml:space="preserve"> These are shown in Table 11.19. </w:t>
      </w:r>
    </w:p>
    <w:p w14:paraId="1DDE123E" w14:textId="77777777" w:rsidR="00046BD5" w:rsidRPr="00DE108C" w:rsidRDefault="00046BD5" w:rsidP="00ED094E">
      <w:pPr>
        <w:pStyle w:val="Caption"/>
      </w:pPr>
      <w:bookmarkStart w:id="1190" w:name="_Toc207893122"/>
      <w:bookmarkStart w:id="1191" w:name="_Toc208490646"/>
      <w:bookmarkStart w:id="1192" w:name="_Toc208490984"/>
      <w:bookmarkStart w:id="1193" w:name="_Toc208911142"/>
      <w:bookmarkStart w:id="1194" w:name="_Toc210051448"/>
      <w:r w:rsidRPr="00DE108C">
        <w:lastRenderedPageBreak/>
        <w:t>Table 11.19: Koo Wee Rup – Longwarry Flood Protection District proposed price ($real 2025-26)</w:t>
      </w:r>
      <w:bookmarkEnd w:id="1190"/>
      <w:bookmarkEnd w:id="1191"/>
      <w:bookmarkEnd w:id="1192"/>
      <w:bookmarkEnd w:id="1193"/>
      <w:bookmarkEnd w:id="1194"/>
    </w:p>
    <w:tbl>
      <w:tblPr>
        <w:tblStyle w:val="MWTableGrid"/>
        <w:tblW w:w="5000" w:type="pct"/>
        <w:tblLook w:val="04A0" w:firstRow="1" w:lastRow="0" w:firstColumn="1" w:lastColumn="0" w:noHBand="0" w:noVBand="1"/>
      </w:tblPr>
      <w:tblGrid>
        <w:gridCol w:w="2054"/>
        <w:gridCol w:w="1218"/>
        <w:gridCol w:w="1272"/>
        <w:gridCol w:w="1271"/>
        <w:gridCol w:w="1271"/>
        <w:gridCol w:w="1271"/>
        <w:gridCol w:w="1271"/>
      </w:tblGrid>
      <w:tr w:rsidR="00556A0D" w:rsidRPr="00DE108C" w14:paraId="2C3A87F1" w14:textId="77777777" w:rsidTr="00F86182">
        <w:trPr>
          <w:cnfStyle w:val="100000000000" w:firstRow="1" w:lastRow="0" w:firstColumn="0" w:lastColumn="0" w:oddVBand="0" w:evenVBand="0" w:oddHBand="0" w:evenHBand="0" w:firstRowFirstColumn="0" w:firstRowLastColumn="0" w:lastRowFirstColumn="0" w:lastRowLastColumn="0"/>
          <w:trHeight w:val="300"/>
        </w:trPr>
        <w:tc>
          <w:tcPr>
            <w:tcW w:w="1066" w:type="pct"/>
            <w:hideMark/>
          </w:tcPr>
          <w:p w14:paraId="6B6E9F13" w14:textId="77777777" w:rsidR="00046BD5" w:rsidRPr="00DE108C" w:rsidRDefault="00046BD5" w:rsidP="00ED094E">
            <w:pPr>
              <w:rPr>
                <w:rFonts w:asciiTheme="majorHAnsi" w:eastAsia="Verdana" w:hAnsiTheme="majorHAnsi"/>
                <w:b/>
                <w:bCs/>
                <w:color w:val="FFFFFF" w:themeColor="background1"/>
                <w:sz w:val="16"/>
                <w:szCs w:val="16"/>
              </w:rPr>
            </w:pPr>
          </w:p>
        </w:tc>
        <w:tc>
          <w:tcPr>
            <w:tcW w:w="632" w:type="pct"/>
            <w:hideMark/>
          </w:tcPr>
          <w:p w14:paraId="0DD991D8" w14:textId="77777777" w:rsidR="00046BD5" w:rsidRPr="00DE108C" w:rsidRDefault="00046BD5" w:rsidP="00ED094E">
            <w:pPr>
              <w:rPr>
                <w:rFonts w:asciiTheme="majorHAnsi" w:eastAsia="Verdana" w:hAnsiTheme="majorHAnsi"/>
                <w:b/>
                <w:color w:val="FFFFFF" w:themeColor="background1"/>
                <w:sz w:val="16"/>
                <w:szCs w:val="16"/>
              </w:rPr>
            </w:pPr>
            <w:r w:rsidRPr="6D9677D0">
              <w:rPr>
                <w:rFonts w:asciiTheme="majorHAnsi" w:eastAsia="Verdana" w:hAnsiTheme="majorHAnsi"/>
                <w:b/>
                <w:color w:val="FFFFFF" w:themeColor="background1"/>
                <w:sz w:val="16"/>
                <w:szCs w:val="16"/>
              </w:rPr>
              <w:t>2025-26 </w:t>
            </w:r>
          </w:p>
        </w:tc>
        <w:tc>
          <w:tcPr>
            <w:tcW w:w="660" w:type="pct"/>
            <w:hideMark/>
          </w:tcPr>
          <w:p w14:paraId="6EBCBB58" w14:textId="77777777" w:rsidR="00046BD5" w:rsidRPr="00DE108C" w:rsidRDefault="00046BD5" w:rsidP="00ED094E">
            <w:pPr>
              <w:rPr>
                <w:rFonts w:asciiTheme="majorHAnsi" w:eastAsia="Verdana" w:hAnsiTheme="majorHAnsi"/>
                <w:b/>
                <w:color w:val="FFFFFF" w:themeColor="background1"/>
                <w:sz w:val="16"/>
                <w:szCs w:val="16"/>
              </w:rPr>
            </w:pPr>
            <w:r w:rsidRPr="6D9677D0">
              <w:rPr>
                <w:rFonts w:asciiTheme="majorHAnsi" w:eastAsia="Verdana" w:hAnsiTheme="majorHAnsi"/>
                <w:b/>
                <w:color w:val="FFFFFF" w:themeColor="background1"/>
                <w:sz w:val="16"/>
                <w:szCs w:val="16"/>
              </w:rPr>
              <w:t>2026-27 </w:t>
            </w:r>
          </w:p>
        </w:tc>
        <w:tc>
          <w:tcPr>
            <w:tcW w:w="660" w:type="pct"/>
            <w:hideMark/>
          </w:tcPr>
          <w:p w14:paraId="596C21CB" w14:textId="77777777" w:rsidR="00046BD5" w:rsidRPr="00DE108C" w:rsidRDefault="00046BD5" w:rsidP="00ED094E">
            <w:pPr>
              <w:rPr>
                <w:rFonts w:asciiTheme="majorHAnsi" w:eastAsia="Verdana" w:hAnsiTheme="majorHAnsi"/>
                <w:b/>
                <w:color w:val="FFFFFF" w:themeColor="background1"/>
                <w:sz w:val="16"/>
                <w:szCs w:val="16"/>
              </w:rPr>
            </w:pPr>
            <w:r w:rsidRPr="6D9677D0">
              <w:rPr>
                <w:rFonts w:asciiTheme="majorHAnsi" w:eastAsia="Verdana" w:hAnsiTheme="majorHAnsi"/>
                <w:b/>
                <w:color w:val="FFFFFF" w:themeColor="background1"/>
                <w:sz w:val="16"/>
                <w:szCs w:val="16"/>
              </w:rPr>
              <w:t>2027-28 </w:t>
            </w:r>
          </w:p>
        </w:tc>
        <w:tc>
          <w:tcPr>
            <w:tcW w:w="660" w:type="pct"/>
            <w:hideMark/>
          </w:tcPr>
          <w:p w14:paraId="24594848" w14:textId="77777777" w:rsidR="00046BD5" w:rsidRPr="00DE108C" w:rsidRDefault="00046BD5" w:rsidP="00ED094E">
            <w:pPr>
              <w:rPr>
                <w:rFonts w:asciiTheme="majorHAnsi" w:eastAsia="Verdana" w:hAnsiTheme="majorHAnsi"/>
                <w:b/>
                <w:color w:val="FFFFFF" w:themeColor="background1"/>
                <w:sz w:val="16"/>
                <w:szCs w:val="16"/>
              </w:rPr>
            </w:pPr>
            <w:r w:rsidRPr="6D9677D0">
              <w:rPr>
                <w:rFonts w:asciiTheme="majorHAnsi" w:eastAsia="Verdana" w:hAnsiTheme="majorHAnsi"/>
                <w:b/>
                <w:color w:val="FFFFFF" w:themeColor="background1"/>
                <w:sz w:val="16"/>
                <w:szCs w:val="16"/>
              </w:rPr>
              <w:t>2028-29 </w:t>
            </w:r>
          </w:p>
        </w:tc>
        <w:tc>
          <w:tcPr>
            <w:tcW w:w="660" w:type="pct"/>
            <w:hideMark/>
          </w:tcPr>
          <w:p w14:paraId="1036BC57" w14:textId="77777777" w:rsidR="00046BD5" w:rsidRPr="00DE108C" w:rsidRDefault="00046BD5" w:rsidP="00ED094E">
            <w:pPr>
              <w:rPr>
                <w:rFonts w:asciiTheme="majorHAnsi" w:eastAsia="Verdana" w:hAnsiTheme="majorHAnsi"/>
                <w:b/>
                <w:color w:val="FFFFFF" w:themeColor="background1"/>
                <w:sz w:val="16"/>
                <w:szCs w:val="16"/>
              </w:rPr>
            </w:pPr>
            <w:r w:rsidRPr="6D9677D0">
              <w:rPr>
                <w:rFonts w:asciiTheme="majorHAnsi" w:eastAsia="Verdana" w:hAnsiTheme="majorHAnsi"/>
                <w:b/>
                <w:color w:val="FFFFFF" w:themeColor="background1"/>
                <w:sz w:val="16"/>
                <w:szCs w:val="16"/>
              </w:rPr>
              <w:t>2029-30 </w:t>
            </w:r>
          </w:p>
        </w:tc>
        <w:tc>
          <w:tcPr>
            <w:tcW w:w="660" w:type="pct"/>
            <w:hideMark/>
          </w:tcPr>
          <w:p w14:paraId="1EE40257" w14:textId="77777777" w:rsidR="00046BD5" w:rsidRPr="00DE108C" w:rsidRDefault="00046BD5" w:rsidP="00ED094E">
            <w:pPr>
              <w:rPr>
                <w:rFonts w:asciiTheme="majorHAnsi" w:eastAsia="Verdana" w:hAnsiTheme="majorHAnsi"/>
                <w:b/>
                <w:color w:val="FFFFFF" w:themeColor="background1"/>
                <w:sz w:val="16"/>
                <w:szCs w:val="16"/>
              </w:rPr>
            </w:pPr>
            <w:r w:rsidRPr="6D9677D0">
              <w:rPr>
                <w:rFonts w:asciiTheme="majorHAnsi" w:eastAsia="Verdana" w:hAnsiTheme="majorHAnsi"/>
                <w:b/>
                <w:color w:val="FFFFFF" w:themeColor="background1"/>
                <w:sz w:val="16"/>
                <w:szCs w:val="16"/>
              </w:rPr>
              <w:t>2030-31 </w:t>
            </w:r>
          </w:p>
        </w:tc>
      </w:tr>
      <w:tr w:rsidR="00046BD5" w:rsidRPr="00DE108C" w14:paraId="5C82C308" w14:textId="77777777" w:rsidTr="530880E3">
        <w:trPr>
          <w:trHeight w:val="300"/>
        </w:trPr>
        <w:tc>
          <w:tcPr>
            <w:tcW w:w="1066" w:type="pct"/>
            <w:tcBorders>
              <w:bottom w:val="single" w:sz="4" w:space="0" w:color="231F20" w:themeColor="text1"/>
            </w:tcBorders>
            <w:hideMark/>
          </w:tcPr>
          <w:p w14:paraId="5C7DF533" w14:textId="77777777" w:rsidR="00046BD5" w:rsidRPr="00DE108C" w:rsidRDefault="00046BD5" w:rsidP="00ED094E">
            <w:pPr>
              <w:rPr>
                <w:rFonts w:asciiTheme="majorHAnsi" w:eastAsia="Verdana" w:hAnsiTheme="majorHAnsi"/>
                <w:sz w:val="16"/>
                <w:szCs w:val="16"/>
              </w:rPr>
            </w:pPr>
            <w:r w:rsidRPr="00DE108C">
              <w:rPr>
                <w:rFonts w:asciiTheme="majorHAnsi" w:eastAsia="Verdana" w:hAnsiTheme="majorHAnsi"/>
                <w:sz w:val="16"/>
                <w:szCs w:val="16"/>
              </w:rPr>
              <w:t>$ per annum</w:t>
            </w:r>
          </w:p>
        </w:tc>
        <w:tc>
          <w:tcPr>
            <w:tcW w:w="632" w:type="pct"/>
            <w:tcBorders>
              <w:bottom w:val="single" w:sz="4" w:space="0" w:color="231F20" w:themeColor="text1"/>
            </w:tcBorders>
          </w:tcPr>
          <w:p w14:paraId="67349EC2" w14:textId="77777777" w:rsidR="00046BD5" w:rsidRPr="00DE108C" w:rsidRDefault="00046BD5" w:rsidP="00ED094E">
            <w:pPr>
              <w:rPr>
                <w:rFonts w:asciiTheme="majorHAnsi" w:eastAsia="Verdana" w:hAnsiTheme="majorHAnsi"/>
                <w:sz w:val="16"/>
                <w:szCs w:val="16"/>
              </w:rPr>
            </w:pPr>
            <w:r w:rsidRPr="00DE108C">
              <w:rPr>
                <w:rFonts w:asciiTheme="majorHAnsi" w:hAnsiTheme="majorHAnsi"/>
                <w:color w:val="000000"/>
                <w:sz w:val="16"/>
                <w:szCs w:val="16"/>
              </w:rPr>
              <w:t>248.48</w:t>
            </w:r>
          </w:p>
        </w:tc>
        <w:tc>
          <w:tcPr>
            <w:tcW w:w="660" w:type="pct"/>
            <w:tcBorders>
              <w:bottom w:val="single" w:sz="4" w:space="0" w:color="231F20" w:themeColor="text1"/>
            </w:tcBorders>
            <w:vAlign w:val="bottom"/>
          </w:tcPr>
          <w:p w14:paraId="68BB74A1" w14:textId="77777777" w:rsidR="00046BD5" w:rsidRPr="00DE108C" w:rsidRDefault="00046BD5" w:rsidP="00ED094E">
            <w:pPr>
              <w:rPr>
                <w:rFonts w:asciiTheme="majorHAnsi" w:eastAsia="Verdana" w:hAnsiTheme="majorHAnsi"/>
                <w:sz w:val="16"/>
                <w:szCs w:val="16"/>
              </w:rPr>
            </w:pPr>
            <w:r w:rsidRPr="00DE108C">
              <w:rPr>
                <w:rFonts w:asciiTheme="majorHAnsi" w:hAnsiTheme="majorHAnsi"/>
                <w:color w:val="000000"/>
                <w:sz w:val="16"/>
                <w:szCs w:val="16"/>
              </w:rPr>
              <w:t>248.48</w:t>
            </w:r>
          </w:p>
        </w:tc>
        <w:tc>
          <w:tcPr>
            <w:tcW w:w="660" w:type="pct"/>
            <w:tcBorders>
              <w:bottom w:val="single" w:sz="4" w:space="0" w:color="231F20" w:themeColor="text1"/>
            </w:tcBorders>
            <w:vAlign w:val="bottom"/>
          </w:tcPr>
          <w:p w14:paraId="7A7643DD" w14:textId="77777777" w:rsidR="00046BD5" w:rsidRPr="00DE108C" w:rsidRDefault="00046BD5" w:rsidP="00ED094E">
            <w:pPr>
              <w:rPr>
                <w:rFonts w:asciiTheme="majorHAnsi" w:eastAsia="Verdana" w:hAnsiTheme="majorHAnsi"/>
                <w:sz w:val="16"/>
                <w:szCs w:val="16"/>
              </w:rPr>
            </w:pPr>
            <w:r w:rsidRPr="00DE108C">
              <w:rPr>
                <w:rFonts w:asciiTheme="majorHAnsi" w:hAnsiTheme="majorHAnsi"/>
                <w:color w:val="000000"/>
                <w:sz w:val="16"/>
                <w:szCs w:val="16"/>
              </w:rPr>
              <w:t>261.29</w:t>
            </w:r>
          </w:p>
        </w:tc>
        <w:tc>
          <w:tcPr>
            <w:tcW w:w="660" w:type="pct"/>
            <w:tcBorders>
              <w:bottom w:val="single" w:sz="4" w:space="0" w:color="231F20" w:themeColor="text1"/>
            </w:tcBorders>
            <w:vAlign w:val="bottom"/>
          </w:tcPr>
          <w:p w14:paraId="26166D66" w14:textId="77777777" w:rsidR="00046BD5" w:rsidRPr="00DE108C" w:rsidRDefault="00046BD5" w:rsidP="00ED094E">
            <w:pPr>
              <w:rPr>
                <w:rFonts w:asciiTheme="majorHAnsi" w:eastAsia="Verdana" w:hAnsiTheme="majorHAnsi"/>
                <w:sz w:val="16"/>
                <w:szCs w:val="16"/>
              </w:rPr>
            </w:pPr>
            <w:r w:rsidRPr="00DE108C">
              <w:rPr>
                <w:rFonts w:asciiTheme="majorHAnsi" w:hAnsiTheme="majorHAnsi"/>
                <w:color w:val="000000"/>
                <w:sz w:val="16"/>
                <w:szCs w:val="16"/>
              </w:rPr>
              <w:t>274.76</w:t>
            </w:r>
          </w:p>
        </w:tc>
        <w:tc>
          <w:tcPr>
            <w:tcW w:w="660" w:type="pct"/>
            <w:tcBorders>
              <w:bottom w:val="single" w:sz="4" w:space="0" w:color="231F20" w:themeColor="text1"/>
            </w:tcBorders>
            <w:vAlign w:val="bottom"/>
          </w:tcPr>
          <w:p w14:paraId="456F9C20" w14:textId="77777777" w:rsidR="00046BD5" w:rsidRPr="00DE108C" w:rsidRDefault="00046BD5" w:rsidP="00ED094E">
            <w:pPr>
              <w:rPr>
                <w:rFonts w:asciiTheme="majorHAnsi" w:eastAsia="Verdana" w:hAnsiTheme="majorHAnsi"/>
                <w:sz w:val="16"/>
                <w:szCs w:val="16"/>
              </w:rPr>
            </w:pPr>
            <w:r w:rsidRPr="00DE108C">
              <w:rPr>
                <w:rFonts w:asciiTheme="majorHAnsi" w:hAnsiTheme="majorHAnsi"/>
                <w:color w:val="000000"/>
                <w:sz w:val="16"/>
                <w:szCs w:val="16"/>
              </w:rPr>
              <w:t>288.93</w:t>
            </w:r>
          </w:p>
        </w:tc>
        <w:tc>
          <w:tcPr>
            <w:tcW w:w="660" w:type="pct"/>
            <w:tcBorders>
              <w:bottom w:val="single" w:sz="4" w:space="0" w:color="231F20" w:themeColor="text1"/>
            </w:tcBorders>
            <w:vAlign w:val="bottom"/>
          </w:tcPr>
          <w:p w14:paraId="65C548B2" w14:textId="77777777" w:rsidR="00046BD5" w:rsidRPr="00DE108C" w:rsidRDefault="00046BD5" w:rsidP="00ED094E">
            <w:pPr>
              <w:rPr>
                <w:rFonts w:asciiTheme="majorHAnsi" w:eastAsia="Verdana" w:hAnsiTheme="majorHAnsi"/>
                <w:sz w:val="16"/>
                <w:szCs w:val="16"/>
              </w:rPr>
            </w:pPr>
            <w:r w:rsidRPr="00DE108C">
              <w:rPr>
                <w:rFonts w:asciiTheme="majorHAnsi" w:hAnsiTheme="majorHAnsi"/>
                <w:color w:val="000000"/>
                <w:sz w:val="16"/>
                <w:szCs w:val="16"/>
              </w:rPr>
              <w:t>303.83</w:t>
            </w:r>
          </w:p>
        </w:tc>
      </w:tr>
    </w:tbl>
    <w:p w14:paraId="1F80F91A" w14:textId="77777777" w:rsidR="00046BD5" w:rsidRPr="00DE108C" w:rsidRDefault="00046BD5" w:rsidP="00ED094E">
      <w:pPr>
        <w:rPr>
          <w:rFonts w:eastAsia="Verdana"/>
        </w:rPr>
      </w:pPr>
    </w:p>
    <w:p w14:paraId="31E12334" w14:textId="77777777" w:rsidR="00046BD5" w:rsidRPr="00DE108C" w:rsidRDefault="00046BD5">
      <w:pPr>
        <w:pStyle w:val="Heading3"/>
      </w:pPr>
      <w:r w:rsidRPr="00DE108C">
        <w:t>11.4.4 Diversions</w:t>
      </w:r>
      <w:bookmarkEnd w:id="1189"/>
    </w:p>
    <w:p w14:paraId="251043AE" w14:textId="1A287C91" w:rsidR="00046BD5" w:rsidRPr="00DE108C" w:rsidRDefault="00046BD5" w:rsidP="00ED094E">
      <w:pPr>
        <w:rPr>
          <w:rFonts w:eastAsia="Verdana"/>
        </w:rPr>
      </w:pPr>
      <w:r w:rsidRPr="00DE108C">
        <w:rPr>
          <w:rFonts w:eastAsia="Verdana"/>
        </w:rPr>
        <w:t xml:space="preserve">For the 2026-31 </w:t>
      </w:r>
      <w:r w:rsidR="00B176EB">
        <w:rPr>
          <w:rFonts w:eastAsia="Verdana"/>
        </w:rPr>
        <w:t>regulatory</w:t>
      </w:r>
      <w:r w:rsidRPr="00DE108C">
        <w:rPr>
          <w:rFonts w:eastAsia="Verdana"/>
        </w:rPr>
        <w:t xml:space="preserve"> period, diversion services and prices will remain largely unchanged following feedback received from customers. </w:t>
      </w:r>
    </w:p>
    <w:p w14:paraId="7C01301E" w14:textId="28C45C1A" w:rsidR="00046BD5" w:rsidRPr="00DE108C" w:rsidRDefault="00046BD5" w:rsidP="00ED094E">
      <w:pPr>
        <w:rPr>
          <w:rFonts w:eastAsia="Verdana"/>
        </w:rPr>
      </w:pPr>
      <w:r w:rsidRPr="00DE108C">
        <w:rPr>
          <w:rFonts w:eastAsia="Verdana"/>
        </w:rPr>
        <w:t>Customer engagement has indicated a clear preference for the Standard package</w:t>
      </w:r>
      <w:r w:rsidR="70C68C06" w:rsidRPr="4725FE8B">
        <w:rPr>
          <w:rFonts w:eastAsia="Verdana"/>
        </w:rPr>
        <w:t>,</w:t>
      </w:r>
      <w:r w:rsidRPr="00DE108C">
        <w:rPr>
          <w:rFonts w:eastAsia="Verdana"/>
        </w:rPr>
        <w:t xml:space="preserve"> which was selected as first preference in 87 per cent of survey responses</w:t>
      </w:r>
      <w:r w:rsidR="00766EB2" w:rsidRPr="00DE108C">
        <w:rPr>
          <w:rFonts w:eastAsia="Verdana"/>
        </w:rPr>
        <w:t xml:space="preserve"> (</w:t>
      </w:r>
      <w:r w:rsidR="0047010F" w:rsidRPr="00DE108C">
        <w:rPr>
          <w:rFonts w:eastAsia="Verdana"/>
        </w:rPr>
        <w:t>more information on this engagement program is outlined in Section 3.2.6</w:t>
      </w:r>
      <w:r w:rsidRPr="00DE108C">
        <w:rPr>
          <w:rFonts w:eastAsia="Verdana"/>
        </w:rPr>
        <w:t>.</w:t>
      </w:r>
      <w:r w:rsidR="00246EC3" w:rsidRPr="00DE108C">
        <w:rPr>
          <w:rFonts w:eastAsia="Verdana"/>
        </w:rPr>
        <w:t>3</w:t>
      </w:r>
      <w:r w:rsidR="188A5586" w:rsidRPr="5E7CB964">
        <w:rPr>
          <w:rFonts w:eastAsia="Verdana"/>
        </w:rPr>
        <w:t xml:space="preserve"> (Engaging with licensed diverters)</w:t>
      </w:r>
      <w:r w:rsidR="00246EC3" w:rsidRPr="5E7CB964">
        <w:rPr>
          <w:rFonts w:eastAsia="Verdana"/>
        </w:rPr>
        <w:t>)</w:t>
      </w:r>
      <w:r w:rsidRPr="5E7CB964">
        <w:rPr>
          <w:rFonts w:eastAsia="Verdana"/>
        </w:rPr>
        <w:t>.</w:t>
      </w:r>
      <w:r w:rsidRPr="00DE108C">
        <w:rPr>
          <w:rFonts w:eastAsia="Verdana"/>
        </w:rPr>
        <w:t xml:space="preserve"> </w:t>
      </w:r>
    </w:p>
    <w:p w14:paraId="549FDACB" w14:textId="77777777" w:rsidR="00046BD5" w:rsidRPr="00DE108C" w:rsidRDefault="00046BD5" w:rsidP="00ED094E">
      <w:pPr>
        <w:rPr>
          <w:rFonts w:eastAsia="Verdana"/>
        </w:rPr>
      </w:pPr>
      <w:r w:rsidRPr="00DE108C">
        <w:rPr>
          <w:rFonts w:eastAsia="Verdana"/>
        </w:rPr>
        <w:t xml:space="preserve">The standard package that was chosen by customers includes: </w:t>
      </w:r>
    </w:p>
    <w:p w14:paraId="13998D2B" w14:textId="6B0635F5" w:rsidR="00046BD5" w:rsidRPr="00DE108C" w:rsidRDefault="67414BFA" w:rsidP="00095E1B">
      <w:pPr>
        <w:pStyle w:val="ListBullet"/>
        <w:rPr>
          <w:rFonts w:eastAsia="Verdana"/>
        </w:rPr>
      </w:pPr>
      <w:r w:rsidRPr="7B13D9CF">
        <w:rPr>
          <w:rFonts w:eastAsia="Verdana"/>
        </w:rPr>
        <w:t>t</w:t>
      </w:r>
      <w:r w:rsidR="00046BD5" w:rsidRPr="00DE108C">
        <w:rPr>
          <w:rFonts w:eastAsia="Verdana"/>
        </w:rPr>
        <w:t xml:space="preserve">he continuation of current service levels to meet </w:t>
      </w:r>
      <w:r w:rsidR="0CECCD62" w:rsidRPr="6E0C0231">
        <w:rPr>
          <w:rFonts w:eastAsia="Verdana"/>
        </w:rPr>
        <w:t xml:space="preserve">the </w:t>
      </w:r>
      <w:r w:rsidR="00046BD5" w:rsidRPr="00DE108C">
        <w:rPr>
          <w:rFonts w:eastAsia="Verdana"/>
        </w:rPr>
        <w:t>Customer Charter</w:t>
      </w:r>
      <w:r w:rsidR="17CC62F9" w:rsidRPr="6E0C0231">
        <w:rPr>
          <w:rFonts w:eastAsia="Verdana"/>
        </w:rPr>
        <w:t>,</w:t>
      </w:r>
      <w:r w:rsidR="00046BD5" w:rsidRPr="00DE108C">
        <w:rPr>
          <w:rFonts w:eastAsia="Verdana"/>
        </w:rPr>
        <w:t xml:space="preserve"> including an increased communications focus</w:t>
      </w:r>
    </w:p>
    <w:p w14:paraId="04C961EC" w14:textId="6850D969" w:rsidR="00046BD5" w:rsidRPr="00DE108C" w:rsidRDefault="0BDC2EA8" w:rsidP="00095E1B">
      <w:pPr>
        <w:pStyle w:val="ListBullet"/>
        <w:rPr>
          <w:rFonts w:eastAsia="Verdana"/>
        </w:rPr>
      </w:pPr>
      <w:r w:rsidRPr="7B13D9CF">
        <w:rPr>
          <w:rFonts w:eastAsia="Verdana"/>
        </w:rPr>
        <w:t>m</w:t>
      </w:r>
      <w:r w:rsidR="00046BD5" w:rsidRPr="00DE108C">
        <w:rPr>
          <w:rFonts w:eastAsia="Verdana"/>
        </w:rPr>
        <w:t>eter installation to comply with the Victorian Government’s Non-urban Metering Policy and associated renewals</w:t>
      </w:r>
    </w:p>
    <w:p w14:paraId="3CBE5029" w14:textId="00B17015" w:rsidR="00046BD5" w:rsidRPr="00DE108C" w:rsidRDefault="6DA2C7B8" w:rsidP="00095E1B">
      <w:pPr>
        <w:pStyle w:val="ListBullet"/>
        <w:rPr>
          <w:rFonts w:eastAsia="Verdana"/>
        </w:rPr>
      </w:pPr>
      <w:r w:rsidRPr="7B13D9CF">
        <w:rPr>
          <w:rFonts w:eastAsia="Verdana"/>
        </w:rPr>
        <w:t>c</w:t>
      </w:r>
      <w:r w:rsidR="00046BD5" w:rsidRPr="7B13D9CF">
        <w:rPr>
          <w:rFonts w:eastAsia="Verdana"/>
        </w:rPr>
        <w:t>ontinuous</w:t>
      </w:r>
      <w:r w:rsidR="00046BD5" w:rsidRPr="00DE108C">
        <w:rPr>
          <w:rFonts w:eastAsia="Verdana"/>
        </w:rPr>
        <w:t xml:space="preserve"> improvement to embrace new technologies and digital platforms</w:t>
      </w:r>
      <w:r w:rsidR="44D5A605" w:rsidRPr="7B13D9CF">
        <w:rPr>
          <w:rFonts w:eastAsia="Verdana"/>
        </w:rPr>
        <w:t>.</w:t>
      </w:r>
    </w:p>
    <w:p w14:paraId="6C15FBED" w14:textId="1A6F8906" w:rsidR="00046BD5" w:rsidRPr="00DE108C" w:rsidRDefault="00046BD5" w:rsidP="00ED094E">
      <w:pPr>
        <w:rPr>
          <w:rFonts w:eastAsia="Verdana"/>
        </w:rPr>
      </w:pPr>
      <w:r w:rsidRPr="00DE108C">
        <w:rPr>
          <w:rFonts w:eastAsia="Verdana"/>
        </w:rPr>
        <w:t>Prices are based on the principle of cost recovery and reflect direct expenditure and capital works</w:t>
      </w:r>
      <w:r w:rsidR="55FFF3ED" w:rsidRPr="6E0C0231">
        <w:rPr>
          <w:rFonts w:eastAsia="Verdana"/>
        </w:rPr>
        <w:t>,</w:t>
      </w:r>
      <w:r w:rsidRPr="00DE108C">
        <w:rPr>
          <w:rFonts w:eastAsia="Verdana"/>
        </w:rPr>
        <w:t xml:space="preserve"> as well as a provision for overheads. </w:t>
      </w:r>
      <w:r w:rsidRPr="00DE108C">
        <w:rPr>
          <w:rFonts w:eastAsiaTheme="minorEastAsia" w:cstheme="minorBidi"/>
        </w:rPr>
        <w:t xml:space="preserve">Melbourne Water is proposing that Diversion prices will increase by CPI only in 2026-27 and up to a real 0.2 per cent from 2027-28 to 2030-31. </w:t>
      </w:r>
    </w:p>
    <w:p w14:paraId="226E946F" w14:textId="1257FAB3" w:rsidR="00046BD5" w:rsidRPr="00DE108C" w:rsidRDefault="00046BD5" w:rsidP="00ED094E">
      <w:pPr>
        <w:rPr>
          <w:rFonts w:eastAsia="Verdana"/>
        </w:rPr>
      </w:pPr>
      <w:r w:rsidRPr="00DE108C">
        <w:rPr>
          <w:rFonts w:eastAsia="Verdana"/>
        </w:rPr>
        <w:t>Melbourne Water is also proposing that prices for diversion-related application fees increase annually by CPI</w:t>
      </w:r>
      <w:r w:rsidR="6AFD5886" w:rsidRPr="6E0C0231">
        <w:rPr>
          <w:rFonts w:eastAsia="Verdana"/>
        </w:rPr>
        <w:t>,</w:t>
      </w:r>
      <w:r w:rsidRPr="00DE108C">
        <w:rPr>
          <w:rFonts w:eastAsia="Verdana"/>
        </w:rPr>
        <w:t xml:space="preserve"> except for the licence application fee for stormwater harvesting charges, to real increase by 10 per cent in 2026-27 followed by CPI increases annually. Following a review process, it was identified that costs were not being recovered for the time spent by diversion officers. The increase in fee will seek to recover the following additions: </w:t>
      </w:r>
    </w:p>
    <w:p w14:paraId="07411801" w14:textId="65D5B94C" w:rsidR="00046BD5" w:rsidRPr="00095E1B" w:rsidRDefault="75853945" w:rsidP="00095E1B">
      <w:pPr>
        <w:pStyle w:val="ListBullet"/>
        <w:rPr>
          <w:rFonts w:eastAsia="Verdana"/>
        </w:rPr>
      </w:pPr>
      <w:r w:rsidRPr="00095E1B">
        <w:rPr>
          <w:rFonts w:eastAsia="Verdana"/>
        </w:rPr>
        <w:t>i</w:t>
      </w:r>
      <w:r w:rsidR="00046BD5" w:rsidRPr="00095E1B">
        <w:rPr>
          <w:rFonts w:eastAsia="Verdana"/>
        </w:rPr>
        <w:t>ncrease review and compile of external comments. This is currently charged for 30 minutes but should increase to 120 minutes to reflect actual time involved in processing applications</w:t>
      </w:r>
    </w:p>
    <w:p w14:paraId="6742A23F" w14:textId="27C25D4C" w:rsidR="00046BD5" w:rsidRPr="00095E1B" w:rsidRDefault="484D9075" w:rsidP="00095E1B">
      <w:pPr>
        <w:pStyle w:val="ListBullet"/>
        <w:rPr>
          <w:rFonts w:eastAsia="Verdana"/>
        </w:rPr>
      </w:pPr>
      <w:r w:rsidRPr="00095E1B">
        <w:rPr>
          <w:rFonts w:eastAsia="Verdana"/>
        </w:rPr>
        <w:t>s</w:t>
      </w:r>
      <w:r w:rsidR="00046BD5" w:rsidRPr="00095E1B">
        <w:rPr>
          <w:rFonts w:eastAsia="Verdana"/>
        </w:rPr>
        <w:t xml:space="preserve">ite visits are currently charged at </w:t>
      </w:r>
      <w:r w:rsidR="17647520" w:rsidRPr="00095E1B">
        <w:rPr>
          <w:rFonts w:eastAsia="Verdana"/>
        </w:rPr>
        <w:t>two</w:t>
      </w:r>
      <w:r w:rsidR="00046BD5" w:rsidRPr="00095E1B">
        <w:rPr>
          <w:rFonts w:eastAsia="Verdana"/>
        </w:rPr>
        <w:t xml:space="preserve"> hours, inclusive of 60 minutes total travel time and 60 minutes on site. S</w:t>
      </w:r>
      <w:r w:rsidR="00BF1BB9" w:rsidRPr="00095E1B">
        <w:rPr>
          <w:rFonts w:eastAsia="Verdana"/>
        </w:rPr>
        <w:t>tormwater harvesting</w:t>
      </w:r>
      <w:r w:rsidR="00046BD5" w:rsidRPr="00095E1B">
        <w:rPr>
          <w:rFonts w:eastAsia="Verdana"/>
        </w:rPr>
        <w:t xml:space="preserve"> applications</w:t>
      </w:r>
      <w:r w:rsidR="327F94C6" w:rsidRPr="00095E1B">
        <w:rPr>
          <w:rFonts w:eastAsia="Verdana"/>
        </w:rPr>
        <w:t>,</w:t>
      </w:r>
      <w:r w:rsidR="00046BD5" w:rsidRPr="00095E1B">
        <w:rPr>
          <w:rFonts w:eastAsia="Verdana"/>
        </w:rPr>
        <w:t xml:space="preserve"> however</w:t>
      </w:r>
      <w:r w:rsidR="04939254" w:rsidRPr="00095E1B">
        <w:rPr>
          <w:rFonts w:eastAsia="Verdana"/>
        </w:rPr>
        <w:t>,</w:t>
      </w:r>
      <w:r w:rsidR="00046BD5" w:rsidRPr="00095E1B">
        <w:rPr>
          <w:rFonts w:eastAsia="Verdana"/>
        </w:rPr>
        <w:t xml:space="preserve"> require at least two site visits, needing twice the charge to cover costs. </w:t>
      </w:r>
    </w:p>
    <w:p w14:paraId="02573A76" w14:textId="77777777" w:rsidR="00046BD5" w:rsidRPr="00DE108C" w:rsidRDefault="00046BD5" w:rsidP="00ED094E">
      <w:pPr>
        <w:rPr>
          <w:rFonts w:eastAsia="Verdana"/>
        </w:rPr>
      </w:pPr>
      <w:r w:rsidRPr="00DE108C">
        <w:rPr>
          <w:rFonts w:eastAsia="Verdana"/>
        </w:rPr>
        <w:t>Proposed pricing paths have been communicated to all licence holders via a newsletter and through direct consultation with the Diversions Management Advisory Committee.</w:t>
      </w:r>
    </w:p>
    <w:p w14:paraId="676A5FBC" w14:textId="7DA12789" w:rsidR="00046BD5" w:rsidRPr="00DE108C" w:rsidRDefault="00046BD5" w:rsidP="00ED094E">
      <w:pPr>
        <w:rPr>
          <w:rFonts w:eastAsia="Verdana"/>
        </w:rPr>
      </w:pPr>
      <w:r w:rsidRPr="00DE108C">
        <w:rPr>
          <w:rFonts w:eastAsia="Verdana"/>
        </w:rPr>
        <w:t>Table 11.20 lists the proposed prices for diversion customers. Melbourne Water will continue to charge for application fees</w:t>
      </w:r>
      <w:r w:rsidR="08D161E3" w:rsidRPr="725B488D">
        <w:rPr>
          <w:rFonts w:eastAsia="Verdana"/>
        </w:rPr>
        <w:t>,</w:t>
      </w:r>
      <w:r w:rsidRPr="00DE108C">
        <w:rPr>
          <w:rFonts w:eastAsia="Verdana"/>
        </w:rPr>
        <w:t xml:space="preserve"> including licence transfers, new licences, and amendments. These are small volume charges and generate approximately $25,000 per annum in revenue. We will review these charges annually in accordance with pricing principles and publish on our website at the commencement of each financial year. </w:t>
      </w:r>
    </w:p>
    <w:p w14:paraId="76E7A934" w14:textId="77777777" w:rsidR="00046BD5" w:rsidRPr="00DE108C" w:rsidRDefault="00046BD5">
      <w:pPr>
        <w:pStyle w:val="Caption"/>
      </w:pPr>
      <w:bookmarkStart w:id="1195" w:name="_Toc207893123"/>
      <w:bookmarkStart w:id="1196" w:name="_Toc208490647"/>
      <w:bookmarkStart w:id="1197" w:name="_Toc208490985"/>
      <w:bookmarkStart w:id="1198" w:name="_Toc208911143"/>
      <w:bookmarkStart w:id="1199" w:name="_Toc210051449"/>
      <w:r w:rsidRPr="00DE108C">
        <w:lastRenderedPageBreak/>
        <w:t>Table 11.20: Diversions proposed prices ($real 2025-26)</w:t>
      </w:r>
      <w:bookmarkEnd w:id="1195"/>
      <w:bookmarkEnd w:id="1196"/>
      <w:bookmarkEnd w:id="1197"/>
      <w:bookmarkEnd w:id="1198"/>
      <w:bookmarkEnd w:id="1199"/>
    </w:p>
    <w:tbl>
      <w:tblPr>
        <w:tblStyle w:val="MWTableGrid"/>
        <w:tblW w:w="5000" w:type="pct"/>
        <w:tblLayout w:type="fixed"/>
        <w:tblLook w:val="0420" w:firstRow="1" w:lastRow="0" w:firstColumn="0" w:lastColumn="0" w:noHBand="0" w:noVBand="1"/>
      </w:tblPr>
      <w:tblGrid>
        <w:gridCol w:w="2510"/>
        <w:gridCol w:w="1186"/>
        <w:gridCol w:w="1186"/>
        <w:gridCol w:w="1186"/>
        <w:gridCol w:w="1186"/>
        <w:gridCol w:w="1186"/>
        <w:gridCol w:w="1188"/>
      </w:tblGrid>
      <w:tr w:rsidR="00556A0D" w:rsidRPr="00787E7A" w14:paraId="59AF041F" w14:textId="77777777" w:rsidTr="008C2689">
        <w:trPr>
          <w:cnfStyle w:val="100000000000" w:firstRow="1" w:lastRow="0" w:firstColumn="0" w:lastColumn="0" w:oddVBand="0" w:evenVBand="0" w:oddHBand="0" w:evenHBand="0" w:firstRowFirstColumn="0" w:firstRowLastColumn="0" w:lastRowFirstColumn="0" w:lastRowLastColumn="0"/>
          <w:cantSplit/>
        </w:trPr>
        <w:tc>
          <w:tcPr>
            <w:tcW w:w="1303" w:type="pct"/>
          </w:tcPr>
          <w:p w14:paraId="3053350A" w14:textId="77777777" w:rsidR="00046BD5" w:rsidRPr="00787E7A" w:rsidRDefault="00046BD5" w:rsidP="003C606E">
            <w:pPr>
              <w:pStyle w:val="TableHeading"/>
              <w:keepNext/>
              <w:keepLines/>
              <w:rPr>
                <w:rFonts w:eastAsia="Verdana"/>
              </w:rPr>
            </w:pPr>
          </w:p>
        </w:tc>
        <w:tc>
          <w:tcPr>
            <w:tcW w:w="616" w:type="pct"/>
          </w:tcPr>
          <w:p w14:paraId="5D701087" w14:textId="4243438B" w:rsidR="008C2689" w:rsidRPr="00787E7A" w:rsidRDefault="008C2689" w:rsidP="003C606E">
            <w:pPr>
              <w:pStyle w:val="TableHeading"/>
              <w:keepNext/>
              <w:keepLines/>
              <w:rPr>
                <w:rFonts w:eastAsia="Verdana"/>
              </w:rPr>
            </w:pPr>
            <w:r w:rsidRPr="00787E7A">
              <w:rPr>
                <w:rFonts w:eastAsia="Verdana"/>
              </w:rPr>
              <w:t>2025-26</w:t>
            </w:r>
          </w:p>
        </w:tc>
        <w:tc>
          <w:tcPr>
            <w:tcW w:w="616" w:type="pct"/>
          </w:tcPr>
          <w:p w14:paraId="032691EF" w14:textId="77777777" w:rsidR="00046BD5" w:rsidRPr="00787E7A" w:rsidRDefault="00046BD5" w:rsidP="003C606E">
            <w:pPr>
              <w:pStyle w:val="TableHeading"/>
              <w:keepNext/>
              <w:keepLines/>
              <w:rPr>
                <w:rFonts w:eastAsia="Verdana"/>
              </w:rPr>
            </w:pPr>
            <w:r w:rsidRPr="00787E7A">
              <w:rPr>
                <w:rFonts w:eastAsia="Verdana"/>
              </w:rPr>
              <w:t>2026-27</w:t>
            </w:r>
          </w:p>
        </w:tc>
        <w:tc>
          <w:tcPr>
            <w:tcW w:w="616" w:type="pct"/>
          </w:tcPr>
          <w:p w14:paraId="79B9345E" w14:textId="77777777" w:rsidR="00046BD5" w:rsidRPr="00787E7A" w:rsidRDefault="00046BD5" w:rsidP="003C606E">
            <w:pPr>
              <w:pStyle w:val="TableHeading"/>
              <w:keepNext/>
              <w:keepLines/>
              <w:rPr>
                <w:rFonts w:eastAsia="Verdana"/>
              </w:rPr>
            </w:pPr>
            <w:r w:rsidRPr="00787E7A">
              <w:rPr>
                <w:rFonts w:eastAsia="Verdana"/>
              </w:rPr>
              <w:t>2027-28</w:t>
            </w:r>
          </w:p>
        </w:tc>
        <w:tc>
          <w:tcPr>
            <w:tcW w:w="616" w:type="pct"/>
          </w:tcPr>
          <w:p w14:paraId="511B0358" w14:textId="77777777" w:rsidR="00046BD5" w:rsidRPr="00787E7A" w:rsidRDefault="00046BD5" w:rsidP="003C606E">
            <w:pPr>
              <w:pStyle w:val="TableHeading"/>
              <w:keepNext/>
              <w:keepLines/>
              <w:rPr>
                <w:rFonts w:eastAsia="Verdana"/>
              </w:rPr>
            </w:pPr>
            <w:r w:rsidRPr="00787E7A">
              <w:rPr>
                <w:rFonts w:eastAsia="Verdana"/>
              </w:rPr>
              <w:t>2028-29</w:t>
            </w:r>
          </w:p>
        </w:tc>
        <w:tc>
          <w:tcPr>
            <w:tcW w:w="616" w:type="pct"/>
          </w:tcPr>
          <w:p w14:paraId="145C27DB" w14:textId="77777777" w:rsidR="00046BD5" w:rsidRPr="00787E7A" w:rsidRDefault="00046BD5" w:rsidP="003C606E">
            <w:pPr>
              <w:pStyle w:val="TableHeading"/>
              <w:keepNext/>
              <w:keepLines/>
              <w:rPr>
                <w:rFonts w:eastAsia="Verdana"/>
              </w:rPr>
            </w:pPr>
            <w:r w:rsidRPr="00787E7A">
              <w:rPr>
                <w:rFonts w:eastAsia="Verdana"/>
              </w:rPr>
              <w:t>2029-30</w:t>
            </w:r>
          </w:p>
        </w:tc>
        <w:tc>
          <w:tcPr>
            <w:tcW w:w="617" w:type="pct"/>
          </w:tcPr>
          <w:p w14:paraId="2E71AAB7" w14:textId="77777777" w:rsidR="00046BD5" w:rsidRPr="00787E7A" w:rsidRDefault="00046BD5" w:rsidP="003C606E">
            <w:pPr>
              <w:pStyle w:val="TableHeading"/>
              <w:keepNext/>
              <w:keepLines/>
              <w:rPr>
                <w:rFonts w:eastAsia="Verdana"/>
              </w:rPr>
            </w:pPr>
            <w:r w:rsidRPr="00787E7A">
              <w:rPr>
                <w:rFonts w:eastAsia="Verdana"/>
              </w:rPr>
              <w:t>2030-31</w:t>
            </w:r>
          </w:p>
        </w:tc>
      </w:tr>
      <w:tr w:rsidR="00046BD5" w:rsidRPr="00787E7A" w14:paraId="292D7562" w14:textId="77777777">
        <w:trPr>
          <w:cantSplit/>
        </w:trPr>
        <w:tc>
          <w:tcPr>
            <w:tcW w:w="5000" w:type="pct"/>
            <w:gridSpan w:val="7"/>
          </w:tcPr>
          <w:p w14:paraId="2A3E0AB4" w14:textId="77777777" w:rsidR="00046BD5" w:rsidRPr="00787E7A" w:rsidRDefault="00046BD5" w:rsidP="003C606E">
            <w:pPr>
              <w:pStyle w:val="TableText"/>
              <w:keepNext/>
              <w:keepLines/>
              <w:rPr>
                <w:rFonts w:eastAsia="Verdana"/>
                <w:b/>
                <w:color w:val="auto"/>
              </w:rPr>
            </w:pPr>
            <w:r w:rsidRPr="00787E7A">
              <w:rPr>
                <w:rFonts w:eastAsia="Aptos Display" w:cs="Aptos Display"/>
                <w:b/>
                <w:color w:val="auto"/>
              </w:rPr>
              <w:t>Waterway diversion charges – unregulated waterways</w:t>
            </w:r>
          </w:p>
        </w:tc>
      </w:tr>
      <w:tr w:rsidR="00A043F7" w:rsidRPr="00787E7A" w14:paraId="68775A17" w14:textId="77777777" w:rsidTr="004A63B1">
        <w:trPr>
          <w:cnfStyle w:val="000000010000" w:firstRow="0" w:lastRow="0" w:firstColumn="0" w:lastColumn="0" w:oddVBand="0" w:evenVBand="0" w:oddHBand="0" w:evenHBand="1" w:firstRowFirstColumn="0" w:firstRowLastColumn="0" w:lastRowFirstColumn="0" w:lastRowLastColumn="0"/>
          <w:cantSplit/>
        </w:trPr>
        <w:tc>
          <w:tcPr>
            <w:tcW w:w="1303" w:type="pct"/>
          </w:tcPr>
          <w:p w14:paraId="4FFCE9D9" w14:textId="2A76A1E4" w:rsidR="00046BD5" w:rsidRPr="00787E7A" w:rsidRDefault="00046BD5" w:rsidP="003C606E">
            <w:pPr>
              <w:pStyle w:val="TableText"/>
              <w:keepNext/>
              <w:keepLines/>
              <w:rPr>
                <w:rFonts w:eastAsia="Verdana"/>
              </w:rPr>
            </w:pPr>
            <w:r w:rsidRPr="00787E7A">
              <w:rPr>
                <w:rFonts w:eastAsia="Aptos" w:cs="Aptos"/>
              </w:rPr>
              <w:t>Licence service fee – all licence types ($ per annum)</w:t>
            </w:r>
          </w:p>
        </w:tc>
        <w:tc>
          <w:tcPr>
            <w:tcW w:w="616" w:type="pct"/>
            <w:vAlign w:val="center"/>
          </w:tcPr>
          <w:p w14:paraId="22927581" w14:textId="46F07357" w:rsidR="00FF50EF" w:rsidRPr="00787E7A" w:rsidRDefault="00FF50EF" w:rsidP="003C606E">
            <w:pPr>
              <w:pStyle w:val="TableText"/>
              <w:keepNext/>
              <w:keepLines/>
              <w:rPr>
                <w:rFonts w:cs="Tahoma"/>
              </w:rPr>
            </w:pPr>
            <w:r w:rsidRPr="00787E7A">
              <w:rPr>
                <w:rFonts w:cs="Tahoma"/>
              </w:rPr>
              <w:t xml:space="preserve"> 329.39 </w:t>
            </w:r>
          </w:p>
        </w:tc>
        <w:tc>
          <w:tcPr>
            <w:tcW w:w="616" w:type="pct"/>
            <w:vAlign w:val="center"/>
          </w:tcPr>
          <w:p w14:paraId="34A3FAFB" w14:textId="77777777" w:rsidR="00046BD5" w:rsidRPr="00787E7A" w:rsidRDefault="00046BD5" w:rsidP="003C606E">
            <w:pPr>
              <w:pStyle w:val="TableText"/>
              <w:keepNext/>
              <w:keepLines/>
              <w:rPr>
                <w:rFonts w:eastAsia="Verdana"/>
              </w:rPr>
            </w:pPr>
            <w:r w:rsidRPr="00787E7A">
              <w:rPr>
                <w:rFonts w:cs="Tahoma"/>
              </w:rPr>
              <w:t xml:space="preserve"> 329.39 </w:t>
            </w:r>
          </w:p>
        </w:tc>
        <w:tc>
          <w:tcPr>
            <w:tcW w:w="616" w:type="pct"/>
            <w:vAlign w:val="center"/>
          </w:tcPr>
          <w:p w14:paraId="11E03E29" w14:textId="77777777" w:rsidR="00046BD5" w:rsidRPr="00787E7A" w:rsidRDefault="00046BD5" w:rsidP="003C606E">
            <w:pPr>
              <w:pStyle w:val="TableText"/>
              <w:keepNext/>
              <w:keepLines/>
              <w:rPr>
                <w:rFonts w:eastAsia="Verdana"/>
              </w:rPr>
            </w:pPr>
            <w:r w:rsidRPr="00787E7A">
              <w:rPr>
                <w:rFonts w:cs="Tahoma"/>
              </w:rPr>
              <w:t xml:space="preserve"> 329.92 </w:t>
            </w:r>
          </w:p>
        </w:tc>
        <w:tc>
          <w:tcPr>
            <w:tcW w:w="616" w:type="pct"/>
            <w:vAlign w:val="center"/>
          </w:tcPr>
          <w:p w14:paraId="62BD6F9A" w14:textId="77777777" w:rsidR="00046BD5" w:rsidRPr="00787E7A" w:rsidRDefault="00046BD5" w:rsidP="003C606E">
            <w:pPr>
              <w:pStyle w:val="TableText"/>
              <w:keepNext/>
              <w:keepLines/>
              <w:rPr>
                <w:rFonts w:eastAsia="Verdana"/>
              </w:rPr>
            </w:pPr>
            <w:r w:rsidRPr="00787E7A">
              <w:rPr>
                <w:rFonts w:cs="Tahoma"/>
              </w:rPr>
              <w:t xml:space="preserve"> 330.45 </w:t>
            </w:r>
          </w:p>
        </w:tc>
        <w:tc>
          <w:tcPr>
            <w:tcW w:w="616" w:type="pct"/>
            <w:vAlign w:val="center"/>
          </w:tcPr>
          <w:p w14:paraId="186F5671" w14:textId="77777777" w:rsidR="00046BD5" w:rsidRPr="00787E7A" w:rsidRDefault="00046BD5" w:rsidP="003C606E">
            <w:pPr>
              <w:pStyle w:val="TableText"/>
              <w:keepNext/>
              <w:keepLines/>
              <w:rPr>
                <w:rFonts w:eastAsia="Verdana"/>
              </w:rPr>
            </w:pPr>
            <w:r w:rsidRPr="00787E7A">
              <w:rPr>
                <w:rFonts w:cs="Tahoma"/>
              </w:rPr>
              <w:t xml:space="preserve"> 330.98 </w:t>
            </w:r>
          </w:p>
        </w:tc>
        <w:tc>
          <w:tcPr>
            <w:tcW w:w="617" w:type="pct"/>
            <w:vAlign w:val="center"/>
          </w:tcPr>
          <w:p w14:paraId="0253EB52" w14:textId="77777777" w:rsidR="00046BD5" w:rsidRPr="00787E7A" w:rsidRDefault="00046BD5" w:rsidP="003C606E">
            <w:pPr>
              <w:pStyle w:val="TableText"/>
              <w:keepNext/>
              <w:keepLines/>
              <w:rPr>
                <w:rFonts w:eastAsia="Verdana"/>
              </w:rPr>
            </w:pPr>
            <w:r w:rsidRPr="00787E7A">
              <w:rPr>
                <w:rFonts w:cs="Tahoma"/>
              </w:rPr>
              <w:t xml:space="preserve"> 331.51 </w:t>
            </w:r>
          </w:p>
        </w:tc>
      </w:tr>
      <w:tr w:rsidR="00046BD5" w:rsidRPr="00787E7A" w14:paraId="1ACA0CA7" w14:textId="77777777" w:rsidTr="00FF50EF">
        <w:trPr>
          <w:cantSplit/>
        </w:trPr>
        <w:tc>
          <w:tcPr>
            <w:tcW w:w="1303" w:type="pct"/>
          </w:tcPr>
          <w:p w14:paraId="45C81221" w14:textId="77777777" w:rsidR="00046BD5" w:rsidRPr="00787E7A" w:rsidRDefault="00046BD5" w:rsidP="003C606E">
            <w:pPr>
              <w:pStyle w:val="TableText"/>
              <w:keepNext/>
              <w:keepLines/>
              <w:rPr>
                <w:rFonts w:eastAsia="Verdana"/>
              </w:rPr>
            </w:pPr>
            <w:r w:rsidRPr="00787E7A">
              <w:rPr>
                <w:rFonts w:eastAsia="Aptos" w:cs="Aptos"/>
              </w:rPr>
              <w:t>Power generation licences ($ per kilowatt)</w:t>
            </w:r>
          </w:p>
        </w:tc>
        <w:tc>
          <w:tcPr>
            <w:tcW w:w="616" w:type="pct"/>
            <w:vAlign w:val="center"/>
          </w:tcPr>
          <w:p w14:paraId="4A2B2CD8" w14:textId="69BC602E" w:rsidR="00FF50EF" w:rsidRPr="00787E7A" w:rsidRDefault="00FF50EF" w:rsidP="003C606E">
            <w:pPr>
              <w:pStyle w:val="TableText"/>
              <w:keepNext/>
              <w:keepLines/>
              <w:rPr>
                <w:rFonts w:cs="Tahoma"/>
              </w:rPr>
            </w:pPr>
            <w:r w:rsidRPr="00787E7A">
              <w:rPr>
                <w:rFonts w:cs="Tahoma"/>
              </w:rPr>
              <w:t xml:space="preserve"> 29.56 </w:t>
            </w:r>
          </w:p>
        </w:tc>
        <w:tc>
          <w:tcPr>
            <w:tcW w:w="616" w:type="pct"/>
            <w:vAlign w:val="center"/>
          </w:tcPr>
          <w:p w14:paraId="276C4A71" w14:textId="77777777" w:rsidR="00046BD5" w:rsidRPr="00787E7A" w:rsidRDefault="00046BD5" w:rsidP="003C606E">
            <w:pPr>
              <w:pStyle w:val="TableText"/>
              <w:keepNext/>
              <w:keepLines/>
              <w:rPr>
                <w:rFonts w:eastAsia="Verdana"/>
              </w:rPr>
            </w:pPr>
            <w:r w:rsidRPr="00787E7A">
              <w:rPr>
                <w:rFonts w:cs="Tahoma"/>
              </w:rPr>
              <w:t xml:space="preserve"> 29.56 </w:t>
            </w:r>
          </w:p>
        </w:tc>
        <w:tc>
          <w:tcPr>
            <w:tcW w:w="616" w:type="pct"/>
            <w:vAlign w:val="center"/>
          </w:tcPr>
          <w:p w14:paraId="00708B59" w14:textId="77777777" w:rsidR="00046BD5" w:rsidRPr="00787E7A" w:rsidRDefault="00046BD5" w:rsidP="003C606E">
            <w:pPr>
              <w:pStyle w:val="TableText"/>
              <w:keepNext/>
              <w:keepLines/>
              <w:rPr>
                <w:rFonts w:eastAsia="Verdana"/>
              </w:rPr>
            </w:pPr>
            <w:r w:rsidRPr="00787E7A">
              <w:rPr>
                <w:rFonts w:cs="Tahoma"/>
              </w:rPr>
              <w:t xml:space="preserve"> 29.61 </w:t>
            </w:r>
          </w:p>
        </w:tc>
        <w:tc>
          <w:tcPr>
            <w:tcW w:w="616" w:type="pct"/>
            <w:vAlign w:val="center"/>
          </w:tcPr>
          <w:p w14:paraId="789E94F1" w14:textId="77777777" w:rsidR="00046BD5" w:rsidRPr="00787E7A" w:rsidRDefault="00046BD5" w:rsidP="003C606E">
            <w:pPr>
              <w:pStyle w:val="TableText"/>
              <w:keepNext/>
              <w:keepLines/>
              <w:rPr>
                <w:rFonts w:eastAsia="Verdana"/>
              </w:rPr>
            </w:pPr>
            <w:r w:rsidRPr="00787E7A">
              <w:rPr>
                <w:rFonts w:cs="Tahoma"/>
              </w:rPr>
              <w:t xml:space="preserve"> 29.65 </w:t>
            </w:r>
          </w:p>
        </w:tc>
        <w:tc>
          <w:tcPr>
            <w:tcW w:w="616" w:type="pct"/>
            <w:vAlign w:val="center"/>
          </w:tcPr>
          <w:p w14:paraId="76C4E9EB" w14:textId="77777777" w:rsidR="00046BD5" w:rsidRPr="00787E7A" w:rsidRDefault="00046BD5" w:rsidP="003C606E">
            <w:pPr>
              <w:pStyle w:val="TableText"/>
              <w:keepNext/>
              <w:keepLines/>
              <w:rPr>
                <w:rFonts w:eastAsia="Verdana"/>
              </w:rPr>
            </w:pPr>
            <w:r w:rsidRPr="00787E7A">
              <w:rPr>
                <w:rFonts w:cs="Tahoma"/>
              </w:rPr>
              <w:t xml:space="preserve"> 29.70 </w:t>
            </w:r>
          </w:p>
        </w:tc>
        <w:tc>
          <w:tcPr>
            <w:tcW w:w="617" w:type="pct"/>
            <w:vAlign w:val="center"/>
          </w:tcPr>
          <w:p w14:paraId="7B4ED839" w14:textId="77777777" w:rsidR="00046BD5" w:rsidRPr="00787E7A" w:rsidRDefault="00046BD5" w:rsidP="003C606E">
            <w:pPr>
              <w:pStyle w:val="TableText"/>
              <w:keepNext/>
              <w:keepLines/>
              <w:rPr>
                <w:rFonts w:eastAsia="Verdana"/>
              </w:rPr>
            </w:pPr>
            <w:r w:rsidRPr="00787E7A">
              <w:rPr>
                <w:rFonts w:cs="Tahoma"/>
              </w:rPr>
              <w:t xml:space="preserve"> 29.75 </w:t>
            </w:r>
          </w:p>
        </w:tc>
      </w:tr>
      <w:tr w:rsidR="00A043F7" w:rsidRPr="00787E7A" w14:paraId="41F2E1AD" w14:textId="77777777" w:rsidTr="004A63B1">
        <w:trPr>
          <w:cnfStyle w:val="000000010000" w:firstRow="0" w:lastRow="0" w:firstColumn="0" w:lastColumn="0" w:oddVBand="0" w:evenVBand="0" w:oddHBand="0" w:evenHBand="1" w:firstRowFirstColumn="0" w:firstRowLastColumn="0" w:lastRowFirstColumn="0" w:lastRowLastColumn="0"/>
          <w:cantSplit/>
        </w:trPr>
        <w:tc>
          <w:tcPr>
            <w:tcW w:w="1303" w:type="pct"/>
          </w:tcPr>
          <w:p w14:paraId="54542594" w14:textId="77777777" w:rsidR="00046BD5" w:rsidRPr="00787E7A" w:rsidRDefault="00046BD5">
            <w:pPr>
              <w:pStyle w:val="TableText"/>
              <w:rPr>
                <w:rFonts w:eastAsia="Verdana"/>
              </w:rPr>
            </w:pPr>
            <w:r w:rsidRPr="00787E7A">
              <w:rPr>
                <w:rFonts w:eastAsia="Aptos" w:cs="Aptos"/>
              </w:rPr>
              <w:t>Volume charges ($ per ML):</w:t>
            </w:r>
          </w:p>
        </w:tc>
        <w:tc>
          <w:tcPr>
            <w:tcW w:w="616" w:type="pct"/>
            <w:vAlign w:val="center"/>
          </w:tcPr>
          <w:p w14:paraId="4DAC2A49" w14:textId="538EB1BB" w:rsidR="00FF50EF" w:rsidRPr="00787E7A" w:rsidRDefault="00FF50EF" w:rsidP="00FF50EF">
            <w:pPr>
              <w:pStyle w:val="TableText"/>
              <w:rPr>
                <w:rFonts w:eastAsia="Aptos Display" w:cs="Aptos Display"/>
              </w:rPr>
            </w:pPr>
            <w:r w:rsidRPr="00787E7A">
              <w:rPr>
                <w:rFonts w:eastAsia="Aptos Display" w:cs="Aptos Display"/>
              </w:rPr>
              <w:t xml:space="preserve"> </w:t>
            </w:r>
          </w:p>
        </w:tc>
        <w:tc>
          <w:tcPr>
            <w:tcW w:w="616" w:type="pct"/>
            <w:vAlign w:val="center"/>
          </w:tcPr>
          <w:p w14:paraId="3B328079" w14:textId="77777777" w:rsidR="00046BD5" w:rsidRPr="00787E7A" w:rsidRDefault="00046BD5">
            <w:pPr>
              <w:pStyle w:val="TableText"/>
              <w:rPr>
                <w:rFonts w:eastAsia="Verdana"/>
              </w:rPr>
            </w:pPr>
            <w:r w:rsidRPr="00787E7A">
              <w:rPr>
                <w:rFonts w:eastAsia="Aptos Display" w:cs="Aptos Display"/>
              </w:rPr>
              <w:t xml:space="preserve"> </w:t>
            </w:r>
          </w:p>
        </w:tc>
        <w:tc>
          <w:tcPr>
            <w:tcW w:w="616" w:type="pct"/>
            <w:vAlign w:val="center"/>
          </w:tcPr>
          <w:p w14:paraId="1B777667" w14:textId="77777777" w:rsidR="00046BD5" w:rsidRPr="00787E7A" w:rsidRDefault="00046BD5">
            <w:pPr>
              <w:pStyle w:val="TableText"/>
              <w:rPr>
                <w:rFonts w:eastAsia="Verdana"/>
              </w:rPr>
            </w:pPr>
          </w:p>
        </w:tc>
        <w:tc>
          <w:tcPr>
            <w:tcW w:w="616" w:type="pct"/>
            <w:vAlign w:val="center"/>
          </w:tcPr>
          <w:p w14:paraId="51061C18" w14:textId="77777777" w:rsidR="00046BD5" w:rsidRPr="00787E7A" w:rsidRDefault="00046BD5">
            <w:pPr>
              <w:pStyle w:val="TableText"/>
              <w:rPr>
                <w:rFonts w:eastAsia="Verdana"/>
              </w:rPr>
            </w:pPr>
          </w:p>
        </w:tc>
        <w:tc>
          <w:tcPr>
            <w:tcW w:w="616" w:type="pct"/>
            <w:vAlign w:val="center"/>
          </w:tcPr>
          <w:p w14:paraId="727093EA" w14:textId="77777777" w:rsidR="00046BD5" w:rsidRPr="00787E7A" w:rsidRDefault="00046BD5">
            <w:pPr>
              <w:pStyle w:val="TableText"/>
              <w:rPr>
                <w:rFonts w:eastAsia="Verdana"/>
              </w:rPr>
            </w:pPr>
          </w:p>
        </w:tc>
        <w:tc>
          <w:tcPr>
            <w:tcW w:w="617" w:type="pct"/>
            <w:vAlign w:val="center"/>
          </w:tcPr>
          <w:p w14:paraId="63E777FC" w14:textId="77777777" w:rsidR="00046BD5" w:rsidRPr="00787E7A" w:rsidRDefault="00046BD5">
            <w:pPr>
              <w:pStyle w:val="TableText"/>
              <w:rPr>
                <w:rFonts w:eastAsia="Verdana"/>
              </w:rPr>
            </w:pPr>
          </w:p>
        </w:tc>
      </w:tr>
      <w:tr w:rsidR="00046BD5" w:rsidRPr="00787E7A" w14:paraId="0A00A6E3" w14:textId="77777777" w:rsidTr="00FF50EF">
        <w:trPr>
          <w:cantSplit/>
        </w:trPr>
        <w:tc>
          <w:tcPr>
            <w:tcW w:w="1303" w:type="pct"/>
          </w:tcPr>
          <w:p w14:paraId="1DC88F9A" w14:textId="77777777" w:rsidR="00046BD5" w:rsidRPr="00787E7A" w:rsidRDefault="00046BD5" w:rsidP="00ED094E">
            <w:pPr>
              <w:pStyle w:val="TableText"/>
              <w:rPr>
                <w:rFonts w:eastAsia="Verdana"/>
              </w:rPr>
            </w:pPr>
            <w:r w:rsidRPr="00787E7A">
              <w:rPr>
                <w:rFonts w:eastAsia="Aptos" w:cs="Aptos"/>
              </w:rPr>
              <w:t>– All-months licence</w:t>
            </w:r>
          </w:p>
        </w:tc>
        <w:tc>
          <w:tcPr>
            <w:tcW w:w="616" w:type="pct"/>
            <w:vAlign w:val="center"/>
          </w:tcPr>
          <w:p w14:paraId="2A30BC3D" w14:textId="5CE8E9AC" w:rsidR="00FF50EF" w:rsidRPr="00787E7A" w:rsidRDefault="00FF50EF" w:rsidP="00FF50EF">
            <w:pPr>
              <w:pStyle w:val="TableText"/>
              <w:rPr>
                <w:rFonts w:cs="Tahoma"/>
              </w:rPr>
            </w:pPr>
            <w:r w:rsidRPr="00787E7A">
              <w:rPr>
                <w:rFonts w:cs="Tahoma"/>
              </w:rPr>
              <w:t xml:space="preserve"> 43.21 </w:t>
            </w:r>
          </w:p>
        </w:tc>
        <w:tc>
          <w:tcPr>
            <w:tcW w:w="616" w:type="pct"/>
            <w:vAlign w:val="center"/>
          </w:tcPr>
          <w:p w14:paraId="3239D40C" w14:textId="77777777" w:rsidR="00046BD5" w:rsidRPr="00787E7A" w:rsidRDefault="00046BD5" w:rsidP="00ED094E">
            <w:pPr>
              <w:pStyle w:val="TableText"/>
              <w:rPr>
                <w:rFonts w:eastAsia="Verdana"/>
              </w:rPr>
            </w:pPr>
            <w:r w:rsidRPr="00787E7A">
              <w:rPr>
                <w:rFonts w:cs="Tahoma"/>
              </w:rPr>
              <w:t xml:space="preserve"> 43.21 </w:t>
            </w:r>
          </w:p>
        </w:tc>
        <w:tc>
          <w:tcPr>
            <w:tcW w:w="616" w:type="pct"/>
            <w:vAlign w:val="center"/>
          </w:tcPr>
          <w:p w14:paraId="6F88A6AD" w14:textId="77777777" w:rsidR="00046BD5" w:rsidRPr="00787E7A" w:rsidRDefault="00046BD5" w:rsidP="00ED094E">
            <w:pPr>
              <w:pStyle w:val="TableText"/>
              <w:rPr>
                <w:rFonts w:eastAsia="Verdana"/>
              </w:rPr>
            </w:pPr>
            <w:r w:rsidRPr="00787E7A">
              <w:rPr>
                <w:rFonts w:cs="Tahoma"/>
              </w:rPr>
              <w:t xml:space="preserve"> 43.28 </w:t>
            </w:r>
          </w:p>
        </w:tc>
        <w:tc>
          <w:tcPr>
            <w:tcW w:w="616" w:type="pct"/>
            <w:vAlign w:val="center"/>
          </w:tcPr>
          <w:p w14:paraId="686F1E46" w14:textId="77777777" w:rsidR="00046BD5" w:rsidRPr="00787E7A" w:rsidRDefault="00046BD5" w:rsidP="00ED094E">
            <w:pPr>
              <w:pStyle w:val="TableText"/>
              <w:rPr>
                <w:rFonts w:eastAsia="Verdana"/>
              </w:rPr>
            </w:pPr>
            <w:r w:rsidRPr="00787E7A">
              <w:rPr>
                <w:rFonts w:cs="Tahoma"/>
              </w:rPr>
              <w:t xml:space="preserve"> 43.35 </w:t>
            </w:r>
          </w:p>
        </w:tc>
        <w:tc>
          <w:tcPr>
            <w:tcW w:w="616" w:type="pct"/>
            <w:vAlign w:val="center"/>
          </w:tcPr>
          <w:p w14:paraId="09E96522" w14:textId="77777777" w:rsidR="00046BD5" w:rsidRPr="00787E7A" w:rsidRDefault="00046BD5" w:rsidP="00ED094E">
            <w:pPr>
              <w:pStyle w:val="TableText"/>
              <w:rPr>
                <w:rFonts w:eastAsia="Verdana"/>
              </w:rPr>
            </w:pPr>
            <w:r w:rsidRPr="00787E7A">
              <w:rPr>
                <w:rFonts w:cs="Tahoma"/>
              </w:rPr>
              <w:t xml:space="preserve"> 43.42 </w:t>
            </w:r>
          </w:p>
        </w:tc>
        <w:tc>
          <w:tcPr>
            <w:tcW w:w="617" w:type="pct"/>
            <w:vAlign w:val="center"/>
          </w:tcPr>
          <w:p w14:paraId="59D98CF0" w14:textId="77777777" w:rsidR="00046BD5" w:rsidRPr="00787E7A" w:rsidRDefault="00046BD5" w:rsidP="00ED094E">
            <w:pPr>
              <w:pStyle w:val="TableText"/>
              <w:rPr>
                <w:rFonts w:eastAsia="Verdana"/>
              </w:rPr>
            </w:pPr>
            <w:r w:rsidRPr="00787E7A">
              <w:rPr>
                <w:rFonts w:cs="Tahoma"/>
              </w:rPr>
              <w:t xml:space="preserve"> 43.49 </w:t>
            </w:r>
          </w:p>
        </w:tc>
      </w:tr>
      <w:tr w:rsidR="00A043F7" w:rsidRPr="00787E7A" w14:paraId="67248E2D" w14:textId="77777777" w:rsidTr="004A63B1">
        <w:trPr>
          <w:cnfStyle w:val="000000010000" w:firstRow="0" w:lastRow="0" w:firstColumn="0" w:lastColumn="0" w:oddVBand="0" w:evenVBand="0" w:oddHBand="0" w:evenHBand="1" w:firstRowFirstColumn="0" w:firstRowLastColumn="0" w:lastRowFirstColumn="0" w:lastRowLastColumn="0"/>
          <w:cantSplit/>
        </w:trPr>
        <w:tc>
          <w:tcPr>
            <w:tcW w:w="1303" w:type="pct"/>
          </w:tcPr>
          <w:p w14:paraId="560F01D2" w14:textId="77777777" w:rsidR="00046BD5" w:rsidRPr="00787E7A" w:rsidRDefault="00046BD5" w:rsidP="00ED094E">
            <w:pPr>
              <w:pStyle w:val="TableText"/>
              <w:rPr>
                <w:rFonts w:eastAsia="Verdana"/>
              </w:rPr>
            </w:pPr>
            <w:r w:rsidRPr="00787E7A">
              <w:rPr>
                <w:rFonts w:eastAsia="Aptos" w:cs="Aptos"/>
              </w:rPr>
              <w:t>– On-stream winter–fill</w:t>
            </w:r>
          </w:p>
        </w:tc>
        <w:tc>
          <w:tcPr>
            <w:tcW w:w="616" w:type="pct"/>
            <w:vAlign w:val="center"/>
          </w:tcPr>
          <w:p w14:paraId="25E809E1" w14:textId="031B5FD3" w:rsidR="00FF50EF" w:rsidRPr="00787E7A" w:rsidRDefault="00FF50EF" w:rsidP="00FF50EF">
            <w:pPr>
              <w:pStyle w:val="TableText"/>
              <w:rPr>
                <w:rFonts w:cs="Tahoma"/>
              </w:rPr>
            </w:pPr>
            <w:r w:rsidRPr="00787E7A">
              <w:rPr>
                <w:rFonts w:cs="Tahoma"/>
              </w:rPr>
              <w:t xml:space="preserve"> 21.75 </w:t>
            </w:r>
          </w:p>
        </w:tc>
        <w:tc>
          <w:tcPr>
            <w:tcW w:w="616" w:type="pct"/>
            <w:vAlign w:val="center"/>
          </w:tcPr>
          <w:p w14:paraId="18C5A757" w14:textId="77777777" w:rsidR="00046BD5" w:rsidRPr="00787E7A" w:rsidRDefault="00046BD5" w:rsidP="00ED094E">
            <w:pPr>
              <w:pStyle w:val="TableText"/>
              <w:rPr>
                <w:rFonts w:eastAsia="Verdana"/>
              </w:rPr>
            </w:pPr>
            <w:r w:rsidRPr="00787E7A">
              <w:rPr>
                <w:rFonts w:cs="Tahoma"/>
              </w:rPr>
              <w:t xml:space="preserve"> 21.75 </w:t>
            </w:r>
          </w:p>
        </w:tc>
        <w:tc>
          <w:tcPr>
            <w:tcW w:w="616" w:type="pct"/>
            <w:vAlign w:val="center"/>
          </w:tcPr>
          <w:p w14:paraId="71B1641B" w14:textId="77777777" w:rsidR="00046BD5" w:rsidRPr="00787E7A" w:rsidRDefault="00046BD5" w:rsidP="00ED094E">
            <w:pPr>
              <w:pStyle w:val="TableText"/>
              <w:rPr>
                <w:rFonts w:eastAsia="Verdana"/>
              </w:rPr>
            </w:pPr>
            <w:r w:rsidRPr="00787E7A">
              <w:rPr>
                <w:rFonts w:cs="Tahoma"/>
              </w:rPr>
              <w:t xml:space="preserve"> 21.78 </w:t>
            </w:r>
          </w:p>
        </w:tc>
        <w:tc>
          <w:tcPr>
            <w:tcW w:w="616" w:type="pct"/>
            <w:vAlign w:val="center"/>
          </w:tcPr>
          <w:p w14:paraId="3D5A6628" w14:textId="77777777" w:rsidR="00046BD5" w:rsidRPr="00787E7A" w:rsidRDefault="00046BD5" w:rsidP="00ED094E">
            <w:pPr>
              <w:pStyle w:val="TableText"/>
              <w:rPr>
                <w:rFonts w:eastAsia="Verdana"/>
              </w:rPr>
            </w:pPr>
            <w:r w:rsidRPr="00787E7A">
              <w:rPr>
                <w:rFonts w:cs="Tahoma"/>
              </w:rPr>
              <w:t xml:space="preserve"> 21.82 </w:t>
            </w:r>
          </w:p>
        </w:tc>
        <w:tc>
          <w:tcPr>
            <w:tcW w:w="616" w:type="pct"/>
            <w:vAlign w:val="center"/>
          </w:tcPr>
          <w:p w14:paraId="500DDA3B" w14:textId="77777777" w:rsidR="00046BD5" w:rsidRPr="00787E7A" w:rsidRDefault="00046BD5" w:rsidP="00ED094E">
            <w:pPr>
              <w:pStyle w:val="TableText"/>
              <w:rPr>
                <w:rFonts w:eastAsia="Verdana"/>
              </w:rPr>
            </w:pPr>
            <w:r w:rsidRPr="00787E7A">
              <w:rPr>
                <w:rFonts w:cs="Tahoma"/>
              </w:rPr>
              <w:t xml:space="preserve"> 21.85 </w:t>
            </w:r>
          </w:p>
        </w:tc>
        <w:tc>
          <w:tcPr>
            <w:tcW w:w="617" w:type="pct"/>
            <w:vAlign w:val="center"/>
          </w:tcPr>
          <w:p w14:paraId="3E79F123" w14:textId="77777777" w:rsidR="00046BD5" w:rsidRPr="00787E7A" w:rsidRDefault="00046BD5" w:rsidP="00ED094E">
            <w:pPr>
              <w:pStyle w:val="TableText"/>
              <w:rPr>
                <w:rFonts w:eastAsia="Verdana"/>
              </w:rPr>
            </w:pPr>
            <w:r w:rsidRPr="00787E7A">
              <w:rPr>
                <w:rFonts w:cs="Tahoma"/>
              </w:rPr>
              <w:t xml:space="preserve"> 21.89 </w:t>
            </w:r>
          </w:p>
        </w:tc>
      </w:tr>
      <w:tr w:rsidR="00046BD5" w:rsidRPr="00787E7A" w14:paraId="2189C312" w14:textId="77777777" w:rsidTr="00FF50EF">
        <w:trPr>
          <w:cantSplit/>
        </w:trPr>
        <w:tc>
          <w:tcPr>
            <w:tcW w:w="1303" w:type="pct"/>
          </w:tcPr>
          <w:p w14:paraId="006F329D" w14:textId="77777777" w:rsidR="00046BD5" w:rsidRPr="00787E7A" w:rsidRDefault="00046BD5" w:rsidP="00ED094E">
            <w:pPr>
              <w:pStyle w:val="TableText"/>
              <w:rPr>
                <w:rFonts w:eastAsia="Verdana"/>
              </w:rPr>
            </w:pPr>
            <w:r w:rsidRPr="00787E7A">
              <w:rPr>
                <w:rFonts w:eastAsia="Aptos" w:cs="Aptos"/>
              </w:rPr>
              <w:t>– Off-stream winter–fill</w:t>
            </w:r>
          </w:p>
        </w:tc>
        <w:tc>
          <w:tcPr>
            <w:tcW w:w="616" w:type="pct"/>
            <w:vAlign w:val="center"/>
          </w:tcPr>
          <w:p w14:paraId="70F2A316" w14:textId="45C4BCA0" w:rsidR="00FF50EF" w:rsidRPr="00787E7A" w:rsidRDefault="00FF50EF" w:rsidP="00FF50EF">
            <w:pPr>
              <w:pStyle w:val="TableText"/>
              <w:rPr>
                <w:rFonts w:cs="Tahoma"/>
              </w:rPr>
            </w:pPr>
            <w:r w:rsidRPr="00787E7A">
              <w:rPr>
                <w:rFonts w:cs="Tahoma"/>
              </w:rPr>
              <w:t xml:space="preserve"> 21.75 </w:t>
            </w:r>
          </w:p>
        </w:tc>
        <w:tc>
          <w:tcPr>
            <w:tcW w:w="616" w:type="pct"/>
            <w:vAlign w:val="center"/>
          </w:tcPr>
          <w:p w14:paraId="44F5517B" w14:textId="77777777" w:rsidR="00046BD5" w:rsidRPr="00787E7A" w:rsidRDefault="00046BD5" w:rsidP="00ED094E">
            <w:pPr>
              <w:pStyle w:val="TableText"/>
              <w:rPr>
                <w:rFonts w:eastAsia="Verdana"/>
              </w:rPr>
            </w:pPr>
            <w:r w:rsidRPr="00787E7A">
              <w:rPr>
                <w:rFonts w:cs="Tahoma"/>
              </w:rPr>
              <w:t xml:space="preserve"> 21.75 </w:t>
            </w:r>
          </w:p>
        </w:tc>
        <w:tc>
          <w:tcPr>
            <w:tcW w:w="616" w:type="pct"/>
            <w:vAlign w:val="center"/>
          </w:tcPr>
          <w:p w14:paraId="1243A81D" w14:textId="77777777" w:rsidR="00046BD5" w:rsidRPr="00787E7A" w:rsidRDefault="00046BD5" w:rsidP="00ED094E">
            <w:pPr>
              <w:pStyle w:val="TableText"/>
              <w:rPr>
                <w:rFonts w:eastAsia="Verdana"/>
              </w:rPr>
            </w:pPr>
            <w:r w:rsidRPr="00787E7A">
              <w:rPr>
                <w:rFonts w:cs="Tahoma"/>
              </w:rPr>
              <w:t xml:space="preserve"> 21.78 </w:t>
            </w:r>
          </w:p>
        </w:tc>
        <w:tc>
          <w:tcPr>
            <w:tcW w:w="616" w:type="pct"/>
            <w:vAlign w:val="center"/>
          </w:tcPr>
          <w:p w14:paraId="489529F7" w14:textId="77777777" w:rsidR="00046BD5" w:rsidRPr="00787E7A" w:rsidRDefault="00046BD5" w:rsidP="00ED094E">
            <w:pPr>
              <w:pStyle w:val="TableText"/>
              <w:rPr>
                <w:rFonts w:eastAsia="Verdana"/>
              </w:rPr>
            </w:pPr>
            <w:r w:rsidRPr="00787E7A">
              <w:rPr>
                <w:rFonts w:cs="Tahoma"/>
              </w:rPr>
              <w:t xml:space="preserve"> 21.82 </w:t>
            </w:r>
          </w:p>
        </w:tc>
        <w:tc>
          <w:tcPr>
            <w:tcW w:w="616" w:type="pct"/>
            <w:vAlign w:val="center"/>
          </w:tcPr>
          <w:p w14:paraId="1D77C2DF" w14:textId="77777777" w:rsidR="00046BD5" w:rsidRPr="00787E7A" w:rsidRDefault="00046BD5" w:rsidP="00ED094E">
            <w:pPr>
              <w:pStyle w:val="TableText"/>
              <w:rPr>
                <w:rFonts w:eastAsia="Verdana"/>
              </w:rPr>
            </w:pPr>
            <w:r w:rsidRPr="00787E7A">
              <w:rPr>
                <w:rFonts w:cs="Tahoma"/>
              </w:rPr>
              <w:t xml:space="preserve"> 21.85 </w:t>
            </w:r>
          </w:p>
        </w:tc>
        <w:tc>
          <w:tcPr>
            <w:tcW w:w="617" w:type="pct"/>
            <w:vAlign w:val="center"/>
          </w:tcPr>
          <w:p w14:paraId="167BAC32" w14:textId="77777777" w:rsidR="00046BD5" w:rsidRPr="00787E7A" w:rsidRDefault="00046BD5" w:rsidP="00ED094E">
            <w:pPr>
              <w:pStyle w:val="TableText"/>
              <w:rPr>
                <w:rFonts w:eastAsia="Verdana"/>
              </w:rPr>
            </w:pPr>
            <w:r w:rsidRPr="00787E7A">
              <w:rPr>
                <w:rFonts w:cs="Tahoma"/>
              </w:rPr>
              <w:t xml:space="preserve"> 21.89 </w:t>
            </w:r>
          </w:p>
        </w:tc>
      </w:tr>
      <w:tr w:rsidR="00A043F7" w:rsidRPr="00787E7A" w14:paraId="085437DF" w14:textId="77777777" w:rsidTr="004A63B1">
        <w:trPr>
          <w:cnfStyle w:val="000000010000" w:firstRow="0" w:lastRow="0" w:firstColumn="0" w:lastColumn="0" w:oddVBand="0" w:evenVBand="0" w:oddHBand="0" w:evenHBand="1" w:firstRowFirstColumn="0" w:firstRowLastColumn="0" w:lastRowFirstColumn="0" w:lastRowLastColumn="0"/>
          <w:cantSplit/>
        </w:trPr>
        <w:tc>
          <w:tcPr>
            <w:tcW w:w="1303" w:type="pct"/>
          </w:tcPr>
          <w:p w14:paraId="3D0D5943" w14:textId="77777777" w:rsidR="00046BD5" w:rsidRPr="00787E7A" w:rsidRDefault="00046BD5" w:rsidP="00ED094E">
            <w:pPr>
              <w:pStyle w:val="TableText"/>
              <w:rPr>
                <w:rFonts w:eastAsia="Verdana"/>
              </w:rPr>
            </w:pPr>
            <w:r w:rsidRPr="00787E7A">
              <w:rPr>
                <w:rFonts w:eastAsia="Aptos" w:cs="Aptos"/>
              </w:rPr>
              <w:t>– Licensed farm dam</w:t>
            </w:r>
          </w:p>
        </w:tc>
        <w:tc>
          <w:tcPr>
            <w:tcW w:w="616" w:type="pct"/>
            <w:vAlign w:val="center"/>
          </w:tcPr>
          <w:p w14:paraId="7B505745" w14:textId="323AF7D4" w:rsidR="00FF50EF" w:rsidRPr="00787E7A" w:rsidRDefault="00FF50EF" w:rsidP="00FF50EF">
            <w:pPr>
              <w:pStyle w:val="TableText"/>
              <w:rPr>
                <w:rFonts w:cs="Tahoma"/>
              </w:rPr>
            </w:pPr>
            <w:r w:rsidRPr="00787E7A">
              <w:rPr>
                <w:rFonts w:cs="Tahoma"/>
              </w:rPr>
              <w:t xml:space="preserve"> 21.75 </w:t>
            </w:r>
          </w:p>
        </w:tc>
        <w:tc>
          <w:tcPr>
            <w:tcW w:w="616" w:type="pct"/>
            <w:vAlign w:val="center"/>
          </w:tcPr>
          <w:p w14:paraId="4426435F" w14:textId="77777777" w:rsidR="00046BD5" w:rsidRPr="00787E7A" w:rsidRDefault="00046BD5" w:rsidP="00ED094E">
            <w:pPr>
              <w:pStyle w:val="TableText"/>
              <w:rPr>
                <w:rFonts w:eastAsia="Verdana"/>
              </w:rPr>
            </w:pPr>
            <w:r w:rsidRPr="00787E7A">
              <w:rPr>
                <w:rFonts w:cs="Tahoma"/>
              </w:rPr>
              <w:t xml:space="preserve"> 21.75 </w:t>
            </w:r>
          </w:p>
        </w:tc>
        <w:tc>
          <w:tcPr>
            <w:tcW w:w="616" w:type="pct"/>
            <w:vAlign w:val="center"/>
          </w:tcPr>
          <w:p w14:paraId="0AF359CC" w14:textId="77777777" w:rsidR="00046BD5" w:rsidRPr="00787E7A" w:rsidRDefault="00046BD5" w:rsidP="00ED094E">
            <w:pPr>
              <w:pStyle w:val="TableText"/>
              <w:rPr>
                <w:rFonts w:eastAsia="Verdana"/>
              </w:rPr>
            </w:pPr>
            <w:r w:rsidRPr="00787E7A">
              <w:rPr>
                <w:rFonts w:cs="Tahoma"/>
              </w:rPr>
              <w:t xml:space="preserve"> 21.78 </w:t>
            </w:r>
          </w:p>
        </w:tc>
        <w:tc>
          <w:tcPr>
            <w:tcW w:w="616" w:type="pct"/>
            <w:vAlign w:val="center"/>
          </w:tcPr>
          <w:p w14:paraId="34C8A91F" w14:textId="77777777" w:rsidR="00046BD5" w:rsidRPr="00787E7A" w:rsidRDefault="00046BD5" w:rsidP="00ED094E">
            <w:pPr>
              <w:pStyle w:val="TableText"/>
              <w:rPr>
                <w:rFonts w:eastAsia="Verdana"/>
              </w:rPr>
            </w:pPr>
            <w:r w:rsidRPr="00787E7A">
              <w:rPr>
                <w:rFonts w:cs="Tahoma"/>
              </w:rPr>
              <w:t xml:space="preserve"> 21.82 </w:t>
            </w:r>
          </w:p>
        </w:tc>
        <w:tc>
          <w:tcPr>
            <w:tcW w:w="616" w:type="pct"/>
            <w:vAlign w:val="center"/>
          </w:tcPr>
          <w:p w14:paraId="110CE514" w14:textId="77777777" w:rsidR="00046BD5" w:rsidRPr="00787E7A" w:rsidRDefault="00046BD5" w:rsidP="00ED094E">
            <w:pPr>
              <w:pStyle w:val="TableText"/>
              <w:rPr>
                <w:rFonts w:eastAsia="Verdana"/>
              </w:rPr>
            </w:pPr>
            <w:r w:rsidRPr="00787E7A">
              <w:rPr>
                <w:rFonts w:cs="Tahoma"/>
              </w:rPr>
              <w:t xml:space="preserve"> 21.85 </w:t>
            </w:r>
          </w:p>
        </w:tc>
        <w:tc>
          <w:tcPr>
            <w:tcW w:w="617" w:type="pct"/>
            <w:vAlign w:val="center"/>
          </w:tcPr>
          <w:p w14:paraId="36BCE970" w14:textId="77777777" w:rsidR="00046BD5" w:rsidRPr="00787E7A" w:rsidRDefault="00046BD5" w:rsidP="00ED094E">
            <w:pPr>
              <w:pStyle w:val="TableText"/>
              <w:rPr>
                <w:rFonts w:eastAsia="Verdana"/>
              </w:rPr>
            </w:pPr>
            <w:r w:rsidRPr="00787E7A">
              <w:rPr>
                <w:rFonts w:cs="Tahoma"/>
              </w:rPr>
              <w:t xml:space="preserve"> 21.89 </w:t>
            </w:r>
          </w:p>
        </w:tc>
      </w:tr>
      <w:tr w:rsidR="00046BD5" w:rsidRPr="00787E7A" w14:paraId="022D5B56" w14:textId="77777777" w:rsidTr="00FF50EF">
        <w:trPr>
          <w:cantSplit/>
        </w:trPr>
        <w:tc>
          <w:tcPr>
            <w:tcW w:w="1303" w:type="pct"/>
          </w:tcPr>
          <w:p w14:paraId="21F012BF" w14:textId="77777777" w:rsidR="00046BD5" w:rsidRPr="00787E7A" w:rsidRDefault="00046BD5" w:rsidP="00ED094E">
            <w:pPr>
              <w:pStyle w:val="TableText"/>
              <w:rPr>
                <w:rFonts w:eastAsia="Verdana"/>
              </w:rPr>
            </w:pPr>
            <w:r w:rsidRPr="00787E7A">
              <w:rPr>
                <w:rFonts w:eastAsia="Aptos" w:cs="Aptos"/>
              </w:rPr>
              <w:t>– Non-consumptive</w:t>
            </w:r>
          </w:p>
        </w:tc>
        <w:tc>
          <w:tcPr>
            <w:tcW w:w="616" w:type="pct"/>
            <w:vAlign w:val="center"/>
          </w:tcPr>
          <w:p w14:paraId="7342A9F9" w14:textId="08C5916C" w:rsidR="00FF50EF" w:rsidRPr="00787E7A" w:rsidRDefault="00FF50EF" w:rsidP="00FF50EF">
            <w:pPr>
              <w:pStyle w:val="TableText"/>
              <w:rPr>
                <w:rFonts w:cs="Tahoma"/>
              </w:rPr>
            </w:pPr>
            <w:r w:rsidRPr="00787E7A">
              <w:rPr>
                <w:rFonts w:cs="Tahoma"/>
              </w:rPr>
              <w:t xml:space="preserve"> 2.72 </w:t>
            </w:r>
          </w:p>
        </w:tc>
        <w:tc>
          <w:tcPr>
            <w:tcW w:w="616" w:type="pct"/>
            <w:vAlign w:val="center"/>
          </w:tcPr>
          <w:p w14:paraId="120BEDB9" w14:textId="77777777" w:rsidR="00046BD5" w:rsidRPr="00787E7A" w:rsidRDefault="00046BD5" w:rsidP="00ED094E">
            <w:pPr>
              <w:pStyle w:val="TableText"/>
              <w:rPr>
                <w:rFonts w:eastAsia="Verdana"/>
              </w:rPr>
            </w:pPr>
            <w:r w:rsidRPr="00787E7A">
              <w:rPr>
                <w:rFonts w:cs="Tahoma"/>
              </w:rPr>
              <w:t xml:space="preserve"> 2.72 </w:t>
            </w:r>
          </w:p>
        </w:tc>
        <w:tc>
          <w:tcPr>
            <w:tcW w:w="616" w:type="pct"/>
            <w:vAlign w:val="center"/>
          </w:tcPr>
          <w:p w14:paraId="6EAB9EDB" w14:textId="77777777" w:rsidR="00046BD5" w:rsidRPr="00787E7A" w:rsidRDefault="00046BD5" w:rsidP="00ED094E">
            <w:pPr>
              <w:pStyle w:val="TableText"/>
              <w:rPr>
                <w:rFonts w:eastAsia="Verdana"/>
              </w:rPr>
            </w:pPr>
            <w:r w:rsidRPr="00787E7A">
              <w:rPr>
                <w:rFonts w:cs="Tahoma"/>
              </w:rPr>
              <w:t xml:space="preserve"> 2.72 </w:t>
            </w:r>
          </w:p>
        </w:tc>
        <w:tc>
          <w:tcPr>
            <w:tcW w:w="616" w:type="pct"/>
            <w:vAlign w:val="center"/>
          </w:tcPr>
          <w:p w14:paraId="48FA30CB" w14:textId="77777777" w:rsidR="00046BD5" w:rsidRPr="00787E7A" w:rsidRDefault="00046BD5" w:rsidP="00ED094E">
            <w:pPr>
              <w:pStyle w:val="TableText"/>
              <w:rPr>
                <w:rFonts w:eastAsia="Verdana"/>
              </w:rPr>
            </w:pPr>
            <w:r w:rsidRPr="00787E7A">
              <w:rPr>
                <w:rFonts w:cs="Tahoma"/>
              </w:rPr>
              <w:t xml:space="preserve"> 2.73 </w:t>
            </w:r>
          </w:p>
        </w:tc>
        <w:tc>
          <w:tcPr>
            <w:tcW w:w="616" w:type="pct"/>
            <w:vAlign w:val="center"/>
          </w:tcPr>
          <w:p w14:paraId="412EB1B0" w14:textId="77777777" w:rsidR="00046BD5" w:rsidRPr="00787E7A" w:rsidRDefault="00046BD5" w:rsidP="00ED094E">
            <w:pPr>
              <w:pStyle w:val="TableText"/>
              <w:rPr>
                <w:rFonts w:eastAsia="Verdana"/>
              </w:rPr>
            </w:pPr>
            <w:r w:rsidRPr="00787E7A">
              <w:rPr>
                <w:rFonts w:cs="Tahoma"/>
              </w:rPr>
              <w:t xml:space="preserve"> 2.73 </w:t>
            </w:r>
          </w:p>
        </w:tc>
        <w:tc>
          <w:tcPr>
            <w:tcW w:w="617" w:type="pct"/>
            <w:vAlign w:val="center"/>
          </w:tcPr>
          <w:p w14:paraId="376393E4" w14:textId="77777777" w:rsidR="00046BD5" w:rsidRPr="00787E7A" w:rsidRDefault="00046BD5" w:rsidP="00ED094E">
            <w:pPr>
              <w:pStyle w:val="TableText"/>
              <w:rPr>
                <w:rFonts w:eastAsia="Verdana"/>
              </w:rPr>
            </w:pPr>
            <w:r w:rsidRPr="00787E7A">
              <w:rPr>
                <w:rFonts w:cs="Tahoma"/>
              </w:rPr>
              <w:t xml:space="preserve"> 2.74 </w:t>
            </w:r>
          </w:p>
        </w:tc>
      </w:tr>
      <w:tr w:rsidR="00556A0D" w:rsidRPr="00787E7A" w14:paraId="4BECCCA1" w14:textId="77777777" w:rsidTr="008C2689">
        <w:trPr>
          <w:cnfStyle w:val="000000010000" w:firstRow="0" w:lastRow="0" w:firstColumn="0" w:lastColumn="0" w:oddVBand="0" w:evenVBand="0" w:oddHBand="0" w:evenHBand="1" w:firstRowFirstColumn="0" w:firstRowLastColumn="0" w:lastRowFirstColumn="0" w:lastRowLastColumn="0"/>
          <w:cantSplit/>
          <w:trHeight w:val="273"/>
        </w:trPr>
        <w:tc>
          <w:tcPr>
            <w:tcW w:w="1303" w:type="pct"/>
          </w:tcPr>
          <w:p w14:paraId="2115ACFD" w14:textId="77777777" w:rsidR="00046BD5" w:rsidRPr="00787E7A" w:rsidRDefault="00046BD5">
            <w:pPr>
              <w:pStyle w:val="TableText"/>
              <w:rPr>
                <w:rFonts w:eastAsia="Verdana"/>
              </w:rPr>
            </w:pPr>
            <w:r w:rsidRPr="00787E7A">
              <w:rPr>
                <w:rFonts w:eastAsia="Aptos" w:cs="Aptos"/>
                <w:b/>
              </w:rPr>
              <w:t>Works operating licences</w:t>
            </w:r>
          </w:p>
        </w:tc>
        <w:tc>
          <w:tcPr>
            <w:tcW w:w="616" w:type="pct"/>
          </w:tcPr>
          <w:p w14:paraId="2F53FF34" w14:textId="77777777" w:rsidR="00FF50EF" w:rsidRPr="00787E7A" w:rsidRDefault="00FF50EF" w:rsidP="00FF50EF">
            <w:pPr>
              <w:pStyle w:val="TableText"/>
              <w:rPr>
                <w:rFonts w:eastAsia="Verdana"/>
              </w:rPr>
            </w:pPr>
          </w:p>
        </w:tc>
        <w:tc>
          <w:tcPr>
            <w:tcW w:w="616" w:type="pct"/>
          </w:tcPr>
          <w:p w14:paraId="579A28F9" w14:textId="77777777" w:rsidR="00046BD5" w:rsidRPr="00787E7A" w:rsidRDefault="00046BD5">
            <w:pPr>
              <w:pStyle w:val="TableText"/>
              <w:rPr>
                <w:rFonts w:eastAsia="Verdana"/>
              </w:rPr>
            </w:pPr>
          </w:p>
        </w:tc>
        <w:tc>
          <w:tcPr>
            <w:tcW w:w="616" w:type="pct"/>
          </w:tcPr>
          <w:p w14:paraId="5022B8BD" w14:textId="77777777" w:rsidR="00046BD5" w:rsidRPr="00787E7A" w:rsidRDefault="00046BD5">
            <w:pPr>
              <w:pStyle w:val="TableText"/>
              <w:rPr>
                <w:rFonts w:eastAsia="Verdana"/>
              </w:rPr>
            </w:pPr>
          </w:p>
        </w:tc>
        <w:tc>
          <w:tcPr>
            <w:tcW w:w="616" w:type="pct"/>
          </w:tcPr>
          <w:p w14:paraId="5F161428" w14:textId="77777777" w:rsidR="00046BD5" w:rsidRPr="00787E7A" w:rsidRDefault="00046BD5">
            <w:pPr>
              <w:pStyle w:val="TableText"/>
              <w:rPr>
                <w:rFonts w:eastAsia="Verdana"/>
              </w:rPr>
            </w:pPr>
          </w:p>
        </w:tc>
        <w:tc>
          <w:tcPr>
            <w:tcW w:w="616" w:type="pct"/>
          </w:tcPr>
          <w:p w14:paraId="6D103924" w14:textId="77777777" w:rsidR="00046BD5" w:rsidRPr="00787E7A" w:rsidRDefault="00046BD5">
            <w:pPr>
              <w:pStyle w:val="TableText"/>
              <w:rPr>
                <w:rFonts w:eastAsia="Verdana"/>
              </w:rPr>
            </w:pPr>
          </w:p>
        </w:tc>
        <w:tc>
          <w:tcPr>
            <w:tcW w:w="617" w:type="pct"/>
          </w:tcPr>
          <w:p w14:paraId="226D0886" w14:textId="77777777" w:rsidR="00046BD5" w:rsidRPr="00787E7A" w:rsidRDefault="00046BD5">
            <w:pPr>
              <w:pStyle w:val="TableText"/>
              <w:rPr>
                <w:rFonts w:eastAsia="Verdana"/>
              </w:rPr>
            </w:pPr>
          </w:p>
        </w:tc>
      </w:tr>
      <w:tr w:rsidR="00046BD5" w:rsidRPr="00787E7A" w14:paraId="05FBA778" w14:textId="77777777" w:rsidTr="00FF50EF">
        <w:trPr>
          <w:cantSplit/>
        </w:trPr>
        <w:tc>
          <w:tcPr>
            <w:tcW w:w="1303" w:type="pct"/>
          </w:tcPr>
          <w:p w14:paraId="56730F0F" w14:textId="77777777" w:rsidR="00046BD5" w:rsidRPr="00787E7A" w:rsidRDefault="00046BD5" w:rsidP="00ED094E">
            <w:pPr>
              <w:pStyle w:val="TableText"/>
              <w:rPr>
                <w:rFonts w:eastAsia="Verdana"/>
              </w:rPr>
            </w:pPr>
            <w:r w:rsidRPr="00787E7A">
              <w:rPr>
                <w:rFonts w:eastAsia="Aptos" w:cs="Aptos"/>
              </w:rPr>
              <w:t>General ($ per annum)</w:t>
            </w:r>
          </w:p>
        </w:tc>
        <w:tc>
          <w:tcPr>
            <w:tcW w:w="616" w:type="pct"/>
            <w:vAlign w:val="center"/>
          </w:tcPr>
          <w:p w14:paraId="5A3FD29F" w14:textId="79826CBB" w:rsidR="00FF50EF" w:rsidRPr="00787E7A" w:rsidRDefault="00FF50EF" w:rsidP="00FF50EF">
            <w:pPr>
              <w:pStyle w:val="TableText"/>
              <w:rPr>
                <w:rFonts w:cs="Tahoma"/>
              </w:rPr>
            </w:pPr>
            <w:r w:rsidRPr="00787E7A">
              <w:rPr>
                <w:rFonts w:cs="Tahoma"/>
              </w:rPr>
              <w:t xml:space="preserve"> 74.27 </w:t>
            </w:r>
          </w:p>
        </w:tc>
        <w:tc>
          <w:tcPr>
            <w:tcW w:w="616" w:type="pct"/>
            <w:vAlign w:val="center"/>
          </w:tcPr>
          <w:p w14:paraId="171592BC" w14:textId="77777777" w:rsidR="00046BD5" w:rsidRPr="00787E7A" w:rsidRDefault="00046BD5" w:rsidP="00ED094E">
            <w:pPr>
              <w:pStyle w:val="TableText"/>
              <w:rPr>
                <w:rFonts w:eastAsia="Verdana"/>
              </w:rPr>
            </w:pPr>
            <w:r w:rsidRPr="00787E7A">
              <w:rPr>
                <w:rFonts w:cs="Tahoma"/>
              </w:rPr>
              <w:t xml:space="preserve"> 74.27 </w:t>
            </w:r>
          </w:p>
        </w:tc>
        <w:tc>
          <w:tcPr>
            <w:tcW w:w="616" w:type="pct"/>
            <w:vAlign w:val="center"/>
          </w:tcPr>
          <w:p w14:paraId="31AAF96F" w14:textId="77777777" w:rsidR="00046BD5" w:rsidRPr="00787E7A" w:rsidRDefault="00046BD5" w:rsidP="00ED094E">
            <w:pPr>
              <w:pStyle w:val="TableText"/>
              <w:rPr>
                <w:rFonts w:eastAsia="Verdana"/>
              </w:rPr>
            </w:pPr>
            <w:r w:rsidRPr="00787E7A">
              <w:rPr>
                <w:rFonts w:cs="Tahoma"/>
              </w:rPr>
              <w:t xml:space="preserve"> 74.39 </w:t>
            </w:r>
          </w:p>
        </w:tc>
        <w:tc>
          <w:tcPr>
            <w:tcW w:w="616" w:type="pct"/>
            <w:vAlign w:val="center"/>
          </w:tcPr>
          <w:p w14:paraId="072FE794" w14:textId="77777777" w:rsidR="00046BD5" w:rsidRPr="00787E7A" w:rsidRDefault="00046BD5" w:rsidP="00ED094E">
            <w:pPr>
              <w:pStyle w:val="TableText"/>
              <w:rPr>
                <w:rFonts w:eastAsia="Verdana"/>
              </w:rPr>
            </w:pPr>
            <w:r w:rsidRPr="00787E7A">
              <w:rPr>
                <w:rFonts w:cs="Tahoma"/>
              </w:rPr>
              <w:t xml:space="preserve"> 74.51 </w:t>
            </w:r>
          </w:p>
        </w:tc>
        <w:tc>
          <w:tcPr>
            <w:tcW w:w="616" w:type="pct"/>
            <w:vAlign w:val="center"/>
          </w:tcPr>
          <w:p w14:paraId="53D3BA7C" w14:textId="77777777" w:rsidR="00046BD5" w:rsidRPr="00787E7A" w:rsidRDefault="00046BD5" w:rsidP="00ED094E">
            <w:pPr>
              <w:pStyle w:val="TableText"/>
              <w:rPr>
                <w:rFonts w:eastAsia="Verdana"/>
              </w:rPr>
            </w:pPr>
            <w:r w:rsidRPr="00787E7A">
              <w:rPr>
                <w:rFonts w:cs="Tahoma"/>
              </w:rPr>
              <w:t xml:space="preserve"> 74.63 </w:t>
            </w:r>
          </w:p>
        </w:tc>
        <w:tc>
          <w:tcPr>
            <w:tcW w:w="617" w:type="pct"/>
            <w:vAlign w:val="center"/>
          </w:tcPr>
          <w:p w14:paraId="7CA5F6D8" w14:textId="77777777" w:rsidR="00046BD5" w:rsidRPr="00787E7A" w:rsidRDefault="00046BD5" w:rsidP="00ED094E">
            <w:pPr>
              <w:pStyle w:val="TableText"/>
              <w:rPr>
                <w:rFonts w:eastAsia="Verdana"/>
              </w:rPr>
            </w:pPr>
            <w:r w:rsidRPr="00787E7A">
              <w:rPr>
                <w:rFonts w:cs="Tahoma"/>
              </w:rPr>
              <w:t xml:space="preserve"> 74.75 </w:t>
            </w:r>
          </w:p>
        </w:tc>
      </w:tr>
      <w:tr w:rsidR="00A043F7" w:rsidRPr="00787E7A" w14:paraId="6E7B9246" w14:textId="77777777" w:rsidTr="004A63B1">
        <w:trPr>
          <w:cnfStyle w:val="000000010000" w:firstRow="0" w:lastRow="0" w:firstColumn="0" w:lastColumn="0" w:oddVBand="0" w:evenVBand="0" w:oddHBand="0" w:evenHBand="1" w:firstRowFirstColumn="0" w:firstRowLastColumn="0" w:lastRowFirstColumn="0" w:lastRowLastColumn="0"/>
          <w:cantSplit/>
        </w:trPr>
        <w:tc>
          <w:tcPr>
            <w:tcW w:w="1303" w:type="pct"/>
          </w:tcPr>
          <w:p w14:paraId="225468C2" w14:textId="77777777" w:rsidR="00046BD5" w:rsidRPr="00787E7A" w:rsidRDefault="00046BD5" w:rsidP="00ED094E">
            <w:pPr>
              <w:pStyle w:val="TableText"/>
              <w:rPr>
                <w:rFonts w:eastAsia="Verdana"/>
              </w:rPr>
            </w:pPr>
            <w:r w:rsidRPr="00787E7A">
              <w:rPr>
                <w:rFonts w:eastAsia="Aptos" w:cs="Aptos"/>
              </w:rPr>
              <w:t>Hazardous Dams ($ per annum)</w:t>
            </w:r>
          </w:p>
        </w:tc>
        <w:tc>
          <w:tcPr>
            <w:tcW w:w="616" w:type="pct"/>
            <w:vAlign w:val="center"/>
          </w:tcPr>
          <w:p w14:paraId="6E3FF109" w14:textId="26C0AC82" w:rsidR="00FF50EF" w:rsidRPr="00787E7A" w:rsidRDefault="00FF50EF" w:rsidP="00FF50EF">
            <w:pPr>
              <w:pStyle w:val="TableText"/>
              <w:rPr>
                <w:rFonts w:cs="Tahoma"/>
              </w:rPr>
            </w:pPr>
            <w:r w:rsidRPr="00787E7A">
              <w:rPr>
                <w:rFonts w:cs="Tahoma"/>
              </w:rPr>
              <w:t xml:space="preserve"> 125.75 </w:t>
            </w:r>
          </w:p>
        </w:tc>
        <w:tc>
          <w:tcPr>
            <w:tcW w:w="616" w:type="pct"/>
            <w:vAlign w:val="center"/>
          </w:tcPr>
          <w:p w14:paraId="1B439CDE" w14:textId="77777777" w:rsidR="00046BD5" w:rsidRPr="00787E7A" w:rsidRDefault="00046BD5" w:rsidP="00ED094E">
            <w:pPr>
              <w:pStyle w:val="TableText"/>
              <w:rPr>
                <w:rFonts w:eastAsia="Verdana"/>
              </w:rPr>
            </w:pPr>
            <w:r w:rsidRPr="00787E7A">
              <w:rPr>
                <w:rFonts w:cs="Tahoma"/>
              </w:rPr>
              <w:t xml:space="preserve"> 125.75 </w:t>
            </w:r>
          </w:p>
        </w:tc>
        <w:tc>
          <w:tcPr>
            <w:tcW w:w="616" w:type="pct"/>
            <w:vAlign w:val="center"/>
          </w:tcPr>
          <w:p w14:paraId="0BE5A195" w14:textId="77777777" w:rsidR="00046BD5" w:rsidRPr="00787E7A" w:rsidRDefault="00046BD5" w:rsidP="00ED094E">
            <w:pPr>
              <w:pStyle w:val="TableText"/>
              <w:rPr>
                <w:rFonts w:eastAsia="Verdana"/>
              </w:rPr>
            </w:pPr>
            <w:r w:rsidRPr="00787E7A">
              <w:rPr>
                <w:rFonts w:cs="Tahoma"/>
              </w:rPr>
              <w:t xml:space="preserve"> 125.95 </w:t>
            </w:r>
          </w:p>
        </w:tc>
        <w:tc>
          <w:tcPr>
            <w:tcW w:w="616" w:type="pct"/>
            <w:vAlign w:val="center"/>
          </w:tcPr>
          <w:p w14:paraId="037475B3" w14:textId="77777777" w:rsidR="00046BD5" w:rsidRPr="00787E7A" w:rsidRDefault="00046BD5" w:rsidP="00ED094E">
            <w:pPr>
              <w:pStyle w:val="TableText"/>
              <w:rPr>
                <w:rFonts w:eastAsia="Verdana"/>
              </w:rPr>
            </w:pPr>
            <w:r w:rsidRPr="00787E7A">
              <w:rPr>
                <w:rFonts w:cs="Tahoma"/>
              </w:rPr>
              <w:t xml:space="preserve"> 126.15 </w:t>
            </w:r>
          </w:p>
        </w:tc>
        <w:tc>
          <w:tcPr>
            <w:tcW w:w="616" w:type="pct"/>
            <w:vAlign w:val="center"/>
          </w:tcPr>
          <w:p w14:paraId="25D3F9B8" w14:textId="77777777" w:rsidR="00046BD5" w:rsidRPr="00787E7A" w:rsidRDefault="00046BD5" w:rsidP="00ED094E">
            <w:pPr>
              <w:pStyle w:val="TableText"/>
              <w:rPr>
                <w:rFonts w:eastAsia="Verdana"/>
              </w:rPr>
            </w:pPr>
            <w:r w:rsidRPr="00787E7A">
              <w:rPr>
                <w:rFonts w:cs="Tahoma"/>
              </w:rPr>
              <w:t xml:space="preserve"> 126.36 </w:t>
            </w:r>
          </w:p>
        </w:tc>
        <w:tc>
          <w:tcPr>
            <w:tcW w:w="617" w:type="pct"/>
            <w:vAlign w:val="center"/>
          </w:tcPr>
          <w:p w14:paraId="501FC955" w14:textId="77777777" w:rsidR="00046BD5" w:rsidRPr="00787E7A" w:rsidRDefault="00046BD5" w:rsidP="00ED094E">
            <w:pPr>
              <w:pStyle w:val="TableText"/>
              <w:rPr>
                <w:rFonts w:eastAsia="Verdana"/>
              </w:rPr>
            </w:pPr>
            <w:r w:rsidRPr="00787E7A">
              <w:rPr>
                <w:rFonts w:cs="Tahoma"/>
              </w:rPr>
              <w:t xml:space="preserve"> 126.56 </w:t>
            </w:r>
          </w:p>
        </w:tc>
      </w:tr>
      <w:tr w:rsidR="00046BD5" w:rsidRPr="00787E7A" w14:paraId="56788A1E" w14:textId="77777777">
        <w:trPr>
          <w:cantSplit/>
        </w:trPr>
        <w:tc>
          <w:tcPr>
            <w:tcW w:w="5000" w:type="pct"/>
            <w:gridSpan w:val="7"/>
          </w:tcPr>
          <w:p w14:paraId="15A783D0" w14:textId="77777777" w:rsidR="00046BD5" w:rsidRPr="00787E7A" w:rsidRDefault="00046BD5">
            <w:pPr>
              <w:pStyle w:val="TableText"/>
              <w:rPr>
                <w:rFonts w:eastAsia="Verdana"/>
                <w:b/>
              </w:rPr>
            </w:pPr>
            <w:r w:rsidRPr="00787E7A">
              <w:rPr>
                <w:rFonts w:eastAsia="Verdana"/>
                <w:b/>
              </w:rPr>
              <w:t>Waterway diversion charges – regulated waterways</w:t>
            </w:r>
          </w:p>
        </w:tc>
      </w:tr>
      <w:tr w:rsidR="00A043F7" w:rsidRPr="00787E7A" w14:paraId="51A7F9B1" w14:textId="77777777" w:rsidTr="00FF50EF">
        <w:trPr>
          <w:cnfStyle w:val="000000010000" w:firstRow="0" w:lastRow="0" w:firstColumn="0" w:lastColumn="0" w:oddVBand="0" w:evenVBand="0" w:oddHBand="0" w:evenHBand="1" w:firstRowFirstColumn="0" w:firstRowLastColumn="0" w:lastRowFirstColumn="0" w:lastRowLastColumn="0"/>
          <w:cantSplit/>
        </w:trPr>
        <w:tc>
          <w:tcPr>
            <w:tcW w:w="1303" w:type="pct"/>
          </w:tcPr>
          <w:p w14:paraId="69578CA5" w14:textId="77777777" w:rsidR="00046BD5" w:rsidRPr="00787E7A" w:rsidRDefault="00046BD5" w:rsidP="00ED094E">
            <w:pPr>
              <w:pStyle w:val="TableText"/>
              <w:rPr>
                <w:rFonts w:eastAsia="Verdana"/>
              </w:rPr>
            </w:pPr>
            <w:r w:rsidRPr="00787E7A">
              <w:rPr>
                <w:rFonts w:eastAsia="Aptos Display" w:cs="Aptos Display"/>
              </w:rPr>
              <w:t>Licence service fee – All licences</w:t>
            </w:r>
            <w:r w:rsidRPr="00787E7A">
              <w:br/>
            </w:r>
            <w:r w:rsidRPr="00787E7A">
              <w:rPr>
                <w:rFonts w:eastAsia="Aptos Display" w:cs="Aptos Display"/>
              </w:rPr>
              <w:t xml:space="preserve"> ($ per annum)</w:t>
            </w:r>
          </w:p>
        </w:tc>
        <w:tc>
          <w:tcPr>
            <w:tcW w:w="616" w:type="pct"/>
            <w:vAlign w:val="center"/>
          </w:tcPr>
          <w:p w14:paraId="3844E718" w14:textId="2173F056" w:rsidR="00FF50EF" w:rsidRPr="00787E7A" w:rsidRDefault="00FF50EF" w:rsidP="00FF50EF">
            <w:pPr>
              <w:pStyle w:val="TableText"/>
              <w:rPr>
                <w:rFonts w:cs="Tahoma"/>
              </w:rPr>
            </w:pPr>
            <w:r w:rsidRPr="00787E7A">
              <w:rPr>
                <w:rFonts w:cs="Tahoma"/>
              </w:rPr>
              <w:t>329.39</w:t>
            </w:r>
          </w:p>
        </w:tc>
        <w:tc>
          <w:tcPr>
            <w:tcW w:w="616" w:type="pct"/>
            <w:vAlign w:val="center"/>
          </w:tcPr>
          <w:p w14:paraId="5EBB776C" w14:textId="77777777" w:rsidR="00046BD5" w:rsidRPr="00787E7A" w:rsidRDefault="00046BD5" w:rsidP="00ED094E">
            <w:pPr>
              <w:pStyle w:val="TableText"/>
              <w:rPr>
                <w:rFonts w:eastAsia="Verdana"/>
              </w:rPr>
            </w:pPr>
            <w:r w:rsidRPr="00787E7A">
              <w:rPr>
                <w:rFonts w:cs="Tahoma"/>
              </w:rPr>
              <w:t xml:space="preserve"> 329.39 </w:t>
            </w:r>
          </w:p>
        </w:tc>
        <w:tc>
          <w:tcPr>
            <w:tcW w:w="616" w:type="pct"/>
            <w:vAlign w:val="center"/>
          </w:tcPr>
          <w:p w14:paraId="58E15023" w14:textId="77777777" w:rsidR="00046BD5" w:rsidRPr="00787E7A" w:rsidRDefault="00046BD5" w:rsidP="00ED094E">
            <w:pPr>
              <w:pStyle w:val="TableText"/>
              <w:rPr>
                <w:rFonts w:eastAsia="Verdana"/>
              </w:rPr>
            </w:pPr>
            <w:r w:rsidRPr="00787E7A">
              <w:rPr>
                <w:rFonts w:cs="Tahoma"/>
              </w:rPr>
              <w:t xml:space="preserve"> 329.92 </w:t>
            </w:r>
          </w:p>
        </w:tc>
        <w:tc>
          <w:tcPr>
            <w:tcW w:w="616" w:type="pct"/>
            <w:vAlign w:val="center"/>
          </w:tcPr>
          <w:p w14:paraId="56CC29C0" w14:textId="77777777" w:rsidR="00046BD5" w:rsidRPr="00787E7A" w:rsidRDefault="00046BD5" w:rsidP="00ED094E">
            <w:pPr>
              <w:pStyle w:val="TableText"/>
              <w:rPr>
                <w:rFonts w:eastAsia="Verdana"/>
              </w:rPr>
            </w:pPr>
            <w:r w:rsidRPr="00787E7A">
              <w:rPr>
                <w:rFonts w:cs="Tahoma"/>
              </w:rPr>
              <w:t xml:space="preserve"> 330.45 </w:t>
            </w:r>
          </w:p>
        </w:tc>
        <w:tc>
          <w:tcPr>
            <w:tcW w:w="616" w:type="pct"/>
            <w:vAlign w:val="center"/>
          </w:tcPr>
          <w:p w14:paraId="716A9F30" w14:textId="77777777" w:rsidR="00046BD5" w:rsidRPr="00787E7A" w:rsidRDefault="00046BD5" w:rsidP="00ED094E">
            <w:pPr>
              <w:pStyle w:val="TableText"/>
              <w:rPr>
                <w:rFonts w:eastAsia="Verdana"/>
              </w:rPr>
            </w:pPr>
            <w:r w:rsidRPr="00787E7A">
              <w:rPr>
                <w:rFonts w:cs="Tahoma"/>
              </w:rPr>
              <w:t xml:space="preserve"> 330.98 </w:t>
            </w:r>
          </w:p>
        </w:tc>
        <w:tc>
          <w:tcPr>
            <w:tcW w:w="617" w:type="pct"/>
            <w:vAlign w:val="center"/>
          </w:tcPr>
          <w:p w14:paraId="2269D89E" w14:textId="77777777" w:rsidR="00046BD5" w:rsidRPr="00787E7A" w:rsidRDefault="00046BD5" w:rsidP="00ED094E">
            <w:pPr>
              <w:pStyle w:val="TableText"/>
              <w:rPr>
                <w:rFonts w:eastAsia="Verdana"/>
              </w:rPr>
            </w:pPr>
            <w:r w:rsidRPr="00787E7A">
              <w:rPr>
                <w:rFonts w:cs="Tahoma"/>
              </w:rPr>
              <w:t xml:space="preserve"> 331.51 </w:t>
            </w:r>
          </w:p>
        </w:tc>
      </w:tr>
      <w:tr w:rsidR="00046BD5" w:rsidRPr="00787E7A" w14:paraId="03BA5DFF" w14:textId="77777777" w:rsidTr="008C2689">
        <w:trPr>
          <w:cantSplit/>
        </w:trPr>
        <w:tc>
          <w:tcPr>
            <w:tcW w:w="1303" w:type="pct"/>
          </w:tcPr>
          <w:p w14:paraId="3422E267" w14:textId="77777777" w:rsidR="00046BD5" w:rsidRPr="00787E7A" w:rsidRDefault="00046BD5">
            <w:pPr>
              <w:pStyle w:val="TableText"/>
              <w:rPr>
                <w:rFonts w:eastAsia="Verdana"/>
              </w:rPr>
            </w:pPr>
            <w:r w:rsidRPr="00787E7A">
              <w:rPr>
                <w:rFonts w:eastAsia="Aptos Display" w:cs="Aptos Display"/>
              </w:rPr>
              <w:t>Volume charges ($ per ML):</w:t>
            </w:r>
          </w:p>
        </w:tc>
        <w:tc>
          <w:tcPr>
            <w:tcW w:w="616" w:type="pct"/>
          </w:tcPr>
          <w:p w14:paraId="4CE41E15" w14:textId="77777777" w:rsidR="00FF50EF" w:rsidRPr="00787E7A" w:rsidRDefault="00FF50EF" w:rsidP="00FF50EF">
            <w:pPr>
              <w:pStyle w:val="TableText"/>
              <w:rPr>
                <w:rFonts w:eastAsia="Aptos Display" w:cs="Aptos Display"/>
              </w:rPr>
            </w:pPr>
          </w:p>
        </w:tc>
        <w:tc>
          <w:tcPr>
            <w:tcW w:w="616" w:type="pct"/>
            <w:vAlign w:val="center"/>
          </w:tcPr>
          <w:p w14:paraId="395460DC" w14:textId="77777777" w:rsidR="00046BD5" w:rsidRPr="00787E7A" w:rsidRDefault="00046BD5">
            <w:pPr>
              <w:pStyle w:val="TableText"/>
              <w:rPr>
                <w:rFonts w:eastAsia="Verdana"/>
              </w:rPr>
            </w:pPr>
            <w:r w:rsidRPr="00787E7A">
              <w:rPr>
                <w:rFonts w:eastAsia="Aptos Display" w:cs="Aptos Display"/>
              </w:rPr>
              <w:t xml:space="preserve"> </w:t>
            </w:r>
          </w:p>
        </w:tc>
        <w:tc>
          <w:tcPr>
            <w:tcW w:w="616" w:type="pct"/>
            <w:vAlign w:val="center"/>
          </w:tcPr>
          <w:p w14:paraId="7514B0C9" w14:textId="77777777" w:rsidR="00046BD5" w:rsidRPr="00787E7A" w:rsidRDefault="00046BD5">
            <w:pPr>
              <w:pStyle w:val="TableText"/>
              <w:rPr>
                <w:rFonts w:eastAsia="Verdana"/>
              </w:rPr>
            </w:pPr>
          </w:p>
        </w:tc>
        <w:tc>
          <w:tcPr>
            <w:tcW w:w="616" w:type="pct"/>
            <w:vAlign w:val="center"/>
          </w:tcPr>
          <w:p w14:paraId="35CEF932" w14:textId="77777777" w:rsidR="00046BD5" w:rsidRPr="00787E7A" w:rsidRDefault="00046BD5">
            <w:pPr>
              <w:pStyle w:val="TableText"/>
              <w:rPr>
                <w:rFonts w:eastAsia="Verdana"/>
              </w:rPr>
            </w:pPr>
          </w:p>
        </w:tc>
        <w:tc>
          <w:tcPr>
            <w:tcW w:w="616" w:type="pct"/>
            <w:vAlign w:val="center"/>
          </w:tcPr>
          <w:p w14:paraId="603AB579" w14:textId="77777777" w:rsidR="00046BD5" w:rsidRPr="00787E7A" w:rsidRDefault="00046BD5">
            <w:pPr>
              <w:pStyle w:val="TableText"/>
              <w:rPr>
                <w:rFonts w:eastAsia="Verdana"/>
              </w:rPr>
            </w:pPr>
          </w:p>
        </w:tc>
        <w:tc>
          <w:tcPr>
            <w:tcW w:w="617" w:type="pct"/>
            <w:vAlign w:val="center"/>
          </w:tcPr>
          <w:p w14:paraId="4750D9A5" w14:textId="77777777" w:rsidR="00046BD5" w:rsidRPr="00787E7A" w:rsidRDefault="00046BD5">
            <w:pPr>
              <w:pStyle w:val="TableText"/>
              <w:rPr>
                <w:rFonts w:eastAsia="Verdana"/>
              </w:rPr>
            </w:pPr>
          </w:p>
        </w:tc>
      </w:tr>
      <w:tr w:rsidR="00A043F7" w:rsidRPr="00787E7A" w14:paraId="5005A2ED" w14:textId="77777777" w:rsidTr="004A63B1">
        <w:trPr>
          <w:cnfStyle w:val="000000010000" w:firstRow="0" w:lastRow="0" w:firstColumn="0" w:lastColumn="0" w:oddVBand="0" w:evenVBand="0" w:oddHBand="0" w:evenHBand="1" w:firstRowFirstColumn="0" w:firstRowLastColumn="0" w:lastRowFirstColumn="0" w:lastRowLastColumn="0"/>
          <w:cantSplit/>
        </w:trPr>
        <w:tc>
          <w:tcPr>
            <w:tcW w:w="1303" w:type="pct"/>
          </w:tcPr>
          <w:p w14:paraId="1FB4A4F4" w14:textId="77777777" w:rsidR="00046BD5" w:rsidRPr="00787E7A" w:rsidRDefault="00046BD5" w:rsidP="00ED094E">
            <w:pPr>
              <w:pStyle w:val="TableText"/>
              <w:rPr>
                <w:rFonts w:eastAsia="Verdana"/>
              </w:rPr>
            </w:pPr>
            <w:r w:rsidRPr="00787E7A">
              <w:rPr>
                <w:rFonts w:eastAsia="Aptos Display" w:cs="Aptos Display"/>
              </w:rPr>
              <w:t>- All months licence</w:t>
            </w:r>
          </w:p>
        </w:tc>
        <w:tc>
          <w:tcPr>
            <w:tcW w:w="616" w:type="pct"/>
            <w:vAlign w:val="center"/>
          </w:tcPr>
          <w:p w14:paraId="566645BF" w14:textId="1D830A7C" w:rsidR="00FF50EF" w:rsidRPr="00787E7A" w:rsidRDefault="00FF50EF" w:rsidP="00FF50EF">
            <w:pPr>
              <w:pStyle w:val="TableText"/>
              <w:rPr>
                <w:rFonts w:cs="Tahoma"/>
              </w:rPr>
            </w:pPr>
            <w:r w:rsidRPr="00787E7A">
              <w:rPr>
                <w:rFonts w:cs="Tahoma"/>
              </w:rPr>
              <w:t xml:space="preserve"> 90.45 </w:t>
            </w:r>
          </w:p>
        </w:tc>
        <w:tc>
          <w:tcPr>
            <w:tcW w:w="616" w:type="pct"/>
            <w:vAlign w:val="center"/>
          </w:tcPr>
          <w:p w14:paraId="7028E9A6" w14:textId="77777777" w:rsidR="00046BD5" w:rsidRPr="00787E7A" w:rsidRDefault="00046BD5" w:rsidP="00ED094E">
            <w:pPr>
              <w:pStyle w:val="TableText"/>
              <w:rPr>
                <w:rFonts w:eastAsia="Verdana"/>
              </w:rPr>
            </w:pPr>
            <w:r w:rsidRPr="00787E7A">
              <w:rPr>
                <w:rFonts w:cs="Tahoma"/>
              </w:rPr>
              <w:t xml:space="preserve"> 90.45 </w:t>
            </w:r>
          </w:p>
        </w:tc>
        <w:tc>
          <w:tcPr>
            <w:tcW w:w="616" w:type="pct"/>
            <w:vAlign w:val="center"/>
          </w:tcPr>
          <w:p w14:paraId="6C986A4E" w14:textId="77777777" w:rsidR="00046BD5" w:rsidRPr="00787E7A" w:rsidRDefault="00046BD5" w:rsidP="00ED094E">
            <w:pPr>
              <w:pStyle w:val="TableText"/>
              <w:rPr>
                <w:rFonts w:eastAsia="Verdana"/>
              </w:rPr>
            </w:pPr>
            <w:r w:rsidRPr="00787E7A">
              <w:rPr>
                <w:rFonts w:cs="Tahoma"/>
              </w:rPr>
              <w:t xml:space="preserve"> 90.60 </w:t>
            </w:r>
          </w:p>
        </w:tc>
        <w:tc>
          <w:tcPr>
            <w:tcW w:w="616" w:type="pct"/>
            <w:vAlign w:val="center"/>
          </w:tcPr>
          <w:p w14:paraId="2E332CD8" w14:textId="77777777" w:rsidR="00046BD5" w:rsidRPr="00787E7A" w:rsidRDefault="00046BD5" w:rsidP="00ED094E">
            <w:pPr>
              <w:pStyle w:val="TableText"/>
              <w:rPr>
                <w:rFonts w:eastAsia="Verdana"/>
              </w:rPr>
            </w:pPr>
            <w:r w:rsidRPr="00787E7A">
              <w:rPr>
                <w:rFonts w:cs="Tahoma"/>
              </w:rPr>
              <w:t xml:space="preserve"> 90.74 </w:t>
            </w:r>
          </w:p>
        </w:tc>
        <w:tc>
          <w:tcPr>
            <w:tcW w:w="616" w:type="pct"/>
            <w:vAlign w:val="center"/>
          </w:tcPr>
          <w:p w14:paraId="7C4C33B4" w14:textId="77777777" w:rsidR="00046BD5" w:rsidRPr="00787E7A" w:rsidRDefault="00046BD5" w:rsidP="00ED094E">
            <w:pPr>
              <w:pStyle w:val="TableText"/>
              <w:rPr>
                <w:rFonts w:eastAsia="Verdana"/>
              </w:rPr>
            </w:pPr>
            <w:r w:rsidRPr="00787E7A">
              <w:rPr>
                <w:rFonts w:cs="Tahoma"/>
              </w:rPr>
              <w:t xml:space="preserve"> 90.89 </w:t>
            </w:r>
          </w:p>
        </w:tc>
        <w:tc>
          <w:tcPr>
            <w:tcW w:w="617" w:type="pct"/>
            <w:vAlign w:val="center"/>
          </w:tcPr>
          <w:p w14:paraId="12688D69" w14:textId="77777777" w:rsidR="00046BD5" w:rsidRPr="00787E7A" w:rsidRDefault="00046BD5" w:rsidP="00ED094E">
            <w:pPr>
              <w:pStyle w:val="TableText"/>
              <w:rPr>
                <w:rFonts w:eastAsia="Verdana"/>
              </w:rPr>
            </w:pPr>
            <w:r w:rsidRPr="00787E7A">
              <w:rPr>
                <w:rFonts w:cs="Tahoma"/>
              </w:rPr>
              <w:t xml:space="preserve"> 91.03 </w:t>
            </w:r>
          </w:p>
        </w:tc>
      </w:tr>
      <w:tr w:rsidR="00046BD5" w:rsidRPr="00787E7A" w14:paraId="2208F9CF" w14:textId="77777777" w:rsidTr="00FF50EF">
        <w:trPr>
          <w:cantSplit/>
        </w:trPr>
        <w:tc>
          <w:tcPr>
            <w:tcW w:w="1303" w:type="pct"/>
          </w:tcPr>
          <w:p w14:paraId="03483744" w14:textId="77777777" w:rsidR="00046BD5" w:rsidRPr="00787E7A" w:rsidRDefault="00046BD5" w:rsidP="00ED094E">
            <w:pPr>
              <w:pStyle w:val="TableText"/>
              <w:rPr>
                <w:rFonts w:eastAsia="Verdana"/>
              </w:rPr>
            </w:pPr>
            <w:r w:rsidRPr="00787E7A">
              <w:rPr>
                <w:rFonts w:eastAsia="Aptos Display" w:cs="Aptos Display"/>
              </w:rPr>
              <w:t>- Off-stream winter fill</w:t>
            </w:r>
          </w:p>
        </w:tc>
        <w:tc>
          <w:tcPr>
            <w:tcW w:w="616" w:type="pct"/>
            <w:vAlign w:val="center"/>
          </w:tcPr>
          <w:p w14:paraId="600A703A" w14:textId="175C617A" w:rsidR="00FF50EF" w:rsidRPr="00787E7A" w:rsidRDefault="00FF50EF" w:rsidP="00FF50EF">
            <w:pPr>
              <w:pStyle w:val="TableText"/>
              <w:rPr>
                <w:rFonts w:cs="Tahoma"/>
              </w:rPr>
            </w:pPr>
            <w:r w:rsidRPr="00787E7A">
              <w:rPr>
                <w:rFonts w:cs="Tahoma"/>
              </w:rPr>
              <w:t xml:space="preserve"> 21.75 </w:t>
            </w:r>
          </w:p>
        </w:tc>
        <w:tc>
          <w:tcPr>
            <w:tcW w:w="616" w:type="pct"/>
            <w:vAlign w:val="center"/>
          </w:tcPr>
          <w:p w14:paraId="047CE507" w14:textId="77777777" w:rsidR="00046BD5" w:rsidRPr="00787E7A" w:rsidRDefault="00046BD5" w:rsidP="00ED094E">
            <w:pPr>
              <w:pStyle w:val="TableText"/>
              <w:rPr>
                <w:rFonts w:eastAsia="Verdana"/>
              </w:rPr>
            </w:pPr>
            <w:r w:rsidRPr="00787E7A">
              <w:rPr>
                <w:rFonts w:cs="Tahoma"/>
              </w:rPr>
              <w:t xml:space="preserve"> 21.75 </w:t>
            </w:r>
          </w:p>
        </w:tc>
        <w:tc>
          <w:tcPr>
            <w:tcW w:w="616" w:type="pct"/>
            <w:vAlign w:val="center"/>
          </w:tcPr>
          <w:p w14:paraId="466AEF4C" w14:textId="77777777" w:rsidR="00046BD5" w:rsidRPr="00787E7A" w:rsidRDefault="00046BD5" w:rsidP="00ED094E">
            <w:pPr>
              <w:pStyle w:val="TableText"/>
              <w:rPr>
                <w:rFonts w:eastAsia="Verdana"/>
              </w:rPr>
            </w:pPr>
            <w:r w:rsidRPr="00787E7A">
              <w:rPr>
                <w:rFonts w:cs="Tahoma"/>
              </w:rPr>
              <w:t xml:space="preserve"> 21.78 </w:t>
            </w:r>
          </w:p>
        </w:tc>
        <w:tc>
          <w:tcPr>
            <w:tcW w:w="616" w:type="pct"/>
            <w:vAlign w:val="center"/>
          </w:tcPr>
          <w:p w14:paraId="0F6B1876" w14:textId="77777777" w:rsidR="00046BD5" w:rsidRPr="00787E7A" w:rsidRDefault="00046BD5" w:rsidP="00ED094E">
            <w:pPr>
              <w:pStyle w:val="TableText"/>
              <w:rPr>
                <w:rFonts w:eastAsia="Verdana"/>
              </w:rPr>
            </w:pPr>
            <w:r w:rsidRPr="00787E7A">
              <w:rPr>
                <w:rFonts w:cs="Tahoma"/>
              </w:rPr>
              <w:t xml:space="preserve"> 21.82 </w:t>
            </w:r>
          </w:p>
        </w:tc>
        <w:tc>
          <w:tcPr>
            <w:tcW w:w="616" w:type="pct"/>
            <w:vAlign w:val="center"/>
          </w:tcPr>
          <w:p w14:paraId="1A96139A" w14:textId="77777777" w:rsidR="00046BD5" w:rsidRPr="00787E7A" w:rsidRDefault="00046BD5" w:rsidP="00ED094E">
            <w:pPr>
              <w:pStyle w:val="TableText"/>
              <w:rPr>
                <w:rFonts w:eastAsia="Verdana"/>
              </w:rPr>
            </w:pPr>
            <w:r w:rsidRPr="00787E7A">
              <w:rPr>
                <w:rFonts w:cs="Tahoma"/>
              </w:rPr>
              <w:t xml:space="preserve"> 21.85 </w:t>
            </w:r>
          </w:p>
        </w:tc>
        <w:tc>
          <w:tcPr>
            <w:tcW w:w="617" w:type="pct"/>
            <w:vAlign w:val="center"/>
          </w:tcPr>
          <w:p w14:paraId="0A7ABF49" w14:textId="77777777" w:rsidR="00046BD5" w:rsidRPr="00787E7A" w:rsidRDefault="00046BD5" w:rsidP="00ED094E">
            <w:pPr>
              <w:pStyle w:val="TableText"/>
              <w:rPr>
                <w:rFonts w:eastAsia="Verdana"/>
              </w:rPr>
            </w:pPr>
            <w:r w:rsidRPr="00787E7A">
              <w:rPr>
                <w:rFonts w:cs="Tahoma"/>
              </w:rPr>
              <w:t xml:space="preserve"> 21.89 </w:t>
            </w:r>
          </w:p>
        </w:tc>
      </w:tr>
      <w:tr w:rsidR="00A043F7" w:rsidRPr="00787E7A" w14:paraId="1BED8156" w14:textId="77777777" w:rsidTr="008C2689">
        <w:trPr>
          <w:cnfStyle w:val="000000010000" w:firstRow="0" w:lastRow="0" w:firstColumn="0" w:lastColumn="0" w:oddVBand="0" w:evenVBand="0" w:oddHBand="0" w:evenHBand="1" w:firstRowFirstColumn="0" w:firstRowLastColumn="0" w:lastRowFirstColumn="0" w:lastRowLastColumn="0"/>
          <w:cantSplit/>
        </w:trPr>
        <w:tc>
          <w:tcPr>
            <w:tcW w:w="5000" w:type="pct"/>
            <w:gridSpan w:val="7"/>
          </w:tcPr>
          <w:p w14:paraId="4D644D12" w14:textId="77777777" w:rsidR="00046BD5" w:rsidRPr="00787E7A" w:rsidRDefault="00046BD5">
            <w:pPr>
              <w:pStyle w:val="TableText"/>
              <w:rPr>
                <w:rFonts w:eastAsia="Verdana"/>
              </w:rPr>
            </w:pPr>
            <w:r w:rsidRPr="00787E7A">
              <w:rPr>
                <w:rFonts w:eastAsia="Verdana"/>
                <w:b/>
              </w:rPr>
              <w:t>Stormwater harvesting</w:t>
            </w:r>
          </w:p>
        </w:tc>
      </w:tr>
      <w:tr w:rsidR="00046BD5" w:rsidRPr="00787E7A" w14:paraId="4D62828A" w14:textId="77777777" w:rsidTr="00FF50EF">
        <w:trPr>
          <w:cantSplit/>
          <w:trHeight w:val="287"/>
        </w:trPr>
        <w:tc>
          <w:tcPr>
            <w:tcW w:w="1303" w:type="pct"/>
          </w:tcPr>
          <w:p w14:paraId="018772E6" w14:textId="77777777" w:rsidR="00046BD5" w:rsidRPr="00787E7A" w:rsidRDefault="00046BD5" w:rsidP="00ED094E">
            <w:pPr>
              <w:pStyle w:val="TableText"/>
              <w:rPr>
                <w:rFonts w:eastAsia="Verdana"/>
              </w:rPr>
            </w:pPr>
            <w:r w:rsidRPr="00787E7A">
              <w:rPr>
                <w:rFonts w:eastAsia="Aptos Display" w:cs="Aptos Display"/>
              </w:rPr>
              <w:t xml:space="preserve">Licence service fee </w:t>
            </w:r>
          </w:p>
        </w:tc>
        <w:tc>
          <w:tcPr>
            <w:tcW w:w="616" w:type="pct"/>
            <w:vAlign w:val="center"/>
          </w:tcPr>
          <w:p w14:paraId="4AA58222" w14:textId="3E3FA0E0" w:rsidR="00FF50EF" w:rsidRPr="00787E7A" w:rsidRDefault="00FF50EF" w:rsidP="00FF50EF">
            <w:pPr>
              <w:pStyle w:val="TableText"/>
              <w:rPr>
                <w:rFonts w:cs="Tahoma"/>
              </w:rPr>
            </w:pPr>
            <w:r w:rsidRPr="00787E7A">
              <w:rPr>
                <w:rFonts w:cs="Tahoma"/>
              </w:rPr>
              <w:t>329.39</w:t>
            </w:r>
          </w:p>
        </w:tc>
        <w:tc>
          <w:tcPr>
            <w:tcW w:w="616" w:type="pct"/>
            <w:vAlign w:val="center"/>
          </w:tcPr>
          <w:p w14:paraId="444F8CF0" w14:textId="77777777" w:rsidR="00046BD5" w:rsidRPr="00787E7A" w:rsidRDefault="00046BD5" w:rsidP="00ED094E">
            <w:pPr>
              <w:pStyle w:val="TableText"/>
              <w:rPr>
                <w:rFonts w:eastAsia="Verdana"/>
                <w:szCs w:val="16"/>
              </w:rPr>
            </w:pPr>
            <w:r w:rsidRPr="00787E7A">
              <w:rPr>
                <w:rFonts w:cs="Tahoma"/>
              </w:rPr>
              <w:t>329.39</w:t>
            </w:r>
          </w:p>
        </w:tc>
        <w:tc>
          <w:tcPr>
            <w:tcW w:w="616" w:type="pct"/>
            <w:vAlign w:val="center"/>
          </w:tcPr>
          <w:p w14:paraId="3ADEB38C" w14:textId="77777777" w:rsidR="00046BD5" w:rsidRPr="00787E7A" w:rsidRDefault="00046BD5" w:rsidP="00ED094E">
            <w:pPr>
              <w:pStyle w:val="TableText"/>
              <w:rPr>
                <w:rFonts w:eastAsia="Verdana"/>
                <w:szCs w:val="16"/>
              </w:rPr>
            </w:pPr>
            <w:r w:rsidRPr="00787E7A">
              <w:rPr>
                <w:rFonts w:cs="Tahoma"/>
              </w:rPr>
              <w:t>329.92</w:t>
            </w:r>
          </w:p>
        </w:tc>
        <w:tc>
          <w:tcPr>
            <w:tcW w:w="616" w:type="pct"/>
            <w:vAlign w:val="center"/>
          </w:tcPr>
          <w:p w14:paraId="0C9AD76E" w14:textId="77777777" w:rsidR="00046BD5" w:rsidRPr="00787E7A" w:rsidRDefault="00046BD5" w:rsidP="00ED094E">
            <w:pPr>
              <w:pStyle w:val="TableText"/>
              <w:rPr>
                <w:rFonts w:eastAsia="Verdana"/>
                <w:szCs w:val="16"/>
              </w:rPr>
            </w:pPr>
            <w:r w:rsidRPr="00787E7A">
              <w:rPr>
                <w:rFonts w:cs="Tahoma"/>
              </w:rPr>
              <w:t>330.45</w:t>
            </w:r>
          </w:p>
        </w:tc>
        <w:tc>
          <w:tcPr>
            <w:tcW w:w="616" w:type="pct"/>
            <w:vAlign w:val="center"/>
          </w:tcPr>
          <w:p w14:paraId="2B475B13" w14:textId="77777777" w:rsidR="00046BD5" w:rsidRPr="00787E7A" w:rsidRDefault="00046BD5" w:rsidP="00ED094E">
            <w:pPr>
              <w:pStyle w:val="TableText"/>
              <w:rPr>
                <w:rFonts w:eastAsia="Verdana"/>
                <w:szCs w:val="16"/>
              </w:rPr>
            </w:pPr>
            <w:r w:rsidRPr="00787E7A">
              <w:rPr>
                <w:rFonts w:cs="Tahoma"/>
              </w:rPr>
              <w:t>330.98</w:t>
            </w:r>
          </w:p>
        </w:tc>
        <w:tc>
          <w:tcPr>
            <w:tcW w:w="617" w:type="pct"/>
            <w:vAlign w:val="center"/>
          </w:tcPr>
          <w:p w14:paraId="6B7D9FA6" w14:textId="77777777" w:rsidR="00046BD5" w:rsidRPr="00787E7A" w:rsidRDefault="00046BD5" w:rsidP="00ED094E">
            <w:pPr>
              <w:pStyle w:val="TableText"/>
              <w:rPr>
                <w:rFonts w:eastAsia="Verdana"/>
                <w:szCs w:val="16"/>
              </w:rPr>
            </w:pPr>
            <w:r w:rsidRPr="00787E7A">
              <w:rPr>
                <w:rFonts w:cs="Tahoma"/>
              </w:rPr>
              <w:t>331.51</w:t>
            </w:r>
          </w:p>
        </w:tc>
      </w:tr>
      <w:tr w:rsidR="00A043F7" w:rsidRPr="00787E7A" w14:paraId="2EA31EEE" w14:textId="77777777" w:rsidTr="00FF50EF">
        <w:trPr>
          <w:cnfStyle w:val="000000010000" w:firstRow="0" w:lastRow="0" w:firstColumn="0" w:lastColumn="0" w:oddVBand="0" w:evenVBand="0" w:oddHBand="0" w:evenHBand="1" w:firstRowFirstColumn="0" w:firstRowLastColumn="0" w:lastRowFirstColumn="0" w:lastRowLastColumn="0"/>
          <w:cantSplit/>
        </w:trPr>
        <w:tc>
          <w:tcPr>
            <w:tcW w:w="1303" w:type="pct"/>
          </w:tcPr>
          <w:p w14:paraId="5736BCE0" w14:textId="77777777" w:rsidR="00046BD5" w:rsidRPr="00787E7A" w:rsidRDefault="00046BD5" w:rsidP="00ED094E">
            <w:pPr>
              <w:pStyle w:val="TableText"/>
              <w:rPr>
                <w:rFonts w:eastAsia="Verdana"/>
              </w:rPr>
            </w:pPr>
            <w:r w:rsidRPr="00787E7A">
              <w:rPr>
                <w:rFonts w:eastAsia="Aptos Display" w:cs="Aptos Display"/>
              </w:rPr>
              <w:t>Volume charge ($ per ML) – All-months licence</w:t>
            </w:r>
          </w:p>
        </w:tc>
        <w:tc>
          <w:tcPr>
            <w:tcW w:w="616" w:type="pct"/>
            <w:vAlign w:val="center"/>
          </w:tcPr>
          <w:p w14:paraId="0EC9877E" w14:textId="5E2416ED" w:rsidR="00FF50EF" w:rsidRPr="00787E7A" w:rsidRDefault="00FF50EF" w:rsidP="00FF50EF">
            <w:pPr>
              <w:pStyle w:val="TableText"/>
              <w:rPr>
                <w:rFonts w:cs="Tahoma"/>
              </w:rPr>
            </w:pPr>
            <w:r w:rsidRPr="00787E7A">
              <w:rPr>
                <w:rFonts w:cs="Tahoma"/>
              </w:rPr>
              <w:t>43.21</w:t>
            </w:r>
          </w:p>
        </w:tc>
        <w:tc>
          <w:tcPr>
            <w:tcW w:w="616" w:type="pct"/>
            <w:vAlign w:val="center"/>
          </w:tcPr>
          <w:p w14:paraId="69F8C7EC" w14:textId="77777777" w:rsidR="00046BD5" w:rsidRPr="00787E7A" w:rsidRDefault="00046BD5" w:rsidP="00ED094E">
            <w:pPr>
              <w:pStyle w:val="TableText"/>
              <w:rPr>
                <w:rFonts w:eastAsia="Verdana"/>
                <w:szCs w:val="16"/>
              </w:rPr>
            </w:pPr>
            <w:r w:rsidRPr="00787E7A">
              <w:rPr>
                <w:rFonts w:cs="Tahoma"/>
              </w:rPr>
              <w:t>43.21</w:t>
            </w:r>
          </w:p>
        </w:tc>
        <w:tc>
          <w:tcPr>
            <w:tcW w:w="616" w:type="pct"/>
            <w:vAlign w:val="center"/>
          </w:tcPr>
          <w:p w14:paraId="081A8DD1" w14:textId="77777777" w:rsidR="00046BD5" w:rsidRPr="00787E7A" w:rsidRDefault="00046BD5" w:rsidP="00ED094E">
            <w:pPr>
              <w:pStyle w:val="TableText"/>
              <w:rPr>
                <w:rFonts w:eastAsia="Verdana"/>
                <w:szCs w:val="16"/>
              </w:rPr>
            </w:pPr>
            <w:r w:rsidRPr="00787E7A">
              <w:rPr>
                <w:rFonts w:cs="Tahoma"/>
              </w:rPr>
              <w:t>43.28</w:t>
            </w:r>
          </w:p>
        </w:tc>
        <w:tc>
          <w:tcPr>
            <w:tcW w:w="616" w:type="pct"/>
            <w:vAlign w:val="center"/>
          </w:tcPr>
          <w:p w14:paraId="7DBF3FAC" w14:textId="77777777" w:rsidR="00046BD5" w:rsidRPr="00787E7A" w:rsidRDefault="00046BD5" w:rsidP="00ED094E">
            <w:pPr>
              <w:pStyle w:val="TableText"/>
              <w:rPr>
                <w:rFonts w:eastAsia="Verdana"/>
                <w:szCs w:val="16"/>
              </w:rPr>
            </w:pPr>
            <w:r w:rsidRPr="00787E7A">
              <w:rPr>
                <w:rFonts w:cs="Tahoma"/>
              </w:rPr>
              <w:t>43.35</w:t>
            </w:r>
          </w:p>
        </w:tc>
        <w:tc>
          <w:tcPr>
            <w:tcW w:w="616" w:type="pct"/>
            <w:vAlign w:val="center"/>
          </w:tcPr>
          <w:p w14:paraId="2CFAA4E5" w14:textId="77777777" w:rsidR="00046BD5" w:rsidRPr="00787E7A" w:rsidRDefault="00046BD5" w:rsidP="00ED094E">
            <w:pPr>
              <w:pStyle w:val="TableText"/>
              <w:rPr>
                <w:rFonts w:eastAsia="Verdana"/>
                <w:szCs w:val="16"/>
              </w:rPr>
            </w:pPr>
            <w:r w:rsidRPr="00787E7A">
              <w:rPr>
                <w:rFonts w:cs="Tahoma"/>
              </w:rPr>
              <w:t>43.42</w:t>
            </w:r>
          </w:p>
        </w:tc>
        <w:tc>
          <w:tcPr>
            <w:tcW w:w="617" w:type="pct"/>
            <w:vAlign w:val="center"/>
          </w:tcPr>
          <w:p w14:paraId="26949EF7" w14:textId="77777777" w:rsidR="00046BD5" w:rsidRPr="00787E7A" w:rsidRDefault="00046BD5" w:rsidP="00ED094E">
            <w:pPr>
              <w:pStyle w:val="TableText"/>
              <w:rPr>
                <w:rFonts w:eastAsia="Verdana"/>
                <w:szCs w:val="16"/>
              </w:rPr>
            </w:pPr>
            <w:r w:rsidRPr="00787E7A">
              <w:rPr>
                <w:rFonts w:cs="Tahoma"/>
              </w:rPr>
              <w:t>43.49</w:t>
            </w:r>
          </w:p>
        </w:tc>
      </w:tr>
    </w:tbl>
    <w:p w14:paraId="42E668F4" w14:textId="77777777" w:rsidR="00046BD5" w:rsidRPr="00DE108C" w:rsidRDefault="00046BD5" w:rsidP="00ED094E">
      <w:bookmarkStart w:id="1200" w:name="_Toc196745307"/>
    </w:p>
    <w:p w14:paraId="598D105E" w14:textId="77777777" w:rsidR="00825F90" w:rsidRPr="00DE108C" w:rsidRDefault="00825F90">
      <w:pPr>
        <w:spacing w:before="0" w:after="0" w:line="320" w:lineRule="atLeast"/>
      </w:pPr>
      <w:r w:rsidRPr="00DE108C">
        <w:br w:type="page"/>
      </w:r>
    </w:p>
    <w:p w14:paraId="1C551FFA" w14:textId="101DD01A" w:rsidR="00046BD5" w:rsidRPr="00C6658B" w:rsidRDefault="00046BD5" w:rsidP="1FA85E60">
      <w:pPr>
        <w:pStyle w:val="Heading3"/>
        <w:spacing w:afterAutospacing="1" w:line="320" w:lineRule="atLeast"/>
        <w:rPr>
          <w:rFonts w:eastAsia="Verdana"/>
        </w:rPr>
      </w:pPr>
      <w:r w:rsidRPr="1FA85E60">
        <w:rPr>
          <w:rFonts w:eastAsia="Verdana"/>
        </w:rPr>
        <w:lastRenderedPageBreak/>
        <w:t>11.4.5 Miscellaneous fees</w:t>
      </w:r>
      <w:bookmarkEnd w:id="1200"/>
    </w:p>
    <w:p w14:paraId="08B86A4D" w14:textId="76375D9A" w:rsidR="00046BD5" w:rsidRPr="00DE108C" w:rsidRDefault="00046BD5" w:rsidP="00ED094E">
      <w:pPr>
        <w:rPr>
          <w:rFonts w:eastAsia="Verdana"/>
        </w:rPr>
      </w:pPr>
      <w:r w:rsidRPr="00DE108C">
        <w:rPr>
          <w:rFonts w:eastAsia="Verdana"/>
        </w:rPr>
        <w:t>Pricing for Melbourne Water’s miscellaneous services is set on a cost recovery basis</w:t>
      </w:r>
      <w:r w:rsidR="00A43D6E" w:rsidRPr="00DE108C">
        <w:rPr>
          <w:rFonts w:eastAsia="Verdana"/>
        </w:rPr>
        <w:t>, consistent with the WIRO and ESC’s Guidance Paper</w:t>
      </w:r>
      <w:r w:rsidRPr="00DE108C">
        <w:rPr>
          <w:rFonts w:eastAsia="Verdana"/>
        </w:rPr>
        <w:t>. These services include provision of:</w:t>
      </w:r>
    </w:p>
    <w:p w14:paraId="25D2D375" w14:textId="242D69B1" w:rsidR="00046BD5" w:rsidRPr="00DE108C" w:rsidRDefault="7FBDFD27" w:rsidP="7A0BEDCA">
      <w:pPr>
        <w:pStyle w:val="ListBullet"/>
        <w:spacing w:after="100" w:afterAutospacing="1" w:line="320" w:lineRule="atLeast"/>
        <w:ind w:left="630" w:hanging="450"/>
        <w:rPr>
          <w:rFonts w:eastAsia="Verdana"/>
        </w:rPr>
      </w:pPr>
      <w:r w:rsidRPr="7A0BEDCA">
        <w:rPr>
          <w:rFonts w:eastAsia="Verdana"/>
        </w:rPr>
        <w:t>p</w:t>
      </w:r>
      <w:r w:rsidR="00046BD5" w:rsidRPr="00DE108C">
        <w:rPr>
          <w:rFonts w:eastAsia="Verdana"/>
        </w:rPr>
        <w:t>roperty information statements</w:t>
      </w:r>
    </w:p>
    <w:p w14:paraId="2406EDEC" w14:textId="7D3C782C" w:rsidR="00046BD5" w:rsidRPr="00DE108C" w:rsidRDefault="047CEBA0" w:rsidP="7A0BEDCA">
      <w:pPr>
        <w:pStyle w:val="ListBullet"/>
        <w:spacing w:after="100" w:afterAutospacing="1" w:line="320" w:lineRule="atLeast"/>
        <w:ind w:left="630" w:hanging="450"/>
        <w:rPr>
          <w:rFonts w:eastAsia="Verdana"/>
        </w:rPr>
      </w:pPr>
      <w:r w:rsidRPr="7A0BEDCA">
        <w:rPr>
          <w:rFonts w:eastAsia="Verdana"/>
        </w:rPr>
        <w:t>p</w:t>
      </w:r>
      <w:r w:rsidR="00046BD5" w:rsidRPr="7A0BEDCA">
        <w:rPr>
          <w:rFonts w:eastAsia="Verdana"/>
        </w:rPr>
        <w:t>roperty</w:t>
      </w:r>
      <w:r w:rsidR="00046BD5" w:rsidRPr="00DE108C">
        <w:rPr>
          <w:rFonts w:eastAsia="Verdana"/>
        </w:rPr>
        <w:t xml:space="preserve"> flood level information</w:t>
      </w:r>
    </w:p>
    <w:p w14:paraId="38E235FA" w14:textId="13DB3E20" w:rsidR="00046BD5" w:rsidRPr="00DE108C" w:rsidRDefault="02949F0D" w:rsidP="7A0BEDCA">
      <w:pPr>
        <w:pStyle w:val="ListBullet"/>
        <w:spacing w:after="100" w:afterAutospacing="1" w:line="320" w:lineRule="atLeast"/>
        <w:ind w:left="630" w:hanging="450"/>
        <w:rPr>
          <w:rFonts w:eastAsia="Verdana"/>
        </w:rPr>
      </w:pPr>
      <w:r w:rsidRPr="7A0BEDCA">
        <w:rPr>
          <w:rFonts w:eastAsia="Verdana"/>
        </w:rPr>
        <w:t>h</w:t>
      </w:r>
      <w:r w:rsidR="00046BD5" w:rsidRPr="00DE108C">
        <w:rPr>
          <w:rFonts w:eastAsia="Verdana"/>
        </w:rPr>
        <w:t>ydrologic data</w:t>
      </w:r>
    </w:p>
    <w:p w14:paraId="593D76FC" w14:textId="5CEB1B21" w:rsidR="00046BD5" w:rsidRPr="00DE108C" w:rsidRDefault="0CC090E2" w:rsidP="7A0BEDCA">
      <w:pPr>
        <w:pStyle w:val="ListBullet"/>
        <w:spacing w:after="100" w:afterAutospacing="1" w:line="320" w:lineRule="atLeast"/>
        <w:ind w:left="630" w:hanging="450"/>
        <w:rPr>
          <w:rFonts w:eastAsia="Verdana"/>
        </w:rPr>
      </w:pPr>
      <w:r w:rsidRPr="162CAD39">
        <w:rPr>
          <w:rFonts w:eastAsia="Verdana"/>
        </w:rPr>
        <w:t>f</w:t>
      </w:r>
      <w:r w:rsidR="00046BD5" w:rsidRPr="00DE108C">
        <w:rPr>
          <w:rFonts w:eastAsia="Verdana"/>
        </w:rPr>
        <w:t>lood feasibility studies</w:t>
      </w:r>
    </w:p>
    <w:p w14:paraId="260A801C" w14:textId="427CA218" w:rsidR="00046BD5" w:rsidRPr="00DE108C" w:rsidRDefault="3DD92BA0" w:rsidP="7A0BEDCA">
      <w:pPr>
        <w:pStyle w:val="ListBullet"/>
        <w:spacing w:after="100" w:afterAutospacing="1" w:line="320" w:lineRule="atLeast"/>
        <w:ind w:left="630" w:hanging="450"/>
        <w:rPr>
          <w:rFonts w:eastAsia="Verdana"/>
        </w:rPr>
      </w:pPr>
      <w:r w:rsidRPr="162CAD39">
        <w:rPr>
          <w:rFonts w:eastAsia="Verdana"/>
        </w:rPr>
        <w:t>b</w:t>
      </w:r>
      <w:r w:rsidR="00046BD5" w:rsidRPr="00DE108C">
        <w:rPr>
          <w:rFonts w:eastAsia="Verdana"/>
        </w:rPr>
        <w:t>uild over of Melbourne Water assets and stormwater connections</w:t>
      </w:r>
      <w:r w:rsidR="0DDAFE40" w:rsidRPr="162CAD39">
        <w:rPr>
          <w:rFonts w:eastAsia="Verdana"/>
        </w:rPr>
        <w:t>.</w:t>
      </w:r>
    </w:p>
    <w:p w14:paraId="7BE16E7C" w14:textId="6B453510" w:rsidR="00046BD5" w:rsidRPr="00DE108C" w:rsidRDefault="00046BD5" w:rsidP="00ED094E">
      <w:pPr>
        <w:rPr>
          <w:rFonts w:eastAsia="Verdana"/>
        </w:rPr>
      </w:pPr>
      <w:r w:rsidRPr="00DE108C">
        <w:rPr>
          <w:rFonts w:eastAsia="Verdana"/>
        </w:rPr>
        <w:t>Periodically, we review the miscellaneous services prices to ensure they were cost</w:t>
      </w:r>
      <w:r w:rsidR="5F3BF4A4" w:rsidRPr="162CAD39">
        <w:rPr>
          <w:rFonts w:eastAsia="Verdana"/>
        </w:rPr>
        <w:t xml:space="preserve"> </w:t>
      </w:r>
      <w:r w:rsidRPr="00DE108C">
        <w:rPr>
          <w:rFonts w:eastAsia="Verdana"/>
        </w:rPr>
        <w:t>reflective. This includes examining the appropriate direct costs and indirect (over-head) cost allocation. Following this review, real price increases are proposed as follows:</w:t>
      </w:r>
    </w:p>
    <w:p w14:paraId="125893B8" w14:textId="2FDC9BC7" w:rsidR="00046BD5" w:rsidRPr="00DE108C" w:rsidRDefault="00046BD5" w:rsidP="162CAD39">
      <w:pPr>
        <w:pStyle w:val="ListBullet"/>
        <w:spacing w:after="100" w:afterAutospacing="1" w:line="320" w:lineRule="atLeast"/>
        <w:ind w:left="630" w:hanging="450"/>
        <w:rPr>
          <w:rFonts w:eastAsia="Verdana"/>
        </w:rPr>
      </w:pPr>
      <w:r w:rsidRPr="00DE108C">
        <w:rPr>
          <w:rFonts w:eastAsia="Verdana"/>
        </w:rPr>
        <w:t>Property information statements will increase by CPI only in 2026-27, up to 1.1 per cent plus CPI in 2027-28 and then CPI only for the remain</w:t>
      </w:r>
      <w:r w:rsidR="00B176EB">
        <w:rPr>
          <w:rFonts w:eastAsia="Verdana"/>
        </w:rPr>
        <w:t>der of the</w:t>
      </w:r>
      <w:r w:rsidRPr="00DE108C">
        <w:rPr>
          <w:rFonts w:eastAsia="Verdana"/>
        </w:rPr>
        <w:t xml:space="preserve"> 2026</w:t>
      </w:r>
      <w:r w:rsidR="00B176EB">
        <w:rPr>
          <w:rFonts w:eastAsia="Verdana"/>
        </w:rPr>
        <w:t>-31</w:t>
      </w:r>
      <w:r w:rsidRPr="00DE108C">
        <w:rPr>
          <w:rFonts w:eastAsia="Verdana"/>
        </w:rPr>
        <w:t xml:space="preserve"> regulatory period.</w:t>
      </w:r>
    </w:p>
    <w:p w14:paraId="6B27B94E" w14:textId="0156AA94" w:rsidR="00046BD5" w:rsidRPr="00DE108C" w:rsidRDefault="00046BD5" w:rsidP="162CAD39">
      <w:pPr>
        <w:pStyle w:val="ListBullet"/>
        <w:spacing w:after="100" w:afterAutospacing="1" w:line="320" w:lineRule="atLeast"/>
        <w:ind w:left="630" w:hanging="450"/>
        <w:rPr>
          <w:rFonts w:eastAsia="Verdana"/>
        </w:rPr>
      </w:pPr>
      <w:r w:rsidRPr="00DE108C">
        <w:rPr>
          <w:rFonts w:eastAsia="Verdana"/>
        </w:rPr>
        <w:t xml:space="preserve">Flood level certificates will increase by CPI only in 2026-27, up to 0.7 per cent plus CPI in 2027-28 and then CPI only for the </w:t>
      </w:r>
      <w:r w:rsidR="00B176EB">
        <w:rPr>
          <w:rFonts w:eastAsia="Verdana"/>
        </w:rPr>
        <w:t>remainder of the</w:t>
      </w:r>
      <w:r w:rsidRPr="00DE108C">
        <w:rPr>
          <w:rFonts w:eastAsia="Verdana"/>
        </w:rPr>
        <w:t xml:space="preserve"> 2026</w:t>
      </w:r>
      <w:r w:rsidR="00B176EB">
        <w:rPr>
          <w:rFonts w:eastAsia="Verdana"/>
        </w:rPr>
        <w:t>-31</w:t>
      </w:r>
      <w:r w:rsidRPr="00DE108C">
        <w:rPr>
          <w:rFonts w:eastAsia="Verdana"/>
        </w:rPr>
        <w:t xml:space="preserve"> regulatory period.</w:t>
      </w:r>
    </w:p>
    <w:p w14:paraId="6DFCDFC4" w14:textId="1AD56231" w:rsidR="00046BD5" w:rsidRPr="00DE108C" w:rsidRDefault="00046BD5" w:rsidP="162CAD39">
      <w:pPr>
        <w:pStyle w:val="ListBullet"/>
        <w:spacing w:after="100" w:afterAutospacing="1" w:line="320" w:lineRule="atLeast"/>
        <w:ind w:left="630" w:hanging="450"/>
        <w:rPr>
          <w:rFonts w:eastAsia="Verdana"/>
        </w:rPr>
      </w:pPr>
      <w:r w:rsidRPr="00DE108C">
        <w:rPr>
          <w:rFonts w:eastAsia="Verdana"/>
        </w:rPr>
        <w:t>Hydrological data will increase by CPI only in 2026-27, decrease by 1.5 per cent plus CPI in 2027-28 and then CPI only for the remain</w:t>
      </w:r>
      <w:r w:rsidR="00B176EB">
        <w:rPr>
          <w:rFonts w:eastAsia="Verdana"/>
        </w:rPr>
        <w:t>der of the</w:t>
      </w:r>
      <w:r w:rsidRPr="00DE108C">
        <w:rPr>
          <w:rFonts w:eastAsia="Verdana"/>
        </w:rPr>
        <w:t xml:space="preserve"> 2026</w:t>
      </w:r>
      <w:r w:rsidR="00B176EB">
        <w:rPr>
          <w:rFonts w:eastAsia="Verdana"/>
        </w:rPr>
        <w:t>-31</w:t>
      </w:r>
      <w:r w:rsidRPr="00DE108C">
        <w:rPr>
          <w:rFonts w:eastAsia="Verdana"/>
        </w:rPr>
        <w:t xml:space="preserve"> regulatory period.</w:t>
      </w:r>
    </w:p>
    <w:p w14:paraId="19215AEA" w14:textId="557F4309" w:rsidR="00046BD5" w:rsidRPr="00DE108C" w:rsidRDefault="00046BD5" w:rsidP="162CAD39">
      <w:pPr>
        <w:pStyle w:val="ListBullet"/>
        <w:spacing w:after="100" w:afterAutospacing="1" w:line="320" w:lineRule="atLeast"/>
        <w:ind w:left="630" w:hanging="450"/>
        <w:rPr>
          <w:rFonts w:eastAsia="Verdana"/>
        </w:rPr>
      </w:pPr>
      <w:r w:rsidRPr="00DE108C">
        <w:rPr>
          <w:rFonts w:eastAsia="Verdana"/>
        </w:rPr>
        <w:t xml:space="preserve">Flood feasibility studies </w:t>
      </w:r>
      <w:r w:rsidR="00AC2112">
        <w:rPr>
          <w:rFonts w:eastAsia="Verdana"/>
        </w:rPr>
        <w:t>–</w:t>
      </w:r>
      <w:r w:rsidRPr="00DE108C">
        <w:rPr>
          <w:rFonts w:eastAsia="Verdana"/>
        </w:rPr>
        <w:t xml:space="preserve"> </w:t>
      </w:r>
      <w:r w:rsidR="00AC2112">
        <w:rPr>
          <w:rFonts w:eastAsia="Verdana"/>
        </w:rPr>
        <w:t xml:space="preserve">will increase by </w:t>
      </w:r>
      <w:r w:rsidRPr="00DE108C">
        <w:rPr>
          <w:rFonts w:eastAsia="Verdana"/>
        </w:rPr>
        <w:t xml:space="preserve">CPI </w:t>
      </w:r>
      <w:r w:rsidR="00AC2112">
        <w:rPr>
          <w:rFonts w:eastAsia="Verdana"/>
        </w:rPr>
        <w:t xml:space="preserve">for the 2026-31 </w:t>
      </w:r>
      <w:r w:rsidRPr="00DE108C">
        <w:rPr>
          <w:rFonts w:eastAsiaTheme="minorEastAsia" w:cstheme="minorBidi"/>
        </w:rPr>
        <w:t>regulatory period.</w:t>
      </w:r>
    </w:p>
    <w:p w14:paraId="2FA98E76" w14:textId="59119FD2" w:rsidR="00046BD5" w:rsidRPr="00DE108C" w:rsidRDefault="00046BD5" w:rsidP="162CAD39">
      <w:pPr>
        <w:pStyle w:val="ListBullet"/>
        <w:spacing w:after="100" w:afterAutospacing="1" w:line="320" w:lineRule="atLeast"/>
        <w:ind w:left="630" w:hanging="450"/>
        <w:rPr>
          <w:rFonts w:eastAsia="Verdana"/>
        </w:rPr>
      </w:pPr>
      <w:r w:rsidRPr="00DE108C">
        <w:rPr>
          <w:rFonts w:eastAsia="Verdana"/>
        </w:rPr>
        <w:t>Build over/</w:t>
      </w:r>
      <w:r w:rsidR="345477DF" w:rsidRPr="162CAD39">
        <w:rPr>
          <w:rFonts w:eastAsia="Verdana"/>
        </w:rPr>
        <w:t>s</w:t>
      </w:r>
      <w:r w:rsidRPr="00DE108C">
        <w:rPr>
          <w:rFonts w:eastAsia="Verdana"/>
        </w:rPr>
        <w:t xml:space="preserve">tormwater connections will increase by 10 per cent plus CPI per annum of the regulatory period. This is a result of a legacy under-recovery pricing that we will partially correct during the 2026-31 regulatory period. </w:t>
      </w:r>
    </w:p>
    <w:p w14:paraId="16CB1B56" w14:textId="142D229E" w:rsidR="00046BD5" w:rsidRPr="00DE108C" w:rsidRDefault="00046BD5" w:rsidP="00ED094E">
      <w:pPr>
        <w:rPr>
          <w:rFonts w:eastAsia="Verdana"/>
        </w:rPr>
      </w:pPr>
      <w:r w:rsidRPr="00DE108C">
        <w:rPr>
          <w:rFonts w:eastAsia="Verdana"/>
        </w:rPr>
        <w:t xml:space="preserve">Changes have been proposed for prices for building over Melbourne Water assets and stormwater connections fees following consultation with representatives of our main applicants. The current and proposed prices for build over of Melbourne Water assets and </w:t>
      </w:r>
      <w:r w:rsidR="5FC3ECD7" w:rsidRPr="1AAB9043">
        <w:rPr>
          <w:rFonts w:eastAsia="Verdana"/>
        </w:rPr>
        <w:t>s</w:t>
      </w:r>
      <w:r w:rsidRPr="00DE108C">
        <w:rPr>
          <w:rFonts w:eastAsia="Verdana"/>
        </w:rPr>
        <w:t>tormwater connections continues to under recover the cost of processing development proposals that involve building over (or near) any of our underground assets or easements. Melbourne Water will continue to monitor the impact of the price increase on customer compliance.</w:t>
      </w:r>
    </w:p>
    <w:p w14:paraId="08E47D40" w14:textId="77777777" w:rsidR="00046BD5" w:rsidRPr="00DE108C" w:rsidRDefault="00046BD5" w:rsidP="00ED094E">
      <w:pPr>
        <w:rPr>
          <w:rFonts w:eastAsia="Verdana"/>
        </w:rPr>
      </w:pPr>
      <w:r w:rsidRPr="00DE108C">
        <w:rPr>
          <w:rFonts w:eastAsia="Verdana"/>
        </w:rPr>
        <w:t>Table 11.21 lists the top 10 miscellaneous fees and charges. Melbourne Water will continue to apply pricing principles and review other small miscellaneous fees and charges on an annual basis. These will be published on our website at the commencement of each financial year.</w:t>
      </w:r>
    </w:p>
    <w:p w14:paraId="40A5ACE8" w14:textId="77777777" w:rsidR="00046BD5" w:rsidRPr="00DE108C" w:rsidRDefault="00046BD5">
      <w:pPr>
        <w:pStyle w:val="Caption"/>
      </w:pPr>
      <w:bookmarkStart w:id="1201" w:name="_Toc207893124"/>
      <w:bookmarkStart w:id="1202" w:name="_Toc208490648"/>
      <w:bookmarkStart w:id="1203" w:name="_Toc208490986"/>
      <w:bookmarkStart w:id="1204" w:name="_Toc208911144"/>
      <w:bookmarkStart w:id="1205" w:name="_Toc210051450"/>
      <w:r w:rsidRPr="00DE108C">
        <w:t>Table 11.21: Miscellaneous fees and charges ($real 2025-26)</w:t>
      </w:r>
      <w:bookmarkEnd w:id="1201"/>
      <w:bookmarkEnd w:id="1202"/>
      <w:bookmarkEnd w:id="1203"/>
      <w:bookmarkEnd w:id="1204"/>
      <w:bookmarkEnd w:id="1205"/>
    </w:p>
    <w:tbl>
      <w:tblPr>
        <w:tblStyle w:val="MWTableGrid"/>
        <w:tblW w:w="5000" w:type="pct"/>
        <w:tblLayout w:type="fixed"/>
        <w:tblLook w:val="0420" w:firstRow="1" w:lastRow="0" w:firstColumn="0" w:lastColumn="0" w:noHBand="0" w:noVBand="1"/>
      </w:tblPr>
      <w:tblGrid>
        <w:gridCol w:w="3681"/>
        <w:gridCol w:w="991"/>
        <w:gridCol w:w="992"/>
        <w:gridCol w:w="992"/>
        <w:gridCol w:w="992"/>
        <w:gridCol w:w="992"/>
        <w:gridCol w:w="988"/>
      </w:tblGrid>
      <w:tr w:rsidR="00556A0D" w:rsidRPr="00DE108C" w14:paraId="45B829DD" w14:textId="77777777" w:rsidTr="00FD7A6F">
        <w:trPr>
          <w:cnfStyle w:val="100000000000" w:firstRow="1" w:lastRow="0" w:firstColumn="0" w:lastColumn="0" w:oddVBand="0" w:evenVBand="0" w:oddHBand="0" w:evenHBand="0" w:firstRowFirstColumn="0" w:firstRowLastColumn="0" w:lastRowFirstColumn="0" w:lastRowLastColumn="0"/>
          <w:cantSplit/>
        </w:trPr>
        <w:tc>
          <w:tcPr>
            <w:tcW w:w="1912" w:type="pct"/>
          </w:tcPr>
          <w:p w14:paraId="2EE72403" w14:textId="77777777" w:rsidR="00046BD5" w:rsidRPr="00DE108C" w:rsidRDefault="00046BD5">
            <w:pPr>
              <w:pStyle w:val="TableHeading"/>
              <w:rPr>
                <w:rFonts w:asciiTheme="majorHAnsi" w:eastAsia="Verdana" w:hAnsiTheme="majorHAnsi"/>
                <w:szCs w:val="16"/>
              </w:rPr>
            </w:pPr>
          </w:p>
        </w:tc>
        <w:tc>
          <w:tcPr>
            <w:tcW w:w="515" w:type="pct"/>
          </w:tcPr>
          <w:p w14:paraId="23CF9AD7" w14:textId="19F9FF9E" w:rsidR="0079132E" w:rsidRPr="00DE108C" w:rsidRDefault="0079132E">
            <w:pPr>
              <w:pStyle w:val="TableHeading"/>
              <w:rPr>
                <w:rFonts w:asciiTheme="majorHAnsi" w:eastAsia="Verdana" w:hAnsiTheme="majorHAnsi"/>
                <w:szCs w:val="16"/>
              </w:rPr>
            </w:pPr>
            <w:r w:rsidRPr="00DE108C">
              <w:rPr>
                <w:rFonts w:asciiTheme="majorHAnsi" w:eastAsia="Verdana" w:hAnsiTheme="majorHAnsi"/>
                <w:szCs w:val="16"/>
              </w:rPr>
              <w:t>2025-26</w:t>
            </w:r>
          </w:p>
        </w:tc>
        <w:tc>
          <w:tcPr>
            <w:tcW w:w="515" w:type="pct"/>
          </w:tcPr>
          <w:p w14:paraId="745D57DC" w14:textId="77777777" w:rsidR="00046BD5" w:rsidRPr="00DE108C" w:rsidRDefault="00046BD5">
            <w:pPr>
              <w:pStyle w:val="TableHeading"/>
              <w:rPr>
                <w:rFonts w:asciiTheme="majorHAnsi" w:eastAsia="Verdana" w:hAnsiTheme="majorHAnsi"/>
                <w:szCs w:val="16"/>
              </w:rPr>
            </w:pPr>
            <w:r w:rsidRPr="00DE108C">
              <w:rPr>
                <w:rFonts w:asciiTheme="majorHAnsi" w:eastAsia="Verdana" w:hAnsiTheme="majorHAnsi"/>
                <w:szCs w:val="16"/>
              </w:rPr>
              <w:t>2026-27</w:t>
            </w:r>
          </w:p>
        </w:tc>
        <w:tc>
          <w:tcPr>
            <w:tcW w:w="515" w:type="pct"/>
          </w:tcPr>
          <w:p w14:paraId="3C008BC8" w14:textId="77777777" w:rsidR="00046BD5" w:rsidRPr="00DE108C" w:rsidRDefault="00046BD5">
            <w:pPr>
              <w:pStyle w:val="TableHeading"/>
              <w:rPr>
                <w:rFonts w:asciiTheme="majorHAnsi" w:eastAsia="Verdana" w:hAnsiTheme="majorHAnsi"/>
                <w:szCs w:val="16"/>
              </w:rPr>
            </w:pPr>
            <w:r w:rsidRPr="00DE108C">
              <w:rPr>
                <w:rFonts w:asciiTheme="majorHAnsi" w:eastAsia="Verdana" w:hAnsiTheme="majorHAnsi"/>
                <w:szCs w:val="16"/>
              </w:rPr>
              <w:t>2027-28</w:t>
            </w:r>
          </w:p>
        </w:tc>
        <w:tc>
          <w:tcPr>
            <w:tcW w:w="515" w:type="pct"/>
          </w:tcPr>
          <w:p w14:paraId="7BFF510B" w14:textId="77777777" w:rsidR="00046BD5" w:rsidRPr="00DE108C" w:rsidRDefault="00046BD5">
            <w:pPr>
              <w:pStyle w:val="TableHeading"/>
              <w:rPr>
                <w:rFonts w:asciiTheme="majorHAnsi" w:eastAsia="Verdana" w:hAnsiTheme="majorHAnsi"/>
                <w:szCs w:val="16"/>
              </w:rPr>
            </w:pPr>
            <w:r w:rsidRPr="00DE108C">
              <w:rPr>
                <w:rFonts w:asciiTheme="majorHAnsi" w:eastAsia="Verdana" w:hAnsiTheme="majorHAnsi"/>
                <w:szCs w:val="16"/>
              </w:rPr>
              <w:t>2028-29</w:t>
            </w:r>
          </w:p>
        </w:tc>
        <w:tc>
          <w:tcPr>
            <w:tcW w:w="515" w:type="pct"/>
          </w:tcPr>
          <w:p w14:paraId="0CD50797" w14:textId="77777777" w:rsidR="00046BD5" w:rsidRPr="00DE108C" w:rsidRDefault="00046BD5">
            <w:pPr>
              <w:pStyle w:val="TableHeading"/>
              <w:rPr>
                <w:rFonts w:asciiTheme="majorHAnsi" w:eastAsia="Verdana" w:hAnsiTheme="majorHAnsi"/>
                <w:szCs w:val="16"/>
              </w:rPr>
            </w:pPr>
            <w:r w:rsidRPr="00DE108C">
              <w:rPr>
                <w:rFonts w:asciiTheme="majorHAnsi" w:eastAsia="Verdana" w:hAnsiTheme="majorHAnsi"/>
                <w:szCs w:val="16"/>
              </w:rPr>
              <w:t>2029-30</w:t>
            </w:r>
          </w:p>
        </w:tc>
        <w:tc>
          <w:tcPr>
            <w:tcW w:w="513" w:type="pct"/>
          </w:tcPr>
          <w:p w14:paraId="6390D13E" w14:textId="77777777" w:rsidR="00046BD5" w:rsidRPr="00DE108C" w:rsidRDefault="00046BD5">
            <w:pPr>
              <w:pStyle w:val="TableHeading"/>
              <w:rPr>
                <w:rFonts w:asciiTheme="majorHAnsi" w:eastAsia="Verdana" w:hAnsiTheme="majorHAnsi"/>
                <w:szCs w:val="16"/>
              </w:rPr>
            </w:pPr>
            <w:r w:rsidRPr="00DE108C">
              <w:rPr>
                <w:rFonts w:asciiTheme="majorHAnsi" w:eastAsia="Verdana" w:hAnsiTheme="majorHAnsi"/>
                <w:szCs w:val="16"/>
              </w:rPr>
              <w:t>2030-31</w:t>
            </w:r>
          </w:p>
        </w:tc>
      </w:tr>
      <w:tr w:rsidR="00046BD5" w:rsidRPr="00DE108C" w14:paraId="19801A25" w14:textId="77777777" w:rsidTr="00FD7A6F">
        <w:trPr>
          <w:cantSplit/>
        </w:trPr>
        <w:tc>
          <w:tcPr>
            <w:tcW w:w="5000" w:type="pct"/>
            <w:gridSpan w:val="7"/>
          </w:tcPr>
          <w:p w14:paraId="452AE42B" w14:textId="5F1FF373" w:rsidR="00046BD5" w:rsidRPr="00AF5712" w:rsidRDefault="00F369F6">
            <w:pPr>
              <w:pStyle w:val="TableText"/>
              <w:rPr>
                <w:rFonts w:asciiTheme="majorHAnsi" w:eastAsia="Verdana" w:hAnsiTheme="majorHAnsi"/>
                <w:b/>
                <w:color w:val="auto"/>
              </w:rPr>
            </w:pPr>
            <w:r w:rsidRPr="01FDEA01">
              <w:rPr>
                <w:rFonts w:asciiTheme="majorHAnsi" w:eastAsia="Aptos Display" w:hAnsiTheme="majorHAnsi" w:cs="Aptos Display"/>
                <w:b/>
              </w:rPr>
              <w:t>Flood level information</w:t>
            </w:r>
            <w:r w:rsidRPr="01FDEA01">
              <w:rPr>
                <w:rFonts w:asciiTheme="majorHAnsi" w:eastAsia="Aptos Display" w:hAnsiTheme="majorHAnsi" w:cs="Aptos Display"/>
              </w:rPr>
              <w:t xml:space="preserve"> </w:t>
            </w:r>
          </w:p>
        </w:tc>
      </w:tr>
      <w:tr w:rsidR="00A043F7" w:rsidRPr="00DE108C" w14:paraId="4ACF368B" w14:textId="77777777" w:rsidTr="00F369F6">
        <w:trPr>
          <w:cnfStyle w:val="000000010000" w:firstRow="0" w:lastRow="0" w:firstColumn="0" w:lastColumn="0" w:oddVBand="0" w:evenVBand="0" w:oddHBand="0" w:evenHBand="1" w:firstRowFirstColumn="0" w:firstRowLastColumn="0" w:lastRowFirstColumn="0" w:lastRowLastColumn="0"/>
          <w:cantSplit/>
        </w:trPr>
        <w:tc>
          <w:tcPr>
            <w:tcW w:w="1912" w:type="pct"/>
          </w:tcPr>
          <w:p w14:paraId="6277ACB8" w14:textId="77777777" w:rsidR="00046BD5" w:rsidRPr="00AF5712" w:rsidRDefault="00046BD5" w:rsidP="00ED094E">
            <w:pPr>
              <w:pStyle w:val="TableText"/>
              <w:rPr>
                <w:rFonts w:asciiTheme="majorHAnsi" w:eastAsia="Verdana" w:hAnsiTheme="majorHAnsi"/>
              </w:rPr>
            </w:pPr>
            <w:r w:rsidRPr="01FDEA01">
              <w:rPr>
                <w:rFonts w:asciiTheme="majorHAnsi" w:eastAsia="Aptos Display" w:hAnsiTheme="majorHAnsi" w:cs="Aptos Display"/>
              </w:rPr>
              <w:t>Property information statements</w:t>
            </w:r>
          </w:p>
        </w:tc>
        <w:tc>
          <w:tcPr>
            <w:tcW w:w="515" w:type="pct"/>
            <w:vAlign w:val="center"/>
          </w:tcPr>
          <w:p w14:paraId="646C33E2" w14:textId="4A926F88" w:rsidR="00FD7A6F" w:rsidRPr="0079132E" w:rsidRDefault="00FD7A6F" w:rsidP="00FD7A6F">
            <w:pPr>
              <w:pStyle w:val="TableText"/>
              <w:rPr>
                <w:rFonts w:asciiTheme="majorHAnsi" w:hAnsiTheme="majorHAnsi" w:cs="Tahoma"/>
              </w:rPr>
            </w:pPr>
            <w:r w:rsidRPr="01FDEA01">
              <w:rPr>
                <w:rFonts w:asciiTheme="majorHAnsi" w:hAnsiTheme="majorHAnsi" w:cs="Tahoma"/>
              </w:rPr>
              <w:t xml:space="preserve"> 5.77 </w:t>
            </w:r>
          </w:p>
        </w:tc>
        <w:tc>
          <w:tcPr>
            <w:tcW w:w="515" w:type="pct"/>
            <w:vAlign w:val="center"/>
          </w:tcPr>
          <w:p w14:paraId="242A004A"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5.77 </w:t>
            </w:r>
          </w:p>
        </w:tc>
        <w:tc>
          <w:tcPr>
            <w:tcW w:w="515" w:type="pct"/>
            <w:vAlign w:val="center"/>
          </w:tcPr>
          <w:p w14:paraId="7A59CA81"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5.83 </w:t>
            </w:r>
          </w:p>
        </w:tc>
        <w:tc>
          <w:tcPr>
            <w:tcW w:w="515" w:type="pct"/>
            <w:vAlign w:val="center"/>
          </w:tcPr>
          <w:p w14:paraId="61BABCD5"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5.83 </w:t>
            </w:r>
          </w:p>
        </w:tc>
        <w:tc>
          <w:tcPr>
            <w:tcW w:w="515" w:type="pct"/>
            <w:vAlign w:val="center"/>
          </w:tcPr>
          <w:p w14:paraId="53EB2EE3"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5.83 </w:t>
            </w:r>
          </w:p>
        </w:tc>
        <w:tc>
          <w:tcPr>
            <w:tcW w:w="513" w:type="pct"/>
            <w:vAlign w:val="center"/>
          </w:tcPr>
          <w:p w14:paraId="0072AFCF"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5.83 </w:t>
            </w:r>
          </w:p>
        </w:tc>
      </w:tr>
      <w:tr w:rsidR="00046BD5" w:rsidRPr="00DE108C" w14:paraId="19F1963F" w14:textId="77777777" w:rsidTr="00FD7A6F">
        <w:trPr>
          <w:cantSplit/>
        </w:trPr>
        <w:tc>
          <w:tcPr>
            <w:tcW w:w="1912" w:type="pct"/>
          </w:tcPr>
          <w:p w14:paraId="0A6C61FF" w14:textId="77777777" w:rsidR="00046BD5" w:rsidRPr="00AF5712" w:rsidRDefault="00046BD5" w:rsidP="00ED094E">
            <w:pPr>
              <w:pStyle w:val="TableText"/>
              <w:rPr>
                <w:rFonts w:asciiTheme="majorHAnsi" w:eastAsia="Verdana" w:hAnsiTheme="majorHAnsi"/>
              </w:rPr>
            </w:pPr>
            <w:r w:rsidRPr="01FDEA01">
              <w:rPr>
                <w:rFonts w:asciiTheme="majorHAnsi" w:eastAsia="Aptos Display" w:hAnsiTheme="majorHAnsi" w:cs="Aptos Display"/>
              </w:rPr>
              <w:t>Flood level certificates</w:t>
            </w:r>
          </w:p>
        </w:tc>
        <w:tc>
          <w:tcPr>
            <w:tcW w:w="515" w:type="pct"/>
            <w:vAlign w:val="center"/>
          </w:tcPr>
          <w:p w14:paraId="4B8DA6EA" w14:textId="6ECD8ED8" w:rsidR="00FD7A6F" w:rsidRPr="0079132E" w:rsidRDefault="00FD7A6F" w:rsidP="00FD7A6F">
            <w:pPr>
              <w:pStyle w:val="TableText"/>
              <w:rPr>
                <w:rFonts w:asciiTheme="majorHAnsi" w:hAnsiTheme="majorHAnsi" w:cs="Tahoma"/>
              </w:rPr>
            </w:pPr>
            <w:r w:rsidRPr="01FDEA01">
              <w:rPr>
                <w:rFonts w:asciiTheme="majorHAnsi" w:hAnsiTheme="majorHAnsi" w:cs="Tahoma"/>
              </w:rPr>
              <w:t xml:space="preserve"> 55.21 </w:t>
            </w:r>
          </w:p>
        </w:tc>
        <w:tc>
          <w:tcPr>
            <w:tcW w:w="515" w:type="pct"/>
            <w:vAlign w:val="center"/>
          </w:tcPr>
          <w:p w14:paraId="7AF81700"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55.21 </w:t>
            </w:r>
          </w:p>
        </w:tc>
        <w:tc>
          <w:tcPr>
            <w:tcW w:w="515" w:type="pct"/>
            <w:vAlign w:val="center"/>
          </w:tcPr>
          <w:p w14:paraId="1A975104"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55.57 </w:t>
            </w:r>
          </w:p>
        </w:tc>
        <w:tc>
          <w:tcPr>
            <w:tcW w:w="515" w:type="pct"/>
            <w:vAlign w:val="center"/>
          </w:tcPr>
          <w:p w14:paraId="3A0BBD3A"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55.57 </w:t>
            </w:r>
          </w:p>
        </w:tc>
        <w:tc>
          <w:tcPr>
            <w:tcW w:w="515" w:type="pct"/>
            <w:vAlign w:val="center"/>
          </w:tcPr>
          <w:p w14:paraId="6F672B71"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55.57 </w:t>
            </w:r>
          </w:p>
        </w:tc>
        <w:tc>
          <w:tcPr>
            <w:tcW w:w="513" w:type="pct"/>
            <w:vAlign w:val="center"/>
          </w:tcPr>
          <w:p w14:paraId="63FA71EE"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55.57 </w:t>
            </w:r>
          </w:p>
        </w:tc>
      </w:tr>
      <w:tr w:rsidR="00A043F7" w:rsidRPr="00DE108C" w14:paraId="645FC81D" w14:textId="77777777" w:rsidTr="00F369F6">
        <w:trPr>
          <w:cnfStyle w:val="000000010000" w:firstRow="0" w:lastRow="0" w:firstColumn="0" w:lastColumn="0" w:oddVBand="0" w:evenVBand="0" w:oddHBand="0" w:evenHBand="1" w:firstRowFirstColumn="0" w:firstRowLastColumn="0" w:lastRowFirstColumn="0" w:lastRowLastColumn="0"/>
          <w:cantSplit/>
          <w:trHeight w:val="273"/>
        </w:trPr>
        <w:tc>
          <w:tcPr>
            <w:tcW w:w="5000" w:type="pct"/>
            <w:gridSpan w:val="7"/>
          </w:tcPr>
          <w:p w14:paraId="641DC01B" w14:textId="39269F0E" w:rsidR="00046BD5" w:rsidRPr="00AF5712" w:rsidRDefault="00F369F6" w:rsidP="000310A5">
            <w:pPr>
              <w:pStyle w:val="TableText"/>
              <w:keepNext/>
              <w:keepLines/>
              <w:rPr>
                <w:rFonts w:asciiTheme="majorHAnsi" w:eastAsia="Verdana" w:hAnsiTheme="majorHAnsi"/>
              </w:rPr>
            </w:pPr>
            <w:r w:rsidRPr="01FDEA01">
              <w:rPr>
                <w:rFonts w:asciiTheme="majorHAnsi" w:eastAsia="Aptos Display" w:hAnsiTheme="majorHAnsi" w:cs="Aptos Display"/>
                <w:b/>
              </w:rPr>
              <w:lastRenderedPageBreak/>
              <w:t>Hydrological data</w:t>
            </w:r>
            <w:r w:rsidRPr="01FDEA01">
              <w:rPr>
                <w:rFonts w:asciiTheme="majorHAnsi" w:eastAsia="Aptos Display" w:hAnsiTheme="majorHAnsi" w:cs="Aptos Display"/>
              </w:rPr>
              <w:t xml:space="preserve"> </w:t>
            </w:r>
          </w:p>
        </w:tc>
      </w:tr>
      <w:tr w:rsidR="00046BD5" w:rsidRPr="00DE108C" w14:paraId="6311B6A6" w14:textId="77777777" w:rsidTr="00FD7A6F">
        <w:trPr>
          <w:cantSplit/>
        </w:trPr>
        <w:tc>
          <w:tcPr>
            <w:tcW w:w="1912" w:type="pct"/>
          </w:tcPr>
          <w:p w14:paraId="498CE77D" w14:textId="77777777" w:rsidR="00046BD5" w:rsidRPr="00AF5712" w:rsidRDefault="00046BD5" w:rsidP="000310A5">
            <w:pPr>
              <w:pStyle w:val="TableText"/>
              <w:keepNext/>
              <w:keepLines/>
              <w:rPr>
                <w:rFonts w:asciiTheme="majorHAnsi" w:eastAsia="Verdana" w:hAnsiTheme="majorHAnsi"/>
              </w:rPr>
            </w:pPr>
            <w:r w:rsidRPr="01FDEA01">
              <w:rPr>
                <w:rFonts w:asciiTheme="majorHAnsi" w:eastAsia="Aptos Display" w:hAnsiTheme="majorHAnsi" w:cs="Aptos Display"/>
                <w:lang w:val="en-US"/>
              </w:rPr>
              <w:t>Storm frequency analysis for selected storm events</w:t>
            </w:r>
          </w:p>
        </w:tc>
        <w:tc>
          <w:tcPr>
            <w:tcW w:w="515" w:type="pct"/>
            <w:vAlign w:val="center"/>
          </w:tcPr>
          <w:p w14:paraId="7D36CED3" w14:textId="00045C7A" w:rsidR="00FD7A6F" w:rsidRPr="0079132E" w:rsidRDefault="00FD7A6F" w:rsidP="00FD7A6F">
            <w:pPr>
              <w:pStyle w:val="TableText"/>
              <w:rPr>
                <w:rFonts w:asciiTheme="majorHAnsi" w:hAnsiTheme="majorHAnsi" w:cs="Tahoma"/>
              </w:rPr>
            </w:pPr>
            <w:r w:rsidRPr="01FDEA01">
              <w:rPr>
                <w:rFonts w:asciiTheme="majorHAnsi" w:hAnsiTheme="majorHAnsi" w:cs="Tahoma"/>
              </w:rPr>
              <w:t xml:space="preserve"> 182.11 </w:t>
            </w:r>
          </w:p>
        </w:tc>
        <w:tc>
          <w:tcPr>
            <w:tcW w:w="515" w:type="pct"/>
            <w:vAlign w:val="center"/>
          </w:tcPr>
          <w:p w14:paraId="3D996FEA"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182.11 </w:t>
            </w:r>
          </w:p>
        </w:tc>
        <w:tc>
          <w:tcPr>
            <w:tcW w:w="515" w:type="pct"/>
            <w:vAlign w:val="center"/>
          </w:tcPr>
          <w:p w14:paraId="4267451D"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179.42 </w:t>
            </w:r>
          </w:p>
        </w:tc>
        <w:tc>
          <w:tcPr>
            <w:tcW w:w="515" w:type="pct"/>
            <w:vAlign w:val="center"/>
          </w:tcPr>
          <w:p w14:paraId="0ED352F6"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179.42 </w:t>
            </w:r>
          </w:p>
        </w:tc>
        <w:tc>
          <w:tcPr>
            <w:tcW w:w="515" w:type="pct"/>
            <w:vAlign w:val="center"/>
          </w:tcPr>
          <w:p w14:paraId="5C2270A5"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179.42 </w:t>
            </w:r>
          </w:p>
        </w:tc>
        <w:tc>
          <w:tcPr>
            <w:tcW w:w="513" w:type="pct"/>
            <w:vAlign w:val="center"/>
          </w:tcPr>
          <w:p w14:paraId="30485C82"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179.42 </w:t>
            </w:r>
          </w:p>
        </w:tc>
      </w:tr>
      <w:tr w:rsidR="00A043F7" w:rsidRPr="00DE108C" w14:paraId="2A93C238" w14:textId="77777777" w:rsidTr="00F369F6">
        <w:trPr>
          <w:cnfStyle w:val="000000010000" w:firstRow="0" w:lastRow="0" w:firstColumn="0" w:lastColumn="0" w:oddVBand="0" w:evenVBand="0" w:oddHBand="0" w:evenHBand="1" w:firstRowFirstColumn="0" w:firstRowLastColumn="0" w:lastRowFirstColumn="0" w:lastRowLastColumn="0"/>
          <w:cantSplit/>
        </w:trPr>
        <w:tc>
          <w:tcPr>
            <w:tcW w:w="1912" w:type="pct"/>
          </w:tcPr>
          <w:p w14:paraId="3998ECD3" w14:textId="77777777" w:rsidR="00046BD5" w:rsidRPr="00804AB0" w:rsidRDefault="00046BD5" w:rsidP="00ED094E">
            <w:pPr>
              <w:pStyle w:val="TableText"/>
              <w:rPr>
                <w:rFonts w:asciiTheme="majorHAnsi" w:eastAsia="Aptos Display" w:hAnsiTheme="majorHAnsi" w:cs="Aptos Display"/>
                <w:lang w:val="en-US"/>
              </w:rPr>
            </w:pPr>
            <w:r w:rsidRPr="01FDEA01">
              <w:rPr>
                <w:rFonts w:asciiTheme="majorHAnsi" w:eastAsia="Aptos Display" w:hAnsiTheme="majorHAnsi" w:cs="Aptos Display"/>
                <w:lang w:val="en-US"/>
              </w:rPr>
              <w:t xml:space="preserve">Hydrological data </w:t>
            </w:r>
          </w:p>
          <w:p w14:paraId="3AC2316C" w14:textId="77777777" w:rsidR="00046BD5" w:rsidRPr="00AF5712" w:rsidRDefault="00046BD5" w:rsidP="00ED094E">
            <w:pPr>
              <w:pStyle w:val="TableText"/>
              <w:rPr>
                <w:rFonts w:asciiTheme="majorHAnsi" w:eastAsia="Aptos" w:hAnsiTheme="majorHAnsi" w:cs="Aptos"/>
              </w:rPr>
            </w:pPr>
            <w:r w:rsidRPr="01FDEA01">
              <w:rPr>
                <w:rFonts w:asciiTheme="majorHAnsi" w:eastAsia="Aptos Display" w:hAnsiTheme="majorHAnsi" w:cs="Aptos Display"/>
                <w:lang w:val="en-US"/>
              </w:rPr>
              <w:t>($per dataset – daily, hourly, 6 minute)</w:t>
            </w:r>
          </w:p>
        </w:tc>
        <w:tc>
          <w:tcPr>
            <w:tcW w:w="515" w:type="pct"/>
            <w:vAlign w:val="center"/>
          </w:tcPr>
          <w:p w14:paraId="14AF691E" w14:textId="425C756F" w:rsidR="00FD7A6F" w:rsidRPr="0079132E" w:rsidRDefault="00FD7A6F" w:rsidP="00FD7A6F">
            <w:pPr>
              <w:pStyle w:val="TableText"/>
              <w:rPr>
                <w:rFonts w:asciiTheme="majorHAnsi" w:hAnsiTheme="majorHAnsi" w:cs="Tahoma"/>
              </w:rPr>
            </w:pPr>
            <w:r w:rsidRPr="01FDEA01">
              <w:rPr>
                <w:rFonts w:asciiTheme="majorHAnsi" w:hAnsiTheme="majorHAnsi" w:cs="Tahoma"/>
              </w:rPr>
              <w:t xml:space="preserve"> 113.23 </w:t>
            </w:r>
          </w:p>
        </w:tc>
        <w:tc>
          <w:tcPr>
            <w:tcW w:w="515" w:type="pct"/>
            <w:vAlign w:val="center"/>
          </w:tcPr>
          <w:p w14:paraId="46EEBCBF" w14:textId="77777777" w:rsidR="00046BD5" w:rsidRPr="00804AB0" w:rsidRDefault="00046BD5" w:rsidP="00ED094E">
            <w:pPr>
              <w:pStyle w:val="TableText"/>
              <w:rPr>
                <w:rFonts w:asciiTheme="majorHAnsi" w:eastAsia="Aptos" w:hAnsiTheme="majorHAnsi" w:cs="Aptos"/>
              </w:rPr>
            </w:pPr>
            <w:r w:rsidRPr="01FDEA01">
              <w:rPr>
                <w:rFonts w:asciiTheme="majorHAnsi" w:hAnsiTheme="majorHAnsi" w:cs="Tahoma"/>
              </w:rPr>
              <w:t xml:space="preserve"> 113.23 </w:t>
            </w:r>
          </w:p>
        </w:tc>
        <w:tc>
          <w:tcPr>
            <w:tcW w:w="515" w:type="pct"/>
            <w:vAlign w:val="center"/>
          </w:tcPr>
          <w:p w14:paraId="4FCBD449" w14:textId="77777777" w:rsidR="00046BD5" w:rsidRPr="00804AB0" w:rsidRDefault="00046BD5" w:rsidP="00ED094E">
            <w:pPr>
              <w:pStyle w:val="TableText"/>
              <w:rPr>
                <w:rFonts w:asciiTheme="majorHAnsi" w:eastAsia="Aptos" w:hAnsiTheme="majorHAnsi" w:cs="Aptos"/>
              </w:rPr>
            </w:pPr>
            <w:r w:rsidRPr="01FDEA01">
              <w:rPr>
                <w:rFonts w:asciiTheme="majorHAnsi" w:hAnsiTheme="majorHAnsi" w:cs="Tahoma"/>
              </w:rPr>
              <w:t xml:space="preserve"> 111.55 </w:t>
            </w:r>
          </w:p>
        </w:tc>
        <w:tc>
          <w:tcPr>
            <w:tcW w:w="515" w:type="pct"/>
            <w:vAlign w:val="center"/>
          </w:tcPr>
          <w:p w14:paraId="599BD9BF" w14:textId="77777777" w:rsidR="00046BD5" w:rsidRPr="00804AB0" w:rsidRDefault="00046BD5" w:rsidP="00ED094E">
            <w:pPr>
              <w:pStyle w:val="TableText"/>
              <w:rPr>
                <w:rFonts w:asciiTheme="majorHAnsi" w:eastAsia="Aptos" w:hAnsiTheme="majorHAnsi" w:cs="Aptos"/>
              </w:rPr>
            </w:pPr>
            <w:r w:rsidRPr="01FDEA01">
              <w:rPr>
                <w:rFonts w:asciiTheme="majorHAnsi" w:hAnsiTheme="majorHAnsi" w:cs="Tahoma"/>
              </w:rPr>
              <w:t xml:space="preserve"> 111.55 </w:t>
            </w:r>
          </w:p>
        </w:tc>
        <w:tc>
          <w:tcPr>
            <w:tcW w:w="515" w:type="pct"/>
            <w:vAlign w:val="center"/>
          </w:tcPr>
          <w:p w14:paraId="4AFD5D70" w14:textId="77777777" w:rsidR="00046BD5" w:rsidRPr="00804AB0" w:rsidRDefault="00046BD5" w:rsidP="00ED094E">
            <w:pPr>
              <w:pStyle w:val="TableText"/>
              <w:rPr>
                <w:rFonts w:asciiTheme="majorHAnsi" w:eastAsia="Aptos" w:hAnsiTheme="majorHAnsi" w:cs="Aptos"/>
              </w:rPr>
            </w:pPr>
            <w:r w:rsidRPr="01FDEA01">
              <w:rPr>
                <w:rFonts w:asciiTheme="majorHAnsi" w:hAnsiTheme="majorHAnsi" w:cs="Tahoma"/>
              </w:rPr>
              <w:t xml:space="preserve"> 111.55 </w:t>
            </w:r>
          </w:p>
        </w:tc>
        <w:tc>
          <w:tcPr>
            <w:tcW w:w="513" w:type="pct"/>
            <w:vAlign w:val="center"/>
          </w:tcPr>
          <w:p w14:paraId="74F65E7C" w14:textId="77777777" w:rsidR="00046BD5" w:rsidRPr="00804AB0" w:rsidRDefault="00046BD5" w:rsidP="00ED094E">
            <w:pPr>
              <w:pStyle w:val="TableText"/>
              <w:rPr>
                <w:rFonts w:asciiTheme="majorHAnsi" w:eastAsia="Aptos" w:hAnsiTheme="majorHAnsi" w:cs="Aptos"/>
              </w:rPr>
            </w:pPr>
            <w:r w:rsidRPr="01FDEA01">
              <w:rPr>
                <w:rFonts w:asciiTheme="majorHAnsi" w:hAnsiTheme="majorHAnsi" w:cs="Tahoma"/>
              </w:rPr>
              <w:t xml:space="preserve"> 111.55 </w:t>
            </w:r>
          </w:p>
        </w:tc>
      </w:tr>
      <w:tr w:rsidR="00046BD5" w:rsidRPr="00DE108C" w14:paraId="0C250A88" w14:textId="77777777" w:rsidTr="00FD7A6F">
        <w:trPr>
          <w:cantSplit/>
        </w:trPr>
        <w:tc>
          <w:tcPr>
            <w:tcW w:w="1912" w:type="pct"/>
          </w:tcPr>
          <w:p w14:paraId="018EABE6" w14:textId="77777777" w:rsidR="00046BD5" w:rsidRPr="00AF5712" w:rsidRDefault="00046BD5" w:rsidP="00ED094E">
            <w:pPr>
              <w:pStyle w:val="TableText"/>
              <w:rPr>
                <w:rFonts w:asciiTheme="majorHAnsi" w:eastAsia="Verdana" w:hAnsiTheme="majorHAnsi"/>
              </w:rPr>
            </w:pPr>
            <w:r w:rsidRPr="01FDEA01">
              <w:rPr>
                <w:rFonts w:asciiTheme="majorHAnsi" w:eastAsia="Aptos Display" w:hAnsiTheme="majorHAnsi" w:cs="Aptos Display"/>
                <w:lang w:val="en-US"/>
              </w:rPr>
              <w:t>Other requests ($ per hour)</w:t>
            </w:r>
          </w:p>
        </w:tc>
        <w:tc>
          <w:tcPr>
            <w:tcW w:w="515" w:type="pct"/>
            <w:vAlign w:val="center"/>
          </w:tcPr>
          <w:p w14:paraId="2C48DC41" w14:textId="7011F73E" w:rsidR="00FD7A6F" w:rsidRPr="0079132E" w:rsidRDefault="00FD7A6F" w:rsidP="00FD7A6F">
            <w:pPr>
              <w:pStyle w:val="TableText"/>
              <w:rPr>
                <w:rFonts w:asciiTheme="majorHAnsi" w:hAnsiTheme="majorHAnsi" w:cs="Tahoma"/>
              </w:rPr>
            </w:pPr>
            <w:r w:rsidRPr="01FDEA01">
              <w:rPr>
                <w:rFonts w:asciiTheme="majorHAnsi" w:hAnsiTheme="majorHAnsi" w:cs="Tahoma"/>
              </w:rPr>
              <w:t xml:space="preserve"> 182.11 </w:t>
            </w:r>
          </w:p>
        </w:tc>
        <w:tc>
          <w:tcPr>
            <w:tcW w:w="515" w:type="pct"/>
            <w:vAlign w:val="center"/>
          </w:tcPr>
          <w:p w14:paraId="596549F4"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182.11 </w:t>
            </w:r>
          </w:p>
        </w:tc>
        <w:tc>
          <w:tcPr>
            <w:tcW w:w="515" w:type="pct"/>
            <w:vAlign w:val="center"/>
          </w:tcPr>
          <w:p w14:paraId="1DD306B6"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179.42 </w:t>
            </w:r>
          </w:p>
        </w:tc>
        <w:tc>
          <w:tcPr>
            <w:tcW w:w="515" w:type="pct"/>
            <w:vAlign w:val="center"/>
          </w:tcPr>
          <w:p w14:paraId="43B536BB"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179.42 </w:t>
            </w:r>
          </w:p>
        </w:tc>
        <w:tc>
          <w:tcPr>
            <w:tcW w:w="515" w:type="pct"/>
            <w:vAlign w:val="center"/>
          </w:tcPr>
          <w:p w14:paraId="1A0169C5"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179.42 </w:t>
            </w:r>
          </w:p>
        </w:tc>
        <w:tc>
          <w:tcPr>
            <w:tcW w:w="513" w:type="pct"/>
            <w:vAlign w:val="center"/>
          </w:tcPr>
          <w:p w14:paraId="43436922"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179.42 </w:t>
            </w:r>
          </w:p>
        </w:tc>
      </w:tr>
      <w:tr w:rsidR="00A043F7" w:rsidRPr="00DE108C" w14:paraId="372607D3" w14:textId="77777777" w:rsidTr="00F369F6">
        <w:trPr>
          <w:cnfStyle w:val="000000010000" w:firstRow="0" w:lastRow="0" w:firstColumn="0" w:lastColumn="0" w:oddVBand="0" w:evenVBand="0" w:oddHBand="0" w:evenHBand="1" w:firstRowFirstColumn="0" w:firstRowLastColumn="0" w:lastRowFirstColumn="0" w:lastRowLastColumn="0"/>
          <w:cantSplit/>
        </w:trPr>
        <w:tc>
          <w:tcPr>
            <w:tcW w:w="5000" w:type="pct"/>
            <w:gridSpan w:val="7"/>
          </w:tcPr>
          <w:p w14:paraId="0411BA55" w14:textId="1E32C10A" w:rsidR="00046BD5" w:rsidRPr="00AF5712" w:rsidRDefault="00F369F6">
            <w:pPr>
              <w:pStyle w:val="TableText"/>
              <w:rPr>
                <w:rFonts w:asciiTheme="majorHAnsi" w:eastAsia="Verdana" w:hAnsiTheme="majorHAnsi"/>
                <w:b/>
              </w:rPr>
            </w:pPr>
            <w:r w:rsidRPr="01FDEA01">
              <w:rPr>
                <w:rFonts w:asciiTheme="majorHAnsi" w:eastAsia="Aptos Display" w:hAnsiTheme="majorHAnsi" w:cs="Aptos Display"/>
                <w:b/>
                <w:lang w:val="en-US"/>
              </w:rPr>
              <w:t>Construction, works &amp; connections</w:t>
            </w:r>
            <w:r w:rsidRPr="01FDEA01">
              <w:rPr>
                <w:rFonts w:asciiTheme="majorHAnsi" w:eastAsia="Aptos Display" w:hAnsiTheme="majorHAnsi" w:cs="Aptos Display"/>
              </w:rPr>
              <w:t xml:space="preserve"> </w:t>
            </w:r>
          </w:p>
        </w:tc>
      </w:tr>
      <w:tr w:rsidR="00046BD5" w:rsidRPr="00DE108C" w14:paraId="42C0C342" w14:textId="77777777" w:rsidTr="00FD7A6F">
        <w:trPr>
          <w:cantSplit/>
        </w:trPr>
        <w:tc>
          <w:tcPr>
            <w:tcW w:w="1912" w:type="pct"/>
          </w:tcPr>
          <w:p w14:paraId="4907054A" w14:textId="77777777" w:rsidR="00046BD5" w:rsidRPr="00AF5712" w:rsidRDefault="00046BD5" w:rsidP="00ED094E">
            <w:pPr>
              <w:pStyle w:val="TableText"/>
              <w:rPr>
                <w:rFonts w:asciiTheme="majorHAnsi" w:eastAsia="Verdana" w:hAnsiTheme="majorHAnsi"/>
              </w:rPr>
            </w:pPr>
            <w:r w:rsidRPr="01FDEA01">
              <w:rPr>
                <w:rFonts w:asciiTheme="majorHAnsi" w:eastAsia="Aptos Display" w:hAnsiTheme="majorHAnsi" w:cs="Aptos Display"/>
                <w:lang w:val="en-US"/>
              </w:rPr>
              <w:t xml:space="preserve">Application/connection fee </w:t>
            </w:r>
          </w:p>
        </w:tc>
        <w:tc>
          <w:tcPr>
            <w:tcW w:w="515" w:type="pct"/>
            <w:vAlign w:val="center"/>
          </w:tcPr>
          <w:p w14:paraId="79582B59" w14:textId="3B22CABE" w:rsidR="00FD7A6F" w:rsidRPr="0079132E" w:rsidRDefault="00144034" w:rsidP="00FD7A6F">
            <w:pPr>
              <w:pStyle w:val="TableText"/>
              <w:rPr>
                <w:rFonts w:asciiTheme="majorHAnsi" w:hAnsiTheme="majorHAnsi" w:cs="Tahoma"/>
              </w:rPr>
            </w:pPr>
            <w:r w:rsidRPr="01FDEA01">
              <w:rPr>
                <w:rFonts w:asciiTheme="majorHAnsi" w:hAnsiTheme="majorHAnsi" w:cs="Tahoma"/>
              </w:rPr>
              <w:t>190.05</w:t>
            </w:r>
          </w:p>
        </w:tc>
        <w:tc>
          <w:tcPr>
            <w:tcW w:w="515" w:type="pct"/>
            <w:vAlign w:val="center"/>
          </w:tcPr>
          <w:p w14:paraId="2D62C758"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209.05 </w:t>
            </w:r>
          </w:p>
        </w:tc>
        <w:tc>
          <w:tcPr>
            <w:tcW w:w="515" w:type="pct"/>
            <w:vAlign w:val="center"/>
          </w:tcPr>
          <w:p w14:paraId="41863E2E"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229.96 </w:t>
            </w:r>
          </w:p>
        </w:tc>
        <w:tc>
          <w:tcPr>
            <w:tcW w:w="515" w:type="pct"/>
            <w:vAlign w:val="center"/>
          </w:tcPr>
          <w:p w14:paraId="560C41ED"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252.95 </w:t>
            </w:r>
          </w:p>
        </w:tc>
        <w:tc>
          <w:tcPr>
            <w:tcW w:w="515" w:type="pct"/>
            <w:vAlign w:val="center"/>
          </w:tcPr>
          <w:p w14:paraId="2F4A0B6C"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278.25 </w:t>
            </w:r>
          </w:p>
        </w:tc>
        <w:tc>
          <w:tcPr>
            <w:tcW w:w="513" w:type="pct"/>
            <w:vAlign w:val="center"/>
          </w:tcPr>
          <w:p w14:paraId="46A4FE68"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306.07 </w:t>
            </w:r>
          </w:p>
        </w:tc>
      </w:tr>
      <w:tr w:rsidR="00A043F7" w:rsidRPr="00DE108C" w14:paraId="7610EBD2" w14:textId="77777777" w:rsidTr="00F369F6">
        <w:trPr>
          <w:cnfStyle w:val="000000010000" w:firstRow="0" w:lastRow="0" w:firstColumn="0" w:lastColumn="0" w:oddVBand="0" w:evenVBand="0" w:oddHBand="0" w:evenHBand="1" w:firstRowFirstColumn="0" w:firstRowLastColumn="0" w:lastRowFirstColumn="0" w:lastRowLastColumn="0"/>
          <w:cantSplit/>
        </w:trPr>
        <w:tc>
          <w:tcPr>
            <w:tcW w:w="1912" w:type="pct"/>
          </w:tcPr>
          <w:p w14:paraId="780F8EE5" w14:textId="77777777" w:rsidR="00046BD5" w:rsidRPr="00AF5712" w:rsidRDefault="00046BD5" w:rsidP="00ED094E">
            <w:pPr>
              <w:pStyle w:val="TableText"/>
              <w:rPr>
                <w:rFonts w:asciiTheme="majorHAnsi" w:eastAsia="Verdana" w:hAnsiTheme="majorHAnsi"/>
              </w:rPr>
            </w:pPr>
            <w:r w:rsidRPr="01FDEA01">
              <w:rPr>
                <w:rFonts w:asciiTheme="majorHAnsi" w:eastAsia="Aptos Display" w:hAnsiTheme="majorHAnsi" w:cs="Aptos Display"/>
                <w:lang w:val="en-US"/>
              </w:rPr>
              <w:t xml:space="preserve">Additional connections/works/build over </w:t>
            </w:r>
          </w:p>
        </w:tc>
        <w:tc>
          <w:tcPr>
            <w:tcW w:w="515" w:type="pct"/>
            <w:vAlign w:val="center"/>
          </w:tcPr>
          <w:p w14:paraId="3DB37FB7" w14:textId="5B073178" w:rsidR="00FD7A6F" w:rsidRPr="0079132E" w:rsidRDefault="00144034" w:rsidP="00FD7A6F">
            <w:pPr>
              <w:pStyle w:val="TableText"/>
              <w:rPr>
                <w:rFonts w:asciiTheme="majorHAnsi" w:hAnsiTheme="majorHAnsi" w:cs="Tahoma"/>
              </w:rPr>
            </w:pPr>
            <w:r w:rsidRPr="01FDEA01">
              <w:rPr>
                <w:rFonts w:asciiTheme="majorHAnsi" w:hAnsiTheme="majorHAnsi" w:cs="Tahoma"/>
              </w:rPr>
              <w:t>523.61</w:t>
            </w:r>
          </w:p>
        </w:tc>
        <w:tc>
          <w:tcPr>
            <w:tcW w:w="515" w:type="pct"/>
            <w:vAlign w:val="center"/>
          </w:tcPr>
          <w:p w14:paraId="07E9D1D1"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575.97 </w:t>
            </w:r>
          </w:p>
        </w:tc>
        <w:tc>
          <w:tcPr>
            <w:tcW w:w="515" w:type="pct"/>
            <w:vAlign w:val="center"/>
          </w:tcPr>
          <w:p w14:paraId="302304AF"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633.56 </w:t>
            </w:r>
          </w:p>
        </w:tc>
        <w:tc>
          <w:tcPr>
            <w:tcW w:w="515" w:type="pct"/>
            <w:vAlign w:val="center"/>
          </w:tcPr>
          <w:p w14:paraId="4A778B89"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696.92 </w:t>
            </w:r>
          </w:p>
        </w:tc>
        <w:tc>
          <w:tcPr>
            <w:tcW w:w="515" w:type="pct"/>
            <w:vAlign w:val="center"/>
          </w:tcPr>
          <w:p w14:paraId="6730D811"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766.61 </w:t>
            </w:r>
          </w:p>
        </w:tc>
        <w:tc>
          <w:tcPr>
            <w:tcW w:w="513" w:type="pct"/>
            <w:vAlign w:val="center"/>
          </w:tcPr>
          <w:p w14:paraId="57DDE116"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843.27 </w:t>
            </w:r>
          </w:p>
        </w:tc>
      </w:tr>
      <w:tr w:rsidR="00046BD5" w:rsidRPr="00DE108C" w14:paraId="7B7C46B6" w14:textId="77777777" w:rsidTr="00FD7A6F">
        <w:trPr>
          <w:cantSplit/>
        </w:trPr>
        <w:tc>
          <w:tcPr>
            <w:tcW w:w="1912" w:type="pct"/>
          </w:tcPr>
          <w:p w14:paraId="0233C789" w14:textId="77777777" w:rsidR="00046BD5" w:rsidRPr="00AF5712" w:rsidRDefault="00046BD5" w:rsidP="00ED094E">
            <w:pPr>
              <w:pStyle w:val="TableText"/>
              <w:rPr>
                <w:rFonts w:asciiTheme="majorHAnsi" w:eastAsia="Verdana" w:hAnsiTheme="majorHAnsi"/>
              </w:rPr>
            </w:pPr>
            <w:r w:rsidRPr="01FDEA01">
              <w:rPr>
                <w:rFonts w:asciiTheme="majorHAnsi" w:eastAsia="Aptos Display" w:hAnsiTheme="majorHAnsi" w:cs="Aptos Display"/>
                <w:lang w:val="en-US"/>
              </w:rPr>
              <w:t>Application fee for construction over or near Melbourne Water easements or assets</w:t>
            </w:r>
          </w:p>
        </w:tc>
        <w:tc>
          <w:tcPr>
            <w:tcW w:w="515" w:type="pct"/>
            <w:vAlign w:val="center"/>
          </w:tcPr>
          <w:p w14:paraId="35EE844E" w14:textId="55C86048" w:rsidR="00FD7A6F" w:rsidRPr="0079132E" w:rsidRDefault="00144034" w:rsidP="00FD7A6F">
            <w:pPr>
              <w:pStyle w:val="TableText"/>
              <w:rPr>
                <w:rFonts w:asciiTheme="majorHAnsi" w:hAnsiTheme="majorHAnsi" w:cs="Tahoma"/>
              </w:rPr>
            </w:pPr>
            <w:r w:rsidRPr="01FDEA01">
              <w:rPr>
                <w:rFonts w:asciiTheme="majorHAnsi" w:hAnsiTheme="majorHAnsi" w:cs="Tahoma"/>
              </w:rPr>
              <w:t>257.05</w:t>
            </w:r>
          </w:p>
        </w:tc>
        <w:tc>
          <w:tcPr>
            <w:tcW w:w="515" w:type="pct"/>
            <w:vAlign w:val="center"/>
          </w:tcPr>
          <w:p w14:paraId="177A8A25"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282.75 </w:t>
            </w:r>
          </w:p>
        </w:tc>
        <w:tc>
          <w:tcPr>
            <w:tcW w:w="515" w:type="pct"/>
            <w:vAlign w:val="center"/>
          </w:tcPr>
          <w:p w14:paraId="531269D6"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311.03 </w:t>
            </w:r>
          </w:p>
        </w:tc>
        <w:tc>
          <w:tcPr>
            <w:tcW w:w="515" w:type="pct"/>
            <w:vAlign w:val="center"/>
          </w:tcPr>
          <w:p w14:paraId="047310A9"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342.13 </w:t>
            </w:r>
          </w:p>
        </w:tc>
        <w:tc>
          <w:tcPr>
            <w:tcW w:w="515" w:type="pct"/>
            <w:vAlign w:val="center"/>
          </w:tcPr>
          <w:p w14:paraId="4D52D5AC"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376.34 </w:t>
            </w:r>
          </w:p>
        </w:tc>
        <w:tc>
          <w:tcPr>
            <w:tcW w:w="513" w:type="pct"/>
            <w:vAlign w:val="center"/>
          </w:tcPr>
          <w:p w14:paraId="7DDBFCC0" w14:textId="77777777" w:rsidR="00046BD5" w:rsidRPr="00804AB0" w:rsidRDefault="00046BD5" w:rsidP="00ED094E">
            <w:pPr>
              <w:pStyle w:val="TableText"/>
              <w:rPr>
                <w:rFonts w:asciiTheme="majorHAnsi" w:eastAsia="Verdana" w:hAnsiTheme="majorHAnsi"/>
              </w:rPr>
            </w:pPr>
            <w:r w:rsidRPr="01FDEA01">
              <w:rPr>
                <w:rFonts w:asciiTheme="majorHAnsi" w:hAnsiTheme="majorHAnsi" w:cs="Tahoma"/>
              </w:rPr>
              <w:t xml:space="preserve"> 413.98 </w:t>
            </w:r>
          </w:p>
        </w:tc>
      </w:tr>
      <w:tr w:rsidR="00A043F7" w:rsidRPr="00DE108C" w14:paraId="2EB8E305" w14:textId="77777777" w:rsidTr="00F369F6">
        <w:trPr>
          <w:cnfStyle w:val="000000010000" w:firstRow="0" w:lastRow="0" w:firstColumn="0" w:lastColumn="0" w:oddVBand="0" w:evenVBand="0" w:oddHBand="0" w:evenHBand="1" w:firstRowFirstColumn="0" w:firstRowLastColumn="0" w:lastRowFirstColumn="0" w:lastRowLastColumn="0"/>
          <w:cantSplit/>
        </w:trPr>
        <w:tc>
          <w:tcPr>
            <w:tcW w:w="1912" w:type="pct"/>
          </w:tcPr>
          <w:p w14:paraId="69B1A2C9" w14:textId="77777777" w:rsidR="00046BD5" w:rsidRPr="00AF5712" w:rsidRDefault="00046BD5" w:rsidP="00ED094E">
            <w:pPr>
              <w:pStyle w:val="TableText"/>
              <w:rPr>
                <w:rFonts w:asciiTheme="majorHAnsi" w:eastAsia="Verdana" w:hAnsiTheme="majorHAnsi"/>
              </w:rPr>
            </w:pPr>
            <w:r w:rsidRPr="01FDEA01">
              <w:rPr>
                <w:rFonts w:asciiTheme="majorHAnsi" w:eastAsia="Aptos Display" w:hAnsiTheme="majorHAnsi" w:cs="Aptos Display"/>
                <w:lang w:val="en-US"/>
              </w:rPr>
              <w:t>Fast Track Assessments</w:t>
            </w:r>
          </w:p>
        </w:tc>
        <w:tc>
          <w:tcPr>
            <w:tcW w:w="515" w:type="pct"/>
            <w:vAlign w:val="center"/>
          </w:tcPr>
          <w:p w14:paraId="0A5F2B71" w14:textId="6804F707" w:rsidR="00FD7A6F" w:rsidRPr="0079132E" w:rsidRDefault="00144034" w:rsidP="00FD7A6F">
            <w:pPr>
              <w:pStyle w:val="TableText"/>
              <w:rPr>
                <w:rFonts w:asciiTheme="majorHAnsi" w:hAnsiTheme="majorHAnsi" w:cs="Tahoma"/>
              </w:rPr>
            </w:pPr>
            <w:r w:rsidRPr="52A93CB1">
              <w:rPr>
                <w:rFonts w:asciiTheme="majorHAnsi" w:hAnsiTheme="majorHAnsi" w:cs="Tahoma"/>
              </w:rPr>
              <w:t>1,317.35</w:t>
            </w:r>
          </w:p>
        </w:tc>
        <w:tc>
          <w:tcPr>
            <w:tcW w:w="515" w:type="pct"/>
            <w:vAlign w:val="center"/>
          </w:tcPr>
          <w:p w14:paraId="5EBEDDCC" w14:textId="1698EA88" w:rsidR="00046BD5" w:rsidRPr="00804AB0" w:rsidRDefault="00046BD5" w:rsidP="00ED094E">
            <w:pPr>
              <w:pStyle w:val="TableText"/>
              <w:rPr>
                <w:rFonts w:asciiTheme="majorHAnsi" w:eastAsia="Verdana" w:hAnsiTheme="majorHAnsi"/>
              </w:rPr>
            </w:pPr>
            <w:r w:rsidRPr="52A93CB1">
              <w:rPr>
                <w:rFonts w:asciiTheme="majorHAnsi" w:hAnsiTheme="majorHAnsi" w:cs="Tahoma"/>
              </w:rPr>
              <w:t>1,449.08</w:t>
            </w:r>
          </w:p>
        </w:tc>
        <w:tc>
          <w:tcPr>
            <w:tcW w:w="515" w:type="pct"/>
            <w:vAlign w:val="center"/>
          </w:tcPr>
          <w:p w14:paraId="5B4FC0B6" w14:textId="52E644B3" w:rsidR="00046BD5" w:rsidRPr="00804AB0" w:rsidRDefault="00046BD5" w:rsidP="00ED094E">
            <w:pPr>
              <w:pStyle w:val="TableText"/>
              <w:rPr>
                <w:rFonts w:asciiTheme="majorHAnsi" w:eastAsia="Verdana" w:hAnsiTheme="majorHAnsi"/>
              </w:rPr>
            </w:pPr>
            <w:r w:rsidRPr="52A93CB1">
              <w:rPr>
                <w:rFonts w:asciiTheme="majorHAnsi" w:hAnsiTheme="majorHAnsi" w:cs="Tahoma"/>
              </w:rPr>
              <w:t>1,593.99</w:t>
            </w:r>
          </w:p>
        </w:tc>
        <w:tc>
          <w:tcPr>
            <w:tcW w:w="515" w:type="pct"/>
            <w:vAlign w:val="center"/>
          </w:tcPr>
          <w:p w14:paraId="1DA0EBA6" w14:textId="067BC901" w:rsidR="00046BD5" w:rsidRPr="00804AB0" w:rsidRDefault="00046BD5" w:rsidP="00ED094E">
            <w:pPr>
              <w:pStyle w:val="TableText"/>
              <w:rPr>
                <w:rFonts w:asciiTheme="majorHAnsi" w:eastAsia="Verdana" w:hAnsiTheme="majorHAnsi"/>
              </w:rPr>
            </w:pPr>
            <w:r w:rsidRPr="52A93CB1">
              <w:rPr>
                <w:rFonts w:asciiTheme="majorHAnsi" w:hAnsiTheme="majorHAnsi" w:cs="Tahoma"/>
              </w:rPr>
              <w:t>1,753.39</w:t>
            </w:r>
          </w:p>
        </w:tc>
        <w:tc>
          <w:tcPr>
            <w:tcW w:w="515" w:type="pct"/>
            <w:vAlign w:val="center"/>
          </w:tcPr>
          <w:p w14:paraId="417CF780" w14:textId="4FD10937" w:rsidR="00046BD5" w:rsidRPr="00804AB0" w:rsidRDefault="00046BD5" w:rsidP="00ED094E">
            <w:pPr>
              <w:pStyle w:val="TableText"/>
              <w:rPr>
                <w:rFonts w:asciiTheme="majorHAnsi" w:eastAsia="Verdana" w:hAnsiTheme="majorHAnsi"/>
              </w:rPr>
            </w:pPr>
            <w:r w:rsidRPr="52A93CB1">
              <w:rPr>
                <w:rFonts w:asciiTheme="majorHAnsi" w:hAnsiTheme="majorHAnsi" w:cs="Tahoma"/>
              </w:rPr>
              <w:t>1,928.73</w:t>
            </w:r>
          </w:p>
        </w:tc>
        <w:tc>
          <w:tcPr>
            <w:tcW w:w="513" w:type="pct"/>
            <w:vAlign w:val="center"/>
          </w:tcPr>
          <w:p w14:paraId="722FCC2E" w14:textId="06EF58DF" w:rsidR="00046BD5" w:rsidRPr="00804AB0" w:rsidRDefault="00046BD5" w:rsidP="00ED094E">
            <w:pPr>
              <w:pStyle w:val="TableText"/>
              <w:rPr>
                <w:rFonts w:asciiTheme="majorHAnsi" w:eastAsia="Verdana" w:hAnsiTheme="majorHAnsi"/>
              </w:rPr>
            </w:pPr>
            <w:r w:rsidRPr="52A93CB1">
              <w:rPr>
                <w:rFonts w:asciiTheme="majorHAnsi" w:hAnsiTheme="majorHAnsi" w:cs="Tahoma"/>
              </w:rPr>
              <w:t>2,121.60</w:t>
            </w:r>
          </w:p>
        </w:tc>
      </w:tr>
      <w:tr w:rsidR="00046BD5" w:rsidRPr="00DE108C" w14:paraId="7B99FC39" w14:textId="77777777" w:rsidTr="00FD7A6F">
        <w:trPr>
          <w:cantSplit/>
        </w:trPr>
        <w:tc>
          <w:tcPr>
            <w:tcW w:w="5000" w:type="pct"/>
            <w:gridSpan w:val="7"/>
          </w:tcPr>
          <w:p w14:paraId="05E9F649" w14:textId="53D9EAAB" w:rsidR="00046BD5" w:rsidRPr="00DE108C" w:rsidRDefault="00F369F6" w:rsidP="00ED094E">
            <w:pPr>
              <w:rPr>
                <w:rFonts w:asciiTheme="majorHAnsi" w:eastAsia="Aptos Display" w:hAnsiTheme="majorHAnsi"/>
                <w:b/>
                <w:sz w:val="16"/>
                <w:szCs w:val="16"/>
                <w:lang w:val="en-US"/>
              </w:rPr>
            </w:pPr>
            <w:r w:rsidRPr="00DE108C">
              <w:rPr>
                <w:rFonts w:asciiTheme="majorHAnsi" w:eastAsia="Aptos Display" w:hAnsiTheme="majorHAnsi"/>
                <w:b/>
                <w:bCs/>
                <w:sz w:val="16"/>
                <w:szCs w:val="16"/>
                <w:lang w:val="en-US"/>
              </w:rPr>
              <w:t>Inspection fee</w:t>
            </w:r>
          </w:p>
        </w:tc>
      </w:tr>
      <w:tr w:rsidR="00A043F7" w:rsidRPr="00DE108C" w14:paraId="0F5F4828" w14:textId="77777777" w:rsidTr="00F369F6">
        <w:trPr>
          <w:cnfStyle w:val="000000010000" w:firstRow="0" w:lastRow="0" w:firstColumn="0" w:lastColumn="0" w:oddVBand="0" w:evenVBand="0" w:oddHBand="0" w:evenHBand="1" w:firstRowFirstColumn="0" w:firstRowLastColumn="0" w:lastRowFirstColumn="0" w:lastRowLastColumn="0"/>
          <w:cantSplit/>
        </w:trPr>
        <w:tc>
          <w:tcPr>
            <w:tcW w:w="1912" w:type="pct"/>
          </w:tcPr>
          <w:p w14:paraId="5D6E0F44" w14:textId="47FF2769" w:rsidR="00046BD5" w:rsidRPr="00DE108C" w:rsidRDefault="00046BD5">
            <w:pPr>
              <w:pStyle w:val="ListParagraph"/>
              <w:numPr>
                <w:ilvl w:val="0"/>
                <w:numId w:val="16"/>
              </w:numPr>
              <w:rPr>
                <w:rFonts w:asciiTheme="majorHAnsi" w:eastAsia="Aptos Display" w:hAnsiTheme="majorHAnsi"/>
                <w:sz w:val="16"/>
                <w:szCs w:val="16"/>
                <w:lang w:val="en-US"/>
              </w:rPr>
            </w:pPr>
            <w:r w:rsidRPr="00DE108C">
              <w:rPr>
                <w:rFonts w:asciiTheme="majorHAnsi" w:eastAsia="Aptos Display" w:hAnsiTheme="majorHAnsi"/>
                <w:sz w:val="16"/>
                <w:szCs w:val="16"/>
                <w:lang w:val="en-US"/>
              </w:rPr>
              <w:t>Water Supply Inspections (per hour)</w:t>
            </w:r>
          </w:p>
        </w:tc>
        <w:tc>
          <w:tcPr>
            <w:tcW w:w="515" w:type="pct"/>
            <w:vAlign w:val="center"/>
          </w:tcPr>
          <w:p w14:paraId="1E01729B" w14:textId="4B9FAAAB" w:rsidR="00FD7A6F" w:rsidRPr="0079132E" w:rsidRDefault="00144034" w:rsidP="00FD7A6F">
            <w:pPr>
              <w:pStyle w:val="TableText"/>
              <w:rPr>
                <w:rFonts w:asciiTheme="majorHAnsi" w:eastAsia="Aptos" w:hAnsiTheme="majorHAnsi" w:cs="Aptos"/>
              </w:rPr>
            </w:pPr>
            <w:r w:rsidRPr="01FDEA01">
              <w:rPr>
                <w:rFonts w:asciiTheme="majorHAnsi" w:eastAsia="Aptos" w:hAnsiTheme="majorHAnsi" w:cs="Aptos"/>
              </w:rPr>
              <w:t>164.63</w:t>
            </w:r>
          </w:p>
        </w:tc>
        <w:tc>
          <w:tcPr>
            <w:tcW w:w="515" w:type="pct"/>
            <w:vAlign w:val="center"/>
          </w:tcPr>
          <w:p w14:paraId="624C8795" w14:textId="77777777" w:rsidR="00046BD5" w:rsidRPr="00804AB0" w:rsidRDefault="00046BD5">
            <w:pPr>
              <w:pStyle w:val="TableText"/>
              <w:rPr>
                <w:rFonts w:asciiTheme="majorHAnsi" w:eastAsia="Verdana" w:hAnsiTheme="majorHAnsi"/>
              </w:rPr>
            </w:pPr>
            <w:r w:rsidRPr="01FDEA01">
              <w:rPr>
                <w:rFonts w:asciiTheme="majorHAnsi" w:eastAsia="Aptos" w:hAnsiTheme="majorHAnsi" w:cs="Aptos"/>
              </w:rPr>
              <w:t>181.09</w:t>
            </w:r>
          </w:p>
        </w:tc>
        <w:tc>
          <w:tcPr>
            <w:tcW w:w="515" w:type="pct"/>
            <w:vAlign w:val="center"/>
          </w:tcPr>
          <w:p w14:paraId="2CFA3DD7" w14:textId="77777777" w:rsidR="00046BD5" w:rsidRPr="00804AB0" w:rsidRDefault="00046BD5">
            <w:pPr>
              <w:pStyle w:val="TableText"/>
              <w:rPr>
                <w:rFonts w:asciiTheme="majorHAnsi" w:eastAsia="Verdana" w:hAnsiTheme="majorHAnsi"/>
              </w:rPr>
            </w:pPr>
            <w:r w:rsidRPr="01FDEA01">
              <w:rPr>
                <w:rFonts w:asciiTheme="majorHAnsi" w:eastAsia="Aptos" w:hAnsiTheme="majorHAnsi" w:cs="Aptos"/>
              </w:rPr>
              <w:t>199.20</w:t>
            </w:r>
          </w:p>
        </w:tc>
        <w:tc>
          <w:tcPr>
            <w:tcW w:w="515" w:type="pct"/>
            <w:vAlign w:val="center"/>
          </w:tcPr>
          <w:p w14:paraId="17232B5D" w14:textId="77777777" w:rsidR="00046BD5" w:rsidRPr="00804AB0" w:rsidRDefault="00046BD5">
            <w:pPr>
              <w:pStyle w:val="TableText"/>
              <w:rPr>
                <w:rFonts w:asciiTheme="majorHAnsi" w:eastAsia="Verdana" w:hAnsiTheme="majorHAnsi"/>
              </w:rPr>
            </w:pPr>
            <w:r w:rsidRPr="01FDEA01">
              <w:rPr>
                <w:rFonts w:asciiTheme="majorHAnsi" w:eastAsia="Aptos" w:hAnsiTheme="majorHAnsi" w:cs="Aptos"/>
              </w:rPr>
              <w:t>219.12</w:t>
            </w:r>
          </w:p>
        </w:tc>
        <w:tc>
          <w:tcPr>
            <w:tcW w:w="515" w:type="pct"/>
            <w:vAlign w:val="center"/>
          </w:tcPr>
          <w:p w14:paraId="3B43427C" w14:textId="77777777" w:rsidR="00046BD5" w:rsidRPr="00804AB0" w:rsidRDefault="00046BD5">
            <w:pPr>
              <w:pStyle w:val="TableText"/>
              <w:rPr>
                <w:rFonts w:asciiTheme="majorHAnsi" w:eastAsia="Verdana" w:hAnsiTheme="majorHAnsi"/>
              </w:rPr>
            </w:pPr>
            <w:r w:rsidRPr="01FDEA01">
              <w:rPr>
                <w:rFonts w:asciiTheme="majorHAnsi" w:eastAsia="Verdana" w:hAnsiTheme="majorHAnsi"/>
              </w:rPr>
              <w:t>241.04</w:t>
            </w:r>
          </w:p>
        </w:tc>
        <w:tc>
          <w:tcPr>
            <w:tcW w:w="513" w:type="pct"/>
            <w:vAlign w:val="center"/>
          </w:tcPr>
          <w:p w14:paraId="1E5A75A0" w14:textId="77777777" w:rsidR="00046BD5" w:rsidRPr="00804AB0" w:rsidRDefault="00046BD5">
            <w:pPr>
              <w:pStyle w:val="TableText"/>
              <w:rPr>
                <w:rFonts w:asciiTheme="majorHAnsi" w:eastAsia="Verdana" w:hAnsiTheme="majorHAnsi"/>
              </w:rPr>
            </w:pPr>
            <w:r w:rsidRPr="01FDEA01">
              <w:rPr>
                <w:rFonts w:asciiTheme="majorHAnsi" w:eastAsia="Aptos" w:hAnsiTheme="majorHAnsi" w:cs="Aptos"/>
              </w:rPr>
              <w:t>265.14</w:t>
            </w:r>
          </w:p>
        </w:tc>
      </w:tr>
      <w:tr w:rsidR="00046BD5" w:rsidRPr="00DE108C" w14:paraId="6F01DCD0" w14:textId="77777777" w:rsidTr="00FD7A6F">
        <w:trPr>
          <w:cantSplit/>
        </w:trPr>
        <w:tc>
          <w:tcPr>
            <w:tcW w:w="1912" w:type="pct"/>
          </w:tcPr>
          <w:p w14:paraId="555FCF84" w14:textId="129EF2C9" w:rsidR="00046BD5" w:rsidRPr="00AF5712" w:rsidRDefault="00046BD5">
            <w:pPr>
              <w:pStyle w:val="TableText"/>
              <w:numPr>
                <w:ilvl w:val="0"/>
                <w:numId w:val="16"/>
              </w:numPr>
              <w:spacing w:line="320" w:lineRule="atLeast"/>
              <w:rPr>
                <w:rFonts w:asciiTheme="majorHAnsi" w:eastAsia="Verdana" w:hAnsiTheme="majorHAnsi"/>
              </w:rPr>
            </w:pPr>
            <w:r w:rsidRPr="01FDEA01">
              <w:rPr>
                <w:rFonts w:asciiTheme="majorHAnsi" w:eastAsia="Aptos Display" w:hAnsiTheme="majorHAnsi" w:cs="Aptos Display"/>
                <w:lang w:val="en-US"/>
              </w:rPr>
              <w:t xml:space="preserve">Inspection fee (maximum three inspections) </w:t>
            </w:r>
          </w:p>
        </w:tc>
        <w:tc>
          <w:tcPr>
            <w:tcW w:w="515" w:type="pct"/>
            <w:vAlign w:val="center"/>
          </w:tcPr>
          <w:p w14:paraId="3B43AA66" w14:textId="5430E778" w:rsidR="00FD7A6F" w:rsidRPr="0079132E" w:rsidRDefault="00CA5CE2" w:rsidP="00FD7A6F">
            <w:pPr>
              <w:pStyle w:val="TableText"/>
              <w:rPr>
                <w:rFonts w:asciiTheme="majorHAnsi" w:eastAsia="Aptos Display" w:hAnsiTheme="majorHAnsi" w:cs="Aptos Display"/>
              </w:rPr>
            </w:pPr>
            <w:r w:rsidRPr="01FDEA01">
              <w:rPr>
                <w:rFonts w:asciiTheme="majorHAnsi" w:eastAsia="Aptos Display" w:hAnsiTheme="majorHAnsi" w:cs="Aptos Display"/>
              </w:rPr>
              <w:t>333</w:t>
            </w:r>
            <w:r w:rsidR="00BF58D2" w:rsidRPr="01FDEA01">
              <w:rPr>
                <w:rFonts w:asciiTheme="majorHAnsi" w:eastAsia="Aptos Display" w:hAnsiTheme="majorHAnsi" w:cs="Aptos Display"/>
              </w:rPr>
              <w:t>.56</w:t>
            </w:r>
          </w:p>
        </w:tc>
        <w:tc>
          <w:tcPr>
            <w:tcW w:w="515" w:type="pct"/>
            <w:vAlign w:val="center"/>
          </w:tcPr>
          <w:p w14:paraId="57A8E281" w14:textId="77777777" w:rsidR="00046BD5" w:rsidRPr="00804AB0" w:rsidRDefault="00046BD5">
            <w:pPr>
              <w:pStyle w:val="TableText"/>
              <w:rPr>
                <w:rFonts w:asciiTheme="majorHAnsi" w:eastAsia="Verdana" w:hAnsiTheme="majorHAnsi"/>
              </w:rPr>
            </w:pPr>
            <w:r w:rsidRPr="01FDEA01">
              <w:rPr>
                <w:rFonts w:asciiTheme="majorHAnsi" w:eastAsia="Aptos Display" w:hAnsiTheme="majorHAnsi" w:cs="Aptos Display"/>
              </w:rPr>
              <w:t>366.91</w:t>
            </w:r>
          </w:p>
        </w:tc>
        <w:tc>
          <w:tcPr>
            <w:tcW w:w="515" w:type="pct"/>
            <w:vAlign w:val="center"/>
          </w:tcPr>
          <w:p w14:paraId="050649C1" w14:textId="77777777" w:rsidR="00046BD5" w:rsidRPr="00804AB0" w:rsidRDefault="00046BD5">
            <w:pPr>
              <w:pStyle w:val="TableText"/>
              <w:rPr>
                <w:rFonts w:asciiTheme="majorHAnsi" w:eastAsia="Verdana" w:hAnsiTheme="majorHAnsi"/>
              </w:rPr>
            </w:pPr>
            <w:r w:rsidRPr="01FDEA01">
              <w:rPr>
                <w:rFonts w:asciiTheme="majorHAnsi" w:eastAsia="Aptos" w:hAnsiTheme="majorHAnsi" w:cs="Aptos"/>
              </w:rPr>
              <w:t>403.60</w:t>
            </w:r>
          </w:p>
        </w:tc>
        <w:tc>
          <w:tcPr>
            <w:tcW w:w="515" w:type="pct"/>
            <w:vAlign w:val="center"/>
          </w:tcPr>
          <w:p w14:paraId="5D483140" w14:textId="77777777" w:rsidR="00046BD5" w:rsidRPr="00804AB0" w:rsidRDefault="00046BD5">
            <w:pPr>
              <w:pStyle w:val="TableText"/>
              <w:rPr>
                <w:rFonts w:asciiTheme="majorHAnsi" w:eastAsia="Verdana" w:hAnsiTheme="majorHAnsi"/>
              </w:rPr>
            </w:pPr>
            <w:r w:rsidRPr="01FDEA01">
              <w:rPr>
                <w:rFonts w:asciiTheme="majorHAnsi" w:eastAsia="Aptos" w:hAnsiTheme="majorHAnsi" w:cs="Aptos"/>
              </w:rPr>
              <w:t>443.96</w:t>
            </w:r>
          </w:p>
        </w:tc>
        <w:tc>
          <w:tcPr>
            <w:tcW w:w="515" w:type="pct"/>
            <w:vAlign w:val="center"/>
          </w:tcPr>
          <w:p w14:paraId="359650AC" w14:textId="77777777" w:rsidR="00046BD5" w:rsidRPr="00804AB0" w:rsidRDefault="00046BD5">
            <w:pPr>
              <w:pStyle w:val="TableText"/>
              <w:rPr>
                <w:rFonts w:asciiTheme="majorHAnsi" w:eastAsia="Verdana" w:hAnsiTheme="majorHAnsi"/>
              </w:rPr>
            </w:pPr>
            <w:r w:rsidRPr="01FDEA01">
              <w:rPr>
                <w:rFonts w:asciiTheme="majorHAnsi" w:eastAsia="Aptos" w:hAnsiTheme="majorHAnsi" w:cs="Aptos"/>
              </w:rPr>
              <w:t>488.36</w:t>
            </w:r>
          </w:p>
        </w:tc>
        <w:tc>
          <w:tcPr>
            <w:tcW w:w="513" w:type="pct"/>
            <w:vAlign w:val="center"/>
          </w:tcPr>
          <w:p w14:paraId="62A1A9F4" w14:textId="77777777" w:rsidR="00046BD5" w:rsidRPr="00804AB0" w:rsidRDefault="00046BD5">
            <w:pPr>
              <w:pStyle w:val="TableText"/>
              <w:rPr>
                <w:rFonts w:asciiTheme="majorHAnsi" w:eastAsia="Verdana" w:hAnsiTheme="majorHAnsi"/>
              </w:rPr>
            </w:pPr>
            <w:r w:rsidRPr="01FDEA01">
              <w:rPr>
                <w:rFonts w:asciiTheme="majorHAnsi" w:eastAsia="Verdana" w:hAnsiTheme="majorHAnsi"/>
              </w:rPr>
              <w:t>537.20</w:t>
            </w:r>
          </w:p>
        </w:tc>
      </w:tr>
    </w:tbl>
    <w:p w14:paraId="35811C56" w14:textId="77777777" w:rsidR="00046BD5" w:rsidRPr="00DE108C" w:rsidRDefault="00046BD5">
      <w:pPr>
        <w:pStyle w:val="BodyText"/>
      </w:pPr>
    </w:p>
    <w:p w14:paraId="3528E3FD" w14:textId="77777777" w:rsidR="00046BD5" w:rsidRPr="00DE108C" w:rsidRDefault="00046BD5">
      <w:pPr>
        <w:pStyle w:val="Heading2"/>
      </w:pPr>
      <w:bookmarkStart w:id="1206" w:name="_Toc196745308"/>
      <w:bookmarkStart w:id="1207" w:name="_Toc207892937"/>
      <w:bookmarkStart w:id="1208" w:name="_Toc207853430"/>
      <w:r w:rsidRPr="00DE108C">
        <w:t>11.5 Development Services Scheme rates</w:t>
      </w:r>
      <w:bookmarkEnd w:id="1206"/>
      <w:bookmarkEnd w:id="1207"/>
      <w:bookmarkEnd w:id="1208"/>
    </w:p>
    <w:bookmarkEnd w:id="1083"/>
    <w:bookmarkEnd w:id="1084"/>
    <w:p w14:paraId="7CBF2517" w14:textId="77777777" w:rsidR="00046BD5" w:rsidRPr="00DE108C" w:rsidRDefault="00046BD5" w:rsidP="00ED094E">
      <w:r w:rsidRPr="00DE108C">
        <w:t>Melbourne Water has two set of principles in relation to development services schemes</w:t>
      </w:r>
    </w:p>
    <w:p w14:paraId="4BFEEECC" w14:textId="67F4F51A" w:rsidR="00046BD5" w:rsidRPr="00095E1B" w:rsidRDefault="7296A90F" w:rsidP="00095E1B">
      <w:pPr>
        <w:pStyle w:val="ListBullet"/>
        <w:rPr>
          <w:rFonts w:eastAsia="Verdana"/>
        </w:rPr>
      </w:pPr>
      <w:r w:rsidRPr="00095E1B">
        <w:rPr>
          <w:rFonts w:eastAsia="Verdana"/>
        </w:rPr>
        <w:t>p</w:t>
      </w:r>
      <w:r w:rsidR="00046BD5" w:rsidRPr="00095E1B">
        <w:rPr>
          <w:rFonts w:eastAsia="Verdana"/>
        </w:rPr>
        <w:t>rincip</w:t>
      </w:r>
      <w:r w:rsidR="005B23F2" w:rsidRPr="00095E1B">
        <w:rPr>
          <w:rFonts w:eastAsia="Verdana"/>
        </w:rPr>
        <w:t>le</w:t>
      </w:r>
      <w:r w:rsidR="00046BD5" w:rsidRPr="00095E1B">
        <w:rPr>
          <w:rFonts w:eastAsia="Verdana"/>
        </w:rPr>
        <w:t>s around the establishment of development individual services schemes</w:t>
      </w:r>
    </w:p>
    <w:p w14:paraId="0E1BE34D" w14:textId="1233EEF5" w:rsidR="00046BD5" w:rsidRPr="00095E1B" w:rsidRDefault="0E258E4F" w:rsidP="00095E1B">
      <w:pPr>
        <w:pStyle w:val="ListBullet"/>
        <w:rPr>
          <w:rFonts w:eastAsia="Verdana"/>
        </w:rPr>
      </w:pPr>
      <w:r w:rsidRPr="00095E1B">
        <w:rPr>
          <w:rFonts w:eastAsia="Verdana"/>
        </w:rPr>
        <w:t>p</w:t>
      </w:r>
      <w:r w:rsidR="00046BD5" w:rsidRPr="00095E1B">
        <w:rPr>
          <w:rFonts w:eastAsia="Verdana"/>
        </w:rPr>
        <w:t>ricing principles that Melbourne Water uses to calculate scheme rates</w:t>
      </w:r>
      <w:r w:rsidR="664A722B" w:rsidRPr="00095E1B">
        <w:rPr>
          <w:rFonts w:eastAsia="Verdana"/>
        </w:rPr>
        <w:t>.</w:t>
      </w:r>
      <w:r w:rsidR="00046BD5" w:rsidRPr="00095E1B">
        <w:rPr>
          <w:rFonts w:eastAsia="Verdana"/>
        </w:rPr>
        <w:t xml:space="preserve"> </w:t>
      </w:r>
    </w:p>
    <w:p w14:paraId="5EEBB69F" w14:textId="4BF1CBB7" w:rsidR="00046BD5" w:rsidRPr="00F80C1F" w:rsidRDefault="00046BD5" w:rsidP="01FDEA01">
      <w:pPr>
        <w:spacing w:afterAutospacing="1" w:line="320" w:lineRule="atLeast"/>
        <w:rPr>
          <w:rFonts w:eastAsia="Verdana"/>
        </w:rPr>
      </w:pPr>
      <w:r w:rsidRPr="00DE108C">
        <w:t xml:space="preserve">The pricing principles we use to calculate the scheme rates are shown in </w:t>
      </w:r>
      <w:r w:rsidR="00482F19" w:rsidRPr="00DE108C">
        <w:t>Box</w:t>
      </w:r>
      <w:r w:rsidRPr="00DE108C">
        <w:t xml:space="preserve"> 11.1. </w:t>
      </w:r>
    </w:p>
    <w:p w14:paraId="69EECEAB" w14:textId="0DA46530" w:rsidR="48F53289" w:rsidRDefault="48F53289" w:rsidP="01FDEA01">
      <w:pPr>
        <w:spacing w:afterAutospacing="1" w:line="320" w:lineRule="atLeast"/>
        <w:rPr>
          <w:rFonts w:eastAsia="Verdana"/>
        </w:rPr>
      </w:pPr>
      <w:r w:rsidRPr="01FDEA01">
        <w:rPr>
          <w:rFonts w:eastAsia="Verdana"/>
        </w:rPr>
        <w:t>The price calculated for each Develop</w:t>
      </w:r>
      <w:r w:rsidR="00587B6D">
        <w:rPr>
          <w:rFonts w:eastAsia="Verdana"/>
        </w:rPr>
        <w:t>ment</w:t>
      </w:r>
      <w:r w:rsidRPr="01FDEA01">
        <w:rPr>
          <w:rFonts w:eastAsia="Verdana"/>
        </w:rPr>
        <w:t xml:space="preserve"> Services Scheme achieves </w:t>
      </w:r>
      <w:r w:rsidR="00BF1BB9">
        <w:rPr>
          <w:rFonts w:eastAsia="Verdana"/>
        </w:rPr>
        <w:t>net present value (</w:t>
      </w:r>
      <w:r w:rsidRPr="01FDEA01">
        <w:rPr>
          <w:rFonts w:eastAsia="Verdana"/>
        </w:rPr>
        <w:t>NPV</w:t>
      </w:r>
      <w:r w:rsidR="00BF1BB9">
        <w:rPr>
          <w:rFonts w:eastAsia="Verdana"/>
        </w:rPr>
        <w:t>)</w:t>
      </w:r>
      <w:r w:rsidRPr="01FDEA01">
        <w:rPr>
          <w:rFonts w:eastAsia="Verdana"/>
        </w:rPr>
        <w:t xml:space="preserve"> neutrality over the life of the scheme. To do this, we must include all income received and to be received, and all expenditure spent and to be spent. </w:t>
      </w:r>
      <w:r w:rsidR="6B067E5F" w:rsidRPr="12A589F4">
        <w:rPr>
          <w:rFonts w:eastAsia="Verdana"/>
        </w:rPr>
        <w:t>Therefore</w:t>
      </w:r>
      <w:r w:rsidRPr="01FDEA01">
        <w:rPr>
          <w:rFonts w:eastAsia="Verdana"/>
        </w:rPr>
        <w:t xml:space="preserve">, to clarify the pricing principles, Melbourne Water has updated the principles in Box 11.1 to align with </w:t>
      </w:r>
      <w:r w:rsidR="000A799D">
        <w:rPr>
          <w:rFonts w:eastAsia="Verdana"/>
        </w:rPr>
        <w:t xml:space="preserve">the current </w:t>
      </w:r>
      <w:r w:rsidRPr="01FDEA01">
        <w:rPr>
          <w:rFonts w:eastAsia="Verdana"/>
        </w:rPr>
        <w:t>agreed practice.</w:t>
      </w:r>
    </w:p>
    <w:p w14:paraId="33E454F9" w14:textId="29542D21" w:rsidR="0EE79AC7" w:rsidRDefault="0EE79AC7" w:rsidP="01FDEA01">
      <w:pPr>
        <w:spacing w:afterAutospacing="1" w:line="320" w:lineRule="atLeast"/>
        <w:rPr>
          <w:rFonts w:eastAsia="Verdana"/>
        </w:rPr>
      </w:pPr>
    </w:p>
    <w:bookmarkStart w:id="1209" w:name="_Ref206428961"/>
    <w:bookmarkStart w:id="1210" w:name="_Toc207893125"/>
    <w:bookmarkStart w:id="1211" w:name="_Toc208490649"/>
    <w:bookmarkStart w:id="1212" w:name="_Toc208490987"/>
    <w:bookmarkStart w:id="1213" w:name="_Toc208911145"/>
    <w:bookmarkStart w:id="1214" w:name="_Toc210051451"/>
    <w:p w14:paraId="13C9CDB4" w14:textId="4EBE8FEE" w:rsidR="00046BD5" w:rsidRPr="00DE108C" w:rsidRDefault="00095E1B" w:rsidP="00ED094E">
      <w:pPr>
        <w:pStyle w:val="Caption"/>
      </w:pPr>
      <w:r w:rsidRPr="00DE108C">
        <w:rPr>
          <w:noProof/>
        </w:rPr>
        <w:lastRenderedPageBreak/>
        <mc:AlternateContent>
          <mc:Choice Requires="wps">
            <w:drawing>
              <wp:anchor distT="45720" distB="45720" distL="114300" distR="114300" simplePos="0" relativeHeight="251660324" behindDoc="0" locked="0" layoutInCell="1" allowOverlap="1" wp14:anchorId="05490BF0" wp14:editId="7FA48B9A">
                <wp:simplePos x="0" y="0"/>
                <wp:positionH relativeFrom="margin">
                  <wp:align>left</wp:align>
                </wp:positionH>
                <wp:positionV relativeFrom="paragraph">
                  <wp:posOffset>203200</wp:posOffset>
                </wp:positionV>
                <wp:extent cx="6134100" cy="3040380"/>
                <wp:effectExtent l="0" t="0" r="19050" b="26670"/>
                <wp:wrapTopAndBottom/>
                <wp:docPr id="73578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34100" cy="3040380"/>
                        </a:xfrm>
                        <a:prstGeom prst="rect">
                          <a:avLst/>
                        </a:prstGeom>
                        <a:solidFill>
                          <a:schemeClr val="bg2"/>
                        </a:solidFill>
                        <a:ln w="9525">
                          <a:solidFill>
                            <a:srgbClr val="000000"/>
                          </a:solidFill>
                          <a:miter/>
                        </a:ln>
                      </wps:spPr>
                      <wps:txbx>
                        <w:txbxContent>
                          <w:p w14:paraId="0E9FB891" w14:textId="77777777" w:rsidR="00095E1B" w:rsidRPr="00DE108C" w:rsidRDefault="00095E1B" w:rsidP="00095E1B">
                            <w:pPr>
                              <w:rPr>
                                <w:color w:val="auto"/>
                              </w:rPr>
                            </w:pPr>
                            <w:r w:rsidRPr="00DE108C">
                              <w:rPr>
                                <w:color w:val="auto"/>
                              </w:rPr>
                              <w:t xml:space="preserve">Developer charges will be calculated by: </w:t>
                            </w:r>
                          </w:p>
                          <w:p w14:paraId="20785BF5" w14:textId="77777777" w:rsidR="00095E1B" w:rsidRPr="00DE108C" w:rsidRDefault="00095E1B" w:rsidP="00095E1B">
                            <w:pPr>
                              <w:pStyle w:val="ListBullet"/>
                            </w:pPr>
                            <w:r w:rsidRPr="00DE108C">
                              <w:t>identifying historic and future capital expenditure for each year of the expected life of the scheme</w:t>
                            </w:r>
                          </w:p>
                          <w:p w14:paraId="446C9235" w14:textId="77777777" w:rsidR="00095E1B" w:rsidRPr="00524ECD" w:rsidRDefault="00095E1B" w:rsidP="00095E1B">
                            <w:pPr>
                              <w:pStyle w:val="ListBullet"/>
                            </w:pPr>
                            <w:r>
                              <w:t>determining the appropriate developable unit (developable hectares for greenfield schemes, developable floor area or other density unit where appropriate for urban renewal precincts)</w:t>
                            </w:r>
                          </w:p>
                          <w:p w14:paraId="1431CAAE" w14:textId="77777777" w:rsidR="00095E1B" w:rsidRPr="00DE108C" w:rsidRDefault="00095E1B" w:rsidP="00095E1B">
                            <w:pPr>
                              <w:pStyle w:val="ListBullet"/>
                            </w:pPr>
                            <w:r w:rsidRPr="00DE108C">
                              <w:t xml:space="preserve">identifying actual income and developable </w:t>
                            </w:r>
                            <w:r>
                              <w:t>units</w:t>
                            </w:r>
                          </w:p>
                          <w:p w14:paraId="55393D5E" w14:textId="77777777" w:rsidR="00095E1B" w:rsidRPr="00DE108C" w:rsidRDefault="00095E1B" w:rsidP="00095E1B">
                            <w:pPr>
                              <w:pStyle w:val="ListBullet"/>
                            </w:pPr>
                            <w:r w:rsidRPr="00524ECD">
                              <w:t xml:space="preserve">identifying forecast developable </w:t>
                            </w:r>
                            <w:r>
                              <w:t>units each year</w:t>
                            </w:r>
                          </w:p>
                          <w:p w14:paraId="0FF415EB" w14:textId="77777777" w:rsidR="00095E1B" w:rsidRPr="00DE108C" w:rsidRDefault="00095E1B" w:rsidP="00095E1B">
                            <w:pPr>
                              <w:pStyle w:val="ListBullet"/>
                            </w:pPr>
                            <w:r w:rsidRPr="00DE108C">
                              <w:t xml:space="preserve">applying a pre-tax real discount rate (consistent with that determined by the commission) to convert </w:t>
                            </w:r>
                            <w:r>
                              <w:t xml:space="preserve">historic and </w:t>
                            </w:r>
                            <w:r w:rsidRPr="00DE108C">
                              <w:t xml:space="preserve">future cash flows into present value terms </w:t>
                            </w:r>
                          </w:p>
                          <w:p w14:paraId="21F998E3" w14:textId="77777777" w:rsidR="00095E1B" w:rsidRPr="00DE108C" w:rsidRDefault="00095E1B" w:rsidP="00095E1B">
                            <w:pPr>
                              <w:pStyle w:val="ListBullet"/>
                            </w:pPr>
                            <w:r w:rsidRPr="00DE108C">
                              <w:t xml:space="preserve">setting the developer charge such that the present value of historic and future income equals the present value of historic and future costs, where future income is equal to the developable </w:t>
                            </w:r>
                            <w:r>
                              <w:t>units</w:t>
                            </w:r>
                            <w:r w:rsidRPr="00DE108C">
                              <w:t xml:space="preserve"> in each year multiplied by the developer charge </w:t>
                            </w:r>
                          </w:p>
                          <w:p w14:paraId="7F6AFEFF" w14:textId="77777777" w:rsidR="00095E1B" w:rsidRDefault="00095E1B" w:rsidP="00095E1B">
                            <w:pPr>
                              <w:pStyle w:val="ListBullet"/>
                              <w:rPr>
                                <w:rFonts w:ascii="Verdana" w:eastAsia="Verdana" w:hAnsi="Verdana"/>
                              </w:rPr>
                            </w:pPr>
                            <w:r w:rsidRPr="00DE108C">
                              <w:t>reviewing the financial assumptions relating to each scheme on an annual basis and reviewing engineering specifications every five years</w:t>
                            </w:r>
                            <w:r w:rsidRPr="3BA13507">
                              <w:t>.</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05490BF0" id="_x0000_s1054" style="position:absolute;margin-left:0;margin-top:16pt;width:483pt;height:239.4pt;z-index:2516603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" fillcolor="#eff5fb [3214]">
                <v:textbox>
                  <w:txbxContent>
                    <w:p w14:paraId="0E9FB891" w14:textId="77777777" w:rsidR="00095E1B" w:rsidRPr="00DE108C" w:rsidRDefault="00095E1B" w:rsidP="00095E1B">
                      <w:pPr>
                        <w:rPr>
                          <w:color w:val="auto"/>
                        </w:rPr>
                      </w:pPr>
                      <w:r w:rsidRPr="00DE108C">
                        <w:rPr>
                          <w:color w:val="auto"/>
                        </w:rPr>
                        <w:t xml:space="preserve">Developer charges will be calculated by: </w:t>
                      </w:r>
                    </w:p>
                    <w:p w14:paraId="20785BF5" w14:textId="77777777" w:rsidR="00095E1B" w:rsidRPr="00DE108C" w:rsidRDefault="00095E1B" w:rsidP="00095E1B">
                      <w:pPr>
                        <w:pStyle w:val="ListBullet"/>
                      </w:pPr>
                      <w:r w:rsidRPr="00DE108C">
                        <w:t>identifying historic and future capital expenditure for each year of the expected life of the scheme</w:t>
                      </w:r>
                    </w:p>
                    <w:p w14:paraId="446C9235" w14:textId="77777777" w:rsidR="00095E1B" w:rsidRPr="00524ECD" w:rsidRDefault="00095E1B" w:rsidP="00095E1B">
                      <w:pPr>
                        <w:pStyle w:val="ListBullet"/>
                      </w:pPr>
                      <w:r>
                        <w:t>determining the appropriate developable unit (developable hectares for greenfield schemes, developable floor area or other density unit where appropriate for urban renewal precincts)</w:t>
                      </w:r>
                    </w:p>
                    <w:p w14:paraId="1431CAAE" w14:textId="77777777" w:rsidR="00095E1B" w:rsidRPr="00DE108C" w:rsidRDefault="00095E1B" w:rsidP="00095E1B">
                      <w:pPr>
                        <w:pStyle w:val="ListBullet"/>
                      </w:pPr>
                      <w:r w:rsidRPr="00DE108C">
                        <w:t xml:space="preserve">identifying actual income and developable </w:t>
                      </w:r>
                      <w:r>
                        <w:t>units</w:t>
                      </w:r>
                    </w:p>
                    <w:p w14:paraId="55393D5E" w14:textId="77777777" w:rsidR="00095E1B" w:rsidRPr="00DE108C" w:rsidRDefault="00095E1B" w:rsidP="00095E1B">
                      <w:pPr>
                        <w:pStyle w:val="ListBullet"/>
                      </w:pPr>
                      <w:r w:rsidRPr="00524ECD">
                        <w:t xml:space="preserve">identifying forecast developable </w:t>
                      </w:r>
                      <w:r>
                        <w:t>units each year</w:t>
                      </w:r>
                    </w:p>
                    <w:p w14:paraId="0FF415EB" w14:textId="77777777" w:rsidR="00095E1B" w:rsidRPr="00DE108C" w:rsidRDefault="00095E1B" w:rsidP="00095E1B">
                      <w:pPr>
                        <w:pStyle w:val="ListBullet"/>
                      </w:pPr>
                      <w:r w:rsidRPr="00DE108C">
                        <w:t xml:space="preserve">applying a pre-tax real discount rate (consistent with that determined by the commission) to convert </w:t>
                      </w:r>
                      <w:r>
                        <w:t xml:space="preserve">historic and </w:t>
                      </w:r>
                      <w:r w:rsidRPr="00DE108C">
                        <w:t xml:space="preserve">future cash flows into present value terms </w:t>
                      </w:r>
                    </w:p>
                    <w:p w14:paraId="21F998E3" w14:textId="77777777" w:rsidR="00095E1B" w:rsidRPr="00DE108C" w:rsidRDefault="00095E1B" w:rsidP="00095E1B">
                      <w:pPr>
                        <w:pStyle w:val="ListBullet"/>
                      </w:pPr>
                      <w:r w:rsidRPr="00DE108C">
                        <w:t xml:space="preserve">setting the developer charge such that the present value of historic and future income equals the present value of historic and future costs, where future income is equal to the developable </w:t>
                      </w:r>
                      <w:r>
                        <w:t>units</w:t>
                      </w:r>
                      <w:r w:rsidRPr="00DE108C">
                        <w:t xml:space="preserve"> in each year multiplied by the developer charge </w:t>
                      </w:r>
                    </w:p>
                    <w:p w14:paraId="7F6AFEFF" w14:textId="77777777" w:rsidR="00095E1B" w:rsidRDefault="00095E1B" w:rsidP="00095E1B">
                      <w:pPr>
                        <w:pStyle w:val="ListBullet"/>
                        <w:rPr>
                          <w:rFonts w:ascii="Verdana" w:eastAsia="Verdana" w:hAnsi="Verdana"/>
                        </w:rPr>
                      </w:pPr>
                      <w:r w:rsidRPr="00DE108C">
                        <w:t>reviewing the financial assumptions relating to each scheme on an annual basis and reviewing engineering specifications every five years</w:t>
                      </w:r>
                      <w:r w:rsidRPr="3BA13507">
                        <w:t>.</w:t>
                      </w:r>
                    </w:p>
                  </w:txbxContent>
                </v:textbox>
                <w10:wrap type="topAndBottom" anchorx="margin"/>
              </v:rect>
            </w:pict>
          </mc:Fallback>
        </mc:AlternateContent>
      </w:r>
      <w:r w:rsidR="00821A1F" w:rsidRPr="00DE108C">
        <w:t>Box</w:t>
      </w:r>
      <w:r w:rsidR="00046BD5" w:rsidRPr="00DE108C">
        <w:t xml:space="preserve"> </w:t>
      </w:r>
      <w:bookmarkEnd w:id="1209"/>
      <w:r w:rsidR="00046BD5" w:rsidRPr="00DE108C">
        <w:t>11.1: Developer charges pricing principles</w:t>
      </w:r>
      <w:bookmarkEnd w:id="1210"/>
      <w:bookmarkEnd w:id="1211"/>
      <w:bookmarkEnd w:id="1212"/>
      <w:bookmarkEnd w:id="1213"/>
      <w:bookmarkEnd w:id="1214"/>
    </w:p>
    <w:p w14:paraId="49BB970B" w14:textId="14BDC1C0" w:rsidR="00046BD5" w:rsidRPr="00DE108C" w:rsidRDefault="00046BD5" w:rsidP="00ED094E">
      <w:r w:rsidRPr="00DE108C">
        <w:t>We have agreed with representatives of the development sector that we will:</w:t>
      </w:r>
    </w:p>
    <w:p w14:paraId="3C9E5D62" w14:textId="1D64035E" w:rsidR="00046BD5" w:rsidRPr="006D77F4" w:rsidRDefault="103DFF5D" w:rsidP="003C606E">
      <w:pPr>
        <w:pStyle w:val="ListBullet"/>
        <w:rPr>
          <w:rFonts w:eastAsia="Verdana"/>
        </w:rPr>
      </w:pPr>
      <w:r w:rsidRPr="5F38501F">
        <w:rPr>
          <w:rFonts w:eastAsia="Verdana"/>
        </w:rPr>
        <w:t>r</w:t>
      </w:r>
      <w:r w:rsidR="00046BD5" w:rsidRPr="01FDEA01">
        <w:rPr>
          <w:rFonts w:eastAsia="Verdana"/>
        </w:rPr>
        <w:t xml:space="preserve">eview, with representatives from the sector, the principles we use to establish schemes </w:t>
      </w:r>
    </w:p>
    <w:p w14:paraId="22715105" w14:textId="20E1DD7B" w:rsidR="00046BD5" w:rsidRPr="006D77F4" w:rsidRDefault="00046BD5" w:rsidP="003C606E">
      <w:pPr>
        <w:pStyle w:val="ListBullet"/>
        <w:rPr>
          <w:rFonts w:eastAsia="Verdana"/>
        </w:rPr>
      </w:pPr>
      <w:r w:rsidRPr="01FDEA01">
        <w:rPr>
          <w:rFonts w:eastAsia="Verdana"/>
        </w:rPr>
        <w:t xml:space="preserve">retain the existing pricing principles used to determine scheme rates, which will continue to be calculated as per </w:t>
      </w:r>
      <w:r w:rsidR="6DB4EFF6" w:rsidRPr="01FDEA01">
        <w:rPr>
          <w:rFonts w:eastAsia="Verdana"/>
        </w:rPr>
        <w:t>Box 11.1</w:t>
      </w:r>
      <w:r w:rsidRPr="01FDEA01">
        <w:rPr>
          <w:rFonts w:eastAsia="Verdana"/>
        </w:rPr>
        <w:t>.</w:t>
      </w:r>
    </w:p>
    <w:p w14:paraId="703DED2D" w14:textId="77777777" w:rsidR="00046BD5" w:rsidRPr="00DE108C" w:rsidRDefault="00046BD5" w:rsidP="00ED094E">
      <w:r w:rsidRPr="00DE108C">
        <w:t xml:space="preserve">This review will continue into the 2026-31 regulatory period. </w:t>
      </w:r>
    </w:p>
    <w:p w14:paraId="12C0D8AD" w14:textId="3745B23C" w:rsidR="00046BD5" w:rsidRPr="00DE108C" w:rsidRDefault="00046BD5" w:rsidP="00ED094E">
      <w:r w:rsidRPr="00DE108C">
        <w:t xml:space="preserve">The proposed </w:t>
      </w:r>
      <w:r w:rsidR="006B6CBA">
        <w:t xml:space="preserve">average </w:t>
      </w:r>
      <w:r w:rsidRPr="00DE108C">
        <w:t xml:space="preserve">rates applied to calculate the developer contributions is described in Section 8.2 </w:t>
      </w:r>
      <w:r w:rsidR="7716446E">
        <w:t>(</w:t>
      </w:r>
      <w:r w:rsidRPr="00DE108C">
        <w:t>Developer contributions</w:t>
      </w:r>
      <w:r w:rsidR="125573A7">
        <w:t>)</w:t>
      </w:r>
      <w:r w:rsidR="00482F19">
        <w:t>.</w:t>
      </w:r>
    </w:p>
    <w:p w14:paraId="0B452C1C" w14:textId="77777777" w:rsidR="00046BD5" w:rsidRPr="00DE108C" w:rsidRDefault="00046BD5">
      <w:pPr>
        <w:pStyle w:val="Heading3"/>
      </w:pPr>
      <w:bookmarkStart w:id="1215" w:name="_Toc196745309"/>
      <w:r w:rsidRPr="00DE108C">
        <w:t>11.5.1 Stormwater quality offsets</w:t>
      </w:r>
      <w:bookmarkEnd w:id="1215"/>
    </w:p>
    <w:p w14:paraId="77B9D7AE" w14:textId="7F29FDED" w:rsidR="00046BD5" w:rsidRPr="00DE108C" w:rsidRDefault="00046BD5" w:rsidP="00ED094E">
      <w:r w:rsidRPr="00DE108C">
        <w:t>One of Melbourne Water’s roles is to manag</w:t>
      </w:r>
      <w:r w:rsidR="5D15A70D" w:rsidRPr="00DE108C">
        <w:t>e</w:t>
      </w:r>
      <w:r w:rsidRPr="00DE108C">
        <w:t xml:space="preserve"> stormwater and river health in </w:t>
      </w:r>
      <w:r w:rsidR="2B585D9A">
        <w:t>G</w:t>
      </w:r>
      <w:r>
        <w:t>reater</w:t>
      </w:r>
      <w:r w:rsidRPr="00DE108C">
        <w:t xml:space="preserve"> Melbourne. We work with councils, developers, homeowners, authorities and businesses to mitigate the impacts of stormwater from urban development on our environment and the community.</w:t>
      </w:r>
    </w:p>
    <w:p w14:paraId="2F94202E" w14:textId="76A6B8BF" w:rsidR="00046BD5" w:rsidRPr="00DE108C" w:rsidRDefault="00046BD5" w:rsidP="00ED094E">
      <w:r w:rsidRPr="00DE108C">
        <w:t xml:space="preserve">Victorian Planning Policy requires that all development </w:t>
      </w:r>
      <w:r>
        <w:t>compl</w:t>
      </w:r>
      <w:r w:rsidR="23B40B43">
        <w:t>ies</w:t>
      </w:r>
      <w:r w:rsidRPr="00DE108C">
        <w:t xml:space="preserve"> with best practice performance objectives to protect downstream receiving waters and </w:t>
      </w:r>
      <w:r>
        <w:t>it</w:t>
      </w:r>
      <w:r w:rsidR="6F4F0403">
        <w:t xml:space="preserve"> is</w:t>
      </w:r>
      <w:r w:rsidRPr="00DE108C">
        <w:t xml:space="preserve"> part of our role to support this.</w:t>
      </w:r>
    </w:p>
    <w:p w14:paraId="60A342D3" w14:textId="2DCE6B47" w:rsidR="00046BD5" w:rsidRPr="00DE108C" w:rsidRDefault="00046BD5" w:rsidP="00ED094E">
      <w:r w:rsidRPr="00DE108C">
        <w:t xml:space="preserve">While the majority of developments across our region achieve compliance, there are some instances where onsite stormwater treatment </w:t>
      </w:r>
      <w:r>
        <w:t>is</w:t>
      </w:r>
      <w:r w:rsidR="30632D97">
        <w:t xml:space="preserve"> not</w:t>
      </w:r>
      <w:r w:rsidRPr="00DE108C">
        <w:t xml:space="preserve"> practical or feasible. We recognise this and offer the flexibility of an optional 'offset' service to help those developers </w:t>
      </w:r>
      <w:r>
        <w:t>who</w:t>
      </w:r>
      <w:r w:rsidR="53499C5E">
        <w:t xml:space="preserve"> would</w:t>
      </w:r>
      <w:r w:rsidRPr="00DE108C">
        <w:t xml:space="preserve"> otherwise be unable to meet the Victorian Planning Policy requirements.</w:t>
      </w:r>
    </w:p>
    <w:p w14:paraId="724788BE" w14:textId="77777777" w:rsidR="00046BD5" w:rsidRPr="00DE108C" w:rsidRDefault="00046BD5" w:rsidP="00ED094E">
      <w:r w:rsidRPr="00DE108C">
        <w:t xml:space="preserve">The pricing principles divide owner contributions into two classes: </w:t>
      </w:r>
    </w:p>
    <w:p w14:paraId="3D55D709" w14:textId="0A7971CD" w:rsidR="00046BD5" w:rsidRPr="006B6CBA" w:rsidRDefault="00046BD5" w:rsidP="003C606E">
      <w:pPr>
        <w:pStyle w:val="ListBullet"/>
      </w:pPr>
      <w:r w:rsidRPr="00CF6748">
        <w:rPr>
          <w:b/>
        </w:rPr>
        <w:t>General Stormwater Quality Charges</w:t>
      </w:r>
      <w:r w:rsidR="550276AD" w:rsidRPr="00CF6748">
        <w:rPr>
          <w:b/>
          <w:bCs/>
        </w:rPr>
        <w:t>:</w:t>
      </w:r>
      <w:r w:rsidRPr="00DE108C">
        <w:t xml:space="preserve"> equal to </w:t>
      </w:r>
      <w:r w:rsidRPr="006B6CBA">
        <w:t xml:space="preserve">the </w:t>
      </w:r>
      <w:r w:rsidR="009D077A" w:rsidRPr="006B6CBA">
        <w:t xml:space="preserve">forecast </w:t>
      </w:r>
      <w:r w:rsidRPr="006B6CBA">
        <w:t xml:space="preserve">average cost </w:t>
      </w:r>
      <w:r w:rsidR="009D077A" w:rsidRPr="006B6CBA">
        <w:t>of</w:t>
      </w:r>
      <w:r w:rsidRPr="006B6CBA">
        <w:t xml:space="preserve"> stormwater management as identified by Melbourne Water’s </w:t>
      </w:r>
      <w:r w:rsidR="009D077A" w:rsidRPr="006B6CBA">
        <w:t xml:space="preserve">Stormwater </w:t>
      </w:r>
      <w:r w:rsidRPr="006B6CBA">
        <w:t>program t</w:t>
      </w:r>
      <w:r w:rsidR="001B36CF" w:rsidRPr="006B6CBA">
        <w:t>hat</w:t>
      </w:r>
      <w:r w:rsidRPr="006B6CBA">
        <w:t xml:space="preserve"> deliver</w:t>
      </w:r>
      <w:r w:rsidR="005921C3" w:rsidRPr="006B6CBA">
        <w:t>s</w:t>
      </w:r>
      <w:r w:rsidRPr="006B6CBA">
        <w:t xml:space="preserve"> stormwater quality</w:t>
      </w:r>
      <w:r w:rsidR="005921C3" w:rsidRPr="006B6CBA">
        <w:t xml:space="preserve"> equivalence for Port Philip Bay and Western Port</w:t>
      </w:r>
      <w:r w:rsidR="059E051D" w:rsidRPr="006B6CBA">
        <w:t>.</w:t>
      </w:r>
      <w:r w:rsidR="005921C3" w:rsidRPr="006B6CBA">
        <w:t xml:space="preserve"> </w:t>
      </w:r>
      <w:r w:rsidR="00D75668" w:rsidRPr="006B6CBA">
        <w:t>These charges are also known as ‘stormwater offsets’.</w:t>
      </w:r>
      <w:r w:rsidRPr="006B6CBA">
        <w:t xml:space="preserve"> </w:t>
      </w:r>
    </w:p>
    <w:p w14:paraId="21275168" w14:textId="6FA4D7DF" w:rsidR="00046BD5" w:rsidRPr="006B6CBA" w:rsidRDefault="00046BD5" w:rsidP="003C606E">
      <w:pPr>
        <w:pStyle w:val="ListBullet"/>
      </w:pPr>
      <w:r w:rsidRPr="006B6CBA">
        <w:rPr>
          <w:b/>
        </w:rPr>
        <w:t>Scheme Stormwater Quality Charges</w:t>
      </w:r>
      <w:r w:rsidR="69B25AAF" w:rsidRPr="006B6CBA">
        <w:rPr>
          <w:b/>
          <w:bCs/>
        </w:rPr>
        <w:t>:</w:t>
      </w:r>
      <w:r w:rsidRPr="006B6CBA">
        <w:t xml:space="preserve"> recover</w:t>
      </w:r>
      <w:r w:rsidR="6A39D174" w:rsidRPr="006B6CBA">
        <w:t>s</w:t>
      </w:r>
      <w:r w:rsidRPr="006B6CBA">
        <w:t xml:space="preserve"> the cost of </w:t>
      </w:r>
      <w:r w:rsidR="003A389F">
        <w:t>Development Services S</w:t>
      </w:r>
      <w:r w:rsidRPr="006B6CBA">
        <w:t>cheme-related stormwater quality initiatives.</w:t>
      </w:r>
    </w:p>
    <w:p w14:paraId="7C6AD426" w14:textId="1A14E107" w:rsidR="00046BD5" w:rsidRPr="006B6CBA" w:rsidRDefault="00046BD5" w:rsidP="00ED094E">
      <w:r w:rsidRPr="006B6CBA">
        <w:t>These charges</w:t>
      </w:r>
      <w:r w:rsidR="6B5EE098" w:rsidRPr="006B6CBA">
        <w:t xml:space="preserve"> are</w:t>
      </w:r>
      <w:r w:rsidRPr="006B6CBA">
        <w:t xml:space="preserve">: </w:t>
      </w:r>
    </w:p>
    <w:p w14:paraId="2959C00D" w14:textId="7D41CB64" w:rsidR="00046BD5" w:rsidRPr="006B6CBA" w:rsidRDefault="00046BD5" w:rsidP="003C606E">
      <w:pPr>
        <w:pStyle w:val="ListBullet"/>
        <w:rPr>
          <w:rFonts w:eastAsia="Verdana"/>
        </w:rPr>
      </w:pPr>
      <w:r w:rsidRPr="006B6CBA">
        <w:rPr>
          <w:rFonts w:eastAsia="Verdana"/>
        </w:rPr>
        <w:lastRenderedPageBreak/>
        <w:t xml:space="preserve">payable where the development does not meet the minimum standard for nitrogen discharges. </w:t>
      </w:r>
      <w:r w:rsidR="561F6722" w:rsidRPr="006B6CBA">
        <w:rPr>
          <w:rFonts w:eastAsia="Verdana"/>
        </w:rPr>
        <w:t>N</w:t>
      </w:r>
      <w:r w:rsidRPr="006B6CBA">
        <w:rPr>
          <w:rFonts w:eastAsia="Verdana"/>
        </w:rPr>
        <w:t>ote</w:t>
      </w:r>
      <w:r w:rsidR="3ED63F62" w:rsidRPr="006B6CBA">
        <w:rPr>
          <w:rFonts w:eastAsia="Verdana"/>
        </w:rPr>
        <w:t>:</w:t>
      </w:r>
      <w:r w:rsidRPr="006B6CBA">
        <w:rPr>
          <w:rFonts w:eastAsia="Verdana"/>
        </w:rPr>
        <w:t xml:space="preserve"> the pricing principles specify that developer charges imposed under a </w:t>
      </w:r>
      <w:r w:rsidR="003A389F">
        <w:rPr>
          <w:rFonts w:eastAsia="Verdana"/>
        </w:rPr>
        <w:t>Development Services Sc</w:t>
      </w:r>
      <w:r w:rsidRPr="006B6CBA">
        <w:rPr>
          <w:rFonts w:eastAsia="Verdana"/>
        </w:rPr>
        <w:t>heme will be calculated consistently with principles agreed between Melbourne Water and the development industry</w:t>
      </w:r>
    </w:p>
    <w:p w14:paraId="363EAE4B" w14:textId="50F4F098" w:rsidR="3F46C9DE" w:rsidRPr="00575117" w:rsidRDefault="00046BD5" w:rsidP="00945F8C">
      <w:pPr>
        <w:pStyle w:val="ListBullet"/>
        <w:rPr>
          <w:rFonts w:eastAsia="Verdana"/>
        </w:rPr>
      </w:pPr>
      <w:r w:rsidRPr="006B6CBA">
        <w:rPr>
          <w:rFonts w:eastAsia="Verdana"/>
        </w:rPr>
        <w:t>calculated by reference to the mass of nitrogen discharged from the development, relative to the minimum standard.</w:t>
      </w:r>
    </w:p>
    <w:p w14:paraId="17003BAB" w14:textId="61F170E0" w:rsidR="00046BD5" w:rsidRPr="00DE108C" w:rsidRDefault="00046BD5" w:rsidP="00945F8C">
      <w:pPr>
        <w:rPr>
          <w:szCs w:val="20"/>
        </w:rPr>
      </w:pPr>
      <w:r w:rsidRPr="006B6CBA">
        <w:t xml:space="preserve">The </w:t>
      </w:r>
      <w:r w:rsidR="00401168" w:rsidRPr="006B6CBA">
        <w:rPr>
          <w:bCs/>
        </w:rPr>
        <w:t>General Stormwater Quality</w:t>
      </w:r>
      <w:r w:rsidR="00D75668" w:rsidRPr="006B6CBA">
        <w:rPr>
          <w:bCs/>
        </w:rPr>
        <w:t xml:space="preserve"> </w:t>
      </w:r>
      <w:r w:rsidR="00E86FF0" w:rsidRPr="006B6CBA">
        <w:rPr>
          <w:bCs/>
        </w:rPr>
        <w:t>rate</w:t>
      </w:r>
      <w:r w:rsidR="00D75668" w:rsidRPr="006B6CBA">
        <w:rPr>
          <w:bCs/>
        </w:rPr>
        <w:t xml:space="preserve"> </w:t>
      </w:r>
      <w:r w:rsidRPr="006B6CBA">
        <w:t>is currently under review and is likely to increase to reflect updated costs</w:t>
      </w:r>
      <w:r w:rsidR="002C1AA1" w:rsidRPr="006B6CBA">
        <w:t>.</w:t>
      </w:r>
      <w:r w:rsidRPr="006B6CBA">
        <w:t xml:space="preserve"> </w:t>
      </w:r>
      <w:r w:rsidR="002C1AA1" w:rsidRPr="006B6CBA">
        <w:t>T</w:t>
      </w:r>
      <w:r w:rsidRPr="006B6CBA">
        <w:t>he current rate hasn’t been updated since at least 2014</w:t>
      </w:r>
      <w:r w:rsidR="002C1AA1" w:rsidRPr="006B6CBA">
        <w:t xml:space="preserve"> and </w:t>
      </w:r>
      <w:r w:rsidRPr="006B6CBA">
        <w:t>is priced at below cost-reflectiv</w:t>
      </w:r>
      <w:r w:rsidR="002C1AA1" w:rsidRPr="006B6CBA">
        <w:t>ity</w:t>
      </w:r>
      <w:r w:rsidRPr="006B6CBA">
        <w:t xml:space="preserve">. We have an engagement program with </w:t>
      </w:r>
      <w:r w:rsidR="16FE87CA" w:rsidRPr="006B6CBA">
        <w:rPr>
          <w:szCs w:val="20"/>
        </w:rPr>
        <w:t>Melbourne Water’s Urban Planning and Development Strategic Consultation Group</w:t>
      </w:r>
      <w:r w:rsidRPr="006B6CBA">
        <w:rPr>
          <w:szCs w:val="20"/>
        </w:rPr>
        <w:t xml:space="preserve"> </w:t>
      </w:r>
      <w:r w:rsidR="2DB1CAF2" w:rsidRPr="006B6CBA">
        <w:rPr>
          <w:szCs w:val="20"/>
        </w:rPr>
        <w:t>(</w:t>
      </w:r>
      <w:r w:rsidRPr="163CD179">
        <w:rPr>
          <w:szCs w:val="20"/>
        </w:rPr>
        <w:t>UPDSCG</w:t>
      </w:r>
      <w:r w:rsidR="512A4865" w:rsidRPr="3F46C9DE">
        <w:rPr>
          <w:szCs w:val="20"/>
        </w:rPr>
        <w:t>)</w:t>
      </w:r>
      <w:r w:rsidRPr="3F46C9DE">
        <w:rPr>
          <w:szCs w:val="20"/>
        </w:rPr>
        <w:t>.</w:t>
      </w:r>
      <w:r w:rsidRPr="163CD179">
        <w:rPr>
          <w:szCs w:val="20"/>
        </w:rPr>
        <w:t xml:space="preserve"> </w:t>
      </w:r>
    </w:p>
    <w:p w14:paraId="7EFDBEB2" w14:textId="77777777" w:rsidR="00046BD5" w:rsidRPr="00DE108C" w:rsidRDefault="00046BD5">
      <w:pPr>
        <w:pStyle w:val="Heading2"/>
      </w:pPr>
      <w:bookmarkStart w:id="1216" w:name="_Toc196745310"/>
      <w:bookmarkStart w:id="1217" w:name="_Toc207892938"/>
      <w:bookmarkStart w:id="1218" w:name="_Toc207853431"/>
      <w:bookmarkStart w:id="1219" w:name="_Toc183624006"/>
      <w:bookmarkStart w:id="1220" w:name="_Toc190876182"/>
      <w:r w:rsidRPr="00DE108C">
        <w:t>11.5 Price control</w:t>
      </w:r>
      <w:bookmarkEnd w:id="1216"/>
      <w:bookmarkEnd w:id="1217"/>
      <w:bookmarkEnd w:id="1218"/>
    </w:p>
    <w:p w14:paraId="6789BFFA" w14:textId="6D4BFD5C" w:rsidR="00046BD5" w:rsidRPr="00DE108C" w:rsidRDefault="00046BD5" w:rsidP="00ED094E">
      <w:r w:rsidRPr="00DE108C">
        <w:t xml:space="preserve">Melbourne Water proposes to maintain the current price control – a price cap form of price control for waterways and drainage, and a tariff basket for water and sewerage with the current </w:t>
      </w:r>
      <w:r w:rsidR="41D4171C">
        <w:t>3</w:t>
      </w:r>
      <w:r w:rsidRPr="00DE108C">
        <w:t> per cent rebalancing constraint. This form of control, coupled with Melbourne Water taking on more demand-revenue risk on its bulk volumetric charges</w:t>
      </w:r>
      <w:r w:rsidR="1F1595D1">
        <w:t>,</w:t>
      </w:r>
      <w:r w:rsidRPr="00DE108C">
        <w:t xml:space="preserve"> means Melbourne Water is taking on more financial risk. </w:t>
      </w:r>
    </w:p>
    <w:p w14:paraId="2A96C9D7" w14:textId="18603C3C" w:rsidR="00046BD5" w:rsidRPr="00DE108C" w:rsidRDefault="00046BD5" w:rsidP="00ED094E">
      <w:r w:rsidRPr="00DE108C">
        <w:t xml:space="preserve">Melbourne Water retains the ability to price below the maximum price where actual demands are significantly above forecast and/or costs are significantly below forecast – passing through savings to </w:t>
      </w:r>
      <w:r w:rsidR="009B31F5">
        <w:t xml:space="preserve">our </w:t>
      </w:r>
      <w:r w:rsidRPr="00DE108C">
        <w:t>customers</w:t>
      </w:r>
      <w:r w:rsidR="009B31F5">
        <w:t xml:space="preserve"> and </w:t>
      </w:r>
      <w:r w:rsidRPr="00DE108C">
        <w:t>end consumers.</w:t>
      </w:r>
    </w:p>
    <w:p w14:paraId="75CA05C8" w14:textId="77777777" w:rsidR="00046BD5" w:rsidRPr="00DE108C" w:rsidRDefault="00046BD5">
      <w:pPr>
        <w:pStyle w:val="Heading2"/>
      </w:pPr>
      <w:bookmarkStart w:id="1221" w:name="_Toc196745311"/>
      <w:bookmarkStart w:id="1222" w:name="_Toc207892939"/>
      <w:bookmarkStart w:id="1223" w:name="_Toc207853432"/>
      <w:r w:rsidRPr="00DE108C">
        <w:t>11.6 Price adjustments</w:t>
      </w:r>
      <w:bookmarkEnd w:id="1219"/>
      <w:bookmarkEnd w:id="1220"/>
      <w:bookmarkEnd w:id="1221"/>
      <w:bookmarkEnd w:id="1222"/>
      <w:bookmarkEnd w:id="1223"/>
    </w:p>
    <w:p w14:paraId="1D4058F8" w14:textId="43C4093B" w:rsidR="00076DC2" w:rsidRPr="00DE108C" w:rsidRDefault="00046BD5" w:rsidP="00ED094E">
      <w:r w:rsidRPr="00DE108C">
        <w:t>We propose to retain our annual price adjustments contained in Schedule 5 of Melbourne Water’s 2021 Price Determination</w:t>
      </w:r>
      <w:r w:rsidR="00533036" w:rsidRPr="00DE108C">
        <w:t xml:space="preserve"> </w:t>
      </w:r>
      <w:r w:rsidRPr="00DE108C">
        <w:t>with minor modifications</w:t>
      </w:r>
      <w:r w:rsidR="009E7784" w:rsidRPr="00DE108C">
        <w:t>, as outlined in Table 11.22</w:t>
      </w:r>
      <w:r w:rsidR="00076DC2" w:rsidRPr="00DE108C">
        <w:t xml:space="preserve">. </w:t>
      </w:r>
      <w:r w:rsidR="00A328A6" w:rsidRPr="00DE108C">
        <w:t>The amendments</w:t>
      </w:r>
      <w:r w:rsidR="00076DC2" w:rsidRPr="00DE108C">
        <w:t xml:space="preserve"> include:</w:t>
      </w:r>
    </w:p>
    <w:p w14:paraId="3A725AE8" w14:textId="77777777" w:rsidR="00076DC2" w:rsidRPr="00DE108C" w:rsidRDefault="00046BD5" w:rsidP="003C606E">
      <w:pPr>
        <w:pStyle w:val="ListBullet"/>
      </w:pPr>
      <w:r w:rsidRPr="00DE108C">
        <w:t>reflect</w:t>
      </w:r>
      <w:r w:rsidR="00076DC2" w:rsidRPr="00DE108C">
        <w:t>ing</w:t>
      </w:r>
      <w:r w:rsidRPr="00DE108C">
        <w:t xml:space="preserve"> South-Central reforms</w:t>
      </w:r>
    </w:p>
    <w:p w14:paraId="26E09F7A" w14:textId="77777777" w:rsidR="00076DC2" w:rsidRPr="00DE108C" w:rsidRDefault="00046BD5" w:rsidP="003C606E">
      <w:pPr>
        <w:pStyle w:val="ListBullet"/>
      </w:pPr>
      <w:r w:rsidRPr="00DE108C">
        <w:t>corrections to the formula to adjust desalination water order costs</w:t>
      </w:r>
    </w:p>
    <w:p w14:paraId="624CD133" w14:textId="2F31DC63" w:rsidR="00046BD5" w:rsidRPr="00DE108C" w:rsidRDefault="00046BD5" w:rsidP="003C606E">
      <w:pPr>
        <w:pStyle w:val="ListBullet"/>
      </w:pPr>
      <w:r w:rsidRPr="00DE108C">
        <w:t>updating the list of charges to which the annual update to the regulatory rate of return applies to correct inconsistencies in previous determinations</w:t>
      </w:r>
      <w:r w:rsidR="008A40B5" w:rsidRPr="00DE108C">
        <w:t>.</w:t>
      </w:r>
    </w:p>
    <w:p w14:paraId="1C9B61AD" w14:textId="071F2B47" w:rsidR="00046BD5" w:rsidRPr="00DE108C" w:rsidRDefault="00046BD5" w:rsidP="00ED094E">
      <w:r w:rsidRPr="00DE108C">
        <w:t>The existing cost pass-throughs are an appropriate allocation of risk for matters beyond Melbourne Water’s control, while overall we are taking on more financial risk in this submission. We are not proposing any material changes to the allocations of the three cost pass</w:t>
      </w:r>
      <w:r w:rsidR="0EF943CC">
        <w:t>-</w:t>
      </w:r>
      <w:r w:rsidRPr="00DE108C">
        <w:t>through conditions</w:t>
      </w:r>
      <w:r w:rsidR="2C090504">
        <w:t>,</w:t>
      </w:r>
      <w:r w:rsidRPr="00DE108C">
        <w:t xml:space="preserve"> </w:t>
      </w:r>
      <w:r w:rsidR="5871386B">
        <w:t>except for</w:t>
      </w:r>
      <w:r w:rsidRPr="00DE108C">
        <w:t>:</w:t>
      </w:r>
    </w:p>
    <w:p w14:paraId="0FFED9E1" w14:textId="106DFA4A" w:rsidR="00046BD5" w:rsidRPr="00DE108C" w:rsidRDefault="50BA4F57" w:rsidP="003C606E">
      <w:pPr>
        <w:pStyle w:val="ListBullet"/>
      </w:pPr>
      <w:r>
        <w:t>u</w:t>
      </w:r>
      <w:r w:rsidR="00046BD5" w:rsidRPr="00DE108C">
        <w:t xml:space="preserve">pdating the bulk water charges (fixed component) to reflect the new </w:t>
      </w:r>
      <w:r w:rsidR="3DA388EE" w:rsidRPr="00DE108C">
        <w:t>S</w:t>
      </w:r>
      <w:r w:rsidR="00046BD5" w:rsidRPr="00DE108C">
        <w:t>outh-</w:t>
      </w:r>
      <w:r w:rsidR="68E66E25" w:rsidRPr="00DE108C">
        <w:t>C</w:t>
      </w:r>
      <w:r w:rsidR="00046BD5" w:rsidRPr="00DE108C">
        <w:t xml:space="preserve">entral pool that includes Desalination Contract costs </w:t>
      </w:r>
    </w:p>
    <w:p w14:paraId="3EF950C6" w14:textId="7D75A2E3" w:rsidR="00046BD5" w:rsidRPr="00DE108C" w:rsidRDefault="60261D80" w:rsidP="003C606E">
      <w:pPr>
        <w:pStyle w:val="ListBullet"/>
      </w:pPr>
      <w:r>
        <w:t>u</w:t>
      </w:r>
      <w:r w:rsidR="00046BD5" w:rsidRPr="00DE108C">
        <w:t xml:space="preserve">pdating waterways and drainage charges to include the non-residential charge under </w:t>
      </w:r>
      <w:r w:rsidR="000A799D">
        <w:t xml:space="preserve">item </w:t>
      </w:r>
      <w:r w:rsidR="00046BD5" w:rsidRPr="00DE108C">
        <w:t xml:space="preserve">2.1. This reflects the practice during the regulatory period, where Melbourne Water applied the cost of debt reductions to all customers by charging the lower price. </w:t>
      </w:r>
    </w:p>
    <w:p w14:paraId="7D9C9311" w14:textId="1DFED9A6" w:rsidR="00046BD5" w:rsidRPr="00DE108C" w:rsidRDefault="00046BD5" w:rsidP="00ED094E">
      <w:r w:rsidRPr="00DE108C">
        <w:t xml:space="preserve">We also seek to maintain the price adjustment clause for uncertain or unforeseen events as currently outlined in </w:t>
      </w:r>
      <w:r w:rsidR="28D60892">
        <w:t xml:space="preserve">Section 4 of </w:t>
      </w:r>
      <w:r w:rsidRPr="00DE108C">
        <w:t xml:space="preserve">the </w:t>
      </w:r>
      <w:r w:rsidR="43F3381A">
        <w:t xml:space="preserve">2021 </w:t>
      </w:r>
      <w:r w:rsidRPr="00DE108C">
        <w:t>Determination</w:t>
      </w:r>
      <w:r w:rsidR="265DDFA2">
        <w:t xml:space="preserve">. </w:t>
      </w:r>
      <w:r w:rsidRPr="00DE108C">
        <w:t xml:space="preserve">This clause provides a safeguard to both Melbourne Water and its customers for significant changes in our operating environment that impacts revenue, cost and/or financial viability. It reflects continuation of current long-standing arrangements, are consistent with the efficiency objectives in the WIRO, and have been previously approved by the </w:t>
      </w:r>
      <w:r w:rsidR="452B801D">
        <w:t>ESC</w:t>
      </w:r>
      <w:r>
        <w:t xml:space="preserve">. </w:t>
      </w:r>
    </w:p>
    <w:p w14:paraId="7AC2FCE4" w14:textId="77777777" w:rsidR="00046BD5" w:rsidRPr="00DE108C" w:rsidRDefault="00046BD5">
      <w:pPr>
        <w:pStyle w:val="Caption"/>
      </w:pPr>
      <w:bookmarkStart w:id="1224" w:name="_Ref53133350"/>
      <w:bookmarkStart w:id="1225" w:name="_Ref53133343"/>
      <w:bookmarkStart w:id="1226" w:name="_Toc54705906"/>
      <w:bookmarkStart w:id="1227" w:name="_Toc190878437"/>
      <w:bookmarkStart w:id="1228" w:name="_Toc207893126"/>
      <w:bookmarkStart w:id="1229" w:name="_Toc208490650"/>
      <w:bookmarkStart w:id="1230" w:name="_Toc208490988"/>
      <w:bookmarkStart w:id="1231" w:name="_Toc208911146"/>
      <w:bookmarkStart w:id="1232" w:name="_Toc210051452"/>
      <w:r w:rsidRPr="00DE108C">
        <w:lastRenderedPageBreak/>
        <w:t>Table 11.</w:t>
      </w:r>
      <w:bookmarkEnd w:id="1224"/>
      <w:r w:rsidRPr="00DE108C">
        <w:t>22: Price adjustment applicable tariffs</w:t>
      </w:r>
      <w:bookmarkEnd w:id="1225"/>
      <w:bookmarkEnd w:id="1226"/>
      <w:bookmarkEnd w:id="1227"/>
      <w:bookmarkEnd w:id="1228"/>
      <w:bookmarkEnd w:id="1229"/>
      <w:bookmarkEnd w:id="1230"/>
      <w:bookmarkEnd w:id="1231"/>
      <w:bookmarkEnd w:id="1232"/>
    </w:p>
    <w:tbl>
      <w:tblPr>
        <w:tblStyle w:val="MWTableGrid"/>
        <w:tblW w:w="5000" w:type="pct"/>
        <w:tblCellMar>
          <w:left w:w="28" w:type="dxa"/>
          <w:right w:w="28" w:type="dxa"/>
        </w:tblCellMar>
        <w:tblLook w:val="04A0" w:firstRow="1" w:lastRow="0" w:firstColumn="1" w:lastColumn="0" w:noHBand="0" w:noVBand="1"/>
      </w:tblPr>
      <w:tblGrid>
        <w:gridCol w:w="4086"/>
        <w:gridCol w:w="1818"/>
        <w:gridCol w:w="1904"/>
        <w:gridCol w:w="1820"/>
      </w:tblGrid>
      <w:tr w:rsidR="00046BD5" w:rsidRPr="00DE108C" w14:paraId="2302C6E8" w14:textId="77777777" w:rsidTr="60182E05">
        <w:trPr>
          <w:cnfStyle w:val="100000000000" w:firstRow="1" w:lastRow="0" w:firstColumn="0" w:lastColumn="0" w:oddVBand="0" w:evenVBand="0" w:oddHBand="0" w:evenHBand="0" w:firstRowFirstColumn="0" w:firstRowLastColumn="0" w:lastRowFirstColumn="0" w:lastRowLastColumn="0"/>
          <w:cantSplit/>
          <w:trHeight w:val="794"/>
        </w:trPr>
        <w:tc>
          <w:tcPr>
            <w:tcW w:w="2122" w:type="pct"/>
            <w:tcBorders>
              <w:bottom w:val="single" w:sz="4" w:space="0" w:color="auto"/>
            </w:tcBorders>
            <w:shd w:val="clear" w:color="auto" w:fill="00428B" w:themeFill="accent1"/>
            <w:vAlign w:val="bottom"/>
          </w:tcPr>
          <w:p w14:paraId="256CB1A3" w14:textId="7B37B921" w:rsidR="00046BD5" w:rsidRPr="00DE108C" w:rsidRDefault="00046BD5">
            <w:pPr>
              <w:pStyle w:val="BodyText"/>
              <w:rPr>
                <w:color w:val="FFFFFF" w:themeColor="background1"/>
              </w:rPr>
            </w:pPr>
          </w:p>
        </w:tc>
        <w:tc>
          <w:tcPr>
            <w:tcW w:w="944" w:type="pct"/>
            <w:tcBorders>
              <w:bottom w:val="single" w:sz="4" w:space="0" w:color="auto"/>
            </w:tcBorders>
            <w:shd w:val="clear" w:color="auto" w:fill="00428B" w:themeFill="accent1"/>
            <w:vAlign w:val="center"/>
          </w:tcPr>
          <w:p w14:paraId="55E788F7" w14:textId="666D57B7" w:rsidR="00046BD5" w:rsidRPr="00DE108C" w:rsidRDefault="00046BD5" w:rsidP="00781395">
            <w:pPr>
              <w:pStyle w:val="TableHeading"/>
            </w:pPr>
            <w:r w:rsidRPr="00DE108C">
              <w:t>Condition A</w:t>
            </w:r>
            <w:r w:rsidR="00781395" w:rsidRPr="00DE108C">
              <w:br/>
            </w:r>
          </w:p>
          <w:p w14:paraId="2E7E41E6" w14:textId="77777777" w:rsidR="00046BD5" w:rsidRPr="00DE108C" w:rsidRDefault="00046BD5" w:rsidP="00781395">
            <w:pPr>
              <w:pStyle w:val="TableHeading"/>
            </w:pPr>
            <w:r w:rsidRPr="00DE108C">
              <w:t>Water order costs</w:t>
            </w:r>
          </w:p>
        </w:tc>
        <w:tc>
          <w:tcPr>
            <w:tcW w:w="989" w:type="pct"/>
            <w:tcBorders>
              <w:bottom w:val="single" w:sz="4" w:space="0" w:color="auto"/>
            </w:tcBorders>
            <w:shd w:val="clear" w:color="auto" w:fill="00428B" w:themeFill="accent1"/>
            <w:vAlign w:val="center"/>
          </w:tcPr>
          <w:p w14:paraId="3CB2EA0C" w14:textId="0BCAFAE0" w:rsidR="00046BD5" w:rsidRPr="00DE108C" w:rsidRDefault="00046BD5" w:rsidP="00781395">
            <w:pPr>
              <w:pStyle w:val="TableHeading"/>
            </w:pPr>
            <w:r w:rsidRPr="00DE108C">
              <w:t>Condition B</w:t>
            </w:r>
            <w:r w:rsidR="00781395" w:rsidRPr="00DE108C">
              <w:br/>
            </w:r>
          </w:p>
          <w:p w14:paraId="36C9B1DD" w14:textId="77777777" w:rsidR="00046BD5" w:rsidRPr="00DE108C" w:rsidRDefault="00046BD5" w:rsidP="00781395">
            <w:pPr>
              <w:pStyle w:val="TableHeading"/>
            </w:pPr>
            <w:r w:rsidRPr="00DE108C">
              <w:t>Desalination contract costs</w:t>
            </w:r>
          </w:p>
        </w:tc>
        <w:tc>
          <w:tcPr>
            <w:tcW w:w="945" w:type="pct"/>
            <w:tcBorders>
              <w:bottom w:val="single" w:sz="4" w:space="0" w:color="auto"/>
            </w:tcBorders>
            <w:shd w:val="clear" w:color="auto" w:fill="00428B" w:themeFill="accent1"/>
            <w:vAlign w:val="center"/>
          </w:tcPr>
          <w:p w14:paraId="72B94D83" w14:textId="050717D4" w:rsidR="00046BD5" w:rsidRPr="00DE108C" w:rsidRDefault="00046BD5" w:rsidP="00781395">
            <w:pPr>
              <w:pStyle w:val="TableHeading"/>
            </w:pPr>
            <w:r w:rsidRPr="00DE108C">
              <w:t>Condition C</w:t>
            </w:r>
            <w:r w:rsidR="00781395" w:rsidRPr="00DE108C">
              <w:br/>
            </w:r>
          </w:p>
          <w:p w14:paraId="49DF9FD0" w14:textId="6971562D" w:rsidR="00046BD5" w:rsidRPr="00DE108C" w:rsidRDefault="00046BD5" w:rsidP="00781395">
            <w:pPr>
              <w:pStyle w:val="TableHeading"/>
            </w:pPr>
            <w:r w:rsidRPr="00DE108C">
              <w:t xml:space="preserve">Annual </w:t>
            </w:r>
            <w:r w:rsidR="00C437FD">
              <w:t>Regulatory Rate of Return (</w:t>
            </w:r>
            <w:r w:rsidRPr="00DE108C">
              <w:t>RRR</w:t>
            </w:r>
            <w:r w:rsidR="00C437FD">
              <w:t>)</w:t>
            </w:r>
            <w:r w:rsidRPr="00DE108C">
              <w:t xml:space="preserve"> updates</w:t>
            </w:r>
          </w:p>
        </w:tc>
      </w:tr>
      <w:tr w:rsidR="00692C9A" w:rsidRPr="00DE108C" w14:paraId="071FE64F" w14:textId="77777777" w:rsidTr="00692C9A">
        <w:trPr>
          <w:trHeight w:val="227"/>
        </w:trPr>
        <w:tc>
          <w:tcPr>
            <w:tcW w:w="5000" w:type="pct"/>
            <w:gridSpan w:val="4"/>
            <w:tcBorders>
              <w:right w:val="single" w:sz="4" w:space="0" w:color="auto"/>
            </w:tcBorders>
            <w:shd w:val="clear" w:color="auto" w:fill="D9D9D9" w:themeFill="background1" w:themeFillShade="D9"/>
            <w:vAlign w:val="center"/>
          </w:tcPr>
          <w:p w14:paraId="380A8869" w14:textId="54F088D9" w:rsidR="00692C9A" w:rsidRPr="00781395" w:rsidRDefault="00692C9A" w:rsidP="00692C9A">
            <w:pPr>
              <w:pStyle w:val="BodyText"/>
              <w:rPr>
                <w:sz w:val="16"/>
                <w:szCs w:val="16"/>
              </w:rPr>
            </w:pPr>
            <w:r w:rsidRPr="01FDEA01">
              <w:rPr>
                <w:sz w:val="16"/>
                <w:szCs w:val="16"/>
              </w:rPr>
              <w:t xml:space="preserve">Water </w:t>
            </w:r>
            <w:r w:rsidR="5D5A69E1" w:rsidRPr="46904753">
              <w:rPr>
                <w:sz w:val="16"/>
                <w:szCs w:val="16"/>
              </w:rPr>
              <w:t>and</w:t>
            </w:r>
            <w:r w:rsidRPr="01FDEA01">
              <w:rPr>
                <w:sz w:val="16"/>
                <w:szCs w:val="16"/>
              </w:rPr>
              <w:t xml:space="preserve"> sewerage charges</w:t>
            </w:r>
          </w:p>
        </w:tc>
      </w:tr>
      <w:tr w:rsidR="00055179" w:rsidRPr="00DE108C" w14:paraId="21D2FAC2" w14:textId="77777777">
        <w:trPr>
          <w:cnfStyle w:val="000000010000" w:firstRow="0" w:lastRow="0" w:firstColumn="0" w:lastColumn="0" w:oddVBand="0" w:evenVBand="0" w:oddHBand="0" w:evenHBand="1" w:firstRowFirstColumn="0" w:firstRowLastColumn="0" w:lastRowFirstColumn="0" w:lastRowLastColumn="0"/>
          <w:trHeight w:val="227"/>
        </w:trPr>
        <w:tc>
          <w:tcPr>
            <w:tcW w:w="2122" w:type="pct"/>
            <w:tcBorders>
              <w:right w:val="single" w:sz="4" w:space="0" w:color="auto"/>
            </w:tcBorders>
            <w:shd w:val="clear" w:color="auto" w:fill="FFFFFF" w:themeFill="background1"/>
            <w:vAlign w:val="center"/>
          </w:tcPr>
          <w:p w14:paraId="6DD32715" w14:textId="77777777" w:rsidR="00046BD5" w:rsidRPr="00781395" w:rsidRDefault="00046BD5">
            <w:pPr>
              <w:pStyle w:val="BodyText"/>
              <w:rPr>
                <w:sz w:val="16"/>
                <w:szCs w:val="16"/>
                <w:vertAlign w:val="superscript"/>
              </w:rPr>
            </w:pPr>
            <w:r w:rsidRPr="01FDEA01">
              <w:rPr>
                <w:sz w:val="16"/>
                <w:szCs w:val="16"/>
              </w:rPr>
              <w:t>1.1 Bulk water charges – South-Central Pool</w:t>
            </w:r>
            <w:r w:rsidRPr="01FDEA01">
              <w:rPr>
                <w:sz w:val="16"/>
                <w:szCs w:val="16"/>
                <w:vertAlign w:val="superscript"/>
              </w:rPr>
              <w:t>a</w:t>
            </w:r>
          </w:p>
        </w:tc>
        <w:tc>
          <w:tcPr>
            <w:tcW w:w="944" w:type="pct"/>
            <w:tcBorders>
              <w:top w:val="single" w:sz="4" w:space="0" w:color="auto"/>
              <w:left w:val="single" w:sz="4" w:space="0" w:color="auto"/>
              <w:bottom w:val="single" w:sz="4" w:space="0" w:color="auto"/>
              <w:right w:val="single" w:sz="4" w:space="0" w:color="auto"/>
            </w:tcBorders>
            <w:vAlign w:val="center"/>
          </w:tcPr>
          <w:p w14:paraId="588F4E48" w14:textId="77777777" w:rsidR="00046BD5" w:rsidRPr="00781395" w:rsidRDefault="00046BD5" w:rsidP="00692C9A">
            <w:pPr>
              <w:jc w:val="center"/>
              <w:rPr>
                <w:sz w:val="16"/>
                <w:szCs w:val="16"/>
              </w:rPr>
            </w:pPr>
          </w:p>
        </w:tc>
        <w:tc>
          <w:tcPr>
            <w:tcW w:w="989" w:type="pct"/>
            <w:tcBorders>
              <w:top w:val="single" w:sz="4" w:space="0" w:color="auto"/>
              <w:left w:val="single" w:sz="4" w:space="0" w:color="auto"/>
              <w:bottom w:val="single" w:sz="4" w:space="0" w:color="auto"/>
              <w:right w:val="single" w:sz="4" w:space="0" w:color="auto"/>
            </w:tcBorders>
            <w:vAlign w:val="center"/>
          </w:tcPr>
          <w:p w14:paraId="0CBB1187" w14:textId="77777777" w:rsidR="00046BD5" w:rsidRPr="00781395" w:rsidRDefault="00046BD5" w:rsidP="00692C9A">
            <w:pPr>
              <w:jc w:val="center"/>
              <w:rPr>
                <w:sz w:val="16"/>
                <w:szCs w:val="16"/>
              </w:rPr>
            </w:pPr>
            <w:r w:rsidRPr="01FDEA01">
              <w:rPr>
                <w:sz w:val="16"/>
                <w:szCs w:val="16"/>
              </w:rPr>
              <w:t>Y</w:t>
            </w:r>
          </w:p>
        </w:tc>
        <w:tc>
          <w:tcPr>
            <w:tcW w:w="945" w:type="pct"/>
            <w:tcBorders>
              <w:top w:val="single" w:sz="4" w:space="0" w:color="auto"/>
              <w:left w:val="single" w:sz="4" w:space="0" w:color="auto"/>
              <w:bottom w:val="single" w:sz="4" w:space="0" w:color="auto"/>
              <w:right w:val="single" w:sz="4" w:space="0" w:color="auto"/>
            </w:tcBorders>
            <w:vAlign w:val="center"/>
          </w:tcPr>
          <w:p w14:paraId="7F9C14B2" w14:textId="77777777" w:rsidR="00046BD5" w:rsidRPr="00781395" w:rsidRDefault="00046BD5" w:rsidP="00692C9A">
            <w:pPr>
              <w:jc w:val="center"/>
              <w:rPr>
                <w:sz w:val="16"/>
                <w:szCs w:val="16"/>
              </w:rPr>
            </w:pPr>
            <w:r w:rsidRPr="01FDEA01">
              <w:rPr>
                <w:sz w:val="16"/>
                <w:szCs w:val="16"/>
              </w:rPr>
              <w:t>Y</w:t>
            </w:r>
          </w:p>
        </w:tc>
      </w:tr>
      <w:tr w:rsidR="00046BD5" w:rsidRPr="00DE108C" w14:paraId="06C7518D" w14:textId="77777777">
        <w:trPr>
          <w:trHeight w:val="227"/>
        </w:trPr>
        <w:tc>
          <w:tcPr>
            <w:tcW w:w="2122" w:type="pct"/>
            <w:tcBorders>
              <w:right w:val="single" w:sz="4" w:space="0" w:color="auto"/>
            </w:tcBorders>
            <w:shd w:val="clear" w:color="auto" w:fill="FFFFFF" w:themeFill="background1"/>
            <w:vAlign w:val="center"/>
          </w:tcPr>
          <w:p w14:paraId="35EAB553" w14:textId="3AFB09EF" w:rsidR="00046BD5" w:rsidRPr="00781395" w:rsidRDefault="00046BD5">
            <w:pPr>
              <w:pStyle w:val="BodyText"/>
              <w:rPr>
                <w:sz w:val="16"/>
                <w:szCs w:val="16"/>
                <w:vertAlign w:val="superscript"/>
              </w:rPr>
            </w:pPr>
            <w:r w:rsidRPr="01FDEA01">
              <w:rPr>
                <w:sz w:val="16"/>
                <w:szCs w:val="16"/>
              </w:rPr>
              <w:t>1.3 </w:t>
            </w:r>
            <w:r w:rsidR="002F1C28">
              <w:rPr>
                <w:sz w:val="16"/>
                <w:szCs w:val="16"/>
              </w:rPr>
              <w:t xml:space="preserve">Victorian </w:t>
            </w:r>
            <w:r w:rsidRPr="01FDEA01">
              <w:rPr>
                <w:sz w:val="16"/>
                <w:szCs w:val="16"/>
              </w:rPr>
              <w:t>Desalination Plant Water Order charge</w:t>
            </w:r>
            <w:r w:rsidRPr="01FDEA01">
              <w:rPr>
                <w:sz w:val="16"/>
                <w:szCs w:val="16"/>
                <w:vertAlign w:val="superscript"/>
              </w:rPr>
              <w:t>a</w:t>
            </w:r>
          </w:p>
        </w:tc>
        <w:tc>
          <w:tcPr>
            <w:tcW w:w="944" w:type="pct"/>
            <w:tcBorders>
              <w:top w:val="single" w:sz="4" w:space="0" w:color="auto"/>
              <w:left w:val="single" w:sz="4" w:space="0" w:color="auto"/>
              <w:bottom w:val="single" w:sz="4" w:space="0" w:color="auto"/>
              <w:right w:val="single" w:sz="4" w:space="0" w:color="auto"/>
            </w:tcBorders>
            <w:vAlign w:val="center"/>
          </w:tcPr>
          <w:p w14:paraId="083B0A9F" w14:textId="77777777" w:rsidR="00046BD5" w:rsidRPr="00781395" w:rsidRDefault="00046BD5" w:rsidP="00692C9A">
            <w:pPr>
              <w:jc w:val="center"/>
              <w:rPr>
                <w:sz w:val="16"/>
                <w:szCs w:val="16"/>
              </w:rPr>
            </w:pPr>
            <w:r w:rsidRPr="01FDEA01">
              <w:rPr>
                <w:sz w:val="16"/>
                <w:szCs w:val="16"/>
              </w:rPr>
              <w:t>Y</w:t>
            </w:r>
          </w:p>
        </w:tc>
        <w:tc>
          <w:tcPr>
            <w:tcW w:w="989" w:type="pct"/>
            <w:tcBorders>
              <w:top w:val="single" w:sz="4" w:space="0" w:color="auto"/>
              <w:left w:val="single" w:sz="4" w:space="0" w:color="auto"/>
              <w:bottom w:val="single" w:sz="4" w:space="0" w:color="auto"/>
              <w:right w:val="single" w:sz="4" w:space="0" w:color="auto"/>
            </w:tcBorders>
            <w:vAlign w:val="center"/>
          </w:tcPr>
          <w:p w14:paraId="5C132497" w14:textId="77777777" w:rsidR="00046BD5" w:rsidRPr="00781395" w:rsidRDefault="00046BD5" w:rsidP="00692C9A">
            <w:pPr>
              <w:jc w:val="center"/>
              <w:rPr>
                <w:sz w:val="16"/>
                <w:szCs w:val="16"/>
              </w:rPr>
            </w:pPr>
          </w:p>
        </w:tc>
        <w:tc>
          <w:tcPr>
            <w:tcW w:w="945" w:type="pct"/>
            <w:tcBorders>
              <w:top w:val="single" w:sz="4" w:space="0" w:color="auto"/>
              <w:left w:val="single" w:sz="4" w:space="0" w:color="auto"/>
              <w:bottom w:val="single" w:sz="4" w:space="0" w:color="auto"/>
              <w:right w:val="single" w:sz="4" w:space="0" w:color="auto"/>
            </w:tcBorders>
            <w:vAlign w:val="center"/>
          </w:tcPr>
          <w:p w14:paraId="656FA2D9" w14:textId="77777777" w:rsidR="00046BD5" w:rsidRPr="00781395" w:rsidRDefault="00046BD5" w:rsidP="00692C9A">
            <w:pPr>
              <w:jc w:val="center"/>
              <w:rPr>
                <w:sz w:val="16"/>
                <w:szCs w:val="16"/>
              </w:rPr>
            </w:pPr>
          </w:p>
        </w:tc>
      </w:tr>
      <w:tr w:rsidR="00055179" w:rsidRPr="00DE108C" w14:paraId="06F0812E" w14:textId="77777777">
        <w:trPr>
          <w:cnfStyle w:val="000000010000" w:firstRow="0" w:lastRow="0" w:firstColumn="0" w:lastColumn="0" w:oddVBand="0" w:evenVBand="0" w:oddHBand="0" w:evenHBand="1" w:firstRowFirstColumn="0" w:firstRowLastColumn="0" w:lastRowFirstColumn="0" w:lastRowLastColumn="0"/>
          <w:trHeight w:val="227"/>
        </w:trPr>
        <w:tc>
          <w:tcPr>
            <w:tcW w:w="2122" w:type="pct"/>
            <w:tcBorders>
              <w:right w:val="single" w:sz="4" w:space="0" w:color="auto"/>
            </w:tcBorders>
            <w:shd w:val="clear" w:color="auto" w:fill="FFFFFF" w:themeFill="background1"/>
            <w:vAlign w:val="center"/>
          </w:tcPr>
          <w:p w14:paraId="27904539" w14:textId="77777777" w:rsidR="00046BD5" w:rsidRPr="00781395" w:rsidRDefault="00046BD5">
            <w:pPr>
              <w:pStyle w:val="BodyText"/>
              <w:rPr>
                <w:sz w:val="16"/>
                <w:szCs w:val="16"/>
              </w:rPr>
            </w:pPr>
            <w:r w:rsidRPr="01FDEA01">
              <w:rPr>
                <w:sz w:val="16"/>
                <w:szCs w:val="16"/>
              </w:rPr>
              <w:t>1.4 Bulk water headworks charges – North South Pipeline</w:t>
            </w:r>
          </w:p>
        </w:tc>
        <w:tc>
          <w:tcPr>
            <w:tcW w:w="944" w:type="pct"/>
            <w:tcBorders>
              <w:top w:val="single" w:sz="4" w:space="0" w:color="auto"/>
              <w:left w:val="single" w:sz="4" w:space="0" w:color="auto"/>
              <w:bottom w:val="single" w:sz="4" w:space="0" w:color="auto"/>
              <w:right w:val="single" w:sz="4" w:space="0" w:color="auto"/>
            </w:tcBorders>
            <w:vAlign w:val="center"/>
          </w:tcPr>
          <w:p w14:paraId="64BC5B9E" w14:textId="77777777" w:rsidR="00046BD5" w:rsidRPr="00781395" w:rsidRDefault="00046BD5" w:rsidP="00692C9A">
            <w:pPr>
              <w:jc w:val="center"/>
              <w:rPr>
                <w:sz w:val="16"/>
                <w:szCs w:val="16"/>
              </w:rPr>
            </w:pPr>
          </w:p>
        </w:tc>
        <w:tc>
          <w:tcPr>
            <w:tcW w:w="989" w:type="pct"/>
            <w:tcBorders>
              <w:top w:val="single" w:sz="4" w:space="0" w:color="auto"/>
              <w:left w:val="single" w:sz="4" w:space="0" w:color="auto"/>
              <w:bottom w:val="single" w:sz="4" w:space="0" w:color="auto"/>
              <w:right w:val="single" w:sz="4" w:space="0" w:color="auto"/>
            </w:tcBorders>
            <w:vAlign w:val="center"/>
          </w:tcPr>
          <w:p w14:paraId="2913BA48" w14:textId="77777777" w:rsidR="00046BD5" w:rsidRPr="00781395" w:rsidRDefault="00046BD5" w:rsidP="00692C9A">
            <w:pPr>
              <w:jc w:val="center"/>
              <w:rPr>
                <w:sz w:val="16"/>
                <w:szCs w:val="16"/>
              </w:rPr>
            </w:pPr>
          </w:p>
        </w:tc>
        <w:tc>
          <w:tcPr>
            <w:tcW w:w="945" w:type="pct"/>
            <w:tcBorders>
              <w:top w:val="single" w:sz="4" w:space="0" w:color="auto"/>
              <w:left w:val="single" w:sz="4" w:space="0" w:color="auto"/>
              <w:bottom w:val="single" w:sz="4" w:space="0" w:color="auto"/>
              <w:right w:val="single" w:sz="4" w:space="0" w:color="auto"/>
            </w:tcBorders>
            <w:vAlign w:val="center"/>
          </w:tcPr>
          <w:p w14:paraId="74DE15A0" w14:textId="77777777" w:rsidR="00046BD5" w:rsidRPr="00781395" w:rsidRDefault="00046BD5" w:rsidP="00692C9A">
            <w:pPr>
              <w:jc w:val="center"/>
              <w:rPr>
                <w:sz w:val="16"/>
                <w:szCs w:val="16"/>
              </w:rPr>
            </w:pPr>
            <w:r w:rsidRPr="01FDEA01">
              <w:rPr>
                <w:sz w:val="16"/>
                <w:szCs w:val="16"/>
              </w:rPr>
              <w:t>Y</w:t>
            </w:r>
          </w:p>
        </w:tc>
      </w:tr>
      <w:tr w:rsidR="00046BD5" w:rsidRPr="00DE108C" w14:paraId="3D1DEA29" w14:textId="77777777">
        <w:trPr>
          <w:trHeight w:val="227"/>
        </w:trPr>
        <w:tc>
          <w:tcPr>
            <w:tcW w:w="2122" w:type="pct"/>
            <w:tcBorders>
              <w:right w:val="single" w:sz="4" w:space="0" w:color="auto"/>
            </w:tcBorders>
            <w:shd w:val="clear" w:color="auto" w:fill="FFFFFF" w:themeFill="background1"/>
            <w:vAlign w:val="center"/>
          </w:tcPr>
          <w:p w14:paraId="53988479" w14:textId="77777777" w:rsidR="00046BD5" w:rsidRPr="00781395" w:rsidRDefault="00046BD5">
            <w:pPr>
              <w:pStyle w:val="BodyText"/>
              <w:rPr>
                <w:sz w:val="16"/>
                <w:szCs w:val="16"/>
                <w:vertAlign w:val="superscript"/>
              </w:rPr>
            </w:pPr>
            <w:r w:rsidRPr="01FDEA01">
              <w:rPr>
                <w:sz w:val="16"/>
                <w:szCs w:val="16"/>
              </w:rPr>
              <w:t>1.10 Bulk sewerage service charges</w:t>
            </w:r>
            <w:r w:rsidRPr="01FDEA01">
              <w:rPr>
                <w:sz w:val="16"/>
                <w:szCs w:val="16"/>
                <w:vertAlign w:val="superscript"/>
              </w:rPr>
              <w:t>b</w:t>
            </w:r>
          </w:p>
        </w:tc>
        <w:tc>
          <w:tcPr>
            <w:tcW w:w="944" w:type="pct"/>
            <w:tcBorders>
              <w:top w:val="single" w:sz="4" w:space="0" w:color="auto"/>
              <w:left w:val="single" w:sz="4" w:space="0" w:color="auto"/>
              <w:bottom w:val="single" w:sz="4" w:space="0" w:color="auto"/>
              <w:right w:val="single" w:sz="4" w:space="0" w:color="auto"/>
            </w:tcBorders>
            <w:vAlign w:val="center"/>
          </w:tcPr>
          <w:p w14:paraId="1D1EE9BB" w14:textId="77777777" w:rsidR="00046BD5" w:rsidRPr="00781395" w:rsidRDefault="00046BD5" w:rsidP="00692C9A">
            <w:pPr>
              <w:jc w:val="center"/>
              <w:rPr>
                <w:sz w:val="16"/>
                <w:szCs w:val="16"/>
              </w:rPr>
            </w:pPr>
          </w:p>
        </w:tc>
        <w:tc>
          <w:tcPr>
            <w:tcW w:w="989" w:type="pct"/>
            <w:tcBorders>
              <w:top w:val="single" w:sz="4" w:space="0" w:color="auto"/>
              <w:left w:val="single" w:sz="4" w:space="0" w:color="auto"/>
              <w:bottom w:val="single" w:sz="4" w:space="0" w:color="auto"/>
              <w:right w:val="single" w:sz="4" w:space="0" w:color="auto"/>
            </w:tcBorders>
            <w:vAlign w:val="center"/>
          </w:tcPr>
          <w:p w14:paraId="45F96142" w14:textId="77777777" w:rsidR="00046BD5" w:rsidRPr="00781395" w:rsidRDefault="00046BD5" w:rsidP="00692C9A">
            <w:pPr>
              <w:jc w:val="center"/>
              <w:rPr>
                <w:sz w:val="16"/>
                <w:szCs w:val="16"/>
              </w:rPr>
            </w:pPr>
          </w:p>
        </w:tc>
        <w:tc>
          <w:tcPr>
            <w:tcW w:w="945" w:type="pct"/>
            <w:tcBorders>
              <w:top w:val="single" w:sz="4" w:space="0" w:color="auto"/>
              <w:left w:val="single" w:sz="4" w:space="0" w:color="auto"/>
              <w:bottom w:val="single" w:sz="4" w:space="0" w:color="auto"/>
              <w:right w:val="single" w:sz="4" w:space="0" w:color="auto"/>
            </w:tcBorders>
            <w:vAlign w:val="center"/>
          </w:tcPr>
          <w:p w14:paraId="0B14EEE8" w14:textId="77777777" w:rsidR="00046BD5" w:rsidRPr="00781395" w:rsidRDefault="00046BD5" w:rsidP="00692C9A">
            <w:pPr>
              <w:jc w:val="center"/>
              <w:rPr>
                <w:sz w:val="16"/>
                <w:szCs w:val="16"/>
              </w:rPr>
            </w:pPr>
            <w:r w:rsidRPr="01FDEA01">
              <w:rPr>
                <w:sz w:val="16"/>
                <w:szCs w:val="16"/>
              </w:rPr>
              <w:t>Y</w:t>
            </w:r>
          </w:p>
        </w:tc>
      </w:tr>
      <w:tr w:rsidR="00692C9A" w:rsidRPr="00DE108C" w14:paraId="355AFE19" w14:textId="77777777" w:rsidTr="00692C9A">
        <w:trPr>
          <w:cnfStyle w:val="000000010000" w:firstRow="0" w:lastRow="0" w:firstColumn="0" w:lastColumn="0" w:oddVBand="0" w:evenVBand="0" w:oddHBand="0" w:evenHBand="1" w:firstRowFirstColumn="0" w:firstRowLastColumn="0" w:lastRowFirstColumn="0" w:lastRowLastColumn="0"/>
          <w:trHeight w:val="227"/>
        </w:trPr>
        <w:tc>
          <w:tcPr>
            <w:tcW w:w="5000" w:type="pct"/>
            <w:gridSpan w:val="4"/>
            <w:tcBorders>
              <w:right w:val="single" w:sz="4" w:space="0" w:color="auto"/>
            </w:tcBorders>
            <w:shd w:val="clear" w:color="auto" w:fill="D9D9D9" w:themeFill="background1" w:themeFillShade="D9"/>
            <w:vAlign w:val="center"/>
          </w:tcPr>
          <w:p w14:paraId="1B84165F" w14:textId="2ABEDAFA" w:rsidR="00692C9A" w:rsidRPr="00781395" w:rsidRDefault="00692C9A" w:rsidP="00692C9A">
            <w:pPr>
              <w:pStyle w:val="BodyText"/>
              <w:rPr>
                <w:sz w:val="16"/>
                <w:szCs w:val="16"/>
              </w:rPr>
            </w:pPr>
            <w:r w:rsidRPr="01FDEA01">
              <w:rPr>
                <w:sz w:val="16"/>
                <w:szCs w:val="16"/>
              </w:rPr>
              <w:t xml:space="preserve">Waterways </w:t>
            </w:r>
            <w:r w:rsidR="370C6E5C" w:rsidRPr="46904753">
              <w:rPr>
                <w:sz w:val="16"/>
                <w:szCs w:val="16"/>
              </w:rPr>
              <w:t>and</w:t>
            </w:r>
            <w:r w:rsidRPr="01FDEA01">
              <w:rPr>
                <w:sz w:val="16"/>
                <w:szCs w:val="16"/>
              </w:rPr>
              <w:t xml:space="preserve"> drainage charges</w:t>
            </w:r>
          </w:p>
        </w:tc>
      </w:tr>
      <w:tr w:rsidR="00046BD5" w:rsidRPr="00DE108C" w14:paraId="562B24FB" w14:textId="77777777">
        <w:trPr>
          <w:trHeight w:val="227"/>
        </w:trPr>
        <w:tc>
          <w:tcPr>
            <w:tcW w:w="2122" w:type="pct"/>
            <w:shd w:val="clear" w:color="auto" w:fill="FFFFFF" w:themeFill="background1"/>
            <w:vAlign w:val="center"/>
          </w:tcPr>
          <w:p w14:paraId="7ED2D8C6" w14:textId="77777777" w:rsidR="00046BD5" w:rsidRPr="00BC614F" w:rsidRDefault="00046BD5">
            <w:pPr>
              <w:pStyle w:val="BodyText"/>
              <w:rPr>
                <w:sz w:val="16"/>
                <w:szCs w:val="16"/>
              </w:rPr>
            </w:pPr>
            <w:r w:rsidRPr="01FDEA01">
              <w:rPr>
                <w:sz w:val="16"/>
                <w:szCs w:val="16"/>
              </w:rPr>
              <w:t>2.1 Residential waterways and drainage charge</w:t>
            </w:r>
          </w:p>
        </w:tc>
        <w:tc>
          <w:tcPr>
            <w:tcW w:w="944" w:type="pct"/>
            <w:tcBorders>
              <w:top w:val="single" w:sz="4" w:space="0" w:color="auto"/>
              <w:left w:val="single" w:sz="4" w:space="0" w:color="auto"/>
              <w:bottom w:val="single" w:sz="4" w:space="0" w:color="auto"/>
              <w:right w:val="single" w:sz="4" w:space="0" w:color="auto"/>
            </w:tcBorders>
            <w:vAlign w:val="center"/>
          </w:tcPr>
          <w:p w14:paraId="79D32002" w14:textId="77777777" w:rsidR="00046BD5" w:rsidRPr="00781395" w:rsidRDefault="00046BD5" w:rsidP="00692C9A">
            <w:pPr>
              <w:jc w:val="center"/>
              <w:rPr>
                <w:sz w:val="16"/>
                <w:szCs w:val="16"/>
              </w:rPr>
            </w:pPr>
          </w:p>
        </w:tc>
        <w:tc>
          <w:tcPr>
            <w:tcW w:w="989" w:type="pct"/>
            <w:tcBorders>
              <w:top w:val="single" w:sz="4" w:space="0" w:color="auto"/>
              <w:left w:val="nil"/>
              <w:bottom w:val="single" w:sz="4" w:space="0" w:color="auto"/>
              <w:right w:val="single" w:sz="4" w:space="0" w:color="auto"/>
            </w:tcBorders>
            <w:vAlign w:val="center"/>
          </w:tcPr>
          <w:p w14:paraId="337FE523" w14:textId="77777777" w:rsidR="00046BD5" w:rsidRPr="00781395" w:rsidRDefault="00046BD5" w:rsidP="00692C9A">
            <w:pPr>
              <w:jc w:val="center"/>
              <w:rPr>
                <w:sz w:val="16"/>
                <w:szCs w:val="16"/>
              </w:rPr>
            </w:pPr>
          </w:p>
        </w:tc>
        <w:tc>
          <w:tcPr>
            <w:tcW w:w="945" w:type="pct"/>
            <w:tcBorders>
              <w:top w:val="single" w:sz="4" w:space="0" w:color="auto"/>
              <w:left w:val="nil"/>
              <w:bottom w:val="single" w:sz="4" w:space="0" w:color="auto"/>
              <w:right w:val="single" w:sz="4" w:space="0" w:color="auto"/>
            </w:tcBorders>
            <w:vAlign w:val="center"/>
          </w:tcPr>
          <w:p w14:paraId="4C8645A8" w14:textId="77777777" w:rsidR="00046BD5" w:rsidRPr="00781395" w:rsidRDefault="00046BD5" w:rsidP="00692C9A">
            <w:pPr>
              <w:jc w:val="center"/>
              <w:rPr>
                <w:sz w:val="16"/>
                <w:szCs w:val="16"/>
              </w:rPr>
            </w:pPr>
            <w:r w:rsidRPr="01FDEA01">
              <w:rPr>
                <w:sz w:val="16"/>
                <w:szCs w:val="16"/>
              </w:rPr>
              <w:t>Y</w:t>
            </w:r>
          </w:p>
        </w:tc>
      </w:tr>
      <w:tr w:rsidR="0069661E" w:rsidRPr="00DE108C" w14:paraId="1F428F15" w14:textId="77777777">
        <w:trPr>
          <w:cnfStyle w:val="000000010000" w:firstRow="0" w:lastRow="0" w:firstColumn="0" w:lastColumn="0" w:oddVBand="0" w:evenVBand="0" w:oddHBand="0" w:evenHBand="1" w:firstRowFirstColumn="0" w:firstRowLastColumn="0" w:lastRowFirstColumn="0" w:lastRowLastColumn="0"/>
          <w:trHeight w:val="227"/>
        </w:trPr>
        <w:tc>
          <w:tcPr>
            <w:tcW w:w="2122" w:type="pct"/>
            <w:shd w:val="clear" w:color="auto" w:fill="FFFFFF" w:themeFill="background1"/>
            <w:vAlign w:val="center"/>
          </w:tcPr>
          <w:p w14:paraId="5036A10D" w14:textId="77777777" w:rsidR="00046BD5" w:rsidRPr="00BC614F" w:rsidRDefault="00046BD5">
            <w:pPr>
              <w:pStyle w:val="BodyText"/>
              <w:rPr>
                <w:sz w:val="16"/>
                <w:szCs w:val="16"/>
              </w:rPr>
            </w:pPr>
            <w:r w:rsidRPr="01FDEA01">
              <w:rPr>
                <w:sz w:val="16"/>
                <w:szCs w:val="16"/>
              </w:rPr>
              <w:t>2.1 Non-residential waterways and drainage charge</w:t>
            </w:r>
          </w:p>
        </w:tc>
        <w:tc>
          <w:tcPr>
            <w:tcW w:w="944" w:type="pct"/>
            <w:tcBorders>
              <w:top w:val="single" w:sz="4" w:space="0" w:color="auto"/>
              <w:left w:val="single" w:sz="4" w:space="0" w:color="auto"/>
              <w:bottom w:val="single" w:sz="4" w:space="0" w:color="auto"/>
              <w:right w:val="single" w:sz="4" w:space="0" w:color="auto"/>
            </w:tcBorders>
            <w:vAlign w:val="center"/>
          </w:tcPr>
          <w:p w14:paraId="5ACD50D4" w14:textId="77777777" w:rsidR="00046BD5" w:rsidRPr="00781395" w:rsidRDefault="00046BD5" w:rsidP="00692C9A">
            <w:pPr>
              <w:jc w:val="center"/>
              <w:rPr>
                <w:sz w:val="16"/>
                <w:szCs w:val="16"/>
              </w:rPr>
            </w:pPr>
          </w:p>
        </w:tc>
        <w:tc>
          <w:tcPr>
            <w:tcW w:w="989" w:type="pct"/>
            <w:tcBorders>
              <w:top w:val="single" w:sz="4" w:space="0" w:color="auto"/>
              <w:left w:val="nil"/>
              <w:bottom w:val="single" w:sz="4" w:space="0" w:color="auto"/>
              <w:right w:val="single" w:sz="4" w:space="0" w:color="auto"/>
            </w:tcBorders>
            <w:vAlign w:val="center"/>
          </w:tcPr>
          <w:p w14:paraId="11A2BE71" w14:textId="77777777" w:rsidR="00046BD5" w:rsidRPr="00781395" w:rsidRDefault="00046BD5" w:rsidP="00692C9A">
            <w:pPr>
              <w:jc w:val="center"/>
              <w:rPr>
                <w:sz w:val="16"/>
                <w:szCs w:val="16"/>
              </w:rPr>
            </w:pPr>
          </w:p>
        </w:tc>
        <w:tc>
          <w:tcPr>
            <w:tcW w:w="945" w:type="pct"/>
            <w:tcBorders>
              <w:top w:val="single" w:sz="4" w:space="0" w:color="auto"/>
              <w:left w:val="nil"/>
              <w:bottom w:val="single" w:sz="4" w:space="0" w:color="auto"/>
              <w:right w:val="single" w:sz="4" w:space="0" w:color="auto"/>
            </w:tcBorders>
            <w:vAlign w:val="center"/>
          </w:tcPr>
          <w:p w14:paraId="2B70BE55" w14:textId="77777777" w:rsidR="00046BD5" w:rsidRPr="00781395" w:rsidRDefault="00046BD5" w:rsidP="00692C9A">
            <w:pPr>
              <w:jc w:val="center"/>
              <w:rPr>
                <w:sz w:val="16"/>
                <w:szCs w:val="16"/>
              </w:rPr>
            </w:pPr>
            <w:r w:rsidRPr="01FDEA01">
              <w:rPr>
                <w:sz w:val="16"/>
                <w:szCs w:val="16"/>
              </w:rPr>
              <w:t>Y</w:t>
            </w:r>
          </w:p>
        </w:tc>
      </w:tr>
      <w:tr w:rsidR="00046BD5" w:rsidRPr="00DE108C" w14:paraId="7D7A9A73" w14:textId="77777777">
        <w:trPr>
          <w:trHeight w:val="227"/>
        </w:trPr>
        <w:tc>
          <w:tcPr>
            <w:tcW w:w="2122" w:type="pct"/>
            <w:shd w:val="clear" w:color="auto" w:fill="FFFFFF" w:themeFill="background1"/>
            <w:vAlign w:val="center"/>
          </w:tcPr>
          <w:p w14:paraId="5777E80D" w14:textId="77777777" w:rsidR="00046BD5" w:rsidRPr="00781395" w:rsidRDefault="00046BD5">
            <w:pPr>
              <w:pStyle w:val="BodyText"/>
              <w:rPr>
                <w:sz w:val="16"/>
                <w:szCs w:val="16"/>
              </w:rPr>
            </w:pPr>
            <w:r w:rsidRPr="01FDEA01">
              <w:rPr>
                <w:sz w:val="16"/>
                <w:szCs w:val="16"/>
              </w:rPr>
              <w:t>2.2 Non-residential waterways and drainage charge</w:t>
            </w:r>
          </w:p>
        </w:tc>
        <w:tc>
          <w:tcPr>
            <w:tcW w:w="944" w:type="pct"/>
            <w:tcBorders>
              <w:top w:val="single" w:sz="4" w:space="0" w:color="auto"/>
              <w:left w:val="single" w:sz="4" w:space="0" w:color="auto"/>
              <w:bottom w:val="single" w:sz="4" w:space="0" w:color="auto"/>
              <w:right w:val="single" w:sz="4" w:space="0" w:color="auto"/>
            </w:tcBorders>
            <w:vAlign w:val="center"/>
          </w:tcPr>
          <w:p w14:paraId="2E0E293E" w14:textId="77777777" w:rsidR="00046BD5" w:rsidRPr="00781395" w:rsidRDefault="00046BD5" w:rsidP="00692C9A">
            <w:pPr>
              <w:jc w:val="center"/>
              <w:rPr>
                <w:sz w:val="16"/>
                <w:szCs w:val="16"/>
              </w:rPr>
            </w:pPr>
          </w:p>
        </w:tc>
        <w:tc>
          <w:tcPr>
            <w:tcW w:w="989" w:type="pct"/>
            <w:tcBorders>
              <w:top w:val="single" w:sz="4" w:space="0" w:color="auto"/>
              <w:left w:val="nil"/>
              <w:bottom w:val="single" w:sz="4" w:space="0" w:color="auto"/>
              <w:right w:val="single" w:sz="4" w:space="0" w:color="auto"/>
            </w:tcBorders>
            <w:vAlign w:val="center"/>
          </w:tcPr>
          <w:p w14:paraId="7051064A" w14:textId="77777777" w:rsidR="00046BD5" w:rsidRPr="00781395" w:rsidRDefault="00046BD5" w:rsidP="00692C9A">
            <w:pPr>
              <w:jc w:val="center"/>
              <w:rPr>
                <w:sz w:val="16"/>
                <w:szCs w:val="16"/>
              </w:rPr>
            </w:pPr>
          </w:p>
        </w:tc>
        <w:tc>
          <w:tcPr>
            <w:tcW w:w="945" w:type="pct"/>
            <w:tcBorders>
              <w:top w:val="single" w:sz="4" w:space="0" w:color="auto"/>
              <w:left w:val="nil"/>
              <w:bottom w:val="single" w:sz="4" w:space="0" w:color="auto"/>
              <w:right w:val="single" w:sz="4" w:space="0" w:color="auto"/>
            </w:tcBorders>
            <w:vAlign w:val="center"/>
          </w:tcPr>
          <w:p w14:paraId="6F6B2BC2" w14:textId="77777777" w:rsidR="00046BD5" w:rsidRPr="00781395" w:rsidRDefault="00046BD5" w:rsidP="00692C9A">
            <w:pPr>
              <w:jc w:val="center"/>
              <w:rPr>
                <w:sz w:val="16"/>
                <w:szCs w:val="16"/>
              </w:rPr>
            </w:pPr>
            <w:r w:rsidRPr="01FDEA01">
              <w:rPr>
                <w:sz w:val="16"/>
                <w:szCs w:val="16"/>
              </w:rPr>
              <w:t>Y</w:t>
            </w:r>
          </w:p>
        </w:tc>
      </w:tr>
      <w:tr w:rsidR="0069661E" w:rsidRPr="00DE108C" w14:paraId="72CA5DAA" w14:textId="77777777" w:rsidTr="4D3610FA">
        <w:trPr>
          <w:cnfStyle w:val="000000010000" w:firstRow="0" w:lastRow="0" w:firstColumn="0" w:lastColumn="0" w:oddVBand="0" w:evenVBand="0" w:oddHBand="0" w:evenHBand="1" w:firstRowFirstColumn="0" w:firstRowLastColumn="0" w:lastRowFirstColumn="0" w:lastRowLastColumn="0"/>
          <w:trHeight w:val="227"/>
        </w:trPr>
        <w:tc>
          <w:tcPr>
            <w:tcW w:w="2122" w:type="pct"/>
            <w:tcBorders>
              <w:bottom w:val="single" w:sz="12" w:space="0" w:color="000000"/>
            </w:tcBorders>
            <w:shd w:val="clear" w:color="auto" w:fill="FFFFFF" w:themeFill="background1"/>
            <w:vAlign w:val="center"/>
          </w:tcPr>
          <w:p w14:paraId="63841A0C" w14:textId="77777777" w:rsidR="00046BD5" w:rsidRPr="00781395" w:rsidRDefault="00046BD5">
            <w:pPr>
              <w:pStyle w:val="BodyText"/>
              <w:rPr>
                <w:sz w:val="16"/>
                <w:szCs w:val="16"/>
              </w:rPr>
            </w:pPr>
            <w:r w:rsidRPr="01FDEA01">
              <w:rPr>
                <w:sz w:val="16"/>
                <w:szCs w:val="16"/>
              </w:rPr>
              <w:t>2.3 Rural charge</w:t>
            </w:r>
          </w:p>
        </w:tc>
        <w:tc>
          <w:tcPr>
            <w:tcW w:w="944" w:type="pct"/>
            <w:tcBorders>
              <w:top w:val="single" w:sz="4" w:space="0" w:color="auto"/>
              <w:left w:val="single" w:sz="4" w:space="0" w:color="auto"/>
              <w:bottom w:val="single" w:sz="12" w:space="0" w:color="000000"/>
              <w:right w:val="single" w:sz="4" w:space="0" w:color="auto"/>
            </w:tcBorders>
            <w:vAlign w:val="center"/>
          </w:tcPr>
          <w:p w14:paraId="5DE82A54" w14:textId="77777777" w:rsidR="00046BD5" w:rsidRPr="00781395" w:rsidRDefault="00046BD5" w:rsidP="00692C9A">
            <w:pPr>
              <w:jc w:val="center"/>
              <w:rPr>
                <w:sz w:val="16"/>
                <w:szCs w:val="16"/>
              </w:rPr>
            </w:pPr>
          </w:p>
        </w:tc>
        <w:tc>
          <w:tcPr>
            <w:tcW w:w="989" w:type="pct"/>
            <w:tcBorders>
              <w:top w:val="single" w:sz="4" w:space="0" w:color="auto"/>
              <w:left w:val="nil"/>
              <w:bottom w:val="single" w:sz="12" w:space="0" w:color="000000"/>
              <w:right w:val="single" w:sz="4" w:space="0" w:color="auto"/>
            </w:tcBorders>
            <w:vAlign w:val="center"/>
          </w:tcPr>
          <w:p w14:paraId="2EACCEE7" w14:textId="77777777" w:rsidR="00046BD5" w:rsidRPr="00781395" w:rsidRDefault="00046BD5" w:rsidP="00692C9A">
            <w:pPr>
              <w:jc w:val="center"/>
              <w:rPr>
                <w:sz w:val="16"/>
                <w:szCs w:val="16"/>
              </w:rPr>
            </w:pPr>
          </w:p>
        </w:tc>
        <w:tc>
          <w:tcPr>
            <w:tcW w:w="945" w:type="pct"/>
            <w:tcBorders>
              <w:top w:val="single" w:sz="4" w:space="0" w:color="auto"/>
              <w:left w:val="nil"/>
              <w:bottom w:val="single" w:sz="12" w:space="0" w:color="000000"/>
              <w:right w:val="single" w:sz="4" w:space="0" w:color="auto"/>
            </w:tcBorders>
            <w:vAlign w:val="center"/>
          </w:tcPr>
          <w:p w14:paraId="368A4D75" w14:textId="77777777" w:rsidR="00046BD5" w:rsidRPr="00781395" w:rsidRDefault="00046BD5" w:rsidP="00692C9A">
            <w:pPr>
              <w:jc w:val="center"/>
              <w:rPr>
                <w:sz w:val="16"/>
                <w:szCs w:val="16"/>
              </w:rPr>
            </w:pPr>
            <w:r w:rsidRPr="01FDEA01">
              <w:rPr>
                <w:sz w:val="16"/>
                <w:szCs w:val="16"/>
              </w:rPr>
              <w:t>Y</w:t>
            </w:r>
          </w:p>
        </w:tc>
      </w:tr>
      <w:tr w:rsidR="00046BD5" w:rsidRPr="00DE108C" w14:paraId="7B465A79" w14:textId="77777777" w:rsidTr="4D3610FA">
        <w:trPr>
          <w:trHeight w:val="227"/>
        </w:trPr>
        <w:tc>
          <w:tcPr>
            <w:tcW w:w="5000" w:type="pct"/>
            <w:gridSpan w:val="4"/>
            <w:tcBorders>
              <w:top w:val="single" w:sz="12" w:space="0" w:color="000000"/>
              <w:left w:val="none" w:sz="4" w:space="0" w:color="231F20" w:themeColor="text1"/>
              <w:bottom w:val="none" w:sz="4" w:space="0" w:color="231F20" w:themeColor="text1"/>
              <w:right w:val="none" w:sz="4" w:space="0" w:color="231F20" w:themeColor="text1"/>
            </w:tcBorders>
            <w:shd w:val="clear" w:color="auto" w:fill="FFFFFF" w:themeFill="background1"/>
            <w:vAlign w:val="center"/>
          </w:tcPr>
          <w:p w14:paraId="58782CA1" w14:textId="77777777" w:rsidR="00046BD5" w:rsidRPr="00781395" w:rsidRDefault="00046BD5" w:rsidP="00ED094E">
            <w:pPr>
              <w:rPr>
                <w:sz w:val="16"/>
                <w:szCs w:val="16"/>
              </w:rPr>
            </w:pPr>
            <w:r w:rsidRPr="01FDEA01">
              <w:rPr>
                <w:sz w:val="16"/>
                <w:szCs w:val="16"/>
                <w:vertAlign w:val="superscript"/>
              </w:rPr>
              <w:t xml:space="preserve">a </w:t>
            </w:r>
            <w:r w:rsidRPr="01FDEA01">
              <w:rPr>
                <w:sz w:val="16"/>
                <w:szCs w:val="16"/>
              </w:rPr>
              <w:t>Adjustments to be allocated to water corporations by South-Central Pool share 2026-31, see Table 11.7.</w:t>
            </w:r>
          </w:p>
          <w:p w14:paraId="15550FA8" w14:textId="77777777" w:rsidR="00046BD5" w:rsidRPr="00781395" w:rsidRDefault="00046BD5" w:rsidP="00ED094E">
            <w:pPr>
              <w:rPr>
                <w:sz w:val="16"/>
                <w:szCs w:val="16"/>
              </w:rPr>
            </w:pPr>
            <w:r w:rsidRPr="01FDEA01">
              <w:rPr>
                <w:sz w:val="16"/>
                <w:szCs w:val="16"/>
                <w:vertAlign w:val="superscript"/>
              </w:rPr>
              <w:t>b</w:t>
            </w:r>
            <w:r w:rsidRPr="01FDEA01">
              <w:rPr>
                <w:sz w:val="16"/>
                <w:szCs w:val="16"/>
              </w:rPr>
              <w:t xml:space="preserve"> Adjustments to be allocated to water corporations by sewerage cost allocation share 2026-31, see Table 11.11.</w:t>
            </w:r>
          </w:p>
        </w:tc>
      </w:tr>
    </w:tbl>
    <w:p w14:paraId="4EAC6FDE" w14:textId="77777777" w:rsidR="00046BD5" w:rsidRPr="00DE108C" w:rsidRDefault="00046BD5" w:rsidP="00ED094E">
      <w:bookmarkStart w:id="1233" w:name="_Toc183624007"/>
      <w:bookmarkStart w:id="1234" w:name="_Toc190876183"/>
      <w:bookmarkEnd w:id="1233"/>
      <w:bookmarkEnd w:id="1234"/>
    </w:p>
    <w:p w14:paraId="484C7130" w14:textId="760FBDB5" w:rsidR="00046BD5" w:rsidRPr="00DE108C" w:rsidRDefault="00046BD5" w:rsidP="00ED094E"/>
    <w:bookmarkStart w:id="1235" w:name="_Toc210229045"/>
    <w:p w14:paraId="379F1A9A" w14:textId="1B0DD7C0" w:rsidR="00046BD5" w:rsidRPr="00DE108C" w:rsidRDefault="009C17B8">
      <w:pPr>
        <w:pStyle w:val="Heading1"/>
        <w:rPr>
          <w:b w:val="0"/>
          <w:sz w:val="76"/>
          <w:szCs w:val="76"/>
        </w:rPr>
      </w:pPr>
      <w:r>
        <w:rPr>
          <w:noProof/>
        </w:rPr>
        <w:lastRenderedPageBreak/>
        <mc:AlternateContent>
          <mc:Choice Requires="wps">
            <w:drawing>
              <wp:anchor distT="45720" distB="45720" distL="114300" distR="114300" simplePos="0" relativeHeight="251658276" behindDoc="0" locked="0" layoutInCell="1" allowOverlap="1" wp14:anchorId="02446A97" wp14:editId="23FAD492">
                <wp:simplePos x="0" y="0"/>
                <wp:positionH relativeFrom="margin">
                  <wp:posOffset>0</wp:posOffset>
                </wp:positionH>
                <wp:positionV relativeFrom="margin">
                  <wp:posOffset>0</wp:posOffset>
                </wp:positionV>
                <wp:extent cx="4226400" cy="2768400"/>
                <wp:effectExtent l="0" t="0" r="0" b="0"/>
                <wp:wrapSquare wrapText="bothSides"/>
                <wp:docPr id="610480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400" cy="2768400"/>
                        </a:xfrm>
                        <a:prstGeom prst="rect">
                          <a:avLst/>
                        </a:prstGeom>
                        <a:noFill/>
                        <a:ln w="9525">
                          <a:noFill/>
                          <a:miter lim="800000"/>
                          <a:headEnd/>
                          <a:tailEnd/>
                        </a:ln>
                      </wps:spPr>
                      <wps:txbx>
                        <w:txbxContent>
                          <w:p w14:paraId="638DD2C1" w14:textId="45B06361" w:rsidR="009C17B8" w:rsidRPr="00FA4200" w:rsidRDefault="009C17B8" w:rsidP="009C17B8">
                            <w:pPr>
                              <w:rPr>
                                <w:color w:val="FFFFFF" w:themeColor="background1"/>
                                <w:sz w:val="80"/>
                                <w:szCs w:val="80"/>
                              </w:rPr>
                            </w:pPr>
                            <w:r>
                              <w:rPr>
                                <w:color w:val="FFFFFF" w:themeColor="background1"/>
                                <w:sz w:val="80"/>
                                <w:szCs w:val="80"/>
                              </w:rPr>
                              <w:t>Financial position and non-prescribed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46A97" id="_x0000_s1055" type="#_x0000_t202" style="position:absolute;margin-left:0;margin-top:0;width:332.8pt;height:218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" filled="f" stroked="f">
                <v:textbox>
                  <w:txbxContent>
                    <w:p w14:paraId="638DD2C1" w14:textId="45B06361" w:rsidR="009C17B8" w:rsidRPr="00FA4200" w:rsidRDefault="009C17B8" w:rsidP="009C17B8">
                      <w:pPr>
                        <w:rPr>
                          <w:color w:val="FFFFFF" w:themeColor="background1"/>
                          <w:sz w:val="80"/>
                          <w:szCs w:val="80"/>
                        </w:rPr>
                      </w:pPr>
                      <w:r>
                        <w:rPr>
                          <w:color w:val="FFFFFF" w:themeColor="background1"/>
                          <w:sz w:val="80"/>
                          <w:szCs w:val="80"/>
                        </w:rPr>
                        <w:t>Financial position and non-prescribed services</w:t>
                      </w:r>
                    </w:p>
                  </w:txbxContent>
                </v:textbox>
                <w10:wrap type="square" anchorx="margin" anchory="margin"/>
              </v:shape>
            </w:pict>
          </mc:Fallback>
        </mc:AlternateContent>
      </w:r>
      <w:r w:rsidR="004A771C" w:rsidRPr="00DE108C">
        <w:rPr>
          <w:b w:val="0"/>
          <w:bCs w:val="0"/>
          <w:noProof/>
          <w:color w:val="FFFFFF" w:themeColor="background1"/>
          <w:sz w:val="76"/>
          <w:szCs w:val="76"/>
        </w:rPr>
        <w:drawing>
          <wp:anchor distT="0" distB="0" distL="114300" distR="114300" simplePos="0" relativeHeight="251658275" behindDoc="0" locked="1" layoutInCell="1" allowOverlap="1" wp14:anchorId="02A62861" wp14:editId="1686AF17">
            <wp:simplePos x="0" y="0"/>
            <wp:positionH relativeFrom="page">
              <wp:posOffset>0</wp:posOffset>
            </wp:positionH>
            <wp:positionV relativeFrom="page">
              <wp:posOffset>-104140</wp:posOffset>
            </wp:positionV>
            <wp:extent cx="7628255" cy="10781665"/>
            <wp:effectExtent l="0" t="0" r="0" b="635"/>
            <wp:wrapNone/>
            <wp:docPr id="120883215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32159" name="Picture 8">
                      <a:extLst>
                        <a:ext uri="{C183D7F6-B498-43B3-948B-1728B52AA6E4}">
                          <adec:decorative xmlns:adec="http://schemas.microsoft.com/office/drawing/2017/decorative" val="1"/>
                        </a:ext>
                      </a:extLst>
                    </pic:cNvPr>
                    <pic:cNvPicPr/>
                  </pic:nvPicPr>
                  <pic:blipFill>
                    <a:blip r:embed="rId119" cstate="email">
                      <a:extLst>
                        <a:ext uri="{28A0092B-C50C-407E-A947-70E740481C1C}">
                          <a14:useLocalDpi xmlns:a14="http://schemas.microsoft.com/office/drawing/2010/main"/>
                        </a:ext>
                      </a:extLst>
                    </a:blip>
                    <a:stretch>
                      <a:fillRect/>
                    </a:stretch>
                  </pic:blipFill>
                  <pic:spPr>
                    <a:xfrm>
                      <a:off x="0" y="0"/>
                      <a:ext cx="7628255" cy="10781665"/>
                    </a:xfrm>
                    <a:prstGeom prst="rect">
                      <a:avLst/>
                    </a:prstGeom>
                  </pic:spPr>
                </pic:pic>
              </a:graphicData>
            </a:graphic>
            <wp14:sizeRelH relativeFrom="page">
              <wp14:pctWidth>0</wp14:pctWidth>
            </wp14:sizeRelH>
            <wp14:sizeRelV relativeFrom="page">
              <wp14:pctHeight>0</wp14:pctHeight>
            </wp14:sizeRelV>
          </wp:anchor>
        </w:drawing>
      </w:r>
      <w:r w:rsidR="00046BD5" w:rsidRPr="00DE108C">
        <w:rPr>
          <w:b w:val="0"/>
          <w:bCs w:val="0"/>
          <w:color w:val="FFFFFF" w:themeColor="background1"/>
          <w:sz w:val="76"/>
          <w:szCs w:val="76"/>
        </w:rPr>
        <w:t xml:space="preserve">12. </w:t>
      </w:r>
      <w:r w:rsidR="001653DB" w:rsidRPr="00DE108C">
        <w:rPr>
          <w:b w:val="0"/>
          <w:bCs w:val="0"/>
          <w:color w:val="FFFFFF" w:themeColor="background1"/>
          <w:sz w:val="76"/>
          <w:szCs w:val="76"/>
        </w:rPr>
        <w:t>F</w:t>
      </w:r>
      <w:r w:rsidR="00046BD5" w:rsidRPr="00DE108C">
        <w:rPr>
          <w:b w:val="0"/>
          <w:bCs w:val="0"/>
          <w:color w:val="FFFFFF" w:themeColor="background1"/>
          <w:sz w:val="76"/>
          <w:szCs w:val="76"/>
        </w:rPr>
        <w:t>inancial position</w:t>
      </w:r>
      <w:r w:rsidR="00B93E7E" w:rsidRPr="00DE108C">
        <w:rPr>
          <w:b w:val="0"/>
          <w:bCs w:val="0"/>
          <w:color w:val="FFFFFF" w:themeColor="background1"/>
          <w:sz w:val="76"/>
          <w:szCs w:val="76"/>
        </w:rPr>
        <w:t xml:space="preserve"> and non-prescribed services</w:t>
      </w:r>
      <w:bookmarkEnd w:id="1235"/>
    </w:p>
    <w:p w14:paraId="6DCC4974" w14:textId="77777777" w:rsidR="00046BD5" w:rsidRPr="00DE108C" w:rsidRDefault="00046BD5">
      <w:r w:rsidRPr="00DE108C">
        <w:br w:type="page"/>
      </w:r>
    </w:p>
    <w:p w14:paraId="526B8CBD" w14:textId="44A20D96" w:rsidR="00092388" w:rsidRPr="00DE108C" w:rsidRDefault="00092388" w:rsidP="00092388">
      <w:pPr>
        <w:pStyle w:val="Heading2"/>
      </w:pPr>
      <w:r w:rsidRPr="00DE108C">
        <w:lastRenderedPageBreak/>
        <w:t>12.1 Financial position</w:t>
      </w:r>
    </w:p>
    <w:p w14:paraId="512ADA3B" w14:textId="4BA4BC37" w:rsidR="00046BD5" w:rsidRPr="00DE108C" w:rsidRDefault="00046BD5" w:rsidP="00ED094E">
      <w:r w:rsidRPr="00DE108C">
        <w:t>Although we are increasing investment in our services, Melbourne Water’s financial position is projected to remain strong over the 2026-31 regulatory period</w:t>
      </w:r>
      <w:r w:rsidR="003147F2" w:rsidRPr="00DE108C">
        <w:t xml:space="preserve"> and beyond</w:t>
      </w:r>
      <w:r w:rsidRPr="00DE108C">
        <w:t>. This enables us to take on additional risk to limit increases in customer bills for projects where there remains some uncertainty around deliverability.</w:t>
      </w:r>
    </w:p>
    <w:p w14:paraId="7402E345" w14:textId="77777777" w:rsidR="00046BD5" w:rsidRPr="00DE108C" w:rsidRDefault="00046BD5" w:rsidP="00ED094E">
      <w:r w:rsidRPr="00DE108C">
        <w:t>Melbourne Water undergoes independent internal credit reviews, which confirm our ongoing financial viability.</w:t>
      </w:r>
    </w:p>
    <w:p w14:paraId="2DD5C61A" w14:textId="420ECB56" w:rsidR="00046BD5" w:rsidRPr="00DE108C" w:rsidRDefault="00046BD5" w:rsidP="00ED094E">
      <w:r w:rsidRPr="00DE108C">
        <w:t xml:space="preserve">Our financial model provides outcomes for the </w:t>
      </w:r>
      <w:r w:rsidR="003F1200" w:rsidRPr="00DE108C">
        <w:t>five</w:t>
      </w:r>
      <w:r w:rsidRPr="00DE108C">
        <w:t xml:space="preserve"> key financial indicators as summarised in Table 12.1. </w:t>
      </w:r>
    </w:p>
    <w:p w14:paraId="7D1DACFB" w14:textId="1425A9AD" w:rsidR="00046BD5" w:rsidRPr="00DE108C" w:rsidRDefault="00046BD5" w:rsidP="00ED094E">
      <w:r w:rsidRPr="00DE108C">
        <w:t xml:space="preserve">Interest cover is forecast to remain within the ESC benchmarks for the regulatory period. We note that interest cover is trending towards the benchmark indicator towards the end of the regulatory period. Funds from Operations (FFO) to net debt is </w:t>
      </w:r>
      <w:r w:rsidR="18380D05" w:rsidRPr="00DE108C">
        <w:t>also</w:t>
      </w:r>
      <w:r w:rsidRPr="00DE108C">
        <w:t xml:space="preserve"> forecast to </w:t>
      </w:r>
      <w:r w:rsidR="069C79E2" w:rsidRPr="00DE108C">
        <w:t>decline</w:t>
      </w:r>
      <w:r w:rsidRPr="00DE108C">
        <w:t xml:space="preserve"> over the regulatory period. This is driven by increased </w:t>
      </w:r>
      <w:r>
        <w:t>ca</w:t>
      </w:r>
      <w:r w:rsidR="00D35092">
        <w:t>p</w:t>
      </w:r>
      <w:r w:rsidR="2CB6DE0E">
        <w:t>ital expenditure (</w:t>
      </w:r>
      <w:r w:rsidRPr="00DE108C">
        <w:t>capex</w:t>
      </w:r>
      <w:r w:rsidR="253BE40F">
        <w:t>)</w:t>
      </w:r>
      <w:r w:rsidRPr="00DE108C">
        <w:t xml:space="preserve"> and increases in desalination capitalisation payments as we get closer to the end of the contract and principal repayments are increasing. </w:t>
      </w:r>
    </w:p>
    <w:p w14:paraId="76821BB5" w14:textId="04AA63EA" w:rsidR="00046BD5" w:rsidRPr="00DE108C" w:rsidRDefault="00046BD5" w:rsidP="00ED094E">
      <w:r w:rsidRPr="00DE108C">
        <w:t>Gearing, Retained Cash Flow (RCF) to net debt and Internal financing ratio are forecast to remain within the ESC benchmarks for the regulatory period</w:t>
      </w:r>
      <w:r w:rsidR="0E7494FC" w:rsidRPr="00DE108C">
        <w:t xml:space="preserve"> and improve over the regulatory period</w:t>
      </w:r>
      <w:r w:rsidRPr="00DE108C">
        <w:t xml:space="preserve">. We believe these ratios remain serviceable, particularly as gearing and interest cover remain below the benchmarks. </w:t>
      </w:r>
    </w:p>
    <w:p w14:paraId="786DD8C6" w14:textId="77777777" w:rsidR="00046BD5" w:rsidRPr="00DE108C" w:rsidRDefault="00046BD5">
      <w:pPr>
        <w:pStyle w:val="Caption"/>
      </w:pPr>
      <w:bookmarkStart w:id="1236" w:name="_Ref190960295"/>
      <w:bookmarkStart w:id="1237" w:name="_Toc207893127"/>
      <w:bookmarkStart w:id="1238" w:name="_Toc208490651"/>
      <w:bookmarkStart w:id="1239" w:name="_Toc208490989"/>
      <w:bookmarkStart w:id="1240" w:name="_Toc208911147"/>
      <w:bookmarkStart w:id="1241" w:name="_Toc210051453"/>
      <w:r w:rsidRPr="000C092E">
        <w:t>Table 12.1</w:t>
      </w:r>
      <w:bookmarkEnd w:id="1236"/>
      <w:r w:rsidRPr="000C092E">
        <w:t>: Financial metrics forecast for the regulatory period</w:t>
      </w:r>
      <w:bookmarkEnd w:id="1237"/>
      <w:bookmarkEnd w:id="1238"/>
      <w:bookmarkEnd w:id="1239"/>
      <w:bookmarkEnd w:id="1240"/>
      <w:bookmarkEnd w:id="1241"/>
    </w:p>
    <w:tbl>
      <w:tblPr>
        <w:tblStyle w:val="MWTableGrid"/>
        <w:tblW w:w="5000" w:type="pct"/>
        <w:tblLook w:val="0420" w:firstRow="1" w:lastRow="0" w:firstColumn="0" w:lastColumn="0" w:noHBand="0" w:noVBand="1"/>
      </w:tblPr>
      <w:tblGrid>
        <w:gridCol w:w="1364"/>
        <w:gridCol w:w="1437"/>
        <w:gridCol w:w="1363"/>
        <w:gridCol w:w="1363"/>
        <w:gridCol w:w="1367"/>
        <w:gridCol w:w="1367"/>
        <w:gridCol w:w="1367"/>
      </w:tblGrid>
      <w:tr w:rsidR="00556A0D" w:rsidRPr="00DE108C" w14:paraId="45B47D6D" w14:textId="77777777">
        <w:trPr>
          <w:cnfStyle w:val="100000000000" w:firstRow="1" w:lastRow="0" w:firstColumn="0" w:lastColumn="0" w:oddVBand="0" w:evenVBand="0" w:oddHBand="0" w:evenHBand="0" w:firstRowFirstColumn="0" w:firstRowLastColumn="0" w:lastRowFirstColumn="0" w:lastRowLastColumn="0"/>
          <w:cantSplit/>
        </w:trPr>
        <w:tc>
          <w:tcPr>
            <w:tcW w:w="708" w:type="pct"/>
          </w:tcPr>
          <w:p w14:paraId="29222508" w14:textId="77777777" w:rsidR="00046BD5" w:rsidRPr="00EF1E66" w:rsidRDefault="00046BD5">
            <w:pPr>
              <w:pStyle w:val="TableHeading"/>
              <w:rPr>
                <w:rFonts w:asciiTheme="majorHAnsi" w:hAnsiTheme="majorHAnsi"/>
              </w:rPr>
            </w:pPr>
          </w:p>
        </w:tc>
        <w:tc>
          <w:tcPr>
            <w:tcW w:w="746" w:type="pct"/>
          </w:tcPr>
          <w:p w14:paraId="1DF37C8C" w14:textId="77777777" w:rsidR="00046BD5" w:rsidRPr="00EF1E66" w:rsidRDefault="00046BD5">
            <w:pPr>
              <w:pStyle w:val="TableHeading"/>
              <w:rPr>
                <w:rFonts w:asciiTheme="majorHAnsi" w:hAnsiTheme="majorHAnsi"/>
              </w:rPr>
            </w:pPr>
            <w:r w:rsidRPr="01FDEA01">
              <w:rPr>
                <w:rFonts w:asciiTheme="majorHAnsi" w:hAnsiTheme="majorHAnsi"/>
              </w:rPr>
              <w:t>Benchmark</w:t>
            </w:r>
          </w:p>
        </w:tc>
        <w:tc>
          <w:tcPr>
            <w:tcW w:w="708" w:type="pct"/>
          </w:tcPr>
          <w:p w14:paraId="20FDDC21" w14:textId="77777777" w:rsidR="00046BD5" w:rsidRPr="00EF1E66" w:rsidRDefault="00046BD5" w:rsidP="00D65C1A">
            <w:pPr>
              <w:pStyle w:val="TableHeading"/>
              <w:jc w:val="center"/>
              <w:rPr>
                <w:rFonts w:asciiTheme="majorHAnsi" w:hAnsiTheme="majorHAnsi"/>
              </w:rPr>
            </w:pPr>
            <w:r w:rsidRPr="01FDEA01">
              <w:rPr>
                <w:rFonts w:asciiTheme="majorHAnsi" w:hAnsiTheme="majorHAnsi"/>
              </w:rPr>
              <w:t>2026-27</w:t>
            </w:r>
          </w:p>
        </w:tc>
        <w:tc>
          <w:tcPr>
            <w:tcW w:w="708" w:type="pct"/>
          </w:tcPr>
          <w:p w14:paraId="45F2AC97" w14:textId="77777777" w:rsidR="00046BD5" w:rsidRPr="00EF1E66" w:rsidRDefault="00046BD5" w:rsidP="00D65C1A">
            <w:pPr>
              <w:pStyle w:val="TableHeading"/>
              <w:jc w:val="center"/>
              <w:rPr>
                <w:rFonts w:asciiTheme="majorHAnsi" w:hAnsiTheme="majorHAnsi"/>
              </w:rPr>
            </w:pPr>
            <w:r w:rsidRPr="01FDEA01">
              <w:rPr>
                <w:rFonts w:asciiTheme="majorHAnsi" w:hAnsiTheme="majorHAnsi"/>
              </w:rPr>
              <w:t>2027-28</w:t>
            </w:r>
          </w:p>
        </w:tc>
        <w:tc>
          <w:tcPr>
            <w:tcW w:w="710" w:type="pct"/>
          </w:tcPr>
          <w:p w14:paraId="09D3E517" w14:textId="77777777" w:rsidR="00046BD5" w:rsidRPr="00EF1E66" w:rsidRDefault="00046BD5" w:rsidP="00D65C1A">
            <w:pPr>
              <w:pStyle w:val="TableHeading"/>
              <w:jc w:val="center"/>
              <w:rPr>
                <w:rFonts w:asciiTheme="majorHAnsi" w:hAnsiTheme="majorHAnsi"/>
              </w:rPr>
            </w:pPr>
            <w:r w:rsidRPr="01FDEA01">
              <w:rPr>
                <w:rFonts w:asciiTheme="majorHAnsi" w:hAnsiTheme="majorHAnsi"/>
              </w:rPr>
              <w:t>2028-29</w:t>
            </w:r>
          </w:p>
        </w:tc>
        <w:tc>
          <w:tcPr>
            <w:tcW w:w="710" w:type="pct"/>
          </w:tcPr>
          <w:p w14:paraId="21085ABB" w14:textId="77777777" w:rsidR="00046BD5" w:rsidRPr="00EF1E66" w:rsidRDefault="00046BD5" w:rsidP="00D65C1A">
            <w:pPr>
              <w:pStyle w:val="TableHeading"/>
              <w:jc w:val="center"/>
              <w:rPr>
                <w:rFonts w:asciiTheme="majorHAnsi" w:hAnsiTheme="majorHAnsi"/>
              </w:rPr>
            </w:pPr>
            <w:r w:rsidRPr="01FDEA01">
              <w:rPr>
                <w:rFonts w:asciiTheme="majorHAnsi" w:hAnsiTheme="majorHAnsi"/>
              </w:rPr>
              <w:t>2029-30</w:t>
            </w:r>
          </w:p>
        </w:tc>
        <w:tc>
          <w:tcPr>
            <w:tcW w:w="710" w:type="pct"/>
          </w:tcPr>
          <w:p w14:paraId="588D7453" w14:textId="77777777" w:rsidR="00046BD5" w:rsidRPr="00EF1E66" w:rsidRDefault="00046BD5" w:rsidP="00D65C1A">
            <w:pPr>
              <w:pStyle w:val="TableHeading"/>
              <w:jc w:val="center"/>
              <w:rPr>
                <w:rFonts w:asciiTheme="majorHAnsi" w:hAnsiTheme="majorHAnsi"/>
              </w:rPr>
            </w:pPr>
            <w:r w:rsidRPr="01FDEA01">
              <w:rPr>
                <w:rFonts w:asciiTheme="majorHAnsi" w:hAnsiTheme="majorHAnsi"/>
              </w:rPr>
              <w:t>2030-31</w:t>
            </w:r>
          </w:p>
        </w:tc>
      </w:tr>
      <w:tr w:rsidR="00046BD5" w:rsidRPr="00DE108C" w14:paraId="08DEA4C9" w14:textId="77777777">
        <w:trPr>
          <w:cantSplit/>
        </w:trPr>
        <w:tc>
          <w:tcPr>
            <w:tcW w:w="5000" w:type="pct"/>
            <w:gridSpan w:val="7"/>
          </w:tcPr>
          <w:p w14:paraId="383CA04E" w14:textId="77777777" w:rsidR="00046BD5" w:rsidRPr="00EF1E66" w:rsidRDefault="00046BD5">
            <w:pPr>
              <w:pStyle w:val="TableText"/>
              <w:rPr>
                <w:rFonts w:asciiTheme="majorHAnsi" w:hAnsiTheme="majorHAnsi"/>
                <w:b/>
              </w:rPr>
            </w:pPr>
            <w:r w:rsidRPr="01FDEA01">
              <w:rPr>
                <w:rFonts w:asciiTheme="majorHAnsi" w:hAnsiTheme="majorHAnsi"/>
                <w:b/>
              </w:rPr>
              <w:t>Primary indicator</w:t>
            </w:r>
          </w:p>
        </w:tc>
      </w:tr>
      <w:tr w:rsidR="00556A0D" w:rsidRPr="00DE108C" w14:paraId="18BFA27F" w14:textId="77777777" w:rsidTr="001D4295">
        <w:trPr>
          <w:cnfStyle w:val="000000010000" w:firstRow="0" w:lastRow="0" w:firstColumn="0" w:lastColumn="0" w:oddVBand="0" w:evenVBand="0" w:oddHBand="0" w:evenHBand="1" w:firstRowFirstColumn="0" w:firstRowLastColumn="0" w:lastRowFirstColumn="0" w:lastRowLastColumn="0"/>
          <w:cantSplit/>
          <w:trHeight w:val="300"/>
        </w:trPr>
        <w:tc>
          <w:tcPr>
            <w:tcW w:w="708" w:type="pct"/>
          </w:tcPr>
          <w:p w14:paraId="60645B54" w14:textId="77777777" w:rsidR="00046BD5" w:rsidRPr="00EF1E66" w:rsidRDefault="00046BD5">
            <w:pPr>
              <w:pStyle w:val="TableText"/>
              <w:rPr>
                <w:rFonts w:asciiTheme="majorHAnsi" w:hAnsiTheme="majorHAnsi"/>
              </w:rPr>
            </w:pPr>
            <w:r w:rsidRPr="01FDEA01">
              <w:rPr>
                <w:rFonts w:asciiTheme="majorHAnsi" w:hAnsiTheme="majorHAnsi"/>
              </w:rPr>
              <w:t>FFO Interest cover (times)</w:t>
            </w:r>
          </w:p>
        </w:tc>
        <w:tc>
          <w:tcPr>
            <w:tcW w:w="746" w:type="pct"/>
          </w:tcPr>
          <w:p w14:paraId="05109B15" w14:textId="77777777" w:rsidR="00046BD5" w:rsidRPr="00EF1E66" w:rsidRDefault="00046BD5">
            <w:pPr>
              <w:pStyle w:val="TableText"/>
              <w:rPr>
                <w:rFonts w:asciiTheme="majorHAnsi" w:hAnsiTheme="majorHAnsi"/>
              </w:rPr>
            </w:pPr>
            <w:r w:rsidRPr="01FDEA01">
              <w:rPr>
                <w:rFonts w:asciiTheme="majorHAnsi" w:hAnsiTheme="majorHAnsi"/>
              </w:rPr>
              <w:t>&gt;1.5x</w:t>
            </w:r>
          </w:p>
          <w:p w14:paraId="691A27E1" w14:textId="77777777" w:rsidR="00046BD5" w:rsidRPr="00EF1E66" w:rsidRDefault="00046BD5">
            <w:pPr>
              <w:pStyle w:val="TableText"/>
              <w:rPr>
                <w:rFonts w:asciiTheme="majorHAnsi" w:hAnsiTheme="majorHAnsi"/>
              </w:rPr>
            </w:pPr>
            <w:r w:rsidRPr="01FDEA01">
              <w:rPr>
                <w:rFonts w:asciiTheme="majorHAnsi" w:hAnsiTheme="majorHAnsi"/>
              </w:rPr>
              <w:t>&lt;1.8x caution</w:t>
            </w:r>
          </w:p>
        </w:tc>
        <w:tc>
          <w:tcPr>
            <w:tcW w:w="708" w:type="pct"/>
          </w:tcPr>
          <w:p w14:paraId="2B78C5DF" w14:textId="0A3F8CD7" w:rsidR="00046BD5" w:rsidRPr="00EF1E66" w:rsidRDefault="00046BD5">
            <w:pPr>
              <w:pStyle w:val="TableText"/>
              <w:rPr>
                <w:rFonts w:asciiTheme="majorHAnsi" w:hAnsiTheme="majorHAnsi"/>
              </w:rPr>
            </w:pPr>
            <w:r w:rsidRPr="00DE108C">
              <w:t>2.</w:t>
            </w:r>
            <w:r w:rsidR="001D4295" w:rsidRPr="00DE108C">
              <w:t>01</w:t>
            </w:r>
            <w:r w:rsidR="00B00C1B" w:rsidRPr="00DE108C">
              <w:t>x</w:t>
            </w:r>
          </w:p>
        </w:tc>
        <w:tc>
          <w:tcPr>
            <w:tcW w:w="708" w:type="pct"/>
          </w:tcPr>
          <w:p w14:paraId="534BBB66" w14:textId="1B6A52BD" w:rsidR="00046BD5" w:rsidRPr="00EF1E66" w:rsidRDefault="001D4295">
            <w:pPr>
              <w:pStyle w:val="TableText"/>
              <w:rPr>
                <w:rFonts w:asciiTheme="majorHAnsi" w:hAnsiTheme="majorHAnsi"/>
              </w:rPr>
            </w:pPr>
            <w:r w:rsidRPr="00DE108C">
              <w:t xml:space="preserve"> 1.99</w:t>
            </w:r>
            <w:r w:rsidR="00B00C1B" w:rsidRPr="00DE108C">
              <w:t>x</w:t>
            </w:r>
          </w:p>
        </w:tc>
        <w:tc>
          <w:tcPr>
            <w:tcW w:w="710" w:type="pct"/>
          </w:tcPr>
          <w:p w14:paraId="1B612B86" w14:textId="2F69CFD0" w:rsidR="00046BD5" w:rsidRPr="00EF1E66" w:rsidRDefault="001D4295">
            <w:pPr>
              <w:pStyle w:val="TableText"/>
              <w:rPr>
                <w:rFonts w:asciiTheme="majorHAnsi" w:hAnsiTheme="majorHAnsi"/>
              </w:rPr>
            </w:pPr>
            <w:r w:rsidRPr="00DE108C">
              <w:t xml:space="preserve"> 1.92</w:t>
            </w:r>
            <w:r w:rsidR="00B00C1B" w:rsidRPr="00DE108C">
              <w:t>x</w:t>
            </w:r>
          </w:p>
        </w:tc>
        <w:tc>
          <w:tcPr>
            <w:tcW w:w="710" w:type="pct"/>
          </w:tcPr>
          <w:p w14:paraId="79CF63A1" w14:textId="25174828" w:rsidR="00046BD5" w:rsidRPr="00EF1E66" w:rsidRDefault="001D4295">
            <w:pPr>
              <w:pStyle w:val="TableText"/>
              <w:rPr>
                <w:rFonts w:asciiTheme="majorHAnsi" w:hAnsiTheme="majorHAnsi"/>
              </w:rPr>
            </w:pPr>
            <w:r w:rsidRPr="00DE108C">
              <w:t xml:space="preserve"> 1.92</w:t>
            </w:r>
            <w:r w:rsidR="00B00C1B" w:rsidRPr="00DE108C">
              <w:t>x</w:t>
            </w:r>
          </w:p>
        </w:tc>
        <w:tc>
          <w:tcPr>
            <w:tcW w:w="710" w:type="pct"/>
          </w:tcPr>
          <w:p w14:paraId="242E2149" w14:textId="0C21BE15" w:rsidR="00046BD5" w:rsidRPr="00EF1E66" w:rsidRDefault="001D4295">
            <w:pPr>
              <w:pStyle w:val="TableText"/>
              <w:rPr>
                <w:rFonts w:asciiTheme="majorHAnsi" w:hAnsiTheme="majorHAnsi"/>
              </w:rPr>
            </w:pPr>
            <w:r w:rsidRPr="00DE108C">
              <w:t xml:space="preserve"> 1.</w:t>
            </w:r>
            <w:r w:rsidRPr="00DF2A3F">
              <w:t>9</w:t>
            </w:r>
            <w:r w:rsidR="00DF2A3F" w:rsidRPr="00DF2A3F">
              <w:t>5</w:t>
            </w:r>
            <w:r w:rsidR="00B00C1B" w:rsidRPr="00DF2A3F">
              <w:t>x</w:t>
            </w:r>
          </w:p>
        </w:tc>
      </w:tr>
      <w:tr w:rsidR="00046BD5" w:rsidRPr="00DE108C" w14:paraId="60E1DAD8" w14:textId="77777777" w:rsidTr="001D4295">
        <w:trPr>
          <w:cantSplit/>
          <w:trHeight w:val="300"/>
        </w:trPr>
        <w:tc>
          <w:tcPr>
            <w:tcW w:w="708" w:type="pct"/>
          </w:tcPr>
          <w:p w14:paraId="0AC9A5BA" w14:textId="77777777" w:rsidR="00046BD5" w:rsidRPr="00EF1E66" w:rsidRDefault="00046BD5">
            <w:pPr>
              <w:pStyle w:val="TableText"/>
              <w:rPr>
                <w:rFonts w:asciiTheme="majorHAnsi" w:hAnsiTheme="majorHAnsi"/>
              </w:rPr>
            </w:pPr>
            <w:r w:rsidRPr="01FDEA01">
              <w:rPr>
                <w:rFonts w:asciiTheme="majorHAnsi" w:hAnsiTheme="majorHAnsi"/>
              </w:rPr>
              <w:t>FFO / net debt %</w:t>
            </w:r>
          </w:p>
        </w:tc>
        <w:tc>
          <w:tcPr>
            <w:tcW w:w="746" w:type="pct"/>
          </w:tcPr>
          <w:p w14:paraId="74E77DE6" w14:textId="77777777" w:rsidR="00046BD5" w:rsidRPr="00EF1E66" w:rsidRDefault="00046BD5">
            <w:pPr>
              <w:pStyle w:val="TableText"/>
              <w:rPr>
                <w:rFonts w:asciiTheme="majorHAnsi" w:hAnsiTheme="majorHAnsi"/>
              </w:rPr>
            </w:pPr>
            <w:r w:rsidRPr="01FDEA01">
              <w:rPr>
                <w:rFonts w:asciiTheme="majorHAnsi" w:hAnsiTheme="majorHAnsi"/>
              </w:rPr>
              <w:t>&gt;6%</w:t>
            </w:r>
          </w:p>
        </w:tc>
        <w:tc>
          <w:tcPr>
            <w:tcW w:w="708" w:type="pct"/>
          </w:tcPr>
          <w:p w14:paraId="6FD5DCA2" w14:textId="5EC7D6B0" w:rsidR="00046BD5" w:rsidRPr="00EF1E66" w:rsidRDefault="008A0ED0">
            <w:pPr>
              <w:pStyle w:val="TableText"/>
              <w:rPr>
                <w:rFonts w:asciiTheme="majorHAnsi" w:hAnsiTheme="majorHAnsi"/>
              </w:rPr>
            </w:pPr>
            <w:r w:rsidRPr="00DE108C">
              <w:t>6.</w:t>
            </w:r>
            <w:r w:rsidR="00F813A4">
              <w:t>7</w:t>
            </w:r>
            <w:r w:rsidR="00046BD5" w:rsidRPr="00DE108C">
              <w:t>%</w:t>
            </w:r>
          </w:p>
        </w:tc>
        <w:tc>
          <w:tcPr>
            <w:tcW w:w="708" w:type="pct"/>
          </w:tcPr>
          <w:p w14:paraId="7A7E2B42" w14:textId="5B4B0595" w:rsidR="00046BD5" w:rsidRPr="00EF1E66" w:rsidRDefault="008A0ED0">
            <w:pPr>
              <w:pStyle w:val="TableText"/>
              <w:rPr>
                <w:rFonts w:asciiTheme="majorHAnsi" w:hAnsiTheme="majorHAnsi"/>
              </w:rPr>
            </w:pPr>
            <w:r w:rsidRPr="00DE108C">
              <w:t>6.7</w:t>
            </w:r>
            <w:r w:rsidR="00046BD5" w:rsidRPr="00DE108C">
              <w:t>%</w:t>
            </w:r>
          </w:p>
        </w:tc>
        <w:tc>
          <w:tcPr>
            <w:tcW w:w="710" w:type="pct"/>
          </w:tcPr>
          <w:p w14:paraId="554E7F48" w14:textId="28992E7E" w:rsidR="00046BD5" w:rsidRPr="00EF1E66" w:rsidRDefault="00046BD5">
            <w:pPr>
              <w:pStyle w:val="TableText"/>
              <w:rPr>
                <w:rFonts w:asciiTheme="majorHAnsi" w:hAnsiTheme="majorHAnsi"/>
              </w:rPr>
            </w:pPr>
            <w:r w:rsidRPr="00DE108C">
              <w:t>6.</w:t>
            </w:r>
            <w:r w:rsidR="00F813A4">
              <w:t>6</w:t>
            </w:r>
            <w:r w:rsidRPr="00DE108C">
              <w:t>%</w:t>
            </w:r>
          </w:p>
        </w:tc>
        <w:tc>
          <w:tcPr>
            <w:tcW w:w="710" w:type="pct"/>
          </w:tcPr>
          <w:p w14:paraId="3F75D42F" w14:textId="77777777" w:rsidR="00046BD5" w:rsidRPr="00EF1E66" w:rsidRDefault="00046BD5">
            <w:pPr>
              <w:pStyle w:val="TableText"/>
              <w:rPr>
                <w:rFonts w:asciiTheme="majorHAnsi" w:hAnsiTheme="majorHAnsi"/>
              </w:rPr>
            </w:pPr>
            <w:r w:rsidRPr="00DE108C">
              <w:t>6.6%</w:t>
            </w:r>
          </w:p>
        </w:tc>
        <w:tc>
          <w:tcPr>
            <w:tcW w:w="710" w:type="pct"/>
          </w:tcPr>
          <w:p w14:paraId="2659DF8D" w14:textId="41BE7002" w:rsidR="00046BD5" w:rsidRPr="00EF1E66" w:rsidRDefault="00046BD5">
            <w:pPr>
              <w:pStyle w:val="TableText"/>
              <w:rPr>
                <w:rFonts w:asciiTheme="majorHAnsi" w:hAnsiTheme="majorHAnsi"/>
              </w:rPr>
            </w:pPr>
            <w:r w:rsidRPr="00DE108C">
              <w:t>6.</w:t>
            </w:r>
            <w:r w:rsidR="008A0ED0" w:rsidRPr="00DE108C">
              <w:t>6</w:t>
            </w:r>
            <w:r w:rsidRPr="00DE108C">
              <w:t>%</w:t>
            </w:r>
          </w:p>
        </w:tc>
      </w:tr>
      <w:tr w:rsidR="00A043F7" w:rsidRPr="00DE108C" w14:paraId="28806ED4" w14:textId="77777777">
        <w:trPr>
          <w:cnfStyle w:val="000000010000" w:firstRow="0" w:lastRow="0" w:firstColumn="0" w:lastColumn="0" w:oddVBand="0" w:evenVBand="0" w:oddHBand="0" w:evenHBand="1" w:firstRowFirstColumn="0" w:firstRowLastColumn="0" w:lastRowFirstColumn="0" w:lastRowLastColumn="0"/>
          <w:cantSplit/>
        </w:trPr>
        <w:tc>
          <w:tcPr>
            <w:tcW w:w="5000" w:type="pct"/>
            <w:gridSpan w:val="7"/>
          </w:tcPr>
          <w:p w14:paraId="53957A44" w14:textId="77777777" w:rsidR="00046BD5" w:rsidRPr="00EF1E66" w:rsidRDefault="00046BD5">
            <w:pPr>
              <w:pStyle w:val="TableText"/>
              <w:rPr>
                <w:rFonts w:asciiTheme="majorHAnsi" w:hAnsiTheme="majorHAnsi"/>
                <w:b/>
              </w:rPr>
            </w:pPr>
            <w:r w:rsidRPr="01FDEA01">
              <w:rPr>
                <w:rFonts w:asciiTheme="majorHAnsi" w:hAnsiTheme="majorHAnsi"/>
                <w:b/>
              </w:rPr>
              <w:t>Secondary indicators</w:t>
            </w:r>
          </w:p>
        </w:tc>
      </w:tr>
      <w:tr w:rsidR="00046BD5" w:rsidRPr="00DE108C" w14:paraId="6EB84683" w14:textId="77777777">
        <w:trPr>
          <w:cantSplit/>
        </w:trPr>
        <w:tc>
          <w:tcPr>
            <w:tcW w:w="708" w:type="pct"/>
          </w:tcPr>
          <w:p w14:paraId="6228729C" w14:textId="77777777" w:rsidR="00046BD5" w:rsidRPr="00EF1E66" w:rsidRDefault="00046BD5">
            <w:pPr>
              <w:pStyle w:val="TableText"/>
              <w:rPr>
                <w:rFonts w:asciiTheme="majorHAnsi" w:hAnsiTheme="majorHAnsi"/>
              </w:rPr>
            </w:pPr>
            <w:r w:rsidRPr="01FDEA01">
              <w:rPr>
                <w:rFonts w:asciiTheme="majorHAnsi" w:hAnsiTheme="majorHAnsi"/>
              </w:rPr>
              <w:t>Net debt / RAV (gearing) %</w:t>
            </w:r>
          </w:p>
        </w:tc>
        <w:tc>
          <w:tcPr>
            <w:tcW w:w="746" w:type="pct"/>
          </w:tcPr>
          <w:p w14:paraId="44C1C255" w14:textId="77777777" w:rsidR="00046BD5" w:rsidRPr="00EF1E66" w:rsidRDefault="00046BD5">
            <w:pPr>
              <w:pStyle w:val="TableText"/>
              <w:rPr>
                <w:rFonts w:asciiTheme="majorHAnsi" w:hAnsiTheme="majorHAnsi"/>
              </w:rPr>
            </w:pPr>
            <w:r w:rsidRPr="01FDEA01">
              <w:rPr>
                <w:rFonts w:asciiTheme="majorHAnsi" w:hAnsiTheme="majorHAnsi"/>
              </w:rPr>
              <w:t>&lt;80%</w:t>
            </w:r>
          </w:p>
        </w:tc>
        <w:tc>
          <w:tcPr>
            <w:tcW w:w="708" w:type="pct"/>
          </w:tcPr>
          <w:p w14:paraId="584913CA" w14:textId="4D7B90A4" w:rsidR="00046BD5" w:rsidRPr="00DF2A3F" w:rsidRDefault="008A0ED0">
            <w:pPr>
              <w:pStyle w:val="TableText"/>
              <w:rPr>
                <w:rFonts w:asciiTheme="majorHAnsi" w:hAnsiTheme="majorHAnsi"/>
              </w:rPr>
            </w:pPr>
            <w:r w:rsidRPr="00DF2A3F">
              <w:t>54.</w:t>
            </w:r>
            <w:r w:rsidR="008373D9" w:rsidRPr="00DF2A3F">
              <w:t>4</w:t>
            </w:r>
            <w:r w:rsidRPr="00DF2A3F">
              <w:t>%</w:t>
            </w:r>
          </w:p>
        </w:tc>
        <w:tc>
          <w:tcPr>
            <w:tcW w:w="708" w:type="pct"/>
          </w:tcPr>
          <w:p w14:paraId="06890F38" w14:textId="66C8B027" w:rsidR="00046BD5" w:rsidRPr="00DF2A3F" w:rsidRDefault="008A0ED0">
            <w:pPr>
              <w:pStyle w:val="TableText"/>
              <w:rPr>
                <w:rFonts w:asciiTheme="majorHAnsi" w:hAnsiTheme="majorHAnsi"/>
              </w:rPr>
            </w:pPr>
            <w:r w:rsidRPr="00DF2A3F">
              <w:t>54.</w:t>
            </w:r>
            <w:r w:rsidR="00F813A4">
              <w:t>4</w:t>
            </w:r>
            <w:r w:rsidRPr="00DF2A3F">
              <w:t>%</w:t>
            </w:r>
          </w:p>
        </w:tc>
        <w:tc>
          <w:tcPr>
            <w:tcW w:w="710" w:type="pct"/>
          </w:tcPr>
          <w:p w14:paraId="53197ADC" w14:textId="3347B778" w:rsidR="00046BD5" w:rsidRPr="00DF2A3F" w:rsidRDefault="008A0ED0">
            <w:pPr>
              <w:pStyle w:val="TableText"/>
              <w:rPr>
                <w:rFonts w:asciiTheme="majorHAnsi" w:hAnsiTheme="majorHAnsi"/>
              </w:rPr>
            </w:pPr>
            <w:r w:rsidRPr="00DF2A3F">
              <w:t>54.</w:t>
            </w:r>
            <w:r w:rsidR="00B539E9" w:rsidRPr="00DF2A3F">
              <w:t>3</w:t>
            </w:r>
            <w:r w:rsidRPr="00DF2A3F">
              <w:t>%</w:t>
            </w:r>
          </w:p>
        </w:tc>
        <w:tc>
          <w:tcPr>
            <w:tcW w:w="710" w:type="pct"/>
          </w:tcPr>
          <w:p w14:paraId="138B2783" w14:textId="55185297" w:rsidR="00046BD5" w:rsidRPr="00DF2A3F" w:rsidRDefault="008A0ED0">
            <w:pPr>
              <w:pStyle w:val="TableText"/>
              <w:rPr>
                <w:rFonts w:asciiTheme="majorHAnsi" w:hAnsiTheme="majorHAnsi"/>
              </w:rPr>
            </w:pPr>
            <w:r w:rsidRPr="00DF2A3F">
              <w:t>5</w:t>
            </w:r>
            <w:r w:rsidR="00B539E9" w:rsidRPr="00DF2A3F">
              <w:t>4</w:t>
            </w:r>
            <w:r w:rsidRPr="00DF2A3F">
              <w:t>.</w:t>
            </w:r>
            <w:r w:rsidR="00F813A4">
              <w:t>1</w:t>
            </w:r>
            <w:r w:rsidRPr="00DF2A3F">
              <w:t>%</w:t>
            </w:r>
          </w:p>
        </w:tc>
        <w:tc>
          <w:tcPr>
            <w:tcW w:w="710" w:type="pct"/>
          </w:tcPr>
          <w:p w14:paraId="5C777B0B" w14:textId="5246AA1E" w:rsidR="00046BD5" w:rsidRPr="00DF2A3F" w:rsidRDefault="008A0ED0">
            <w:pPr>
              <w:pStyle w:val="TableText"/>
              <w:rPr>
                <w:rFonts w:asciiTheme="majorHAnsi" w:hAnsiTheme="majorHAnsi"/>
              </w:rPr>
            </w:pPr>
            <w:r w:rsidRPr="00DF2A3F">
              <w:t>53.</w:t>
            </w:r>
            <w:r w:rsidR="00B539E9" w:rsidRPr="00DF2A3F">
              <w:t>7</w:t>
            </w:r>
            <w:r w:rsidRPr="00DF2A3F">
              <w:t>%</w:t>
            </w:r>
          </w:p>
        </w:tc>
      </w:tr>
      <w:tr w:rsidR="00556A0D" w:rsidRPr="00DE108C" w14:paraId="0090B4E7" w14:textId="77777777">
        <w:trPr>
          <w:cnfStyle w:val="000000010000" w:firstRow="0" w:lastRow="0" w:firstColumn="0" w:lastColumn="0" w:oddVBand="0" w:evenVBand="0" w:oddHBand="0" w:evenHBand="1" w:firstRowFirstColumn="0" w:firstRowLastColumn="0" w:lastRowFirstColumn="0" w:lastRowLastColumn="0"/>
          <w:cantSplit/>
        </w:trPr>
        <w:tc>
          <w:tcPr>
            <w:tcW w:w="708" w:type="pct"/>
          </w:tcPr>
          <w:p w14:paraId="6259BBE7" w14:textId="1531ABBD" w:rsidR="002648B0" w:rsidRPr="4F60485C" w:rsidRDefault="002648B0" w:rsidP="002648B0">
            <w:pPr>
              <w:pStyle w:val="TableText"/>
              <w:rPr>
                <w:rFonts w:asciiTheme="majorHAnsi" w:hAnsiTheme="majorHAnsi"/>
              </w:rPr>
            </w:pPr>
            <w:r w:rsidRPr="01FDEA01">
              <w:rPr>
                <w:rFonts w:asciiTheme="majorHAnsi" w:hAnsiTheme="majorHAnsi"/>
              </w:rPr>
              <w:t>Retained Cashflows/Net Debt (%)</w:t>
            </w:r>
          </w:p>
        </w:tc>
        <w:tc>
          <w:tcPr>
            <w:tcW w:w="746" w:type="pct"/>
          </w:tcPr>
          <w:p w14:paraId="278A688F" w14:textId="1FBB02FD" w:rsidR="002648B0" w:rsidRPr="4F60485C" w:rsidRDefault="002648B0" w:rsidP="002648B0">
            <w:pPr>
              <w:pStyle w:val="TableText"/>
              <w:rPr>
                <w:rFonts w:asciiTheme="majorHAnsi" w:hAnsiTheme="majorHAnsi"/>
              </w:rPr>
            </w:pPr>
            <w:r w:rsidRPr="01FDEA01">
              <w:rPr>
                <w:rFonts w:asciiTheme="majorHAnsi" w:hAnsiTheme="majorHAnsi"/>
              </w:rPr>
              <w:t>&gt;4%</w:t>
            </w:r>
          </w:p>
        </w:tc>
        <w:tc>
          <w:tcPr>
            <w:tcW w:w="708" w:type="pct"/>
          </w:tcPr>
          <w:p w14:paraId="03D9EF0C" w14:textId="3403FC10" w:rsidR="002648B0" w:rsidRPr="00DE108C" w:rsidRDefault="002648B0" w:rsidP="002648B0">
            <w:pPr>
              <w:pStyle w:val="TableText"/>
            </w:pPr>
            <w:r w:rsidRPr="00DE108C">
              <w:t>6.1%</w:t>
            </w:r>
          </w:p>
        </w:tc>
        <w:tc>
          <w:tcPr>
            <w:tcW w:w="708" w:type="pct"/>
          </w:tcPr>
          <w:p w14:paraId="5AB46292" w14:textId="5EE4CBB3" w:rsidR="002648B0" w:rsidRPr="00DE108C" w:rsidRDefault="002648B0" w:rsidP="002648B0">
            <w:pPr>
              <w:pStyle w:val="TableText"/>
            </w:pPr>
            <w:r w:rsidRPr="00DE108C">
              <w:t>6.0%</w:t>
            </w:r>
          </w:p>
        </w:tc>
        <w:tc>
          <w:tcPr>
            <w:tcW w:w="710" w:type="pct"/>
          </w:tcPr>
          <w:p w14:paraId="55365241" w14:textId="34A965A6" w:rsidR="002648B0" w:rsidRPr="00DE108C" w:rsidRDefault="002648B0" w:rsidP="002648B0">
            <w:pPr>
              <w:pStyle w:val="TableText"/>
            </w:pPr>
            <w:r w:rsidRPr="00DE108C">
              <w:t>6.3%</w:t>
            </w:r>
          </w:p>
        </w:tc>
        <w:tc>
          <w:tcPr>
            <w:tcW w:w="710" w:type="pct"/>
          </w:tcPr>
          <w:p w14:paraId="1FFE71F0" w14:textId="4E5FF0C7" w:rsidR="002648B0" w:rsidRPr="00DE108C" w:rsidRDefault="002648B0" w:rsidP="002648B0">
            <w:pPr>
              <w:pStyle w:val="TableText"/>
            </w:pPr>
            <w:r w:rsidRPr="00DF2A3F">
              <w:t>6.</w:t>
            </w:r>
            <w:r w:rsidR="002B4C96" w:rsidRPr="00DF2A3F">
              <w:t>3</w:t>
            </w:r>
            <w:r w:rsidRPr="00DF2A3F">
              <w:t>%</w:t>
            </w:r>
          </w:p>
        </w:tc>
        <w:tc>
          <w:tcPr>
            <w:tcW w:w="710" w:type="pct"/>
          </w:tcPr>
          <w:p w14:paraId="7F65D45B" w14:textId="51155066" w:rsidR="002648B0" w:rsidRPr="00DE108C" w:rsidRDefault="002648B0" w:rsidP="002648B0">
            <w:pPr>
              <w:pStyle w:val="TableText"/>
            </w:pPr>
            <w:r w:rsidRPr="00DE108C">
              <w:t>6.4%</w:t>
            </w:r>
          </w:p>
        </w:tc>
      </w:tr>
      <w:tr w:rsidR="00CC2561" w:rsidRPr="00DE108C" w14:paraId="42098757" w14:textId="77777777">
        <w:trPr>
          <w:cantSplit/>
        </w:trPr>
        <w:tc>
          <w:tcPr>
            <w:tcW w:w="708" w:type="pct"/>
          </w:tcPr>
          <w:p w14:paraId="2E75F08C" w14:textId="77777777" w:rsidR="00046BD5" w:rsidRPr="00EF1E66" w:rsidRDefault="00046BD5">
            <w:pPr>
              <w:pStyle w:val="TableText"/>
              <w:rPr>
                <w:rFonts w:asciiTheme="majorHAnsi" w:hAnsiTheme="majorHAnsi"/>
              </w:rPr>
            </w:pPr>
            <w:r w:rsidRPr="01FDEA01">
              <w:rPr>
                <w:rFonts w:asciiTheme="majorHAnsi" w:hAnsiTheme="majorHAnsi"/>
              </w:rPr>
              <w:t>Internal financing ratio (%)</w:t>
            </w:r>
          </w:p>
        </w:tc>
        <w:tc>
          <w:tcPr>
            <w:tcW w:w="746" w:type="pct"/>
          </w:tcPr>
          <w:p w14:paraId="7D9A067E" w14:textId="77777777" w:rsidR="00046BD5" w:rsidRPr="00EF1E66" w:rsidRDefault="00046BD5">
            <w:pPr>
              <w:pStyle w:val="TableText"/>
              <w:rPr>
                <w:rFonts w:asciiTheme="majorHAnsi" w:hAnsiTheme="majorHAnsi"/>
              </w:rPr>
            </w:pPr>
            <w:r w:rsidRPr="01FDEA01">
              <w:rPr>
                <w:rFonts w:asciiTheme="majorHAnsi" w:hAnsiTheme="majorHAnsi"/>
              </w:rPr>
              <w:t>&gt;35%</w:t>
            </w:r>
          </w:p>
        </w:tc>
        <w:tc>
          <w:tcPr>
            <w:tcW w:w="708" w:type="pct"/>
          </w:tcPr>
          <w:p w14:paraId="18F81599" w14:textId="40225CBF" w:rsidR="00046BD5" w:rsidRPr="00EF1E66" w:rsidRDefault="00F813A4">
            <w:pPr>
              <w:pStyle w:val="TableText"/>
              <w:rPr>
                <w:rFonts w:asciiTheme="majorHAnsi" w:hAnsiTheme="majorHAnsi"/>
              </w:rPr>
            </w:pPr>
            <w:r>
              <w:t>48.7</w:t>
            </w:r>
            <w:r w:rsidR="00840BC9" w:rsidRPr="00DE108C">
              <w:t>%</w:t>
            </w:r>
          </w:p>
        </w:tc>
        <w:tc>
          <w:tcPr>
            <w:tcW w:w="708" w:type="pct"/>
          </w:tcPr>
          <w:p w14:paraId="006151F2" w14:textId="7F2DA64A" w:rsidR="00046BD5" w:rsidRPr="00EF1E66" w:rsidRDefault="00840BC9">
            <w:pPr>
              <w:pStyle w:val="TableText"/>
              <w:rPr>
                <w:rFonts w:asciiTheme="majorHAnsi" w:hAnsiTheme="majorHAnsi"/>
              </w:rPr>
            </w:pPr>
            <w:r w:rsidRPr="00DE108C">
              <w:t>46</w:t>
            </w:r>
            <w:r w:rsidR="00046BD5" w:rsidRPr="00DE108C">
              <w:t>.</w:t>
            </w:r>
            <w:r w:rsidR="00F813A4">
              <w:t>5</w:t>
            </w:r>
            <w:r w:rsidR="00046BD5" w:rsidRPr="00DE108C">
              <w:t>%</w:t>
            </w:r>
          </w:p>
        </w:tc>
        <w:tc>
          <w:tcPr>
            <w:tcW w:w="710" w:type="pct"/>
          </w:tcPr>
          <w:p w14:paraId="30916FB5" w14:textId="692F0541" w:rsidR="00046BD5" w:rsidRPr="00EF1E66" w:rsidRDefault="00046BD5">
            <w:pPr>
              <w:pStyle w:val="TableText"/>
              <w:rPr>
                <w:rFonts w:asciiTheme="majorHAnsi" w:hAnsiTheme="majorHAnsi"/>
              </w:rPr>
            </w:pPr>
            <w:r w:rsidRPr="00DE108C">
              <w:t>47.</w:t>
            </w:r>
            <w:r w:rsidR="00F813A4">
              <w:t>2</w:t>
            </w:r>
            <w:r w:rsidRPr="00DE108C">
              <w:t>%</w:t>
            </w:r>
          </w:p>
        </w:tc>
        <w:tc>
          <w:tcPr>
            <w:tcW w:w="710" w:type="pct"/>
          </w:tcPr>
          <w:p w14:paraId="56772E79" w14:textId="751D8562" w:rsidR="00046BD5" w:rsidRPr="00EF1E66" w:rsidRDefault="00046BD5">
            <w:pPr>
              <w:pStyle w:val="TableText"/>
              <w:rPr>
                <w:rFonts w:asciiTheme="majorHAnsi" w:hAnsiTheme="majorHAnsi"/>
              </w:rPr>
            </w:pPr>
            <w:r w:rsidRPr="00DE108C">
              <w:t>48.</w:t>
            </w:r>
            <w:r w:rsidR="00F813A4">
              <w:t>4</w:t>
            </w:r>
            <w:r w:rsidRPr="00DE108C">
              <w:t>%</w:t>
            </w:r>
          </w:p>
        </w:tc>
        <w:tc>
          <w:tcPr>
            <w:tcW w:w="710" w:type="pct"/>
          </w:tcPr>
          <w:p w14:paraId="353EB744" w14:textId="2456DE49" w:rsidR="00046BD5" w:rsidRPr="00EF1E66" w:rsidRDefault="00840BC9">
            <w:pPr>
              <w:pStyle w:val="TableText"/>
              <w:rPr>
                <w:rFonts w:asciiTheme="majorHAnsi" w:hAnsiTheme="majorHAnsi"/>
              </w:rPr>
            </w:pPr>
            <w:r w:rsidRPr="00DE108C">
              <w:t>52.</w:t>
            </w:r>
            <w:r w:rsidR="00F813A4">
              <w:t>6</w:t>
            </w:r>
            <w:r w:rsidRPr="00DE108C">
              <w:t>%</w:t>
            </w:r>
          </w:p>
        </w:tc>
      </w:tr>
    </w:tbl>
    <w:p w14:paraId="0299F411" w14:textId="77777777" w:rsidR="00046BD5" w:rsidRPr="00DE108C" w:rsidRDefault="00046BD5">
      <w:pPr>
        <w:pStyle w:val="BodyText"/>
      </w:pPr>
    </w:p>
    <w:p w14:paraId="7CC98A09" w14:textId="57DC09BA" w:rsidR="00046BD5" w:rsidRPr="00DE108C" w:rsidRDefault="00046BD5">
      <w:pPr>
        <w:pStyle w:val="Heading2"/>
      </w:pPr>
      <w:bookmarkStart w:id="1242" w:name="_Toc183624005"/>
      <w:bookmarkStart w:id="1243" w:name="_Toc190876181"/>
      <w:bookmarkStart w:id="1244" w:name="_Toc196745313"/>
      <w:bookmarkStart w:id="1245" w:name="_Toc207892941"/>
      <w:bookmarkStart w:id="1246" w:name="_Toc207853434"/>
      <w:r w:rsidRPr="00DE108C">
        <w:lastRenderedPageBreak/>
        <w:t>12.</w:t>
      </w:r>
      <w:r w:rsidR="00092388" w:rsidRPr="00DE108C">
        <w:t>2</w:t>
      </w:r>
      <w:r w:rsidRPr="00DE108C">
        <w:t xml:space="preserve"> Non-prescribed services</w:t>
      </w:r>
      <w:bookmarkEnd w:id="1242"/>
      <w:bookmarkEnd w:id="1243"/>
      <w:bookmarkEnd w:id="1244"/>
      <w:bookmarkEnd w:id="1245"/>
      <w:bookmarkEnd w:id="1246"/>
    </w:p>
    <w:p w14:paraId="5AC168E3" w14:textId="77777777" w:rsidR="00046BD5" w:rsidRPr="00DE108C" w:rsidRDefault="00046BD5" w:rsidP="003147F2">
      <w:pPr>
        <w:keepNext/>
        <w:keepLines/>
      </w:pPr>
      <w:r w:rsidRPr="00DE108C">
        <w:t>Melbourne Water’s non-prescribed activity includes:</w:t>
      </w:r>
    </w:p>
    <w:p w14:paraId="48E1C2C7" w14:textId="2E6AAB49" w:rsidR="00046BD5" w:rsidRPr="00DE108C" w:rsidRDefault="00046BD5" w:rsidP="003C606E">
      <w:pPr>
        <w:pStyle w:val="ListBullet"/>
      </w:pPr>
      <w:r w:rsidRPr="00DE108C">
        <w:t xml:space="preserve">Revenue from land sales </w:t>
      </w:r>
      <w:r w:rsidR="009D2642">
        <w:t>such as</w:t>
      </w:r>
      <w:r w:rsidRPr="00DE108C">
        <w:t xml:space="preserve"> at the Riverwalk Development in Werribee and associated </w:t>
      </w:r>
      <w:r>
        <w:t>ope</w:t>
      </w:r>
      <w:r w:rsidR="3815B22E">
        <w:t>rating expenditure (</w:t>
      </w:r>
      <w:r w:rsidRPr="00DE108C">
        <w:t>opex</w:t>
      </w:r>
      <w:r w:rsidR="3815B22E">
        <w:t>)</w:t>
      </w:r>
      <w:r w:rsidRPr="00DE108C">
        <w:t xml:space="preserve"> and capex. Melbourne Water oversees non-prescribed land sales (proceed</w:t>
      </w:r>
      <w:r w:rsidR="48DAD26C" w:rsidRPr="00DE108C">
        <w:t>s</w:t>
      </w:r>
      <w:r w:rsidRPr="00DE108C">
        <w:t xml:space="preserve"> from disposals) as part of the Riverwalk development in Werribee, which is a joint venture between Melbourne Water and Development Victoria. Melbourne Water’s equity is the land and Development Victoria’s equity is the development costs and expertise. The financial return to Melbourne Water in excess of the land value and remediation expenditure is recorded as unregulated revenue (from a regulatory perspective) as it is outside the normal course of business. This is consistent with the approach taken in the 2016 and 2021 Price </w:t>
      </w:r>
      <w:r>
        <w:t>Determination</w:t>
      </w:r>
      <w:r w:rsidR="6CF557D3">
        <w:t>s</w:t>
      </w:r>
      <w:r>
        <w:t>.</w:t>
      </w:r>
    </w:p>
    <w:p w14:paraId="717EE491" w14:textId="022A7F9D" w:rsidR="00046BD5" w:rsidRPr="00DE108C" w:rsidRDefault="00046BD5" w:rsidP="003C606E">
      <w:pPr>
        <w:pStyle w:val="ListBullet"/>
      </w:pPr>
      <w:r w:rsidRPr="00DE108C">
        <w:t>Cap</w:t>
      </w:r>
      <w:r w:rsidR="009A0D4A">
        <w:t>ex</w:t>
      </w:r>
      <w:r w:rsidRPr="00DE108C">
        <w:t xml:space="preserve"> and associated opex for new initiatives since PS21 include: </w:t>
      </w:r>
    </w:p>
    <w:p w14:paraId="2C13782D" w14:textId="4A40EDC4" w:rsidR="00046BD5" w:rsidRDefault="00046BD5" w:rsidP="003C606E">
      <w:pPr>
        <w:pStyle w:val="ListBullet2"/>
        <w:rPr>
          <w:rFonts w:eastAsiaTheme="minorEastAsia"/>
        </w:rPr>
      </w:pPr>
      <w:r w:rsidRPr="00DE108C">
        <w:t xml:space="preserve">The Net Zero Hub at the Eastern Treatment Plant (ETP) is designed to advance our emissions technology. The research and development project will investigate options to transition to </w:t>
      </w:r>
      <w:r w:rsidR="45ECBB4E">
        <w:t>n</w:t>
      </w:r>
      <w:r>
        <w:t xml:space="preserve">et </w:t>
      </w:r>
      <w:r w:rsidR="3BCCD021">
        <w:t>z</w:t>
      </w:r>
      <w:r w:rsidRPr="00DE108C">
        <w:t xml:space="preserve">ero. The project will support research into more environmentally sustainable sewage treatment through reducing </w:t>
      </w:r>
      <w:r w:rsidR="5416F0F5">
        <w:t>s</w:t>
      </w:r>
      <w:r w:rsidRPr="00DE108C">
        <w:t>cope 1 greenhouse gas emissions and reduce reliance on offsets, achieve more cost-effective sewage treatment, and advance Victoria's circular economy through recovery valuable resources from sewage for beneficial use.</w:t>
      </w:r>
    </w:p>
    <w:p w14:paraId="01F6269A" w14:textId="1235C8AA" w:rsidR="00046BD5" w:rsidRDefault="00046BD5" w:rsidP="003C606E">
      <w:pPr>
        <w:pStyle w:val="ListBullet2"/>
      </w:pPr>
      <w:r w:rsidRPr="00DE108C">
        <w:t xml:space="preserve">Melbourne Water is investigating the viability of co-location of Waste-to-Energy (WtE) facilities at ETP or </w:t>
      </w:r>
      <w:r w:rsidR="34904E78">
        <w:t xml:space="preserve">the </w:t>
      </w:r>
      <w:r>
        <w:t>W</w:t>
      </w:r>
      <w:r w:rsidR="6457C2E1">
        <w:t xml:space="preserve">estern </w:t>
      </w:r>
      <w:r>
        <w:t>T</w:t>
      </w:r>
      <w:r w:rsidR="79D3FC2B">
        <w:t xml:space="preserve">reatment </w:t>
      </w:r>
      <w:r>
        <w:t>P</w:t>
      </w:r>
      <w:r w:rsidR="0F7B7147">
        <w:t>lant (</w:t>
      </w:r>
      <w:r w:rsidRPr="00DE108C">
        <w:t>WTP</w:t>
      </w:r>
      <w:r w:rsidR="0F7B7147">
        <w:t>)</w:t>
      </w:r>
      <w:r w:rsidRPr="00DE108C">
        <w:t xml:space="preserve"> during the next regulatory period. We have received a licence from Recycling Victoria under the </w:t>
      </w:r>
      <w:r w:rsidRPr="4E320753">
        <w:rPr>
          <w:i/>
        </w:rPr>
        <w:t>Circular Economy (Waste Reduction and Recycling) Act 2021</w:t>
      </w:r>
      <w:r w:rsidRPr="00DE108C">
        <w:t xml:space="preserve"> to thermally process 450,000 tonnes per year of residual solid waste. There are significant synergies between WtE facilities and sewage treatment plants</w:t>
      </w:r>
      <w:r w:rsidR="01205A55">
        <w:t>,</w:t>
      </w:r>
      <w:r w:rsidRPr="00DE108C">
        <w:t xml:space="preserve"> which include </w:t>
      </w:r>
      <w:r w:rsidR="5A4A5ABF">
        <w:t xml:space="preserve">the </w:t>
      </w:r>
      <w:r w:rsidRPr="00DE108C">
        <w:t xml:space="preserve">reduction of </w:t>
      </w:r>
      <w:r w:rsidR="5C26E98A">
        <w:t>s</w:t>
      </w:r>
      <w:r w:rsidRPr="00DE108C">
        <w:t xml:space="preserve">cope 1 emissions to accelerate our </w:t>
      </w:r>
      <w:r>
        <w:t xml:space="preserve">Net </w:t>
      </w:r>
      <w:r w:rsidRPr="00DE108C">
        <w:t xml:space="preserve">Zero </w:t>
      </w:r>
      <w:r w:rsidR="0023766C">
        <w:t>O</w:t>
      </w:r>
      <w:r w:rsidRPr="00DE108C">
        <w:t>bligation, utilising offtake heat for sewage drying, energy supply from biosolids as a feedstock, and the potential to partner with the private sector to generate wider benefits.</w:t>
      </w:r>
    </w:p>
    <w:p w14:paraId="5B3383A9" w14:textId="15331380" w:rsidR="00046BD5" w:rsidRPr="00DE108C" w:rsidRDefault="00046BD5" w:rsidP="00ED094E">
      <w:r w:rsidRPr="00DE108C">
        <w:t xml:space="preserve">We have appropriately ring-fenced capex, revenues and associated opex and excluded them from regulated expenditure and revenue calculations. </w:t>
      </w:r>
    </w:p>
    <w:p w14:paraId="624EE08F" w14:textId="77777777" w:rsidR="00046BD5" w:rsidRPr="00DE108C" w:rsidRDefault="00046BD5" w:rsidP="00ED094E">
      <w:r w:rsidRPr="00DE108C">
        <w:t xml:space="preserve">The net non-prescribed revenue is not offsetting prices. </w:t>
      </w:r>
    </w:p>
    <w:p w14:paraId="30B4CD94" w14:textId="77777777" w:rsidR="00046BD5" w:rsidRPr="00DE108C" w:rsidRDefault="00046BD5" w:rsidP="00ED094E"/>
    <w:p w14:paraId="2EED54D5" w14:textId="77777777" w:rsidR="00D01BA0" w:rsidRPr="00DE108C" w:rsidRDefault="00D01BA0" w:rsidP="00ED094E">
      <w:pPr>
        <w:sectPr w:rsidR="00D01BA0" w:rsidRPr="00DE108C" w:rsidSect="00B03007">
          <w:pgSz w:w="11906" w:h="16838" w:code="9"/>
          <w:pgMar w:top="1134" w:right="1134" w:bottom="1134" w:left="1134" w:header="567" w:footer="680" w:gutter="0"/>
          <w:cols w:space="708"/>
          <w:docGrid w:linePitch="360"/>
        </w:sectPr>
      </w:pPr>
    </w:p>
    <w:p w14:paraId="233F68DB" w14:textId="311255A2" w:rsidR="00046BD5" w:rsidRPr="00DE108C" w:rsidRDefault="00040DC7" w:rsidP="00ED094E">
      <w:r w:rsidRPr="00DE108C">
        <w:rPr>
          <w:b/>
          <w:bCs/>
          <w:noProof/>
        </w:rPr>
        <w:lastRenderedPageBreak/>
        <w:drawing>
          <wp:anchor distT="0" distB="0" distL="114300" distR="114300" simplePos="0" relativeHeight="251658245" behindDoc="1" locked="1" layoutInCell="1" allowOverlap="1" wp14:anchorId="7182C5D7" wp14:editId="58B2E4AC">
            <wp:simplePos x="0" y="0"/>
            <wp:positionH relativeFrom="page">
              <wp:align>left</wp:align>
            </wp:positionH>
            <wp:positionV relativeFrom="page">
              <wp:posOffset>4445</wp:posOffset>
            </wp:positionV>
            <wp:extent cx="7628255" cy="10781665"/>
            <wp:effectExtent l="0" t="0" r="0" b="635"/>
            <wp:wrapNone/>
            <wp:docPr id="53704134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1349" name="Picture 8">
                      <a:extLst>
                        <a:ext uri="{C183D7F6-B498-43B3-948B-1728B52AA6E4}">
                          <adec:decorative xmlns:adec="http://schemas.microsoft.com/office/drawing/2017/decorative" val="1"/>
                        </a:ext>
                      </a:extLst>
                    </pic:cNvPr>
                    <pic:cNvPicPr/>
                  </pic:nvPicPr>
                  <pic:blipFill>
                    <a:blip r:embed="rId120" cstate="email">
                      <a:extLst>
                        <a:ext uri="{28A0092B-C50C-407E-A947-70E740481C1C}">
                          <a14:useLocalDpi xmlns:a14="http://schemas.microsoft.com/office/drawing/2010/main"/>
                        </a:ext>
                      </a:extLst>
                    </a:blip>
                    <a:stretch>
                      <a:fillRect/>
                    </a:stretch>
                  </pic:blipFill>
                  <pic:spPr>
                    <a:xfrm>
                      <a:off x="0" y="0"/>
                      <a:ext cx="7628255" cy="10781665"/>
                    </a:xfrm>
                    <a:prstGeom prst="rect">
                      <a:avLst/>
                    </a:prstGeom>
                  </pic:spPr>
                </pic:pic>
              </a:graphicData>
            </a:graphic>
            <wp14:sizeRelH relativeFrom="page">
              <wp14:pctWidth>0</wp14:pctWidth>
            </wp14:sizeRelH>
            <wp14:sizeRelV relativeFrom="page">
              <wp14:pctHeight>0</wp14:pctHeight>
            </wp14:sizeRelV>
          </wp:anchor>
        </w:drawing>
      </w:r>
    </w:p>
    <w:p w14:paraId="04EA06B2" w14:textId="711B5C65" w:rsidR="002D42C1" w:rsidRPr="00DE108C" w:rsidRDefault="00040DC7" w:rsidP="005B7EDF">
      <w:pPr>
        <w:pStyle w:val="Title"/>
        <w:rPr>
          <w:sz w:val="80"/>
          <w:szCs w:val="80"/>
        </w:rPr>
      </w:pPr>
      <w:bookmarkStart w:id="1247" w:name="_Toc207892942"/>
      <w:bookmarkStart w:id="1248" w:name="_Toc207853435"/>
      <w:bookmarkStart w:id="1249" w:name="_Toc210229046"/>
      <w:r w:rsidRPr="00DE108C">
        <w:rPr>
          <w:color w:val="FFFFFF" w:themeColor="background1"/>
          <w:sz w:val="80"/>
          <w:szCs w:val="80"/>
        </w:rPr>
        <w:t>Part C – Appendices</w:t>
      </w:r>
      <w:bookmarkEnd w:id="1247"/>
      <w:bookmarkEnd w:id="1248"/>
      <w:bookmarkEnd w:id="1249"/>
      <w:r w:rsidRPr="005B7EDF">
        <w:rPr>
          <w:sz w:val="80"/>
          <w:szCs w:val="80"/>
        </w:rPr>
        <w:t xml:space="preserve"> </w:t>
      </w:r>
    </w:p>
    <w:p w14:paraId="210F8AB2" w14:textId="77777777" w:rsidR="002D42C1" w:rsidRPr="00DE108C" w:rsidRDefault="002D42C1" w:rsidP="00ED094E">
      <w:pPr>
        <w:pStyle w:val="BodyText"/>
      </w:pPr>
    </w:p>
    <w:p w14:paraId="6C489E32" w14:textId="77777777" w:rsidR="002D42C1" w:rsidRPr="00DE108C" w:rsidRDefault="002D42C1" w:rsidP="00ED094E">
      <w:pPr>
        <w:pStyle w:val="BodyText"/>
        <w:sectPr w:rsidR="002D42C1" w:rsidRPr="00DE108C" w:rsidSect="002D42C1">
          <w:headerReference w:type="even" r:id="rId121"/>
          <w:headerReference w:type="default" r:id="rId122"/>
          <w:footerReference w:type="even" r:id="rId123"/>
          <w:footerReference w:type="default" r:id="rId124"/>
          <w:headerReference w:type="first" r:id="rId125"/>
          <w:footerReference w:type="first" r:id="rId126"/>
          <w:pgSz w:w="11906" w:h="16838" w:code="9"/>
          <w:pgMar w:top="1134" w:right="1134" w:bottom="1134" w:left="1134" w:header="567" w:footer="680" w:gutter="0"/>
          <w:cols w:space="708"/>
          <w:docGrid w:linePitch="360"/>
        </w:sectPr>
      </w:pPr>
    </w:p>
    <w:p w14:paraId="38E9C250" w14:textId="77777777" w:rsidR="002D42C1" w:rsidRPr="00DE108C" w:rsidRDefault="002D42C1" w:rsidP="00ED094E">
      <w:pPr>
        <w:pStyle w:val="Heading1"/>
        <w:rPr>
          <w:sz w:val="32"/>
          <w:szCs w:val="36"/>
        </w:rPr>
      </w:pPr>
      <w:bookmarkStart w:id="1250" w:name="_Toc207892943"/>
      <w:bookmarkStart w:id="1251" w:name="_Toc207853436"/>
      <w:bookmarkStart w:id="1252" w:name="_Toc210229047"/>
      <w:r w:rsidRPr="00DE108C">
        <w:rPr>
          <w:sz w:val="32"/>
          <w:szCs w:val="36"/>
        </w:rPr>
        <w:lastRenderedPageBreak/>
        <w:t>Appendix A: Water corporation summaries</w:t>
      </w:r>
      <w:bookmarkEnd w:id="1250"/>
      <w:bookmarkEnd w:id="1251"/>
      <w:bookmarkEnd w:id="1252"/>
      <w:r w:rsidRPr="00DE108C">
        <w:rPr>
          <w:sz w:val="32"/>
          <w:szCs w:val="36"/>
        </w:rPr>
        <w:t xml:space="preserve"> </w:t>
      </w:r>
    </w:p>
    <w:p w14:paraId="7AD046B5" w14:textId="77777777" w:rsidR="002D42C1" w:rsidRPr="00DE108C" w:rsidRDefault="002D42C1" w:rsidP="00ED094E">
      <w:r w:rsidRPr="00DE108C">
        <w:t xml:space="preserve">Water corporations asked for individualised summaries of our submission. These summaries were shared with corporations for feedback prior to submission. </w:t>
      </w:r>
    </w:p>
    <w:p w14:paraId="2335912E" w14:textId="77777777" w:rsidR="002D42C1" w:rsidRPr="00DE108C" w:rsidRDefault="002D42C1" w:rsidP="00ED094E">
      <w:pPr>
        <w:pStyle w:val="Heading2"/>
      </w:pPr>
      <w:bookmarkStart w:id="1253" w:name="_Toc207892032"/>
      <w:bookmarkStart w:id="1254" w:name="_Toc207892944"/>
      <w:bookmarkStart w:id="1255" w:name="_Toc207853437"/>
      <w:r w:rsidRPr="00DE108C">
        <w:t>A.1 Greater Western Water</w:t>
      </w:r>
      <w:bookmarkEnd w:id="1253"/>
      <w:bookmarkEnd w:id="1254"/>
      <w:bookmarkEnd w:id="1255"/>
    </w:p>
    <w:tbl>
      <w:tblPr>
        <w:tblStyle w:val="MWTableGrid"/>
        <w:tblW w:w="22361" w:type="dxa"/>
        <w:tblLook w:val="0480" w:firstRow="0" w:lastRow="0" w:firstColumn="1" w:lastColumn="0" w:noHBand="0" w:noVBand="1"/>
      </w:tblPr>
      <w:tblGrid>
        <w:gridCol w:w="1449"/>
        <w:gridCol w:w="10170"/>
        <w:gridCol w:w="10742"/>
      </w:tblGrid>
      <w:tr w:rsidR="002D42C1" w:rsidRPr="00DE108C" w14:paraId="446DB5E3" w14:textId="77777777" w:rsidTr="002924DF">
        <w:tc>
          <w:tcPr>
            <w:tcW w:w="1449" w:type="dxa"/>
            <w:shd w:val="clear" w:color="auto" w:fill="00428B" w:themeFill="text2"/>
          </w:tcPr>
          <w:p w14:paraId="590F5C43" w14:textId="0D340237" w:rsidR="002D42C1" w:rsidRPr="00DE108C" w:rsidRDefault="002D42C1">
            <w:pPr>
              <w:rPr>
                <w:b/>
                <w:bCs/>
                <w:color w:val="FFFFFF" w:themeColor="background1"/>
                <w:sz w:val="16"/>
                <w:szCs w:val="16"/>
              </w:rPr>
            </w:pPr>
            <w:r w:rsidRPr="00DE108C">
              <w:rPr>
                <w:b/>
                <w:bCs/>
                <w:color w:val="FFFFFF" w:themeColor="background1"/>
                <w:sz w:val="16"/>
                <w:szCs w:val="16"/>
              </w:rPr>
              <w:t xml:space="preserve">How </w:t>
            </w:r>
            <w:r w:rsidRPr="03991747">
              <w:rPr>
                <w:b/>
                <w:bCs/>
                <w:color w:val="FFFFFF" w:themeColor="background1"/>
                <w:sz w:val="16"/>
                <w:szCs w:val="16"/>
              </w:rPr>
              <w:t>we</w:t>
            </w:r>
            <w:r w:rsidR="0F6C7F4B" w:rsidRPr="03991747">
              <w:rPr>
                <w:b/>
                <w:bCs/>
                <w:color w:val="FFFFFF" w:themeColor="background1"/>
                <w:sz w:val="16"/>
                <w:szCs w:val="16"/>
              </w:rPr>
              <w:t xml:space="preserve"> have</w:t>
            </w:r>
            <w:r w:rsidRPr="00DE108C">
              <w:rPr>
                <w:b/>
                <w:bCs/>
                <w:color w:val="FFFFFF" w:themeColor="background1"/>
                <w:sz w:val="16"/>
                <w:szCs w:val="16"/>
              </w:rPr>
              <w:t xml:space="preserve"> worked with you</w:t>
            </w:r>
          </w:p>
        </w:tc>
        <w:tc>
          <w:tcPr>
            <w:tcW w:w="20912" w:type="dxa"/>
            <w:gridSpan w:val="2"/>
          </w:tcPr>
          <w:p w14:paraId="3D536C47" w14:textId="3CEDBF47" w:rsidR="002D42C1" w:rsidRPr="00DE108C" w:rsidRDefault="002D42C1">
            <w:pPr>
              <w:rPr>
                <w:sz w:val="16"/>
                <w:szCs w:val="16"/>
              </w:rPr>
            </w:pPr>
            <w:r w:rsidRPr="00DE108C">
              <w:rPr>
                <w:sz w:val="16"/>
                <w:szCs w:val="16"/>
              </w:rPr>
              <w:t xml:space="preserve">We have been working closely with Greater Western Water (GWW) throughout the development of the </w:t>
            </w:r>
            <w:r w:rsidR="2BE45886" w:rsidRPr="0CCCA69B">
              <w:rPr>
                <w:sz w:val="16"/>
                <w:szCs w:val="16"/>
              </w:rPr>
              <w:t>P</w:t>
            </w:r>
            <w:r w:rsidRPr="0CCCA69B">
              <w:rPr>
                <w:sz w:val="16"/>
                <w:szCs w:val="16"/>
              </w:rPr>
              <w:t xml:space="preserve">rice </w:t>
            </w:r>
            <w:r w:rsidR="6788AE5A" w:rsidRPr="0CCCA69B">
              <w:rPr>
                <w:sz w:val="16"/>
                <w:szCs w:val="16"/>
              </w:rPr>
              <w:t>S</w:t>
            </w:r>
            <w:r w:rsidRPr="00DE108C">
              <w:rPr>
                <w:sz w:val="16"/>
                <w:szCs w:val="16"/>
              </w:rPr>
              <w:t>ubmission. GWW feedback was gathered through over 40 meetings of the Water Corporation Forums, Regulat</w:t>
            </w:r>
            <w:r w:rsidR="00AF7AC2">
              <w:rPr>
                <w:sz w:val="16"/>
                <w:szCs w:val="16"/>
              </w:rPr>
              <w:t>ory</w:t>
            </w:r>
            <w:r w:rsidRPr="00DE108C">
              <w:rPr>
                <w:sz w:val="16"/>
                <w:szCs w:val="16"/>
              </w:rPr>
              <w:t xml:space="preserve"> and Tariff Forums, the Accord working groups and one-to-one meetings. We also ensured GWW end-use customers were heard directly through our community engagement program, with a specific GWW customer focus group, pop up event in the GWW service region, and GWW customers participating in our surveys, deliberative panel and waterways and drainage customer forum. We have considered all the issues GWW raised during our </w:t>
            </w:r>
            <w:r w:rsidR="731EB329" w:rsidRPr="0CCCA69B">
              <w:rPr>
                <w:sz w:val="16"/>
                <w:szCs w:val="16"/>
              </w:rPr>
              <w:t>P</w:t>
            </w:r>
            <w:r w:rsidRPr="0CCCA69B">
              <w:rPr>
                <w:sz w:val="16"/>
                <w:szCs w:val="16"/>
              </w:rPr>
              <w:t xml:space="preserve">rice </w:t>
            </w:r>
            <w:r w:rsidR="72EC3354" w:rsidRPr="0CCCA69B">
              <w:rPr>
                <w:sz w:val="16"/>
                <w:szCs w:val="16"/>
              </w:rPr>
              <w:t>S</w:t>
            </w:r>
            <w:r w:rsidRPr="00DE108C">
              <w:rPr>
                <w:sz w:val="16"/>
                <w:szCs w:val="16"/>
              </w:rPr>
              <w:t>ubmission development and believe we have largely addressed them.</w:t>
            </w:r>
          </w:p>
        </w:tc>
      </w:tr>
      <w:tr w:rsidR="002D42C1" w:rsidRPr="00DE108C" w14:paraId="0D6EF982" w14:textId="77777777" w:rsidTr="002924DF">
        <w:trPr>
          <w:cnfStyle w:val="000000010000" w:firstRow="0" w:lastRow="0" w:firstColumn="0" w:lastColumn="0" w:oddVBand="0" w:evenVBand="0" w:oddHBand="0" w:evenHBand="1" w:firstRowFirstColumn="0" w:firstRowLastColumn="0" w:lastRowFirstColumn="0" w:lastRowLastColumn="0"/>
        </w:trPr>
        <w:tc>
          <w:tcPr>
            <w:tcW w:w="1449" w:type="dxa"/>
            <w:vMerge w:val="restart"/>
            <w:shd w:val="clear" w:color="auto" w:fill="00428B" w:themeFill="text2"/>
          </w:tcPr>
          <w:p w14:paraId="3FE793FD" w14:textId="77777777" w:rsidR="002D42C1" w:rsidRPr="00DE108C" w:rsidRDefault="002D42C1">
            <w:pPr>
              <w:rPr>
                <w:b/>
                <w:bCs/>
                <w:color w:val="FFFFFF" w:themeColor="background1"/>
                <w:sz w:val="16"/>
                <w:szCs w:val="16"/>
              </w:rPr>
            </w:pPr>
            <w:r w:rsidRPr="00DE108C">
              <w:rPr>
                <w:b/>
                <w:bCs/>
                <w:color w:val="FFFFFF" w:themeColor="background1"/>
                <w:sz w:val="16"/>
                <w:szCs w:val="16"/>
              </w:rPr>
              <w:t>Outcomes – how we’re supporting you</w:t>
            </w:r>
          </w:p>
        </w:tc>
        <w:tc>
          <w:tcPr>
            <w:tcW w:w="10170" w:type="dxa"/>
            <w:shd w:val="clear" w:color="auto" w:fill="00428B" w:themeFill="text2"/>
          </w:tcPr>
          <w:p w14:paraId="3225388A" w14:textId="77777777" w:rsidR="002D42C1" w:rsidRPr="00DE108C" w:rsidRDefault="002D42C1">
            <w:pPr>
              <w:rPr>
                <w:b/>
                <w:bCs/>
                <w:color w:val="FFFFFF" w:themeColor="background1"/>
                <w:sz w:val="16"/>
                <w:szCs w:val="16"/>
              </w:rPr>
            </w:pPr>
            <w:r w:rsidRPr="00DE108C">
              <w:rPr>
                <w:b/>
                <w:bCs/>
                <w:color w:val="FFFFFF" w:themeColor="background1"/>
                <w:sz w:val="16"/>
                <w:szCs w:val="16"/>
              </w:rPr>
              <w:t>MW Outcome</w:t>
            </w:r>
          </w:p>
        </w:tc>
        <w:tc>
          <w:tcPr>
            <w:tcW w:w="10742" w:type="dxa"/>
            <w:shd w:val="clear" w:color="auto" w:fill="00428B" w:themeFill="text2"/>
          </w:tcPr>
          <w:p w14:paraId="58F6C1A0" w14:textId="77777777" w:rsidR="002D42C1" w:rsidRPr="00DE108C" w:rsidRDefault="002D42C1">
            <w:pPr>
              <w:rPr>
                <w:b/>
                <w:bCs/>
                <w:color w:val="FFFFFF" w:themeColor="background1"/>
                <w:sz w:val="16"/>
                <w:szCs w:val="16"/>
              </w:rPr>
            </w:pPr>
            <w:r w:rsidRPr="00DE108C">
              <w:rPr>
                <w:b/>
                <w:bCs/>
                <w:color w:val="FFFFFF" w:themeColor="background1"/>
                <w:sz w:val="16"/>
                <w:szCs w:val="16"/>
              </w:rPr>
              <w:t>Related GWW Outcome</w:t>
            </w:r>
          </w:p>
        </w:tc>
      </w:tr>
      <w:tr w:rsidR="002D42C1" w:rsidRPr="00DE108C" w14:paraId="70B8AE6F" w14:textId="77777777" w:rsidTr="002924DF">
        <w:tc>
          <w:tcPr>
            <w:tcW w:w="1449" w:type="dxa"/>
            <w:vMerge/>
            <w:shd w:val="clear" w:color="auto" w:fill="00428B" w:themeFill="text2"/>
          </w:tcPr>
          <w:p w14:paraId="7566B6A8" w14:textId="77777777" w:rsidR="002D42C1" w:rsidRPr="00DE108C" w:rsidRDefault="002D42C1">
            <w:pPr>
              <w:rPr>
                <w:b/>
                <w:bCs/>
                <w:color w:val="FFFFFF" w:themeColor="background1"/>
                <w:sz w:val="16"/>
                <w:szCs w:val="16"/>
              </w:rPr>
            </w:pPr>
          </w:p>
        </w:tc>
        <w:tc>
          <w:tcPr>
            <w:tcW w:w="10170" w:type="dxa"/>
          </w:tcPr>
          <w:p w14:paraId="007A4159" w14:textId="77777777" w:rsidR="002D42C1" w:rsidRPr="00DE108C" w:rsidRDefault="002D42C1">
            <w:pPr>
              <w:rPr>
                <w:sz w:val="16"/>
                <w:szCs w:val="16"/>
              </w:rPr>
            </w:pPr>
            <w:r w:rsidRPr="00DE108C">
              <w:rPr>
                <w:sz w:val="16"/>
                <w:szCs w:val="16"/>
              </w:rPr>
              <w:t>Outcome 1: Safe and reliable bulk water supplies for now and the long term</w:t>
            </w:r>
          </w:p>
        </w:tc>
        <w:tc>
          <w:tcPr>
            <w:tcW w:w="10742" w:type="dxa"/>
          </w:tcPr>
          <w:p w14:paraId="6D299F9D" w14:textId="77777777" w:rsidR="002D42C1" w:rsidRPr="00DE108C" w:rsidRDefault="002D42C1">
            <w:pPr>
              <w:rPr>
                <w:sz w:val="16"/>
                <w:szCs w:val="16"/>
              </w:rPr>
            </w:pPr>
            <w:r w:rsidRPr="00DE108C">
              <w:rPr>
                <w:sz w:val="16"/>
                <w:szCs w:val="16"/>
              </w:rPr>
              <w:t>Outcome 1: Your water is safe, consistent and resilient</w:t>
            </w:r>
          </w:p>
          <w:p w14:paraId="70DD3149" w14:textId="77777777" w:rsidR="002D42C1" w:rsidRPr="00DE108C" w:rsidRDefault="002D42C1">
            <w:pPr>
              <w:rPr>
                <w:sz w:val="16"/>
                <w:szCs w:val="16"/>
              </w:rPr>
            </w:pPr>
            <w:r w:rsidRPr="00DE108C">
              <w:rPr>
                <w:sz w:val="16"/>
                <w:szCs w:val="16"/>
              </w:rPr>
              <w:t>Outcome 2: When things go wrong, we fix them</w:t>
            </w:r>
          </w:p>
        </w:tc>
      </w:tr>
      <w:tr w:rsidR="00A043F7" w:rsidRPr="00DE108C" w14:paraId="10869C6D" w14:textId="77777777" w:rsidTr="002924DF">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7808CE55" w14:textId="77777777" w:rsidR="002D42C1" w:rsidRPr="00DE108C" w:rsidRDefault="002D42C1">
            <w:pPr>
              <w:rPr>
                <w:b/>
                <w:bCs/>
                <w:color w:val="FFFFFF" w:themeColor="background1"/>
                <w:sz w:val="16"/>
                <w:szCs w:val="16"/>
              </w:rPr>
            </w:pPr>
          </w:p>
        </w:tc>
        <w:tc>
          <w:tcPr>
            <w:tcW w:w="10170" w:type="dxa"/>
          </w:tcPr>
          <w:p w14:paraId="04E09662" w14:textId="77777777" w:rsidR="002D42C1" w:rsidRPr="00DE108C" w:rsidRDefault="002D42C1">
            <w:pPr>
              <w:rPr>
                <w:sz w:val="16"/>
                <w:szCs w:val="16"/>
              </w:rPr>
            </w:pPr>
            <w:r w:rsidRPr="00DE108C">
              <w:rPr>
                <w:sz w:val="16"/>
                <w:szCs w:val="16"/>
              </w:rPr>
              <w:t>Outcome 2: Environmentally sustainable and reliable bulk sewerage services</w:t>
            </w:r>
          </w:p>
        </w:tc>
        <w:tc>
          <w:tcPr>
            <w:tcW w:w="10742" w:type="dxa"/>
          </w:tcPr>
          <w:p w14:paraId="36F5D8B0" w14:textId="77777777" w:rsidR="002D42C1" w:rsidRPr="00DE108C" w:rsidRDefault="002D42C1">
            <w:pPr>
              <w:rPr>
                <w:sz w:val="16"/>
                <w:szCs w:val="16"/>
              </w:rPr>
            </w:pPr>
            <w:r w:rsidRPr="00DE108C">
              <w:rPr>
                <w:sz w:val="16"/>
                <w:szCs w:val="16"/>
              </w:rPr>
              <w:t>Outcome 2: When things go wrong, we fix them</w:t>
            </w:r>
          </w:p>
        </w:tc>
      </w:tr>
      <w:tr w:rsidR="002D42C1" w:rsidRPr="00DE108C" w14:paraId="3322BF01" w14:textId="77777777" w:rsidTr="002924DF">
        <w:tc>
          <w:tcPr>
            <w:tcW w:w="1449" w:type="dxa"/>
            <w:vMerge/>
            <w:shd w:val="clear" w:color="auto" w:fill="00428B" w:themeFill="text2"/>
          </w:tcPr>
          <w:p w14:paraId="172BB5D3" w14:textId="77777777" w:rsidR="002D42C1" w:rsidRPr="00DE108C" w:rsidRDefault="002D42C1">
            <w:pPr>
              <w:rPr>
                <w:b/>
                <w:bCs/>
                <w:color w:val="FFFFFF" w:themeColor="background1"/>
                <w:sz w:val="16"/>
                <w:szCs w:val="16"/>
              </w:rPr>
            </w:pPr>
          </w:p>
        </w:tc>
        <w:tc>
          <w:tcPr>
            <w:tcW w:w="10170" w:type="dxa"/>
          </w:tcPr>
          <w:p w14:paraId="02EB2A49" w14:textId="77777777" w:rsidR="002D42C1" w:rsidRPr="00DE108C" w:rsidRDefault="002D42C1">
            <w:pPr>
              <w:rPr>
                <w:sz w:val="16"/>
                <w:szCs w:val="16"/>
              </w:rPr>
            </w:pPr>
            <w:r w:rsidRPr="00DE108C">
              <w:rPr>
                <w:sz w:val="16"/>
                <w:szCs w:val="16"/>
              </w:rPr>
              <w:t>Outcome 3: Healthy, resilient waterways</w:t>
            </w:r>
          </w:p>
        </w:tc>
        <w:tc>
          <w:tcPr>
            <w:tcW w:w="10742" w:type="dxa"/>
          </w:tcPr>
          <w:p w14:paraId="12C1E2B4" w14:textId="77777777" w:rsidR="002D42C1" w:rsidRPr="00DE108C" w:rsidRDefault="002D42C1">
            <w:pPr>
              <w:rPr>
                <w:sz w:val="16"/>
                <w:szCs w:val="16"/>
              </w:rPr>
            </w:pPr>
            <w:r w:rsidRPr="00DE108C">
              <w:rPr>
                <w:sz w:val="16"/>
                <w:szCs w:val="16"/>
              </w:rPr>
              <w:t>Outcome 5: We heal and care for Country</w:t>
            </w:r>
          </w:p>
        </w:tc>
      </w:tr>
      <w:tr w:rsidR="00A043F7" w:rsidRPr="00DE108C" w14:paraId="3507D472" w14:textId="77777777" w:rsidTr="002924DF">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570648E7" w14:textId="77777777" w:rsidR="002D42C1" w:rsidRPr="00DE108C" w:rsidRDefault="002D42C1">
            <w:pPr>
              <w:rPr>
                <w:b/>
                <w:bCs/>
                <w:color w:val="FFFFFF" w:themeColor="background1"/>
                <w:sz w:val="16"/>
                <w:szCs w:val="16"/>
              </w:rPr>
            </w:pPr>
          </w:p>
        </w:tc>
        <w:tc>
          <w:tcPr>
            <w:tcW w:w="10170" w:type="dxa"/>
          </w:tcPr>
          <w:p w14:paraId="2727A0F5" w14:textId="77777777" w:rsidR="002D42C1" w:rsidRPr="00DE108C" w:rsidRDefault="002D42C1">
            <w:pPr>
              <w:rPr>
                <w:sz w:val="16"/>
                <w:szCs w:val="16"/>
              </w:rPr>
            </w:pPr>
            <w:r w:rsidRPr="00DE108C">
              <w:rPr>
                <w:sz w:val="16"/>
                <w:szCs w:val="16"/>
              </w:rPr>
              <w:t>Outcome 4: Urban drainage and flood resilience</w:t>
            </w:r>
          </w:p>
        </w:tc>
        <w:tc>
          <w:tcPr>
            <w:tcW w:w="10742" w:type="dxa"/>
          </w:tcPr>
          <w:p w14:paraId="3656A515" w14:textId="77777777" w:rsidR="002D42C1" w:rsidRPr="00DE108C" w:rsidRDefault="002D42C1">
            <w:pPr>
              <w:rPr>
                <w:sz w:val="16"/>
                <w:szCs w:val="16"/>
              </w:rPr>
            </w:pPr>
            <w:r w:rsidRPr="00DE108C">
              <w:rPr>
                <w:sz w:val="16"/>
                <w:szCs w:val="16"/>
              </w:rPr>
              <w:t>Outcome 4: We enable growth and help businesses thrive</w:t>
            </w:r>
          </w:p>
        </w:tc>
      </w:tr>
      <w:tr w:rsidR="002D42C1" w:rsidRPr="00DE108C" w14:paraId="6E7DB4D4" w14:textId="77777777" w:rsidTr="002924DF">
        <w:tc>
          <w:tcPr>
            <w:tcW w:w="1449" w:type="dxa"/>
            <w:vMerge/>
            <w:shd w:val="clear" w:color="auto" w:fill="00428B" w:themeFill="text2"/>
          </w:tcPr>
          <w:p w14:paraId="086DEDA3" w14:textId="77777777" w:rsidR="002D42C1" w:rsidRPr="00DE108C" w:rsidRDefault="002D42C1">
            <w:pPr>
              <w:rPr>
                <w:b/>
                <w:bCs/>
                <w:color w:val="FFFFFF" w:themeColor="background1"/>
                <w:sz w:val="16"/>
                <w:szCs w:val="16"/>
              </w:rPr>
            </w:pPr>
          </w:p>
        </w:tc>
        <w:tc>
          <w:tcPr>
            <w:tcW w:w="10170" w:type="dxa"/>
          </w:tcPr>
          <w:p w14:paraId="7C423FFB" w14:textId="77777777" w:rsidR="002D42C1" w:rsidRPr="00DE108C" w:rsidRDefault="002D42C1">
            <w:pPr>
              <w:rPr>
                <w:sz w:val="16"/>
                <w:szCs w:val="16"/>
              </w:rPr>
            </w:pPr>
            <w:r w:rsidRPr="00DE108C">
              <w:rPr>
                <w:sz w:val="16"/>
                <w:szCs w:val="16"/>
              </w:rPr>
              <w:t>Outcome 5: A valued partner in water cycle services</w:t>
            </w:r>
          </w:p>
        </w:tc>
        <w:tc>
          <w:tcPr>
            <w:tcW w:w="10742" w:type="dxa"/>
          </w:tcPr>
          <w:p w14:paraId="149D821D" w14:textId="77777777" w:rsidR="002D42C1" w:rsidRPr="00DE108C" w:rsidRDefault="002D42C1">
            <w:pPr>
              <w:rPr>
                <w:sz w:val="16"/>
                <w:szCs w:val="16"/>
              </w:rPr>
            </w:pPr>
            <w:r w:rsidRPr="00DE108C">
              <w:rPr>
                <w:sz w:val="16"/>
                <w:szCs w:val="16"/>
              </w:rPr>
              <w:t>Outcome 3: We support our diverse communities and customers</w:t>
            </w:r>
          </w:p>
          <w:p w14:paraId="799544CF" w14:textId="77777777" w:rsidR="002D42C1" w:rsidRPr="00DE108C" w:rsidRDefault="002D42C1">
            <w:pPr>
              <w:rPr>
                <w:sz w:val="16"/>
                <w:szCs w:val="16"/>
              </w:rPr>
            </w:pPr>
            <w:r w:rsidRPr="00DE108C">
              <w:rPr>
                <w:sz w:val="16"/>
                <w:szCs w:val="16"/>
              </w:rPr>
              <w:t>Outcome 5: We heal and care for Country</w:t>
            </w:r>
          </w:p>
        </w:tc>
      </w:tr>
      <w:tr w:rsidR="002D42C1" w:rsidRPr="00DE108C" w14:paraId="537CD5B9" w14:textId="77777777" w:rsidTr="002924DF">
        <w:trPr>
          <w:cnfStyle w:val="000000010000" w:firstRow="0" w:lastRow="0" w:firstColumn="0" w:lastColumn="0" w:oddVBand="0" w:evenVBand="0" w:oddHBand="0" w:evenHBand="1" w:firstRowFirstColumn="0" w:firstRowLastColumn="0" w:lastRowFirstColumn="0" w:lastRowLastColumn="0"/>
        </w:trPr>
        <w:tc>
          <w:tcPr>
            <w:tcW w:w="1449" w:type="dxa"/>
            <w:vMerge w:val="restart"/>
            <w:shd w:val="clear" w:color="auto" w:fill="00428B" w:themeFill="text2"/>
          </w:tcPr>
          <w:p w14:paraId="678F1E20" w14:textId="77777777" w:rsidR="002D42C1" w:rsidRPr="00DE108C" w:rsidRDefault="002D42C1">
            <w:pPr>
              <w:rPr>
                <w:b/>
                <w:bCs/>
                <w:color w:val="FFFFFF" w:themeColor="background1"/>
                <w:sz w:val="16"/>
                <w:szCs w:val="16"/>
              </w:rPr>
            </w:pPr>
            <w:r w:rsidRPr="00DE108C">
              <w:rPr>
                <w:b/>
                <w:bCs/>
                <w:color w:val="FFFFFF" w:themeColor="background1"/>
                <w:sz w:val="16"/>
                <w:szCs w:val="16"/>
              </w:rPr>
              <w:t>Addressing your key areas</w:t>
            </w:r>
          </w:p>
        </w:tc>
        <w:tc>
          <w:tcPr>
            <w:tcW w:w="10170" w:type="dxa"/>
            <w:shd w:val="clear" w:color="auto" w:fill="00428B" w:themeFill="text2"/>
          </w:tcPr>
          <w:p w14:paraId="7883AE3A" w14:textId="77777777" w:rsidR="002D42C1" w:rsidRPr="00DE108C" w:rsidRDefault="002D42C1">
            <w:pPr>
              <w:rPr>
                <w:b/>
                <w:bCs/>
                <w:color w:val="FFFFFF" w:themeColor="background1"/>
                <w:sz w:val="16"/>
                <w:szCs w:val="16"/>
              </w:rPr>
            </w:pPr>
            <w:r w:rsidRPr="00DE108C">
              <w:rPr>
                <w:b/>
                <w:bCs/>
                <w:color w:val="FFFFFF" w:themeColor="background1"/>
                <w:sz w:val="16"/>
                <w:szCs w:val="16"/>
              </w:rPr>
              <w:t>What we heard</w:t>
            </w:r>
          </w:p>
        </w:tc>
        <w:tc>
          <w:tcPr>
            <w:tcW w:w="10742" w:type="dxa"/>
            <w:shd w:val="clear" w:color="auto" w:fill="00428B" w:themeFill="text2"/>
          </w:tcPr>
          <w:p w14:paraId="6EBFE9E5" w14:textId="1F891271" w:rsidR="002D42C1" w:rsidRPr="00DE108C" w:rsidRDefault="002D42C1">
            <w:pPr>
              <w:rPr>
                <w:b/>
                <w:bCs/>
                <w:color w:val="FFFFFF" w:themeColor="background1"/>
                <w:sz w:val="16"/>
                <w:szCs w:val="16"/>
              </w:rPr>
            </w:pPr>
            <w:r w:rsidRPr="00DE108C">
              <w:rPr>
                <w:b/>
                <w:bCs/>
                <w:color w:val="FFFFFF" w:themeColor="background1"/>
                <w:sz w:val="16"/>
                <w:szCs w:val="16"/>
              </w:rPr>
              <w:t xml:space="preserve">How </w:t>
            </w:r>
            <w:r w:rsidRPr="2BE0907F">
              <w:rPr>
                <w:b/>
                <w:bCs/>
                <w:color w:val="FFFFFF" w:themeColor="background1"/>
                <w:sz w:val="16"/>
                <w:szCs w:val="16"/>
              </w:rPr>
              <w:t>we</w:t>
            </w:r>
            <w:r w:rsidR="10E853B2" w:rsidRPr="2BE0907F">
              <w:rPr>
                <w:b/>
                <w:bCs/>
                <w:color w:val="FFFFFF" w:themeColor="background1"/>
                <w:sz w:val="16"/>
                <w:szCs w:val="16"/>
              </w:rPr>
              <w:t xml:space="preserve"> are</w:t>
            </w:r>
            <w:r w:rsidRPr="00DE108C">
              <w:rPr>
                <w:b/>
                <w:bCs/>
                <w:color w:val="FFFFFF" w:themeColor="background1"/>
                <w:sz w:val="16"/>
                <w:szCs w:val="16"/>
              </w:rPr>
              <w:t xml:space="preserve"> responding</w:t>
            </w:r>
          </w:p>
        </w:tc>
      </w:tr>
      <w:tr w:rsidR="002D42C1" w:rsidRPr="00DE108C" w14:paraId="1FA7F474" w14:textId="77777777" w:rsidTr="002924DF">
        <w:tc>
          <w:tcPr>
            <w:tcW w:w="1449" w:type="dxa"/>
            <w:vMerge/>
            <w:shd w:val="clear" w:color="auto" w:fill="00428B" w:themeFill="text2"/>
          </w:tcPr>
          <w:p w14:paraId="77200AD2" w14:textId="77777777" w:rsidR="002D42C1" w:rsidRPr="00DE108C" w:rsidRDefault="002D42C1" w:rsidP="00ED094E">
            <w:pPr>
              <w:rPr>
                <w:b/>
                <w:bCs/>
                <w:color w:val="FFFFFF" w:themeColor="background1"/>
                <w:sz w:val="16"/>
                <w:szCs w:val="16"/>
              </w:rPr>
            </w:pPr>
          </w:p>
        </w:tc>
        <w:tc>
          <w:tcPr>
            <w:tcW w:w="10170" w:type="dxa"/>
          </w:tcPr>
          <w:p w14:paraId="234C1AB8" w14:textId="57146278" w:rsidR="002D42C1" w:rsidRPr="00DE108C" w:rsidRDefault="002D42C1" w:rsidP="00ED094E">
            <w:pPr>
              <w:rPr>
                <w:sz w:val="16"/>
                <w:szCs w:val="16"/>
              </w:rPr>
            </w:pPr>
            <w:r w:rsidRPr="0CCCA69B">
              <w:rPr>
                <w:rStyle w:val="normaltextrun"/>
                <w:rFonts w:ascii="Verdana" w:hAnsi="Verdana" w:cs="Segoe UI"/>
                <w:sz w:val="16"/>
                <w:szCs w:val="16"/>
              </w:rPr>
              <w:t>Item #1: Supplying water to a growing west, and a review of asset ownership and interface principles, by 2028, including review of responsibilities in the outer west and Macedon Ranges</w:t>
            </w:r>
            <w:r w:rsidR="17017C1D" w:rsidRPr="0CCCA69B">
              <w:rPr>
                <w:rStyle w:val="eop"/>
                <w:rFonts w:ascii="Verdana" w:hAnsi="Verdana" w:cs="Segoe UI"/>
                <w:sz w:val="16"/>
                <w:szCs w:val="16"/>
              </w:rPr>
              <w:t>.</w:t>
            </w:r>
          </w:p>
        </w:tc>
        <w:tc>
          <w:tcPr>
            <w:tcW w:w="10742" w:type="dxa"/>
          </w:tcPr>
          <w:p w14:paraId="39A9C535" w14:textId="77777777" w:rsidR="002D42C1" w:rsidRPr="00DE108C" w:rsidRDefault="002D42C1" w:rsidP="00ED094E">
            <w:pPr>
              <w:pStyle w:val="paragraph"/>
              <w:spacing w:before="0" w:beforeAutospacing="0" w:after="0" w:afterAutospacing="0"/>
              <w:textAlignment w:val="baseline"/>
              <w:divId w:val="1667438205"/>
              <w:rPr>
                <w:rFonts w:ascii="Segoe UI" w:hAnsi="Segoe UI" w:cs="Segoe UI"/>
                <w:color w:val="231F20"/>
                <w:sz w:val="16"/>
                <w:szCs w:val="16"/>
              </w:rPr>
            </w:pPr>
            <w:r w:rsidRPr="00DE108C">
              <w:rPr>
                <w:rStyle w:val="normaltextrun"/>
                <w:rFonts w:ascii="Verdana" w:hAnsi="Verdana" w:cs="Segoe UI"/>
                <w:b/>
                <w:bCs/>
                <w:color w:val="231F20"/>
                <w:sz w:val="16"/>
                <w:szCs w:val="16"/>
              </w:rPr>
              <w:t>Addressed</w:t>
            </w:r>
            <w:r w:rsidRPr="00DE108C">
              <w:rPr>
                <w:rStyle w:val="eop"/>
                <w:rFonts w:ascii="Verdana" w:hAnsi="Verdana" w:cs="Segoe UI"/>
                <w:color w:val="231F20"/>
                <w:sz w:val="16"/>
                <w:szCs w:val="16"/>
              </w:rPr>
              <w:t> </w:t>
            </w:r>
          </w:p>
          <w:p w14:paraId="40FF5D38" w14:textId="77777777" w:rsidR="002D42C1" w:rsidRPr="00DE108C" w:rsidRDefault="002D42C1" w:rsidP="00ED094E">
            <w:pPr>
              <w:rPr>
                <w:sz w:val="16"/>
                <w:szCs w:val="16"/>
              </w:rPr>
            </w:pPr>
            <w:r w:rsidRPr="00DE108C">
              <w:rPr>
                <w:rStyle w:val="normaltextrun"/>
                <w:rFonts w:ascii="Verdana" w:hAnsi="Verdana" w:cs="Segoe UI"/>
                <w:sz w:val="16"/>
                <w:szCs w:val="16"/>
              </w:rPr>
              <w:t>We have agreed to a joint servicing plan and committed to delivery of bulk water assets to supply Melton (in the former Western Water region). We are delivering the Bulk Supply Agreement Modernisation Project, which includes a workstream on Collaborative Planning and confirmation of Asset Ownership and principles for asset transfers. Our timelines will resolve in time for the 2028 Price Submissions.</w:t>
            </w:r>
            <w:r w:rsidRPr="00DE108C">
              <w:rPr>
                <w:rStyle w:val="eop"/>
                <w:rFonts w:ascii="Verdana" w:hAnsi="Verdana" w:cs="Segoe UI"/>
                <w:sz w:val="16"/>
                <w:szCs w:val="16"/>
              </w:rPr>
              <w:t> </w:t>
            </w:r>
          </w:p>
        </w:tc>
      </w:tr>
      <w:tr w:rsidR="00A043F7" w:rsidRPr="00DE108C" w14:paraId="2E45C8E8" w14:textId="77777777" w:rsidTr="002924DF">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0959C815" w14:textId="77777777" w:rsidR="002D42C1" w:rsidRPr="00DE108C" w:rsidRDefault="002D42C1" w:rsidP="00ED094E">
            <w:pPr>
              <w:rPr>
                <w:b/>
                <w:bCs/>
                <w:color w:val="FFFFFF" w:themeColor="background1"/>
                <w:sz w:val="16"/>
                <w:szCs w:val="16"/>
              </w:rPr>
            </w:pPr>
          </w:p>
        </w:tc>
        <w:tc>
          <w:tcPr>
            <w:tcW w:w="10170" w:type="dxa"/>
          </w:tcPr>
          <w:p w14:paraId="545D7B1C" w14:textId="65AAD023" w:rsidR="002D42C1" w:rsidRPr="00DE108C" w:rsidRDefault="002D42C1" w:rsidP="00ED094E">
            <w:pPr>
              <w:rPr>
                <w:sz w:val="16"/>
                <w:szCs w:val="16"/>
              </w:rPr>
            </w:pPr>
            <w:r w:rsidRPr="0CCCA69B">
              <w:rPr>
                <w:rStyle w:val="normaltextrun"/>
                <w:rFonts w:ascii="Verdana" w:hAnsi="Verdana" w:cs="Segoe UI"/>
                <w:sz w:val="16"/>
                <w:szCs w:val="16"/>
              </w:rPr>
              <w:t>Item #2: Effective operation of the Western Treatment Plant</w:t>
            </w:r>
            <w:r w:rsidR="49BB6263" w:rsidRPr="4211DEB4">
              <w:rPr>
                <w:rStyle w:val="normaltextrun"/>
                <w:rFonts w:ascii="Verdana" w:hAnsi="Verdana" w:cs="Segoe UI"/>
                <w:sz w:val="16"/>
                <w:szCs w:val="16"/>
              </w:rPr>
              <w:t xml:space="preserve"> (WTP)</w:t>
            </w:r>
            <w:r w:rsidRPr="4211DEB4">
              <w:rPr>
                <w:rStyle w:val="normaltextrun"/>
                <w:rFonts w:ascii="Verdana" w:hAnsi="Verdana" w:cs="Segoe UI"/>
                <w:sz w:val="16"/>
                <w:szCs w:val="16"/>
              </w:rPr>
              <w:t>,</w:t>
            </w:r>
            <w:r w:rsidRPr="0CCCA69B">
              <w:rPr>
                <w:rStyle w:val="normaltextrun"/>
                <w:rFonts w:ascii="Verdana" w:hAnsi="Verdana" w:cs="Segoe UI"/>
                <w:sz w:val="16"/>
                <w:szCs w:val="16"/>
              </w:rPr>
              <w:t xml:space="preserve"> including its ability to produce recycled water reliably, and plans for the Werribee System Reconfiguration Project</w:t>
            </w:r>
            <w:r w:rsidR="62390944" w:rsidRPr="0CCCA69B">
              <w:rPr>
                <w:rStyle w:val="eop"/>
                <w:rFonts w:ascii="Verdana" w:hAnsi="Verdana" w:cs="Segoe UI"/>
                <w:sz w:val="16"/>
                <w:szCs w:val="16"/>
              </w:rPr>
              <w:t>.</w:t>
            </w:r>
          </w:p>
        </w:tc>
        <w:tc>
          <w:tcPr>
            <w:tcW w:w="10742" w:type="dxa"/>
          </w:tcPr>
          <w:p w14:paraId="2148C4D4" w14:textId="77777777" w:rsidR="002D42C1" w:rsidRPr="00DE108C" w:rsidRDefault="002D42C1" w:rsidP="00ED094E">
            <w:pPr>
              <w:pStyle w:val="paragraph"/>
              <w:spacing w:before="0" w:beforeAutospacing="0" w:after="0" w:afterAutospacing="0"/>
              <w:textAlignment w:val="baseline"/>
              <w:divId w:val="1420590849"/>
              <w:rPr>
                <w:rFonts w:ascii="Segoe UI" w:hAnsi="Segoe UI" w:cs="Segoe UI"/>
                <w:color w:val="231F20"/>
                <w:sz w:val="16"/>
                <w:szCs w:val="16"/>
              </w:rPr>
            </w:pPr>
            <w:r w:rsidRPr="00DE108C">
              <w:rPr>
                <w:rStyle w:val="normaltextrun"/>
                <w:rFonts w:ascii="Verdana" w:hAnsi="Verdana" w:cs="Segoe UI"/>
                <w:b/>
                <w:bCs/>
                <w:color w:val="231F20"/>
                <w:sz w:val="16"/>
                <w:szCs w:val="16"/>
              </w:rPr>
              <w:t>Partially addressed</w:t>
            </w:r>
            <w:r w:rsidRPr="00DE108C">
              <w:rPr>
                <w:rStyle w:val="eop"/>
                <w:rFonts w:ascii="Verdana" w:hAnsi="Verdana" w:cs="Segoe UI"/>
                <w:color w:val="231F20"/>
                <w:sz w:val="16"/>
                <w:szCs w:val="16"/>
              </w:rPr>
              <w:t> </w:t>
            </w:r>
          </w:p>
          <w:p w14:paraId="7FB3C2D1" w14:textId="4520DEDC" w:rsidR="002D42C1" w:rsidRPr="00DE108C" w:rsidRDefault="002D42C1" w:rsidP="00ED094E">
            <w:pPr>
              <w:rPr>
                <w:sz w:val="16"/>
                <w:szCs w:val="16"/>
              </w:rPr>
            </w:pPr>
            <w:r w:rsidRPr="5A21CF4B">
              <w:rPr>
                <w:rStyle w:val="normaltextrun"/>
                <w:rFonts w:ascii="Verdana" w:hAnsi="Verdana" w:cs="Segoe UI"/>
                <w:sz w:val="16"/>
                <w:szCs w:val="16"/>
              </w:rPr>
              <w:t xml:space="preserve">We need to invest to secure the future quality and reliability of Class A Recycled Water at WTP. There are several potential strategic directions for this service, ranging from plant renewal to the Werribee Reconfiguration Project. </w:t>
            </w:r>
            <w:r w:rsidR="191A5E6F" w:rsidRPr="5A21CF4B">
              <w:rPr>
                <w:rStyle w:val="normaltextrun"/>
                <w:rFonts w:ascii="Verdana" w:hAnsi="Verdana" w:cs="Segoe UI"/>
                <w:sz w:val="16"/>
                <w:szCs w:val="16"/>
              </w:rPr>
              <w:t>Therefore</w:t>
            </w:r>
            <w:r w:rsidRPr="5A21CF4B">
              <w:rPr>
                <w:rStyle w:val="normaltextrun"/>
                <w:rFonts w:ascii="Verdana" w:hAnsi="Verdana" w:cs="Segoe UI"/>
                <w:sz w:val="16"/>
                <w:szCs w:val="16"/>
              </w:rPr>
              <w:t>, we are developing a business case for the Werribee Configuration Project and will invest in some necessary tactical renewals only while we work through the preferred option and willingness-to-pay.</w:t>
            </w:r>
            <w:r w:rsidRPr="5A21CF4B">
              <w:rPr>
                <w:rStyle w:val="eop"/>
                <w:rFonts w:ascii="Verdana" w:hAnsi="Verdana" w:cs="Segoe UI"/>
                <w:sz w:val="16"/>
                <w:szCs w:val="16"/>
              </w:rPr>
              <w:t> </w:t>
            </w:r>
          </w:p>
        </w:tc>
      </w:tr>
      <w:tr w:rsidR="002D42C1" w:rsidRPr="00DE108C" w14:paraId="6C22EE94" w14:textId="77777777" w:rsidTr="002924DF">
        <w:tc>
          <w:tcPr>
            <w:tcW w:w="1449" w:type="dxa"/>
            <w:vMerge/>
            <w:shd w:val="clear" w:color="auto" w:fill="00428B" w:themeFill="text2"/>
          </w:tcPr>
          <w:p w14:paraId="46394539" w14:textId="77777777" w:rsidR="002D42C1" w:rsidRPr="00DE108C" w:rsidRDefault="002D42C1" w:rsidP="00ED094E">
            <w:pPr>
              <w:rPr>
                <w:b/>
                <w:bCs/>
                <w:color w:val="FFFFFF" w:themeColor="background1"/>
                <w:sz w:val="16"/>
                <w:szCs w:val="16"/>
              </w:rPr>
            </w:pPr>
          </w:p>
        </w:tc>
        <w:tc>
          <w:tcPr>
            <w:tcW w:w="10170" w:type="dxa"/>
          </w:tcPr>
          <w:p w14:paraId="1E21667D" w14:textId="567A406B" w:rsidR="002D42C1" w:rsidRPr="00DE108C" w:rsidRDefault="002D42C1" w:rsidP="00ED094E">
            <w:pPr>
              <w:rPr>
                <w:sz w:val="16"/>
                <w:szCs w:val="16"/>
              </w:rPr>
            </w:pPr>
            <w:r w:rsidRPr="0CCCA69B">
              <w:rPr>
                <w:rStyle w:val="normaltextrun"/>
                <w:rFonts w:ascii="Verdana" w:hAnsi="Verdana" w:cs="Segoe UI"/>
                <w:sz w:val="16"/>
                <w:szCs w:val="16"/>
              </w:rPr>
              <w:t>Item #3: Increased collaboration on whole of water cycle service planning</w:t>
            </w:r>
            <w:r w:rsidR="0D1D19D7" w:rsidRPr="0CCCA69B">
              <w:rPr>
                <w:rStyle w:val="eop"/>
                <w:rFonts w:ascii="Verdana" w:hAnsi="Verdana" w:cs="Segoe UI"/>
                <w:sz w:val="16"/>
                <w:szCs w:val="16"/>
              </w:rPr>
              <w:t>.</w:t>
            </w:r>
          </w:p>
        </w:tc>
        <w:tc>
          <w:tcPr>
            <w:tcW w:w="10742" w:type="dxa"/>
          </w:tcPr>
          <w:p w14:paraId="02658788" w14:textId="77777777" w:rsidR="002D42C1" w:rsidRPr="00DE108C" w:rsidRDefault="002D42C1" w:rsidP="00ED094E">
            <w:pPr>
              <w:pStyle w:val="paragraph"/>
              <w:spacing w:before="0" w:beforeAutospacing="0" w:after="0" w:afterAutospacing="0"/>
              <w:textAlignment w:val="baseline"/>
              <w:divId w:val="1465149447"/>
              <w:rPr>
                <w:rFonts w:ascii="Segoe UI" w:hAnsi="Segoe UI" w:cs="Segoe UI"/>
                <w:color w:val="231F20"/>
                <w:sz w:val="16"/>
                <w:szCs w:val="16"/>
              </w:rPr>
            </w:pPr>
            <w:r w:rsidRPr="00DE108C">
              <w:rPr>
                <w:rStyle w:val="normaltextrun"/>
                <w:rFonts w:ascii="Verdana" w:hAnsi="Verdana" w:cs="Segoe UI"/>
                <w:b/>
                <w:bCs/>
                <w:color w:val="231F20"/>
                <w:sz w:val="16"/>
                <w:szCs w:val="16"/>
              </w:rPr>
              <w:t>Addressed</w:t>
            </w:r>
            <w:r w:rsidRPr="00DE108C">
              <w:rPr>
                <w:rStyle w:val="eop"/>
                <w:rFonts w:ascii="Verdana" w:hAnsi="Verdana" w:cs="Segoe UI"/>
                <w:color w:val="231F20"/>
                <w:sz w:val="16"/>
                <w:szCs w:val="16"/>
              </w:rPr>
              <w:t> </w:t>
            </w:r>
          </w:p>
          <w:p w14:paraId="0C0D0FC7" w14:textId="2B73FD71" w:rsidR="002D42C1" w:rsidRPr="00DE108C" w:rsidRDefault="002D42C1" w:rsidP="00ED094E">
            <w:pPr>
              <w:rPr>
                <w:sz w:val="16"/>
                <w:szCs w:val="16"/>
              </w:rPr>
            </w:pPr>
            <w:r w:rsidRPr="5A21CF4B">
              <w:rPr>
                <w:rStyle w:val="normaltextrun"/>
                <w:rFonts w:ascii="Verdana" w:hAnsi="Verdana" w:cs="Segoe UI"/>
                <w:sz w:val="16"/>
                <w:szCs w:val="16"/>
              </w:rPr>
              <w:t xml:space="preserve">As part of Outcome 5, we are committing to collaborating and co-creating plans with the water sector and playing a key role in delivering water solutions that addresses the challenges of a changing climate and future planning across Melbourne. We are committed to working with other businesses to complete a collaborative long-term capital and operating plan to support Urban Water and System Strategies and </w:t>
            </w:r>
            <w:r w:rsidRPr="00FB646F">
              <w:rPr>
                <w:rStyle w:val="normaltextrun"/>
                <w:rFonts w:ascii="Verdana" w:hAnsi="Verdana" w:cs="Segoe UI"/>
                <w:sz w:val="16"/>
                <w:szCs w:val="16"/>
              </w:rPr>
              <w:t xml:space="preserve">future </w:t>
            </w:r>
            <w:r w:rsidR="00FB646F" w:rsidRPr="00FB646F">
              <w:rPr>
                <w:rStyle w:val="normaltextrun"/>
                <w:rFonts w:ascii="Verdana" w:hAnsi="Verdana" w:cs="Segoe UI"/>
                <w:sz w:val="16"/>
                <w:szCs w:val="16"/>
              </w:rPr>
              <w:t>water corporation</w:t>
            </w:r>
            <w:r w:rsidRPr="00FB646F">
              <w:rPr>
                <w:rStyle w:val="normaltextrun"/>
                <w:rFonts w:ascii="Verdana" w:hAnsi="Verdana" w:cs="Segoe UI"/>
                <w:sz w:val="16"/>
                <w:szCs w:val="16"/>
              </w:rPr>
              <w:t xml:space="preserve"> and Melbourne</w:t>
            </w:r>
            <w:r w:rsidRPr="5A21CF4B">
              <w:rPr>
                <w:rStyle w:val="normaltextrun"/>
                <w:rFonts w:ascii="Verdana" w:hAnsi="Verdana" w:cs="Segoe UI"/>
                <w:sz w:val="16"/>
                <w:szCs w:val="16"/>
              </w:rPr>
              <w:t xml:space="preserve"> Water </w:t>
            </w:r>
            <w:r w:rsidR="13510D68" w:rsidRPr="5A21CF4B">
              <w:rPr>
                <w:rStyle w:val="normaltextrun"/>
                <w:rFonts w:ascii="Verdana" w:hAnsi="Verdana" w:cs="Segoe UI"/>
                <w:sz w:val="16"/>
                <w:szCs w:val="16"/>
              </w:rPr>
              <w:t>P</w:t>
            </w:r>
            <w:r w:rsidRPr="5A21CF4B">
              <w:rPr>
                <w:rStyle w:val="normaltextrun"/>
                <w:rFonts w:ascii="Verdana" w:hAnsi="Verdana" w:cs="Segoe UI"/>
                <w:sz w:val="16"/>
                <w:szCs w:val="16"/>
              </w:rPr>
              <w:t xml:space="preserve">rice </w:t>
            </w:r>
            <w:r w:rsidR="00FAEEEC" w:rsidRPr="5A21CF4B">
              <w:rPr>
                <w:rStyle w:val="normaltextrun"/>
                <w:rFonts w:ascii="Verdana" w:hAnsi="Verdana" w:cs="Segoe UI"/>
                <w:sz w:val="16"/>
                <w:szCs w:val="16"/>
              </w:rPr>
              <w:t>S</w:t>
            </w:r>
            <w:r w:rsidRPr="5A21CF4B">
              <w:rPr>
                <w:rStyle w:val="normaltextrun"/>
                <w:rFonts w:ascii="Verdana" w:hAnsi="Verdana" w:cs="Segoe UI"/>
                <w:sz w:val="16"/>
                <w:szCs w:val="16"/>
              </w:rPr>
              <w:t>ubmissions, as well as Integrated Water Management Forums.</w:t>
            </w:r>
            <w:r w:rsidRPr="5A21CF4B">
              <w:rPr>
                <w:rStyle w:val="eop"/>
                <w:rFonts w:ascii="Verdana" w:hAnsi="Verdana" w:cs="Segoe UI"/>
                <w:sz w:val="16"/>
                <w:szCs w:val="16"/>
              </w:rPr>
              <w:t> </w:t>
            </w:r>
          </w:p>
        </w:tc>
      </w:tr>
      <w:tr w:rsidR="00A043F7" w:rsidRPr="00DE108C" w14:paraId="711D41AB" w14:textId="77777777" w:rsidTr="002924DF">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132797D3" w14:textId="77777777" w:rsidR="002D42C1" w:rsidRPr="00DE108C" w:rsidRDefault="002D42C1" w:rsidP="00ED094E">
            <w:pPr>
              <w:rPr>
                <w:b/>
                <w:bCs/>
                <w:color w:val="FFFFFF" w:themeColor="background1"/>
                <w:sz w:val="16"/>
                <w:szCs w:val="16"/>
              </w:rPr>
            </w:pPr>
          </w:p>
        </w:tc>
        <w:tc>
          <w:tcPr>
            <w:tcW w:w="10170" w:type="dxa"/>
          </w:tcPr>
          <w:p w14:paraId="70F82BC7" w14:textId="15C7118A" w:rsidR="002D42C1" w:rsidRPr="00DE108C" w:rsidRDefault="002D42C1" w:rsidP="00ED094E">
            <w:pPr>
              <w:rPr>
                <w:sz w:val="16"/>
                <w:szCs w:val="16"/>
              </w:rPr>
            </w:pPr>
            <w:r w:rsidRPr="5A21CF4B">
              <w:rPr>
                <w:rStyle w:val="normaltextrun"/>
                <w:rFonts w:ascii="Verdana" w:hAnsi="Verdana" w:cs="Segoe UI"/>
                <w:sz w:val="16"/>
                <w:szCs w:val="16"/>
              </w:rPr>
              <w:t>Item #4: Fair tariff reforms, including a higher variable water tariff that incentivises efficient investment, and a ‘user pays’ cost allocation and manageable bill impacts on GWW customers</w:t>
            </w:r>
            <w:r w:rsidR="5623B0AD" w:rsidRPr="5A21CF4B">
              <w:rPr>
                <w:rStyle w:val="normaltextrun"/>
                <w:rFonts w:ascii="Verdana" w:hAnsi="Verdana" w:cs="Segoe UI"/>
                <w:sz w:val="16"/>
                <w:szCs w:val="16"/>
              </w:rPr>
              <w:t>.</w:t>
            </w:r>
            <w:r w:rsidRPr="5A21CF4B">
              <w:rPr>
                <w:rStyle w:val="eop"/>
                <w:rFonts w:ascii="Verdana" w:hAnsi="Verdana" w:cs="Segoe UI"/>
                <w:sz w:val="16"/>
                <w:szCs w:val="16"/>
              </w:rPr>
              <w:t> </w:t>
            </w:r>
          </w:p>
        </w:tc>
        <w:tc>
          <w:tcPr>
            <w:tcW w:w="10742" w:type="dxa"/>
          </w:tcPr>
          <w:p w14:paraId="7BB45EFC" w14:textId="77777777" w:rsidR="002D42C1" w:rsidRPr="00DE108C" w:rsidRDefault="002D42C1" w:rsidP="00ED094E">
            <w:pPr>
              <w:pStyle w:val="paragraph"/>
              <w:spacing w:before="0" w:beforeAutospacing="0" w:after="0" w:afterAutospacing="0"/>
              <w:textAlignment w:val="baseline"/>
              <w:divId w:val="659388610"/>
              <w:rPr>
                <w:rFonts w:ascii="Segoe UI" w:hAnsi="Segoe UI" w:cs="Segoe UI"/>
                <w:color w:val="231F20"/>
                <w:sz w:val="16"/>
                <w:szCs w:val="16"/>
              </w:rPr>
            </w:pPr>
            <w:r w:rsidRPr="00DE108C">
              <w:rPr>
                <w:rStyle w:val="normaltextrun"/>
                <w:rFonts w:ascii="Verdana" w:hAnsi="Verdana" w:cs="Segoe UI"/>
                <w:b/>
                <w:bCs/>
                <w:color w:val="231F20"/>
                <w:sz w:val="16"/>
                <w:szCs w:val="16"/>
              </w:rPr>
              <w:t>Addressed</w:t>
            </w:r>
            <w:r w:rsidRPr="00DE108C">
              <w:rPr>
                <w:rStyle w:val="eop"/>
                <w:rFonts w:ascii="Verdana" w:hAnsi="Verdana" w:cs="Segoe UI"/>
                <w:color w:val="231F20"/>
                <w:sz w:val="16"/>
                <w:szCs w:val="16"/>
              </w:rPr>
              <w:t> </w:t>
            </w:r>
          </w:p>
          <w:p w14:paraId="51ACE6C0" w14:textId="77777777" w:rsidR="002D42C1" w:rsidRPr="00DE108C" w:rsidRDefault="002D42C1" w:rsidP="00ED094E">
            <w:pPr>
              <w:rPr>
                <w:sz w:val="16"/>
                <w:szCs w:val="16"/>
              </w:rPr>
            </w:pPr>
            <w:r w:rsidRPr="00DE108C">
              <w:rPr>
                <w:rStyle w:val="normaltextrun"/>
                <w:rFonts w:ascii="Verdana" w:hAnsi="Verdana" w:cs="Segoe UI"/>
                <w:color w:val="231F20"/>
                <w:sz w:val="16"/>
                <w:szCs w:val="16"/>
              </w:rPr>
              <w:t>We are proposing a suite of tariff reforms that take interests consistent with GWW’s preferences and taking GWW’s customers into account. This includes moving to a higher variable water price as desired by GWW, and allocating fixed charges based on historical usage rather than forecasts.</w:t>
            </w:r>
            <w:r w:rsidRPr="00DE108C">
              <w:rPr>
                <w:rStyle w:val="eop"/>
                <w:rFonts w:ascii="Verdana" w:hAnsi="Verdana" w:cs="Segoe UI"/>
                <w:color w:val="231F20"/>
                <w:sz w:val="16"/>
                <w:szCs w:val="16"/>
              </w:rPr>
              <w:t> </w:t>
            </w:r>
          </w:p>
        </w:tc>
      </w:tr>
      <w:tr w:rsidR="002D42C1" w:rsidRPr="00DE108C" w14:paraId="2822B935" w14:textId="77777777" w:rsidTr="002924DF">
        <w:tc>
          <w:tcPr>
            <w:tcW w:w="1449" w:type="dxa"/>
            <w:vMerge/>
            <w:shd w:val="clear" w:color="auto" w:fill="00428B" w:themeFill="text2"/>
          </w:tcPr>
          <w:p w14:paraId="0A6D28DF" w14:textId="77777777" w:rsidR="002D42C1" w:rsidRPr="00DE108C" w:rsidRDefault="002D42C1" w:rsidP="00ED094E">
            <w:pPr>
              <w:rPr>
                <w:b/>
                <w:bCs/>
                <w:color w:val="FFFFFF" w:themeColor="background1"/>
                <w:sz w:val="16"/>
                <w:szCs w:val="16"/>
              </w:rPr>
            </w:pPr>
          </w:p>
        </w:tc>
        <w:tc>
          <w:tcPr>
            <w:tcW w:w="10170" w:type="dxa"/>
          </w:tcPr>
          <w:p w14:paraId="18C5AE48" w14:textId="7F718E95" w:rsidR="002D42C1" w:rsidRPr="00DE108C" w:rsidRDefault="002D42C1" w:rsidP="00ED094E">
            <w:pPr>
              <w:rPr>
                <w:sz w:val="16"/>
                <w:szCs w:val="16"/>
              </w:rPr>
            </w:pPr>
            <w:r w:rsidRPr="5A21CF4B">
              <w:rPr>
                <w:rStyle w:val="normaltextrun"/>
                <w:rFonts w:ascii="Verdana" w:hAnsi="Verdana" w:cs="Segoe UI"/>
                <w:sz w:val="16"/>
                <w:szCs w:val="16"/>
              </w:rPr>
              <w:t>Item #5: Increased support for customers in hardship</w:t>
            </w:r>
            <w:r w:rsidR="57ACCA8E" w:rsidRPr="5A21CF4B">
              <w:rPr>
                <w:rStyle w:val="normaltextrun"/>
                <w:rFonts w:ascii="Verdana" w:hAnsi="Verdana" w:cs="Segoe UI"/>
                <w:sz w:val="16"/>
                <w:szCs w:val="16"/>
              </w:rPr>
              <w:t>.</w:t>
            </w:r>
            <w:r w:rsidRPr="5A21CF4B">
              <w:rPr>
                <w:rStyle w:val="eop"/>
                <w:rFonts w:ascii="Verdana" w:hAnsi="Verdana" w:cs="Segoe UI"/>
                <w:sz w:val="16"/>
                <w:szCs w:val="16"/>
              </w:rPr>
              <w:t> </w:t>
            </w:r>
          </w:p>
        </w:tc>
        <w:tc>
          <w:tcPr>
            <w:tcW w:w="10742" w:type="dxa"/>
          </w:tcPr>
          <w:p w14:paraId="72BBCDA1" w14:textId="77777777" w:rsidR="002D42C1" w:rsidRPr="00DE108C" w:rsidRDefault="002D42C1" w:rsidP="00ED094E">
            <w:pPr>
              <w:pStyle w:val="paragraph"/>
              <w:spacing w:before="0" w:beforeAutospacing="0" w:after="0" w:afterAutospacing="0"/>
              <w:textAlignment w:val="baseline"/>
              <w:divId w:val="742213769"/>
              <w:rPr>
                <w:rFonts w:ascii="Segoe UI" w:hAnsi="Segoe UI" w:cs="Segoe UI"/>
                <w:color w:val="231F20"/>
                <w:sz w:val="16"/>
                <w:szCs w:val="16"/>
              </w:rPr>
            </w:pPr>
            <w:r w:rsidRPr="00DE108C">
              <w:rPr>
                <w:rStyle w:val="normaltextrun"/>
                <w:rFonts w:ascii="Verdana" w:hAnsi="Verdana" w:cs="Segoe UI"/>
                <w:b/>
                <w:bCs/>
                <w:color w:val="231F20"/>
                <w:sz w:val="16"/>
                <w:szCs w:val="16"/>
              </w:rPr>
              <w:t>Addressed</w:t>
            </w:r>
            <w:r w:rsidRPr="00DE108C">
              <w:rPr>
                <w:rStyle w:val="eop"/>
                <w:rFonts w:ascii="Verdana" w:hAnsi="Verdana" w:cs="Segoe UI"/>
                <w:color w:val="231F20"/>
                <w:sz w:val="16"/>
                <w:szCs w:val="16"/>
              </w:rPr>
              <w:t> </w:t>
            </w:r>
          </w:p>
          <w:p w14:paraId="29CC92A6" w14:textId="07711780" w:rsidR="002D42C1" w:rsidRPr="00DE108C" w:rsidRDefault="002D42C1" w:rsidP="00ED094E">
            <w:pPr>
              <w:rPr>
                <w:sz w:val="16"/>
                <w:szCs w:val="16"/>
              </w:rPr>
            </w:pPr>
            <w:r w:rsidRPr="1EAB5D90">
              <w:rPr>
                <w:rStyle w:val="normaltextrun"/>
                <w:rFonts w:ascii="Verdana" w:hAnsi="Verdana" w:cs="Segoe UI"/>
                <w:sz w:val="16"/>
                <w:szCs w:val="16"/>
              </w:rPr>
              <w:t>We are building on water corporations’ extensive support for households experiencing vulnerability with Melbourne Water’s first hardship package, including providing payment difficulty support, water efficient appliances for customers experiencing hardship, and working with community sector organisations.</w:t>
            </w:r>
            <w:r w:rsidRPr="1EAB5D90">
              <w:rPr>
                <w:rStyle w:val="eop"/>
                <w:rFonts w:ascii="Verdana" w:hAnsi="Verdana" w:cs="Segoe UI"/>
                <w:sz w:val="16"/>
                <w:szCs w:val="16"/>
              </w:rPr>
              <w:t> </w:t>
            </w:r>
          </w:p>
        </w:tc>
      </w:tr>
      <w:tr w:rsidR="00A043F7" w:rsidRPr="00DE108C" w14:paraId="796A8EEA" w14:textId="77777777" w:rsidTr="002924DF">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5727E3FE" w14:textId="77777777" w:rsidR="002D42C1" w:rsidRPr="00DE108C" w:rsidRDefault="002D42C1" w:rsidP="00ED094E">
            <w:pPr>
              <w:rPr>
                <w:b/>
                <w:bCs/>
                <w:color w:val="FFFFFF" w:themeColor="background1"/>
                <w:sz w:val="16"/>
                <w:szCs w:val="16"/>
              </w:rPr>
            </w:pPr>
          </w:p>
        </w:tc>
        <w:tc>
          <w:tcPr>
            <w:tcW w:w="10170" w:type="dxa"/>
          </w:tcPr>
          <w:p w14:paraId="30627AE4" w14:textId="39256626" w:rsidR="002D42C1" w:rsidRPr="00DE108C" w:rsidRDefault="002D42C1" w:rsidP="00ED094E">
            <w:pPr>
              <w:rPr>
                <w:sz w:val="16"/>
                <w:szCs w:val="16"/>
              </w:rPr>
            </w:pPr>
            <w:r w:rsidRPr="1EAB5D90">
              <w:rPr>
                <w:rStyle w:val="normaltextrun"/>
                <w:rFonts w:ascii="Verdana" w:hAnsi="Verdana" w:cs="Segoe UI"/>
                <w:sz w:val="16"/>
                <w:szCs w:val="16"/>
              </w:rPr>
              <w:t>Item #6: A new water quality Guaranteed Service Level (GSL) that would apply in cases of confirmed microbiological contamination</w:t>
            </w:r>
            <w:r w:rsidR="57ACCA8E" w:rsidRPr="1EAB5D90">
              <w:rPr>
                <w:rStyle w:val="normaltextrun"/>
                <w:rFonts w:ascii="Verdana" w:hAnsi="Verdana" w:cs="Segoe UI"/>
                <w:sz w:val="16"/>
                <w:szCs w:val="16"/>
              </w:rPr>
              <w:t>.</w:t>
            </w:r>
            <w:r w:rsidRPr="1EAB5D90">
              <w:rPr>
                <w:rStyle w:val="eop"/>
                <w:rFonts w:ascii="Verdana" w:hAnsi="Verdana" w:cs="Segoe UI"/>
                <w:sz w:val="16"/>
                <w:szCs w:val="16"/>
              </w:rPr>
              <w:t> </w:t>
            </w:r>
          </w:p>
        </w:tc>
        <w:tc>
          <w:tcPr>
            <w:tcW w:w="10742" w:type="dxa"/>
          </w:tcPr>
          <w:p w14:paraId="4D113AB8" w14:textId="77777777" w:rsidR="002D42C1" w:rsidRPr="00DE108C" w:rsidRDefault="002D42C1" w:rsidP="00ED094E">
            <w:pPr>
              <w:pStyle w:val="paragraph"/>
              <w:spacing w:before="0" w:beforeAutospacing="0" w:after="0" w:afterAutospacing="0"/>
              <w:textAlignment w:val="baseline"/>
              <w:divId w:val="2023782048"/>
              <w:rPr>
                <w:rFonts w:ascii="Segoe UI" w:hAnsi="Segoe UI" w:cs="Segoe UI"/>
                <w:color w:val="231F20"/>
                <w:sz w:val="16"/>
                <w:szCs w:val="16"/>
              </w:rPr>
            </w:pPr>
            <w:r w:rsidRPr="00DE108C">
              <w:rPr>
                <w:rStyle w:val="normaltextrun"/>
                <w:rFonts w:ascii="Verdana" w:hAnsi="Verdana" w:cs="Segoe UI"/>
                <w:b/>
                <w:bCs/>
                <w:color w:val="231F20"/>
                <w:sz w:val="16"/>
                <w:szCs w:val="16"/>
              </w:rPr>
              <w:t>Largely addressed</w:t>
            </w:r>
            <w:r w:rsidRPr="00DE108C">
              <w:rPr>
                <w:rStyle w:val="eop"/>
                <w:rFonts w:ascii="Verdana" w:hAnsi="Verdana" w:cs="Segoe UI"/>
                <w:color w:val="231F20"/>
                <w:sz w:val="16"/>
                <w:szCs w:val="16"/>
              </w:rPr>
              <w:t> </w:t>
            </w:r>
          </w:p>
          <w:p w14:paraId="29068009" w14:textId="29DF04A8" w:rsidR="002D42C1" w:rsidRPr="00DE108C" w:rsidRDefault="002D42C1" w:rsidP="00ED094E">
            <w:pPr>
              <w:rPr>
                <w:sz w:val="16"/>
                <w:szCs w:val="16"/>
              </w:rPr>
            </w:pPr>
            <w:r w:rsidRPr="66247AEA">
              <w:rPr>
                <w:rStyle w:val="normaltextrun"/>
                <w:rFonts w:ascii="Verdana" w:hAnsi="Verdana" w:cs="Segoe UI"/>
                <w:sz w:val="16"/>
                <w:szCs w:val="16"/>
              </w:rPr>
              <w:t xml:space="preserve">We are proposing to introduce a water quality </w:t>
            </w:r>
            <w:r w:rsidR="00FA5F70" w:rsidRPr="66247AEA">
              <w:rPr>
                <w:rStyle w:val="normaltextrun"/>
                <w:rFonts w:ascii="Verdana" w:hAnsi="Verdana" w:cs="Segoe UI"/>
                <w:sz w:val="16"/>
                <w:szCs w:val="16"/>
              </w:rPr>
              <w:t>Guaranteed</w:t>
            </w:r>
            <w:r w:rsidR="14537BC6" w:rsidRPr="66247AEA">
              <w:rPr>
                <w:rStyle w:val="normaltextrun"/>
                <w:rFonts w:ascii="Verdana" w:hAnsi="Verdana" w:cs="Segoe UI"/>
                <w:sz w:val="16"/>
                <w:szCs w:val="16"/>
              </w:rPr>
              <w:t xml:space="preserve"> </w:t>
            </w:r>
            <w:r w:rsidR="00FA5F70">
              <w:rPr>
                <w:rStyle w:val="normaltextrun"/>
                <w:rFonts w:ascii="Verdana" w:hAnsi="Verdana" w:cs="Segoe UI"/>
                <w:sz w:val="16"/>
                <w:szCs w:val="16"/>
              </w:rPr>
              <w:t>S</w:t>
            </w:r>
            <w:r w:rsidR="14537BC6" w:rsidRPr="66247AEA">
              <w:rPr>
                <w:rStyle w:val="normaltextrun"/>
                <w:rFonts w:ascii="Verdana" w:hAnsi="Verdana" w:cs="Segoe UI"/>
                <w:sz w:val="16"/>
                <w:szCs w:val="16"/>
              </w:rPr>
              <w:t xml:space="preserve">ervice </w:t>
            </w:r>
            <w:r w:rsidR="00FA5F70">
              <w:rPr>
                <w:rStyle w:val="normaltextrun"/>
                <w:rFonts w:ascii="Verdana" w:hAnsi="Verdana" w:cs="Segoe UI"/>
                <w:sz w:val="16"/>
                <w:szCs w:val="16"/>
              </w:rPr>
              <w:t>L</w:t>
            </w:r>
            <w:r w:rsidR="14537BC6" w:rsidRPr="66247AEA">
              <w:rPr>
                <w:rStyle w:val="normaltextrun"/>
                <w:rFonts w:ascii="Verdana" w:hAnsi="Verdana" w:cs="Segoe UI"/>
                <w:sz w:val="16"/>
                <w:szCs w:val="16"/>
              </w:rPr>
              <w:t>evel (</w:t>
            </w:r>
            <w:r w:rsidRPr="66247AEA">
              <w:rPr>
                <w:rStyle w:val="normaltextrun"/>
                <w:rFonts w:ascii="Verdana" w:hAnsi="Verdana" w:cs="Segoe UI"/>
                <w:sz w:val="16"/>
                <w:szCs w:val="16"/>
              </w:rPr>
              <w:t>GSL</w:t>
            </w:r>
            <w:r w:rsidR="10B1634B" w:rsidRPr="66247AEA">
              <w:rPr>
                <w:rStyle w:val="normaltextrun"/>
                <w:rFonts w:ascii="Verdana" w:hAnsi="Verdana" w:cs="Segoe UI"/>
                <w:sz w:val="16"/>
                <w:szCs w:val="16"/>
              </w:rPr>
              <w:t>)</w:t>
            </w:r>
            <w:r w:rsidRPr="66247AEA">
              <w:rPr>
                <w:rStyle w:val="normaltextrun"/>
                <w:rFonts w:ascii="Verdana" w:hAnsi="Verdana" w:cs="Segoe UI"/>
                <w:sz w:val="16"/>
                <w:szCs w:val="16"/>
              </w:rPr>
              <w:t xml:space="preserve"> consistent with GWW’s preference. We are proposing the payment </w:t>
            </w:r>
            <w:r w:rsidRPr="00FB646F">
              <w:rPr>
                <w:rStyle w:val="normaltextrun"/>
                <w:rFonts w:ascii="Verdana" w:hAnsi="Verdana" w:cs="Segoe UI"/>
                <w:sz w:val="16"/>
                <w:szCs w:val="16"/>
              </w:rPr>
              <w:t>to match</w:t>
            </w:r>
            <w:r w:rsidR="00FB646F" w:rsidRPr="00FB646F">
              <w:rPr>
                <w:rStyle w:val="normaltextrun"/>
                <w:rFonts w:ascii="Verdana" w:hAnsi="Verdana" w:cs="Segoe UI"/>
                <w:sz w:val="16"/>
                <w:szCs w:val="16"/>
              </w:rPr>
              <w:t xml:space="preserve"> metropolitan</w:t>
            </w:r>
            <w:r w:rsidRPr="00FB646F">
              <w:rPr>
                <w:rStyle w:val="normaltextrun"/>
                <w:rFonts w:ascii="Verdana" w:hAnsi="Verdana" w:cs="Segoe UI"/>
                <w:sz w:val="16"/>
                <w:szCs w:val="16"/>
              </w:rPr>
              <w:t xml:space="preserve"> </w:t>
            </w:r>
            <w:r w:rsidR="00FB646F" w:rsidRPr="00FB646F">
              <w:rPr>
                <w:rStyle w:val="normaltextrun"/>
                <w:rFonts w:ascii="Verdana" w:hAnsi="Verdana" w:cs="Segoe UI"/>
                <w:sz w:val="16"/>
                <w:szCs w:val="16"/>
              </w:rPr>
              <w:t>water corporation</w:t>
            </w:r>
            <w:r w:rsidRPr="66247AEA">
              <w:rPr>
                <w:rStyle w:val="normaltextrun"/>
                <w:rFonts w:ascii="Verdana" w:hAnsi="Verdana" w:cs="Segoe UI"/>
                <w:sz w:val="16"/>
                <w:szCs w:val="16"/>
              </w:rPr>
              <w:t xml:space="preserve"> GSLs up to $75, which may be lower than GWW’s desired level as this balances concerns around our commitment to safe and reliable drinking water with the potential liability during a large incident over which we have limited control.</w:t>
            </w:r>
            <w:r w:rsidRPr="66247AEA">
              <w:rPr>
                <w:rStyle w:val="eop"/>
                <w:rFonts w:ascii="Verdana" w:hAnsi="Verdana" w:cs="Segoe UI"/>
                <w:sz w:val="16"/>
                <w:szCs w:val="16"/>
              </w:rPr>
              <w:t> </w:t>
            </w:r>
          </w:p>
        </w:tc>
      </w:tr>
      <w:tr w:rsidR="002D42C1" w:rsidRPr="00DE108C" w14:paraId="64106A51" w14:textId="77777777" w:rsidTr="002924DF">
        <w:tc>
          <w:tcPr>
            <w:tcW w:w="1449" w:type="dxa"/>
            <w:vMerge/>
            <w:shd w:val="clear" w:color="auto" w:fill="00428B" w:themeFill="text2"/>
          </w:tcPr>
          <w:p w14:paraId="07F9A950" w14:textId="77777777" w:rsidR="002D42C1" w:rsidRPr="00DE108C" w:rsidRDefault="002D42C1" w:rsidP="00ED094E">
            <w:pPr>
              <w:rPr>
                <w:b/>
                <w:bCs/>
                <w:color w:val="FFFFFF" w:themeColor="background1"/>
                <w:sz w:val="16"/>
                <w:szCs w:val="16"/>
              </w:rPr>
            </w:pPr>
          </w:p>
        </w:tc>
        <w:tc>
          <w:tcPr>
            <w:tcW w:w="10170" w:type="dxa"/>
          </w:tcPr>
          <w:p w14:paraId="0FE110BF" w14:textId="0A9A82E9" w:rsidR="002D42C1" w:rsidRPr="00DE108C" w:rsidRDefault="002D42C1" w:rsidP="00ED094E">
            <w:pPr>
              <w:rPr>
                <w:sz w:val="16"/>
                <w:szCs w:val="16"/>
              </w:rPr>
            </w:pPr>
            <w:r w:rsidRPr="1EAB5D90">
              <w:rPr>
                <w:rStyle w:val="normaltextrun"/>
                <w:rFonts w:ascii="Verdana" w:hAnsi="Verdana" w:cs="Segoe UI"/>
                <w:sz w:val="16"/>
                <w:szCs w:val="16"/>
              </w:rPr>
              <w:t>Item #7: Co-design of measures and targets, including a measure on water security and a customer satisfaction measure that reflects the relationship between Melbourne Water and connected water corporations</w:t>
            </w:r>
            <w:r w:rsidR="0C46611A" w:rsidRPr="1EAB5D90">
              <w:rPr>
                <w:rStyle w:val="normaltextrun"/>
                <w:rFonts w:ascii="Verdana" w:hAnsi="Verdana" w:cs="Segoe UI"/>
                <w:sz w:val="16"/>
                <w:szCs w:val="16"/>
              </w:rPr>
              <w:t>.</w:t>
            </w:r>
            <w:r w:rsidRPr="1EAB5D90">
              <w:rPr>
                <w:rStyle w:val="eop"/>
                <w:rFonts w:ascii="Verdana" w:hAnsi="Verdana" w:cs="Segoe UI"/>
                <w:sz w:val="16"/>
                <w:szCs w:val="16"/>
              </w:rPr>
              <w:t> </w:t>
            </w:r>
          </w:p>
        </w:tc>
        <w:tc>
          <w:tcPr>
            <w:tcW w:w="10742" w:type="dxa"/>
          </w:tcPr>
          <w:p w14:paraId="484C2915" w14:textId="77777777" w:rsidR="002D42C1" w:rsidRPr="00DE108C" w:rsidRDefault="002D42C1" w:rsidP="00ED094E">
            <w:pPr>
              <w:pStyle w:val="paragraph"/>
              <w:spacing w:before="0" w:beforeAutospacing="0" w:after="0" w:afterAutospacing="0"/>
              <w:textAlignment w:val="baseline"/>
              <w:divId w:val="2073314071"/>
              <w:rPr>
                <w:rFonts w:ascii="Segoe UI" w:hAnsi="Segoe UI" w:cs="Segoe UI"/>
                <w:color w:val="231F20"/>
                <w:sz w:val="16"/>
                <w:szCs w:val="16"/>
              </w:rPr>
            </w:pPr>
            <w:r w:rsidRPr="00DE108C">
              <w:rPr>
                <w:rStyle w:val="normaltextrun"/>
                <w:rFonts w:ascii="Verdana" w:hAnsi="Verdana" w:cs="Segoe UI"/>
                <w:b/>
                <w:bCs/>
                <w:color w:val="231F20"/>
                <w:sz w:val="16"/>
                <w:szCs w:val="16"/>
              </w:rPr>
              <w:t>Addressed</w:t>
            </w:r>
            <w:r w:rsidRPr="00DE108C">
              <w:rPr>
                <w:rStyle w:val="eop"/>
                <w:rFonts w:ascii="Verdana" w:hAnsi="Verdana" w:cs="Segoe UI"/>
                <w:color w:val="231F20"/>
                <w:sz w:val="16"/>
                <w:szCs w:val="16"/>
              </w:rPr>
              <w:t> </w:t>
            </w:r>
          </w:p>
          <w:p w14:paraId="2CD0DF39" w14:textId="2836A0B9" w:rsidR="002D42C1" w:rsidRPr="00DE108C" w:rsidRDefault="002D42C1" w:rsidP="00ED094E">
            <w:pPr>
              <w:rPr>
                <w:sz w:val="16"/>
                <w:szCs w:val="16"/>
              </w:rPr>
            </w:pPr>
            <w:r w:rsidRPr="00DE108C">
              <w:rPr>
                <w:rStyle w:val="normaltextrun"/>
                <w:rFonts w:ascii="Verdana" w:hAnsi="Verdana" w:cs="Segoe UI"/>
                <w:sz w:val="16"/>
                <w:szCs w:val="16"/>
              </w:rPr>
              <w:t xml:space="preserve">We have iterated Outcomes and measures based on feedback from customers and community, including introducing a new measure around the health of the relationship between </w:t>
            </w:r>
            <w:r w:rsidRPr="2B742DA1">
              <w:rPr>
                <w:rStyle w:val="normaltextrun"/>
                <w:rFonts w:ascii="Verdana" w:hAnsi="Verdana" w:cs="Segoe UI"/>
                <w:sz w:val="16"/>
                <w:szCs w:val="16"/>
              </w:rPr>
              <w:t>M</w:t>
            </w:r>
            <w:r w:rsidR="278CD6EC" w:rsidRPr="2B742DA1">
              <w:rPr>
                <w:rStyle w:val="normaltextrun"/>
                <w:rFonts w:ascii="Verdana" w:hAnsi="Verdana" w:cs="Segoe UI"/>
                <w:sz w:val="16"/>
                <w:szCs w:val="16"/>
              </w:rPr>
              <w:t xml:space="preserve">elbourne </w:t>
            </w:r>
            <w:r w:rsidRPr="2B742DA1">
              <w:rPr>
                <w:rStyle w:val="normaltextrun"/>
                <w:rFonts w:ascii="Verdana" w:hAnsi="Verdana" w:cs="Segoe UI"/>
                <w:sz w:val="16"/>
                <w:szCs w:val="16"/>
              </w:rPr>
              <w:t>W</w:t>
            </w:r>
            <w:r w:rsidR="0692ABF1" w:rsidRPr="2B742DA1">
              <w:rPr>
                <w:rStyle w:val="normaltextrun"/>
                <w:rFonts w:ascii="Verdana" w:hAnsi="Verdana" w:cs="Segoe UI"/>
                <w:sz w:val="16"/>
                <w:szCs w:val="16"/>
              </w:rPr>
              <w:t>ater</w:t>
            </w:r>
            <w:r w:rsidRPr="00DE108C">
              <w:rPr>
                <w:rStyle w:val="normaltextrun"/>
                <w:rFonts w:ascii="Verdana" w:hAnsi="Verdana" w:cs="Segoe UI"/>
                <w:sz w:val="16"/>
                <w:szCs w:val="16"/>
              </w:rPr>
              <w:t xml:space="preserve"> and bulk customers and a new measure on water security.</w:t>
            </w:r>
            <w:r w:rsidRPr="00DE108C">
              <w:rPr>
                <w:rStyle w:val="eop"/>
                <w:rFonts w:ascii="Verdana" w:hAnsi="Verdana" w:cs="Segoe UI"/>
                <w:sz w:val="16"/>
                <w:szCs w:val="16"/>
              </w:rPr>
              <w:t> </w:t>
            </w:r>
          </w:p>
        </w:tc>
      </w:tr>
      <w:tr w:rsidR="00A043F7" w:rsidRPr="00DE108C" w14:paraId="70892D18" w14:textId="77777777" w:rsidTr="002924DF">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64CB92BF" w14:textId="77777777" w:rsidR="002D42C1" w:rsidRPr="00DE108C" w:rsidRDefault="002D42C1" w:rsidP="00ED094E">
            <w:pPr>
              <w:rPr>
                <w:b/>
                <w:bCs/>
                <w:color w:val="FFFFFF" w:themeColor="background1"/>
                <w:sz w:val="16"/>
                <w:szCs w:val="16"/>
              </w:rPr>
            </w:pPr>
          </w:p>
        </w:tc>
        <w:tc>
          <w:tcPr>
            <w:tcW w:w="10170" w:type="dxa"/>
          </w:tcPr>
          <w:p w14:paraId="70C983BF" w14:textId="53D100F2" w:rsidR="002D42C1" w:rsidRPr="00DE108C" w:rsidRDefault="002D42C1" w:rsidP="00ED094E">
            <w:pPr>
              <w:rPr>
                <w:sz w:val="16"/>
                <w:szCs w:val="16"/>
              </w:rPr>
            </w:pPr>
            <w:r w:rsidRPr="1EAB5D90">
              <w:rPr>
                <w:rStyle w:val="normaltextrun"/>
                <w:rFonts w:ascii="Verdana" w:hAnsi="Verdana" w:cs="Segoe UI"/>
                <w:sz w:val="16"/>
                <w:szCs w:val="16"/>
              </w:rPr>
              <w:t>Item #8: Investing in ‘readiness’ for the next large scale water supply</w:t>
            </w:r>
            <w:r w:rsidR="07C548C8" w:rsidRPr="1EAB5D90">
              <w:rPr>
                <w:rStyle w:val="normaltextrun"/>
                <w:rFonts w:ascii="Verdana" w:hAnsi="Verdana" w:cs="Segoe UI"/>
                <w:sz w:val="16"/>
                <w:szCs w:val="16"/>
              </w:rPr>
              <w:t>.</w:t>
            </w:r>
          </w:p>
        </w:tc>
        <w:tc>
          <w:tcPr>
            <w:tcW w:w="10742" w:type="dxa"/>
          </w:tcPr>
          <w:p w14:paraId="7DD038D5" w14:textId="77777777" w:rsidR="002D42C1" w:rsidRPr="00DE108C" w:rsidRDefault="002D42C1" w:rsidP="00ED094E">
            <w:pPr>
              <w:pStyle w:val="paragraph"/>
              <w:spacing w:before="0" w:beforeAutospacing="0" w:after="0" w:afterAutospacing="0"/>
              <w:textAlignment w:val="baseline"/>
              <w:divId w:val="2095085486"/>
              <w:rPr>
                <w:rFonts w:ascii="Segoe UI" w:hAnsi="Segoe UI" w:cs="Segoe UI"/>
                <w:color w:val="231F20"/>
                <w:sz w:val="16"/>
                <w:szCs w:val="16"/>
              </w:rPr>
            </w:pPr>
            <w:r w:rsidRPr="00DE108C">
              <w:rPr>
                <w:rStyle w:val="normaltextrun"/>
                <w:rFonts w:ascii="Verdana" w:hAnsi="Verdana" w:cs="Segoe UI"/>
                <w:b/>
                <w:bCs/>
                <w:color w:val="231F20"/>
                <w:sz w:val="16"/>
                <w:szCs w:val="16"/>
              </w:rPr>
              <w:t>Addressed</w:t>
            </w:r>
            <w:r w:rsidRPr="00DE108C">
              <w:rPr>
                <w:rStyle w:val="eop"/>
                <w:rFonts w:ascii="Verdana" w:hAnsi="Verdana" w:cs="Segoe UI"/>
                <w:color w:val="231F20"/>
                <w:sz w:val="16"/>
                <w:szCs w:val="16"/>
              </w:rPr>
              <w:t> </w:t>
            </w:r>
          </w:p>
          <w:p w14:paraId="38214CB9" w14:textId="715115A3" w:rsidR="002D42C1" w:rsidRPr="00DE108C" w:rsidRDefault="002D42C1" w:rsidP="00ED094E">
            <w:pPr>
              <w:rPr>
                <w:sz w:val="16"/>
                <w:szCs w:val="16"/>
              </w:rPr>
            </w:pPr>
            <w:r w:rsidRPr="2B742DA1">
              <w:rPr>
                <w:rStyle w:val="normaltextrun"/>
                <w:rFonts w:ascii="Verdana" w:hAnsi="Verdana" w:cs="Segoe UI"/>
                <w:sz w:val="16"/>
                <w:szCs w:val="16"/>
              </w:rPr>
              <w:t>We have included $250</w:t>
            </w:r>
            <w:r w:rsidR="4A7CD1E4" w:rsidRPr="2B742DA1">
              <w:rPr>
                <w:rStyle w:val="normaltextrun"/>
                <w:rFonts w:ascii="Verdana" w:hAnsi="Verdana" w:cs="Segoe UI"/>
                <w:sz w:val="16"/>
                <w:szCs w:val="16"/>
              </w:rPr>
              <w:t xml:space="preserve"> </w:t>
            </w:r>
            <w:r w:rsidRPr="3A0E51B5">
              <w:rPr>
                <w:rStyle w:val="normaltextrun"/>
                <w:rFonts w:ascii="Verdana" w:hAnsi="Verdana" w:cs="Segoe UI"/>
                <w:sz w:val="16"/>
                <w:szCs w:val="16"/>
              </w:rPr>
              <w:t>m</w:t>
            </w:r>
            <w:r w:rsidR="59ADFAE1" w:rsidRPr="3A0E51B5">
              <w:rPr>
                <w:rStyle w:val="normaltextrun"/>
                <w:rFonts w:ascii="Verdana" w:hAnsi="Verdana" w:cs="Segoe UI"/>
                <w:sz w:val="16"/>
                <w:szCs w:val="16"/>
              </w:rPr>
              <w:t>illion</w:t>
            </w:r>
            <w:r w:rsidRPr="2B742DA1">
              <w:rPr>
                <w:rStyle w:val="normaltextrun"/>
                <w:rFonts w:ascii="Verdana" w:hAnsi="Verdana" w:cs="Segoe UI"/>
                <w:sz w:val="16"/>
                <w:szCs w:val="16"/>
              </w:rPr>
              <w:t xml:space="preserve"> of early planning to determine a preferred combination of water supply options for the future and ‘no regrets’ development costs for water transfer and treatment projects that are required for the next large</w:t>
            </w:r>
            <w:r w:rsidR="6D6A08C2" w:rsidRPr="3A0E51B5">
              <w:rPr>
                <w:rStyle w:val="normaltextrun"/>
                <w:rFonts w:ascii="Verdana" w:hAnsi="Verdana" w:cs="Segoe UI"/>
                <w:sz w:val="16"/>
                <w:szCs w:val="16"/>
              </w:rPr>
              <w:t>-</w:t>
            </w:r>
            <w:r w:rsidRPr="2B742DA1">
              <w:rPr>
                <w:rStyle w:val="normaltextrun"/>
                <w:rFonts w:ascii="Verdana" w:hAnsi="Verdana" w:cs="Segoe UI"/>
                <w:sz w:val="16"/>
                <w:szCs w:val="16"/>
              </w:rPr>
              <w:t>scale water supply, including servicing the west.</w:t>
            </w:r>
            <w:r w:rsidRPr="2B742DA1">
              <w:rPr>
                <w:rStyle w:val="eop"/>
                <w:rFonts w:ascii="Verdana" w:hAnsi="Verdana" w:cs="Segoe UI"/>
                <w:sz w:val="16"/>
                <w:szCs w:val="16"/>
              </w:rPr>
              <w:t> </w:t>
            </w:r>
          </w:p>
        </w:tc>
      </w:tr>
      <w:tr w:rsidR="002D42C1" w:rsidRPr="00DE108C" w14:paraId="76AE878B" w14:textId="77777777" w:rsidTr="002924DF">
        <w:trPr>
          <w:trHeight w:val="300"/>
        </w:trPr>
        <w:tc>
          <w:tcPr>
            <w:tcW w:w="1449" w:type="dxa"/>
            <w:vMerge/>
            <w:shd w:val="clear" w:color="auto" w:fill="00428B" w:themeFill="text2"/>
          </w:tcPr>
          <w:p w14:paraId="5993F464" w14:textId="77777777" w:rsidR="002D42C1" w:rsidRPr="00DE108C" w:rsidRDefault="002D42C1" w:rsidP="00ED094E">
            <w:pPr>
              <w:rPr>
                <w:b/>
                <w:bCs/>
                <w:color w:val="FFFFFF" w:themeColor="background1"/>
                <w:sz w:val="16"/>
                <w:szCs w:val="16"/>
              </w:rPr>
            </w:pPr>
          </w:p>
        </w:tc>
        <w:tc>
          <w:tcPr>
            <w:tcW w:w="10170" w:type="dxa"/>
          </w:tcPr>
          <w:p w14:paraId="1C139824" w14:textId="77777777" w:rsidR="002D42C1" w:rsidRPr="00DE108C" w:rsidRDefault="002D42C1" w:rsidP="00ED094E">
            <w:pPr>
              <w:rPr>
                <w:rStyle w:val="normaltextrun"/>
                <w:rFonts w:ascii="Verdana" w:hAnsi="Verdana" w:cs="Segoe UI"/>
                <w:sz w:val="16"/>
                <w:szCs w:val="16"/>
              </w:rPr>
            </w:pPr>
            <w:r w:rsidRPr="00DE108C">
              <w:rPr>
                <w:rStyle w:val="normaltextrun"/>
                <w:rFonts w:ascii="Verdana" w:hAnsi="Verdana" w:cs="Segoe UI"/>
                <w:sz w:val="16"/>
                <w:szCs w:val="16"/>
              </w:rPr>
              <w:t>Item #9: Price path smoothed considering forecast retail increases in 2028 </w:t>
            </w:r>
          </w:p>
        </w:tc>
        <w:tc>
          <w:tcPr>
            <w:tcW w:w="10742" w:type="dxa"/>
          </w:tcPr>
          <w:p w14:paraId="36C06190" w14:textId="77777777" w:rsidR="002D42C1" w:rsidRPr="00DE108C" w:rsidRDefault="002D42C1" w:rsidP="00ED094E">
            <w:pPr>
              <w:pStyle w:val="paragraph"/>
              <w:spacing w:before="0" w:beforeAutospacing="0" w:after="0" w:afterAutospacing="0"/>
              <w:rPr>
                <w:rFonts w:ascii="Segoe UI" w:hAnsi="Segoe UI" w:cs="Segoe UI"/>
                <w:color w:val="231F20" w:themeColor="text1"/>
                <w:sz w:val="16"/>
                <w:szCs w:val="16"/>
              </w:rPr>
            </w:pPr>
            <w:r w:rsidRPr="00DE108C">
              <w:rPr>
                <w:rStyle w:val="normaltextrun"/>
                <w:rFonts w:ascii="Verdana" w:hAnsi="Verdana" w:cs="Segoe UI"/>
                <w:b/>
                <w:bCs/>
                <w:color w:val="231F20" w:themeColor="text1"/>
                <w:sz w:val="16"/>
                <w:szCs w:val="16"/>
              </w:rPr>
              <w:t>Addressed</w:t>
            </w:r>
            <w:r w:rsidRPr="00DE108C">
              <w:rPr>
                <w:rStyle w:val="eop"/>
                <w:rFonts w:ascii="Verdana" w:hAnsi="Verdana" w:cs="Segoe UI"/>
                <w:color w:val="231F20" w:themeColor="text1"/>
                <w:sz w:val="16"/>
                <w:szCs w:val="16"/>
              </w:rPr>
              <w:t> </w:t>
            </w:r>
          </w:p>
          <w:p w14:paraId="0D6BABE7" w14:textId="4EB7F192" w:rsidR="002D42C1" w:rsidRPr="00DE108C" w:rsidRDefault="002D42C1" w:rsidP="00ED094E">
            <w:pPr>
              <w:rPr>
                <w:rStyle w:val="eop"/>
                <w:rFonts w:ascii="Verdana" w:hAnsi="Verdana" w:cs="Segoe UI"/>
                <w:sz w:val="16"/>
                <w:szCs w:val="16"/>
              </w:rPr>
            </w:pPr>
            <w:r w:rsidRPr="00DE108C">
              <w:rPr>
                <w:rStyle w:val="normaltextrun"/>
                <w:rFonts w:ascii="Verdana" w:hAnsi="Verdana" w:cs="Segoe UI"/>
                <w:color w:val="221F20"/>
                <w:sz w:val="16"/>
                <w:szCs w:val="16"/>
              </w:rPr>
              <w:t xml:space="preserve">In response to feedback and </w:t>
            </w:r>
            <w:r w:rsidR="24A9940A" w:rsidRPr="70C21B4F">
              <w:rPr>
                <w:rStyle w:val="normaltextrun"/>
                <w:rFonts w:ascii="Verdana" w:hAnsi="Verdana" w:cs="Segoe UI"/>
                <w:color w:val="221F20"/>
                <w:sz w:val="16"/>
                <w:szCs w:val="16"/>
              </w:rPr>
              <w:t xml:space="preserve">to </w:t>
            </w:r>
            <w:r w:rsidRPr="00DE108C">
              <w:rPr>
                <w:rStyle w:val="normaltextrun"/>
                <w:rFonts w:ascii="Verdana" w:hAnsi="Verdana" w:cs="Segoe UI"/>
                <w:color w:val="221F20"/>
                <w:sz w:val="16"/>
                <w:szCs w:val="16"/>
              </w:rPr>
              <w:t>reduce end impacts on households and businesses for any subsequent price movements with water corporation 2028 submissions, we have proposed to profile the price path in a manner that has a higher increase in 2027-28 followed by lower increases from 2028-31. </w:t>
            </w:r>
          </w:p>
        </w:tc>
      </w:tr>
      <w:tr w:rsidR="005B2F07" w:rsidRPr="00DE108C" w14:paraId="64B722C9" w14:textId="77777777" w:rsidTr="002924DF">
        <w:trPr>
          <w:cnfStyle w:val="000000010000" w:firstRow="0" w:lastRow="0" w:firstColumn="0" w:lastColumn="0" w:oddVBand="0" w:evenVBand="0" w:oddHBand="0" w:evenHBand="1" w:firstRowFirstColumn="0" w:firstRowLastColumn="0" w:lastRowFirstColumn="0" w:lastRowLastColumn="0"/>
        </w:trPr>
        <w:tc>
          <w:tcPr>
            <w:tcW w:w="1449" w:type="dxa"/>
            <w:vMerge w:val="restart"/>
            <w:shd w:val="clear" w:color="auto" w:fill="00428B" w:themeFill="text2"/>
          </w:tcPr>
          <w:p w14:paraId="2092DC67" w14:textId="77777777" w:rsidR="002D42C1" w:rsidRPr="00DE108C" w:rsidRDefault="002D42C1">
            <w:pPr>
              <w:rPr>
                <w:b/>
                <w:bCs/>
                <w:color w:val="FFFFFF" w:themeColor="background1"/>
                <w:sz w:val="16"/>
                <w:szCs w:val="16"/>
              </w:rPr>
            </w:pPr>
            <w:r w:rsidRPr="00DE108C">
              <w:rPr>
                <w:b/>
                <w:bCs/>
                <w:color w:val="FFFFFF" w:themeColor="background1"/>
                <w:sz w:val="16"/>
                <w:szCs w:val="16"/>
              </w:rPr>
              <w:t xml:space="preserve">Key projects, actions and commitments </w:t>
            </w:r>
          </w:p>
        </w:tc>
        <w:tc>
          <w:tcPr>
            <w:tcW w:w="20912" w:type="dxa"/>
            <w:gridSpan w:val="2"/>
          </w:tcPr>
          <w:p w14:paraId="3D1E2D77" w14:textId="77777777" w:rsidR="002D42C1" w:rsidRPr="00DE108C" w:rsidRDefault="002D42C1">
            <w:pPr>
              <w:rPr>
                <w:sz w:val="16"/>
                <w:szCs w:val="16"/>
              </w:rPr>
            </w:pPr>
            <w:r w:rsidRPr="00DE108C">
              <w:rPr>
                <w:sz w:val="16"/>
                <w:szCs w:val="16"/>
              </w:rPr>
              <w:t>In PS26, we are committing to:</w:t>
            </w:r>
          </w:p>
          <w:tbl>
            <w:tblPr>
              <w:tblpPr w:leftFromText="180" w:rightFromText="180" w:vertAnchor="text" w:tblpY="1"/>
              <w:tblW w:w="0" w:type="auto"/>
              <w:tblLook w:val="04A0" w:firstRow="1" w:lastRow="0" w:firstColumn="1" w:lastColumn="0" w:noHBand="0" w:noVBand="1"/>
            </w:tblPr>
            <w:tblGrid>
              <w:gridCol w:w="6733"/>
              <w:gridCol w:w="6733"/>
              <w:gridCol w:w="6733"/>
            </w:tblGrid>
            <w:tr w:rsidR="002D42C1" w:rsidRPr="00DE108C" w14:paraId="53BB6BE3" w14:textId="77777777" w:rsidTr="00C05BDA">
              <w:trPr>
                <w:trHeight w:val="426"/>
              </w:trPr>
              <w:tc>
                <w:tcPr>
                  <w:tcW w:w="6733" w:type="dxa"/>
                </w:tcPr>
                <w:p w14:paraId="49C30419" w14:textId="77777777" w:rsidR="002D42C1" w:rsidRPr="00DE108C" w:rsidRDefault="002D42C1" w:rsidP="00C05BDA">
                  <w:pPr>
                    <w:pStyle w:val="Tablebullet"/>
                  </w:pPr>
                  <w:r w:rsidRPr="00DE108C">
                    <w:t>Collaborative planning</w:t>
                  </w:r>
                </w:p>
                <w:p w14:paraId="59811310" w14:textId="77777777" w:rsidR="002D42C1" w:rsidRPr="00DE108C" w:rsidRDefault="002D42C1" w:rsidP="00C05BDA">
                  <w:pPr>
                    <w:pStyle w:val="Tablebullet"/>
                  </w:pPr>
                  <w:r w:rsidRPr="00DE108C">
                    <w:t>Updating and modernising our Bulk Supply Agreements</w:t>
                  </w:r>
                </w:p>
              </w:tc>
              <w:tc>
                <w:tcPr>
                  <w:tcW w:w="6733" w:type="dxa"/>
                </w:tcPr>
                <w:p w14:paraId="47C540CD" w14:textId="70997880" w:rsidR="002D42C1" w:rsidRPr="00DE108C" w:rsidRDefault="002D42C1" w:rsidP="00C05BDA">
                  <w:pPr>
                    <w:pStyle w:val="Tablebullet"/>
                  </w:pPr>
                  <w:r w:rsidRPr="00DE108C">
                    <w:t xml:space="preserve">Implementing a water quality </w:t>
                  </w:r>
                  <w:r w:rsidR="636C3BD3" w:rsidRPr="01214210">
                    <w:t>GSL</w:t>
                  </w:r>
                </w:p>
                <w:p w14:paraId="7553D934" w14:textId="77777777" w:rsidR="002D42C1" w:rsidRPr="00DE108C" w:rsidRDefault="002D42C1" w:rsidP="00C05BDA">
                  <w:pPr>
                    <w:pStyle w:val="Tablebullet"/>
                  </w:pPr>
                  <w:r w:rsidRPr="00DE108C">
                    <w:t>Tracking our performance against a new water security measure</w:t>
                  </w:r>
                </w:p>
              </w:tc>
              <w:tc>
                <w:tcPr>
                  <w:tcW w:w="6733" w:type="dxa"/>
                </w:tcPr>
                <w:p w14:paraId="2CC08CD6" w14:textId="77777777" w:rsidR="002D42C1" w:rsidRPr="00DE108C" w:rsidRDefault="002D42C1" w:rsidP="00C05BDA">
                  <w:pPr>
                    <w:pStyle w:val="Tablebullet"/>
                  </w:pPr>
                  <w:r w:rsidRPr="00DE108C">
                    <w:t>Price smoothing</w:t>
                  </w:r>
                </w:p>
                <w:p w14:paraId="6481698E" w14:textId="74A5955A" w:rsidR="002D42C1" w:rsidRPr="00C05BDA" w:rsidRDefault="002D42C1" w:rsidP="00C05BDA">
                  <w:pPr>
                    <w:pStyle w:val="Tablebullet"/>
                  </w:pPr>
                  <w:r w:rsidRPr="00DE108C">
                    <w:t>Fair tariff reforms</w:t>
                  </w:r>
                </w:p>
              </w:tc>
            </w:tr>
          </w:tbl>
          <w:p w14:paraId="5826D49B" w14:textId="77777777" w:rsidR="002D42C1" w:rsidRPr="00DE108C" w:rsidRDefault="002D42C1">
            <w:pPr>
              <w:rPr>
                <w:b/>
                <w:bCs/>
                <w:sz w:val="16"/>
                <w:szCs w:val="16"/>
              </w:rPr>
            </w:pPr>
          </w:p>
        </w:tc>
      </w:tr>
      <w:tr w:rsidR="002D42C1" w:rsidRPr="00DE108C" w14:paraId="6EB09027" w14:textId="77777777" w:rsidTr="002924DF">
        <w:tc>
          <w:tcPr>
            <w:tcW w:w="1449" w:type="dxa"/>
            <w:vMerge/>
            <w:shd w:val="clear" w:color="auto" w:fill="00428B" w:themeFill="text2"/>
          </w:tcPr>
          <w:p w14:paraId="60BE691C" w14:textId="77777777" w:rsidR="002D42C1" w:rsidRPr="00DE108C" w:rsidRDefault="002D42C1">
            <w:pPr>
              <w:rPr>
                <w:b/>
                <w:bCs/>
                <w:color w:val="FFFFFF" w:themeColor="background1"/>
                <w:sz w:val="16"/>
                <w:szCs w:val="16"/>
              </w:rPr>
            </w:pPr>
          </w:p>
        </w:tc>
        <w:tc>
          <w:tcPr>
            <w:tcW w:w="20912" w:type="dxa"/>
            <w:gridSpan w:val="2"/>
          </w:tcPr>
          <w:p w14:paraId="03D34D30" w14:textId="77777777" w:rsidR="002D42C1" w:rsidRPr="00DE108C" w:rsidRDefault="002D42C1" w:rsidP="00ED094E">
            <w:pPr>
              <w:rPr>
                <w:sz w:val="16"/>
                <w:szCs w:val="16"/>
              </w:rPr>
            </w:pPr>
            <w:r w:rsidRPr="00DE108C">
              <w:rPr>
                <w:sz w:val="16"/>
                <w:szCs w:val="16"/>
              </w:rPr>
              <w:t>Key projects:* </w:t>
            </w:r>
          </w:p>
          <w:p w14:paraId="5C44E122" w14:textId="29C304D4" w:rsidR="002D42C1" w:rsidRPr="00DE108C" w:rsidRDefault="002D42C1" w:rsidP="00C05BDA">
            <w:pPr>
              <w:pStyle w:val="Tablebullet"/>
            </w:pPr>
            <w:r w:rsidRPr="00DE108C">
              <w:t xml:space="preserve">We have heard </w:t>
            </w:r>
            <w:r w:rsidR="68D8DE19" w:rsidRPr="6F62B463">
              <w:t>GWW</w:t>
            </w:r>
            <w:r w:rsidRPr="6F62B463">
              <w:t>’s</w:t>
            </w:r>
            <w:r w:rsidRPr="00DE108C">
              <w:t xml:space="preserve"> two major priorities are supplying water to a growing west and the effective operation of </w:t>
            </w:r>
            <w:r w:rsidR="1BBD0121" w:rsidRPr="6F62B463">
              <w:t>WTP</w:t>
            </w:r>
            <w:r w:rsidRPr="00DE108C">
              <w:t>, including its ability to produce recycled water reliably.</w:t>
            </w:r>
            <w:r w:rsidR="008C46DF">
              <w:t xml:space="preserve"> </w:t>
            </w:r>
          </w:p>
          <w:p w14:paraId="597DC61E" w14:textId="66F40CA8" w:rsidR="002D42C1" w:rsidRPr="00DE108C" w:rsidRDefault="002D42C1" w:rsidP="00C05BDA">
            <w:pPr>
              <w:pStyle w:val="Tablebullet"/>
            </w:pPr>
            <w:r w:rsidRPr="00DE108C">
              <w:t>We’re proposing to invest more than $</w:t>
            </w:r>
            <w:r w:rsidRPr="6F62B463">
              <w:t>750</w:t>
            </w:r>
            <w:r w:rsidR="7486D7E9" w:rsidRPr="6F62B463">
              <w:t xml:space="preserve"> </w:t>
            </w:r>
            <w:r w:rsidRPr="6F62B463">
              <w:t>m</w:t>
            </w:r>
            <w:r w:rsidR="70BCB7FE" w:rsidRPr="6F62B463">
              <w:t>illion</w:t>
            </w:r>
            <w:r w:rsidRPr="00DE108C">
              <w:t xml:space="preserve"> in </w:t>
            </w:r>
            <w:r w:rsidRPr="00DE108C">
              <w:rPr>
                <w:b/>
                <w:bCs/>
              </w:rPr>
              <w:t>water transfer</w:t>
            </w:r>
            <w:r w:rsidRPr="00DE108C">
              <w:t xml:space="preserve">, including specific projects that benefit </w:t>
            </w:r>
            <w:r w:rsidR="61DC9C33" w:rsidRPr="6F62B463">
              <w:t>GWW</w:t>
            </w:r>
            <w:r w:rsidRPr="6F62B463">
              <w:t>’s</w:t>
            </w:r>
            <w:r w:rsidRPr="00DE108C">
              <w:t xml:space="preserve"> service region</w:t>
            </w:r>
            <w:r w:rsidR="2CDE7F4C" w:rsidRPr="6F62B463">
              <w:t>,</w:t>
            </w:r>
            <w:r w:rsidRPr="00DE108C">
              <w:t xml:space="preserve"> such as:</w:t>
            </w:r>
          </w:p>
          <w:p w14:paraId="492654E6" w14:textId="5A33E9DE" w:rsidR="002D42C1" w:rsidRPr="00DE108C" w:rsidRDefault="002D42C1" w:rsidP="00C05BDA">
            <w:pPr>
              <w:pStyle w:val="Tablebullet2"/>
              <w:rPr>
                <w:rFonts w:eastAsiaTheme="minorEastAsia"/>
                <w:szCs w:val="20"/>
              </w:rPr>
            </w:pPr>
            <w:r w:rsidRPr="40C7A6C9">
              <w:rPr>
                <w:rFonts w:eastAsiaTheme="minorEastAsia"/>
              </w:rPr>
              <w:t>Winneke-Preston to Harris Gully Link Main Stage 1 ~$163</w:t>
            </w:r>
            <w:r w:rsidR="3FED4B5C" w:rsidRPr="40C7A6C9">
              <w:rPr>
                <w:rFonts w:eastAsiaTheme="minorEastAsia"/>
              </w:rPr>
              <w:t xml:space="preserve"> </w:t>
            </w:r>
            <w:r w:rsidRPr="55C11ED2">
              <w:rPr>
                <w:rFonts w:eastAsiaTheme="minorEastAsia"/>
              </w:rPr>
              <w:t>m</w:t>
            </w:r>
            <w:r w:rsidR="441ED81E" w:rsidRPr="55C11ED2">
              <w:rPr>
                <w:rFonts w:eastAsiaTheme="minorEastAsia"/>
              </w:rPr>
              <w:t>illion,</w:t>
            </w:r>
            <w:r w:rsidRPr="40C7A6C9">
              <w:rPr>
                <w:rFonts w:eastAsiaTheme="minorEastAsia"/>
              </w:rPr>
              <w:t xml:space="preserve"> which will increase system resilience by allowing us to move water from the Silvan to the Winneke catchments and support east-west transfer of Melbourne’s water resources and </w:t>
            </w:r>
            <w:r w:rsidR="58788347" w:rsidRPr="55C11ED2">
              <w:rPr>
                <w:rFonts w:eastAsiaTheme="minorEastAsia"/>
              </w:rPr>
              <w:t xml:space="preserve">can </w:t>
            </w:r>
            <w:r w:rsidRPr="40C7A6C9">
              <w:rPr>
                <w:rFonts w:eastAsiaTheme="minorEastAsia"/>
              </w:rPr>
              <w:t>also increase harvest by ~9GL per year.</w:t>
            </w:r>
            <w:r w:rsidR="008C46DF">
              <w:rPr>
                <w:rFonts w:eastAsiaTheme="minorEastAsia"/>
              </w:rPr>
              <w:t xml:space="preserve"> </w:t>
            </w:r>
          </w:p>
          <w:p w14:paraId="5E93D9E3" w14:textId="18049B8C" w:rsidR="002D42C1" w:rsidRPr="00DE108C" w:rsidRDefault="002D42C1" w:rsidP="00C05BDA">
            <w:pPr>
              <w:pStyle w:val="Tablebullet2"/>
              <w:rPr>
                <w:rFonts w:eastAsiaTheme="minorEastAsia"/>
                <w:szCs w:val="20"/>
              </w:rPr>
            </w:pPr>
            <w:r w:rsidRPr="40C7A6C9">
              <w:rPr>
                <w:rFonts w:eastAsiaTheme="minorEastAsia"/>
              </w:rPr>
              <w:t>the Mt Cottrell Pump Station, Holden – Mt Cottrell Pipeline Stage 1 and Stage 2, Holden Reservoir, Sydenham Pump Station, St Albans to Sydenham Pipeline Duplication, and Greenvale Pump Station Capacity projects to service growing demand in the west ~$</w:t>
            </w:r>
            <w:r w:rsidRPr="55C11ED2">
              <w:rPr>
                <w:rFonts w:eastAsiaTheme="minorEastAsia"/>
              </w:rPr>
              <w:t>2</w:t>
            </w:r>
            <w:r w:rsidR="7404362F" w:rsidRPr="55C11ED2">
              <w:rPr>
                <w:rFonts w:eastAsiaTheme="minorEastAsia"/>
              </w:rPr>
              <w:t>13</w:t>
            </w:r>
            <w:r w:rsidR="20491015" w:rsidRPr="55C11ED2">
              <w:rPr>
                <w:rFonts w:eastAsiaTheme="minorEastAsia"/>
              </w:rPr>
              <w:t xml:space="preserve"> </w:t>
            </w:r>
            <w:r w:rsidRPr="55C11ED2">
              <w:rPr>
                <w:rFonts w:eastAsiaTheme="minorEastAsia"/>
              </w:rPr>
              <w:t>m</w:t>
            </w:r>
            <w:r w:rsidR="20491015" w:rsidRPr="55C11ED2">
              <w:rPr>
                <w:rFonts w:eastAsiaTheme="minorEastAsia"/>
              </w:rPr>
              <w:t>illion</w:t>
            </w:r>
            <w:r w:rsidRPr="40C7A6C9">
              <w:rPr>
                <w:rFonts w:eastAsiaTheme="minorEastAsia"/>
              </w:rPr>
              <w:t> </w:t>
            </w:r>
          </w:p>
          <w:p w14:paraId="691ACD9A" w14:textId="6056B912" w:rsidR="002D42C1" w:rsidRPr="00DE108C" w:rsidRDefault="002D42C1" w:rsidP="00C05BDA">
            <w:pPr>
              <w:pStyle w:val="Tablebullet2"/>
              <w:rPr>
                <w:rFonts w:eastAsiaTheme="minorEastAsia"/>
                <w:szCs w:val="20"/>
              </w:rPr>
            </w:pPr>
            <w:r w:rsidRPr="40C7A6C9">
              <w:rPr>
                <w:rFonts w:eastAsiaTheme="minorEastAsia"/>
              </w:rPr>
              <w:t>$</w:t>
            </w:r>
            <w:r w:rsidRPr="55C11ED2">
              <w:rPr>
                <w:rFonts w:eastAsiaTheme="minorEastAsia"/>
              </w:rPr>
              <w:t>250</w:t>
            </w:r>
            <w:r w:rsidR="5A109365" w:rsidRPr="55C11ED2">
              <w:rPr>
                <w:rFonts w:eastAsiaTheme="minorEastAsia"/>
              </w:rPr>
              <w:t xml:space="preserve"> </w:t>
            </w:r>
            <w:r w:rsidRPr="5D67AF94">
              <w:rPr>
                <w:rFonts w:eastAsiaTheme="minorEastAsia"/>
              </w:rPr>
              <w:t>m</w:t>
            </w:r>
            <w:r w:rsidR="2099EAF6" w:rsidRPr="5D67AF94">
              <w:rPr>
                <w:rFonts w:eastAsiaTheme="minorEastAsia"/>
              </w:rPr>
              <w:t>illion</w:t>
            </w:r>
            <w:r w:rsidRPr="40C7A6C9">
              <w:rPr>
                <w:rFonts w:eastAsiaTheme="minorEastAsia"/>
              </w:rPr>
              <w:t xml:space="preserve"> investment for early planning to determine a preferred combination of water supply options for the future and ‘no regrets’ development costs for water transfer and treatment projects that are required for the next large scale water supply</w:t>
            </w:r>
            <w:r w:rsidR="149C006C" w:rsidRPr="3DF168E2">
              <w:rPr>
                <w:rFonts w:eastAsiaTheme="minorEastAsia"/>
              </w:rPr>
              <w:t>.</w:t>
            </w:r>
          </w:p>
          <w:p w14:paraId="444E7B9D" w14:textId="15E85954" w:rsidR="002D42C1" w:rsidRPr="00DE108C" w:rsidRDefault="002D42C1" w:rsidP="00C05BDA">
            <w:pPr>
              <w:pStyle w:val="Tablebullet"/>
            </w:pPr>
            <w:r w:rsidRPr="3DF168E2">
              <w:t>We</w:t>
            </w:r>
            <w:r w:rsidR="2AA4888E" w:rsidRPr="3DF168E2">
              <w:t xml:space="preserve"> are</w:t>
            </w:r>
            <w:r w:rsidRPr="00DE108C">
              <w:t xml:space="preserve"> planning more than $</w:t>
            </w:r>
            <w:r w:rsidRPr="3DF168E2">
              <w:t>540</w:t>
            </w:r>
            <w:r w:rsidR="22C47A2C" w:rsidRPr="3DF168E2">
              <w:t xml:space="preserve"> </w:t>
            </w:r>
            <w:r w:rsidRPr="3DF168E2">
              <w:t>m</w:t>
            </w:r>
            <w:r w:rsidR="4068727C" w:rsidRPr="3DF168E2">
              <w:t>illion</w:t>
            </w:r>
            <w:r w:rsidRPr="00DE108C">
              <w:t xml:space="preserve"> investment in </w:t>
            </w:r>
            <w:r w:rsidRPr="00DE108C">
              <w:rPr>
                <w:b/>
                <w:bCs/>
              </w:rPr>
              <w:t>water quality</w:t>
            </w:r>
            <w:r w:rsidRPr="00DE108C">
              <w:t>, including works at Greenvale Reservoir where we are planning for: </w:t>
            </w:r>
          </w:p>
          <w:p w14:paraId="11E91ABE" w14:textId="0DB7B626" w:rsidR="002D42C1" w:rsidRPr="00DE108C" w:rsidRDefault="25C9EE4F" w:rsidP="00C05BDA">
            <w:pPr>
              <w:pStyle w:val="Tablebullet2"/>
              <w:rPr>
                <w:szCs w:val="20"/>
              </w:rPr>
            </w:pPr>
            <w:r w:rsidRPr="7C41A9E2">
              <w:t>r</w:t>
            </w:r>
            <w:r w:rsidR="002D42C1" w:rsidRPr="00DE108C">
              <w:t>eservoir oxygenation to address water quality issues ~$</w:t>
            </w:r>
            <w:r w:rsidR="002D42C1" w:rsidRPr="3DF168E2">
              <w:t>5</w:t>
            </w:r>
            <w:r w:rsidR="369DC395" w:rsidRPr="3DF168E2">
              <w:t xml:space="preserve"> </w:t>
            </w:r>
            <w:r w:rsidR="002D42C1" w:rsidRPr="3DF168E2">
              <w:t>m</w:t>
            </w:r>
            <w:r w:rsidR="369DC395" w:rsidRPr="3DF168E2">
              <w:t>illion</w:t>
            </w:r>
            <w:r w:rsidR="002D42C1" w:rsidRPr="00DE108C">
              <w:t> </w:t>
            </w:r>
          </w:p>
          <w:p w14:paraId="36B3A34C" w14:textId="5BD37FFB" w:rsidR="002D42C1" w:rsidRPr="00DE108C" w:rsidRDefault="55A4528A" w:rsidP="00C05BDA">
            <w:pPr>
              <w:pStyle w:val="Tablebullet2"/>
              <w:rPr>
                <w:szCs w:val="20"/>
              </w:rPr>
            </w:pPr>
            <w:r w:rsidRPr="7C41A9E2">
              <w:t>i</w:t>
            </w:r>
            <w:r w:rsidR="002D42C1" w:rsidRPr="00DE108C">
              <w:t>mplementation of multiple barrier treatment (UV disinfection) ~$</w:t>
            </w:r>
            <w:r w:rsidR="002D42C1" w:rsidRPr="3DF168E2">
              <w:t>21</w:t>
            </w:r>
            <w:r w:rsidR="30C64AB1" w:rsidRPr="3DF168E2">
              <w:t xml:space="preserve"> </w:t>
            </w:r>
            <w:r w:rsidR="002D42C1" w:rsidRPr="3656D472">
              <w:t>m</w:t>
            </w:r>
            <w:r w:rsidR="06114BDE" w:rsidRPr="3656D472">
              <w:t>illion</w:t>
            </w:r>
            <w:r w:rsidR="002D42C1" w:rsidRPr="00DE108C">
              <w:t> </w:t>
            </w:r>
          </w:p>
          <w:p w14:paraId="248C5DE6" w14:textId="5BE1B884" w:rsidR="002D42C1" w:rsidRPr="00DE108C" w:rsidRDefault="39D076DB" w:rsidP="00C05BDA">
            <w:pPr>
              <w:pStyle w:val="Tablebullet2"/>
              <w:rPr>
                <w:szCs w:val="20"/>
              </w:rPr>
            </w:pPr>
            <w:r w:rsidRPr="7C41A9E2">
              <w:t>h</w:t>
            </w:r>
            <w:r w:rsidR="002D42C1" w:rsidRPr="00DE108C">
              <w:t>igh security fencing to protect the catchment ~$</w:t>
            </w:r>
            <w:r w:rsidR="002D42C1" w:rsidRPr="7C41A9E2">
              <w:t>29</w:t>
            </w:r>
            <w:r w:rsidR="52BFDACF" w:rsidRPr="7C41A9E2">
              <w:t xml:space="preserve"> </w:t>
            </w:r>
            <w:r w:rsidR="002D42C1" w:rsidRPr="7C41A9E2">
              <w:t>m</w:t>
            </w:r>
            <w:r w:rsidR="53D51091" w:rsidRPr="7C41A9E2">
              <w:t>illion</w:t>
            </w:r>
            <w:r w:rsidR="002D42C1" w:rsidRPr="00DE108C">
              <w:t> </w:t>
            </w:r>
          </w:p>
          <w:p w14:paraId="37FAF861" w14:textId="7D709536" w:rsidR="002D42C1" w:rsidRPr="00DE108C" w:rsidRDefault="0E2537A2" w:rsidP="00C05BDA">
            <w:pPr>
              <w:pStyle w:val="Tablebullet2"/>
              <w:rPr>
                <w:szCs w:val="20"/>
              </w:rPr>
            </w:pPr>
            <w:r w:rsidRPr="7C41A9E2">
              <w:t>d</w:t>
            </w:r>
            <w:r w:rsidR="002D42C1" w:rsidRPr="00DE108C">
              <w:t>isinfection resilience through emergency chlorine dosing units ~$</w:t>
            </w:r>
            <w:r w:rsidR="002D42C1" w:rsidRPr="7C41A9E2">
              <w:t>6</w:t>
            </w:r>
            <w:r w:rsidR="01C0BD3F" w:rsidRPr="7C41A9E2">
              <w:t xml:space="preserve"> </w:t>
            </w:r>
            <w:r w:rsidR="002D42C1" w:rsidRPr="7C41A9E2">
              <w:t>m</w:t>
            </w:r>
            <w:r w:rsidR="6652DFC6" w:rsidRPr="7C41A9E2">
              <w:t>illion.</w:t>
            </w:r>
            <w:r w:rsidR="002D42C1" w:rsidRPr="00DE108C">
              <w:t> </w:t>
            </w:r>
          </w:p>
          <w:p w14:paraId="32176114" w14:textId="4704FFB8" w:rsidR="002D42C1" w:rsidRPr="00DE108C" w:rsidRDefault="002D42C1" w:rsidP="00C05BDA">
            <w:pPr>
              <w:pStyle w:val="Tablebullet"/>
            </w:pPr>
            <w:r w:rsidRPr="00DE108C">
              <w:lastRenderedPageBreak/>
              <w:t>More than $</w:t>
            </w:r>
            <w:r w:rsidRPr="7C41A9E2">
              <w:t>630</w:t>
            </w:r>
            <w:r w:rsidR="533B7C10" w:rsidRPr="7C41A9E2">
              <w:t xml:space="preserve"> </w:t>
            </w:r>
            <w:r w:rsidRPr="7C41A9E2">
              <w:t>m</w:t>
            </w:r>
            <w:r w:rsidR="1F311E6F" w:rsidRPr="7C41A9E2">
              <w:t>illion</w:t>
            </w:r>
            <w:r w:rsidRPr="00DE108C">
              <w:t xml:space="preserve"> investment in </w:t>
            </w:r>
            <w:r w:rsidRPr="00DE108C">
              <w:rPr>
                <w:b/>
                <w:bCs/>
              </w:rPr>
              <w:t>water headworks</w:t>
            </w:r>
            <w:r w:rsidRPr="00DE108C">
              <w:t xml:space="preserve"> is proposed, including restoring full operating capacity through the Cardinia Dam Safety Upgrade Works ~$</w:t>
            </w:r>
            <w:r w:rsidRPr="4306E7B5">
              <w:t>191</w:t>
            </w:r>
            <w:r w:rsidR="5FC6B1F1" w:rsidRPr="4306E7B5">
              <w:t xml:space="preserve"> </w:t>
            </w:r>
            <w:r w:rsidRPr="4306E7B5">
              <w:t>m</w:t>
            </w:r>
            <w:r w:rsidR="5FC6B1F1" w:rsidRPr="4306E7B5">
              <w:t>illion</w:t>
            </w:r>
            <w:r w:rsidRPr="00DE108C">
              <w:t xml:space="preserve"> and Cardinia pump station upgrade ~$</w:t>
            </w:r>
            <w:r w:rsidRPr="4306E7B5">
              <w:t>99</w:t>
            </w:r>
            <w:r w:rsidR="5C723F0E" w:rsidRPr="4306E7B5">
              <w:t xml:space="preserve"> </w:t>
            </w:r>
            <w:r w:rsidRPr="4306E7B5">
              <w:t>m</w:t>
            </w:r>
            <w:r w:rsidR="3B8314C8" w:rsidRPr="4306E7B5">
              <w:t>illion</w:t>
            </w:r>
            <w:r w:rsidRPr="00DE108C">
              <w:t xml:space="preserve"> to support transfer of water resources in the east to support growth in the west. </w:t>
            </w:r>
          </w:p>
          <w:p w14:paraId="45F40CD0" w14:textId="48344CCB" w:rsidR="002D42C1" w:rsidRPr="00DE108C" w:rsidRDefault="002D42C1" w:rsidP="00C05BDA">
            <w:pPr>
              <w:pStyle w:val="Tablebullet"/>
            </w:pPr>
            <w:r w:rsidRPr="00DE108C">
              <w:t xml:space="preserve">In respect of the </w:t>
            </w:r>
            <w:r w:rsidRPr="00DE108C">
              <w:rPr>
                <w:b/>
                <w:bCs/>
              </w:rPr>
              <w:t>Western Treatment Plant</w:t>
            </w:r>
            <w:r w:rsidRPr="00DE108C">
              <w:t>, we will invest more than $890m to service growth and support its transition from dependence on lagoon treatment systems to controlled mechanised systems that reduce impacts on the community and environment, including: </w:t>
            </w:r>
          </w:p>
          <w:p w14:paraId="3E9C6B84" w14:textId="1956FE35" w:rsidR="002D42C1" w:rsidRPr="00DE108C" w:rsidRDefault="13951D5E" w:rsidP="00C05BDA">
            <w:pPr>
              <w:pStyle w:val="Tablebullet2"/>
              <w:rPr>
                <w:szCs w:val="20"/>
              </w:rPr>
            </w:pPr>
            <w:r w:rsidRPr="39D7F70A">
              <w:t>t</w:t>
            </w:r>
            <w:r w:rsidR="002D42C1" w:rsidRPr="39D7F70A">
              <w:t>actical</w:t>
            </w:r>
            <w:r w:rsidR="002D42C1" w:rsidRPr="00DE108C">
              <w:t xml:space="preserve"> renewals for the Class A plant and investigations for longer term higher value options ~$</w:t>
            </w:r>
            <w:r w:rsidR="002D42C1" w:rsidRPr="38CC3489">
              <w:t>17</w:t>
            </w:r>
            <w:r w:rsidR="1F2E5A74" w:rsidRPr="38CC3489">
              <w:t xml:space="preserve"> </w:t>
            </w:r>
            <w:r w:rsidR="002D42C1" w:rsidRPr="38CC3489">
              <w:t>m</w:t>
            </w:r>
            <w:r w:rsidR="776307DD" w:rsidRPr="38CC3489">
              <w:t>illion</w:t>
            </w:r>
            <w:r w:rsidR="002D42C1" w:rsidRPr="00DE108C">
              <w:t> </w:t>
            </w:r>
          </w:p>
          <w:p w14:paraId="11D58CA2" w14:textId="1972F538" w:rsidR="002D42C1" w:rsidRPr="00DE108C" w:rsidRDefault="503C9DE2" w:rsidP="00C05BDA">
            <w:pPr>
              <w:pStyle w:val="Tablebullet2"/>
              <w:rPr>
                <w:szCs w:val="20"/>
              </w:rPr>
            </w:pPr>
            <w:r w:rsidRPr="4E6732FC">
              <w:t>f</w:t>
            </w:r>
            <w:r w:rsidR="002D42C1" w:rsidRPr="4E6732FC">
              <w:t>ull</w:t>
            </w:r>
            <w:r w:rsidR="002D42C1" w:rsidRPr="00DE108C">
              <w:t xml:space="preserve"> preliminary treatment augmentation ~$</w:t>
            </w:r>
            <w:r w:rsidR="002D42C1" w:rsidRPr="4E6732FC">
              <w:t>291</w:t>
            </w:r>
            <w:r w:rsidR="577EE537" w:rsidRPr="4E6732FC">
              <w:t xml:space="preserve"> </w:t>
            </w:r>
            <w:r w:rsidR="002D42C1" w:rsidRPr="4E6732FC">
              <w:t>m</w:t>
            </w:r>
            <w:r w:rsidR="50FCD7F1" w:rsidRPr="4E6732FC">
              <w:t>illion</w:t>
            </w:r>
            <w:r w:rsidR="002D42C1" w:rsidRPr="00DE108C">
              <w:t> </w:t>
            </w:r>
          </w:p>
          <w:p w14:paraId="4880E8FC" w14:textId="6A362747" w:rsidR="002D42C1" w:rsidRPr="00DE108C" w:rsidRDefault="39173FF8" w:rsidP="00C05BDA">
            <w:pPr>
              <w:pStyle w:val="Tablebullet2"/>
              <w:rPr>
                <w:szCs w:val="20"/>
              </w:rPr>
            </w:pPr>
            <w:r w:rsidRPr="4E6732FC">
              <w:t>c</w:t>
            </w:r>
            <w:r w:rsidR="002D42C1" w:rsidRPr="4E6732FC">
              <w:t>ompletion</w:t>
            </w:r>
            <w:r w:rsidR="002D42C1" w:rsidRPr="00DE108C">
              <w:t xml:space="preserve"> of the in-flight Primary Treatment Capacity and Waste Activated Sludge Treatment Augmentations ~$</w:t>
            </w:r>
            <w:r w:rsidR="002D42C1" w:rsidRPr="4E6732FC">
              <w:t>150</w:t>
            </w:r>
            <w:r w:rsidR="1AC8E2C8" w:rsidRPr="4E6732FC">
              <w:t xml:space="preserve"> </w:t>
            </w:r>
            <w:r w:rsidR="002D42C1" w:rsidRPr="4E6732FC">
              <w:t>m</w:t>
            </w:r>
            <w:r w:rsidR="19659CCB" w:rsidRPr="4E6732FC">
              <w:t>illion</w:t>
            </w:r>
            <w:r w:rsidR="002D42C1" w:rsidRPr="00DE108C">
              <w:t> </w:t>
            </w:r>
          </w:p>
          <w:p w14:paraId="1476E5FD" w14:textId="3A8DC900" w:rsidR="002D42C1" w:rsidRPr="00DE108C" w:rsidRDefault="49F226BE" w:rsidP="00C05BDA">
            <w:pPr>
              <w:pStyle w:val="Tablebullet2"/>
              <w:rPr>
                <w:szCs w:val="20"/>
              </w:rPr>
            </w:pPr>
            <w:r w:rsidRPr="5C7C66BC">
              <w:t>p</w:t>
            </w:r>
            <w:r w:rsidR="002D42C1" w:rsidRPr="00DE108C">
              <w:t>lanning and development of future primary and secondary treatment capacity augmentation in line with adaption planning to transition away from lagoon-based treatment ~$</w:t>
            </w:r>
            <w:r w:rsidR="002D42C1" w:rsidRPr="4E6732FC">
              <w:t>26</w:t>
            </w:r>
            <w:r w:rsidR="56D74E89" w:rsidRPr="4E6732FC">
              <w:t xml:space="preserve"> </w:t>
            </w:r>
            <w:r w:rsidR="002D42C1" w:rsidRPr="4E6732FC">
              <w:t>m</w:t>
            </w:r>
            <w:r w:rsidR="15C23BA4" w:rsidRPr="4E6732FC">
              <w:t>illion</w:t>
            </w:r>
            <w:r w:rsidR="002D42C1" w:rsidRPr="00DE108C">
              <w:t> </w:t>
            </w:r>
          </w:p>
          <w:p w14:paraId="3061D79A" w14:textId="763E3ED5" w:rsidR="002D42C1" w:rsidRPr="00DE108C" w:rsidRDefault="002D42C1" w:rsidP="00C05BDA">
            <w:pPr>
              <w:pStyle w:val="Tablebullet"/>
            </w:pPr>
            <w:r w:rsidRPr="00DE108C">
              <w:t xml:space="preserve">For </w:t>
            </w:r>
            <w:r w:rsidRPr="00DE108C">
              <w:rPr>
                <w:b/>
                <w:bCs/>
              </w:rPr>
              <w:t>sewage transfer</w:t>
            </w:r>
            <w:r w:rsidRPr="00DE108C">
              <w:t xml:space="preserve">, </w:t>
            </w:r>
            <w:r w:rsidRPr="5C7C66BC">
              <w:t>we</w:t>
            </w:r>
            <w:r w:rsidR="49AB5C15" w:rsidRPr="5C7C66BC">
              <w:t xml:space="preserve"> </w:t>
            </w:r>
            <w:r w:rsidR="49AB5C15" w:rsidRPr="6D439FF3">
              <w:t>are</w:t>
            </w:r>
            <w:r w:rsidRPr="00DE108C">
              <w:t xml:space="preserve"> proposing more than $</w:t>
            </w:r>
            <w:r w:rsidRPr="6D439FF3">
              <w:t>740</w:t>
            </w:r>
            <w:r w:rsidR="4DBAD117" w:rsidRPr="6D439FF3">
              <w:t xml:space="preserve"> </w:t>
            </w:r>
            <w:r w:rsidRPr="6D439FF3">
              <w:t>m</w:t>
            </w:r>
            <w:r w:rsidR="580374CF" w:rsidRPr="6D439FF3">
              <w:t>illion</w:t>
            </w:r>
            <w:r w:rsidRPr="00DE108C">
              <w:t xml:space="preserve"> investment with a focus on renewing brick lined sewers in the west and including renewal of the Western Trunk Sewer (~$</w:t>
            </w:r>
            <w:r w:rsidRPr="4E6732FC">
              <w:t>204</w:t>
            </w:r>
            <w:r w:rsidR="4A266B89" w:rsidRPr="4E6732FC">
              <w:t xml:space="preserve"> </w:t>
            </w:r>
            <w:r w:rsidRPr="4E6732FC">
              <w:t>m</w:t>
            </w:r>
            <w:r w:rsidR="645AAD57" w:rsidRPr="4E6732FC">
              <w:t>illion</w:t>
            </w:r>
            <w:r w:rsidRPr="00DE108C">
              <w:t>) and multiple sections of the Hobsons Bay Main (~$</w:t>
            </w:r>
            <w:r w:rsidR="230AE9C9" w:rsidRPr="73924951">
              <w:t>52</w:t>
            </w:r>
            <w:r w:rsidR="511929DA" w:rsidRPr="73924951">
              <w:t xml:space="preserve"> </w:t>
            </w:r>
            <w:r w:rsidRPr="73924951">
              <w:t>m</w:t>
            </w:r>
            <w:r w:rsidR="68689627" w:rsidRPr="73924951">
              <w:t>illion</w:t>
            </w:r>
            <w:r w:rsidRPr="00DE108C">
              <w:t>). </w:t>
            </w:r>
          </w:p>
          <w:p w14:paraId="34990DBB" w14:textId="3182784F" w:rsidR="002D42C1" w:rsidRPr="00DE108C" w:rsidRDefault="002D42C1">
            <w:pPr>
              <w:rPr>
                <w:sz w:val="16"/>
                <w:szCs w:val="16"/>
              </w:rPr>
            </w:pPr>
            <w:r w:rsidRPr="00DE108C">
              <w:rPr>
                <w:sz w:val="16"/>
                <w:szCs w:val="16"/>
              </w:rPr>
              <w:t>*All projects listed in $</w:t>
            </w:r>
            <w:r w:rsidR="69FA341D" w:rsidRPr="095EC37F">
              <w:rPr>
                <w:sz w:val="16"/>
                <w:szCs w:val="16"/>
              </w:rPr>
              <w:t xml:space="preserve">real </w:t>
            </w:r>
            <w:r w:rsidRPr="095EC37F">
              <w:rPr>
                <w:sz w:val="16"/>
                <w:szCs w:val="16"/>
              </w:rPr>
              <w:t>202</w:t>
            </w:r>
            <w:r w:rsidR="3A9EE6C5" w:rsidRPr="095EC37F">
              <w:rPr>
                <w:sz w:val="16"/>
                <w:szCs w:val="16"/>
              </w:rPr>
              <w:t>5-26</w:t>
            </w:r>
            <w:r w:rsidR="2A48BB99" w:rsidRPr="095EC37F">
              <w:rPr>
                <w:sz w:val="16"/>
                <w:szCs w:val="16"/>
              </w:rPr>
              <w:t>.</w:t>
            </w:r>
            <w:r w:rsidRPr="00DE108C">
              <w:rPr>
                <w:sz w:val="16"/>
                <w:szCs w:val="16"/>
              </w:rPr>
              <w:t> </w:t>
            </w:r>
          </w:p>
        </w:tc>
      </w:tr>
      <w:tr w:rsidR="002D42C1" w:rsidRPr="00DE108C" w14:paraId="0BBE5CF5" w14:textId="77777777" w:rsidTr="002924DF">
        <w:trPr>
          <w:cnfStyle w:val="000000010000" w:firstRow="0" w:lastRow="0" w:firstColumn="0" w:lastColumn="0" w:oddVBand="0" w:evenVBand="0" w:oddHBand="0" w:evenHBand="1" w:firstRowFirstColumn="0" w:firstRowLastColumn="0" w:lastRowFirstColumn="0" w:lastRowLastColumn="0"/>
        </w:trPr>
        <w:tc>
          <w:tcPr>
            <w:tcW w:w="1449" w:type="dxa"/>
            <w:vMerge w:val="restart"/>
            <w:shd w:val="clear" w:color="auto" w:fill="00428B" w:themeFill="text2"/>
          </w:tcPr>
          <w:p w14:paraId="0697247A" w14:textId="77777777" w:rsidR="002D42C1" w:rsidRPr="00DE108C" w:rsidRDefault="002D42C1">
            <w:pPr>
              <w:rPr>
                <w:b/>
                <w:bCs/>
                <w:color w:val="FFFFFF" w:themeColor="background1"/>
                <w:sz w:val="16"/>
                <w:szCs w:val="16"/>
              </w:rPr>
            </w:pPr>
            <w:r w:rsidRPr="00DE108C">
              <w:rPr>
                <w:b/>
                <w:bCs/>
                <w:color w:val="FFFFFF" w:themeColor="background1"/>
                <w:sz w:val="16"/>
                <w:szCs w:val="16"/>
              </w:rPr>
              <w:lastRenderedPageBreak/>
              <w:t>Prices and bill impacts – how our prices impact you and your customers</w:t>
            </w:r>
          </w:p>
        </w:tc>
        <w:tc>
          <w:tcPr>
            <w:tcW w:w="10170" w:type="dxa"/>
            <w:shd w:val="clear" w:color="auto" w:fill="00428B" w:themeFill="text2"/>
          </w:tcPr>
          <w:p w14:paraId="6F5F1CFB" w14:textId="77777777" w:rsidR="002D42C1" w:rsidRPr="00DE108C" w:rsidRDefault="002D42C1">
            <w:pPr>
              <w:rPr>
                <w:b/>
                <w:bCs/>
                <w:color w:val="FFFFFF" w:themeColor="background1"/>
                <w:sz w:val="16"/>
                <w:szCs w:val="16"/>
              </w:rPr>
            </w:pPr>
            <w:r w:rsidRPr="00DE108C">
              <w:rPr>
                <w:b/>
                <w:bCs/>
                <w:color w:val="FFFFFF" w:themeColor="background1"/>
                <w:sz w:val="16"/>
                <w:szCs w:val="16"/>
              </w:rPr>
              <w:t>Bulk charges impact</w:t>
            </w:r>
          </w:p>
        </w:tc>
        <w:tc>
          <w:tcPr>
            <w:tcW w:w="10742" w:type="dxa"/>
            <w:shd w:val="clear" w:color="auto" w:fill="00428B" w:themeFill="text2"/>
          </w:tcPr>
          <w:p w14:paraId="2EE7C005" w14:textId="6E2591A4" w:rsidR="002D42C1" w:rsidRPr="00DE108C" w:rsidRDefault="002D42C1">
            <w:pPr>
              <w:rPr>
                <w:b/>
                <w:bCs/>
                <w:color w:val="FFFFFF" w:themeColor="background1"/>
                <w:sz w:val="16"/>
                <w:szCs w:val="16"/>
              </w:rPr>
            </w:pPr>
            <w:r w:rsidRPr="00DE108C">
              <w:rPr>
                <w:b/>
                <w:bCs/>
                <w:color w:val="FFFFFF" w:themeColor="background1"/>
                <w:sz w:val="16"/>
                <w:szCs w:val="16"/>
              </w:rPr>
              <w:t>End</w:t>
            </w:r>
            <w:r w:rsidR="4244AB66" w:rsidRPr="74E540C8">
              <w:rPr>
                <w:b/>
                <w:bCs/>
                <w:color w:val="FFFFFF" w:themeColor="background1"/>
                <w:sz w:val="16"/>
                <w:szCs w:val="16"/>
              </w:rPr>
              <w:t>-</w:t>
            </w:r>
            <w:r w:rsidRPr="00DE108C">
              <w:rPr>
                <w:b/>
                <w:bCs/>
                <w:color w:val="FFFFFF" w:themeColor="background1"/>
                <w:sz w:val="16"/>
                <w:szCs w:val="16"/>
              </w:rPr>
              <w:t>use customer bill impact</w:t>
            </w:r>
          </w:p>
        </w:tc>
      </w:tr>
      <w:tr w:rsidR="002D42C1" w:rsidRPr="00DE108C" w14:paraId="67FBFBB5" w14:textId="77777777" w:rsidTr="002924DF">
        <w:tc>
          <w:tcPr>
            <w:tcW w:w="1449" w:type="dxa"/>
            <w:vMerge/>
            <w:shd w:val="clear" w:color="auto" w:fill="00428B" w:themeFill="text2"/>
          </w:tcPr>
          <w:p w14:paraId="2100CE04" w14:textId="77777777" w:rsidR="002D42C1" w:rsidRPr="00DE108C" w:rsidRDefault="002D42C1">
            <w:pPr>
              <w:rPr>
                <w:b/>
                <w:bCs/>
                <w:color w:val="FFFFFF" w:themeColor="background1"/>
                <w:sz w:val="16"/>
                <w:szCs w:val="16"/>
              </w:rPr>
            </w:pPr>
          </w:p>
        </w:tc>
        <w:tc>
          <w:tcPr>
            <w:tcW w:w="10170" w:type="dxa"/>
          </w:tcPr>
          <w:p w14:paraId="36EC2CF8" w14:textId="025EA1A7" w:rsidR="002D42C1" w:rsidRPr="00DE108C" w:rsidRDefault="002D42C1" w:rsidP="00ED094E">
            <w:pPr>
              <w:rPr>
                <w:sz w:val="16"/>
                <w:szCs w:val="16"/>
              </w:rPr>
            </w:pPr>
            <w:r w:rsidRPr="00DE108C">
              <w:rPr>
                <w:sz w:val="16"/>
                <w:szCs w:val="16"/>
              </w:rPr>
              <w:t xml:space="preserve">Forecast total Melbourne Water bulk charges (excludes desalination orders), in </w:t>
            </w:r>
            <w:r w:rsidR="00510FDD">
              <w:rPr>
                <w:sz w:val="16"/>
                <w:szCs w:val="16"/>
              </w:rPr>
              <w:t xml:space="preserve">$millions, </w:t>
            </w:r>
            <w:r w:rsidRPr="00CF6652">
              <w:rPr>
                <w:sz w:val="16"/>
                <w:szCs w:val="16"/>
              </w:rPr>
              <w:t>real 20</w:t>
            </w:r>
            <w:r w:rsidR="00C92A0B">
              <w:rPr>
                <w:sz w:val="16"/>
                <w:szCs w:val="16"/>
              </w:rPr>
              <w:t>25-</w:t>
            </w:r>
            <w:r w:rsidRPr="00CF6652">
              <w:rPr>
                <w:sz w:val="16"/>
                <w:szCs w:val="16"/>
              </w:rPr>
              <w:t>26</w:t>
            </w:r>
            <w:r w:rsidRPr="00DE108C">
              <w:rPr>
                <w:sz w:val="16"/>
                <w:szCs w:val="16"/>
              </w:rPr>
              <w:t xml:space="preserve"> (before inflation): </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1335"/>
              <w:gridCol w:w="1335"/>
              <w:gridCol w:w="1335"/>
              <w:gridCol w:w="1335"/>
              <w:gridCol w:w="1335"/>
              <w:gridCol w:w="1335"/>
            </w:tblGrid>
            <w:tr w:rsidR="002D42C1" w:rsidRPr="00DE108C" w14:paraId="6D63D503" w14:textId="77777777" w:rsidTr="3E68E472">
              <w:trPr>
                <w:trHeight w:val="300"/>
              </w:trPr>
              <w:tc>
                <w:tcPr>
                  <w:tcW w:w="1335" w:type="dxa"/>
                  <w:tcBorders>
                    <w:top w:val="single" w:sz="6" w:space="0" w:color="4EC6FF" w:themeColor="accent2" w:themeTint="99"/>
                    <w:left w:val="nil"/>
                    <w:bottom w:val="single" w:sz="6" w:space="0" w:color="4EC6FF" w:themeColor="accent2" w:themeTint="99"/>
                    <w:right w:val="nil"/>
                  </w:tcBorders>
                  <w:hideMark/>
                </w:tcPr>
                <w:p w14:paraId="1D8604CE" w14:textId="513AD726" w:rsidR="002D42C1" w:rsidRPr="00DE108C" w:rsidRDefault="002D42C1" w:rsidP="00ED094E">
                  <w:pPr>
                    <w:spacing w:before="60" w:after="60"/>
                    <w:rPr>
                      <w:sz w:val="16"/>
                      <w:szCs w:val="16"/>
                    </w:rPr>
                  </w:pPr>
                  <w:r w:rsidRPr="00DE108C">
                    <w:rPr>
                      <w:b/>
                      <w:bCs/>
                      <w:sz w:val="16"/>
                      <w:szCs w:val="16"/>
                    </w:rPr>
                    <w:t>Rev</w:t>
                  </w:r>
                  <w:r w:rsidR="008C46DF">
                    <w:rPr>
                      <w:b/>
                      <w:bCs/>
                      <w:sz w:val="16"/>
                      <w:szCs w:val="16"/>
                    </w:rPr>
                    <w:t xml:space="preserve"> </w:t>
                  </w:r>
                </w:p>
              </w:tc>
              <w:tc>
                <w:tcPr>
                  <w:tcW w:w="1335" w:type="dxa"/>
                  <w:tcBorders>
                    <w:top w:val="single" w:sz="6" w:space="0" w:color="4EC6FF" w:themeColor="accent2" w:themeTint="99"/>
                    <w:left w:val="nil"/>
                    <w:bottom w:val="single" w:sz="6" w:space="0" w:color="4EC6FF" w:themeColor="accent2" w:themeTint="99"/>
                    <w:right w:val="nil"/>
                  </w:tcBorders>
                  <w:hideMark/>
                </w:tcPr>
                <w:p w14:paraId="39731D17" w14:textId="376E4E4E" w:rsidR="002D42C1" w:rsidRPr="00DE108C" w:rsidRDefault="002D42C1" w:rsidP="00C92A0B">
                  <w:pPr>
                    <w:spacing w:before="60" w:after="60"/>
                    <w:jc w:val="center"/>
                    <w:rPr>
                      <w:sz w:val="16"/>
                      <w:szCs w:val="16"/>
                    </w:rPr>
                  </w:pPr>
                  <w:r w:rsidRPr="00DE108C">
                    <w:rPr>
                      <w:b/>
                      <w:bCs/>
                      <w:sz w:val="16"/>
                      <w:szCs w:val="16"/>
                    </w:rPr>
                    <w:t>2025-26</w:t>
                  </w:r>
                </w:p>
              </w:tc>
              <w:tc>
                <w:tcPr>
                  <w:tcW w:w="1335" w:type="dxa"/>
                  <w:tcBorders>
                    <w:top w:val="single" w:sz="6" w:space="0" w:color="4EC6FF" w:themeColor="accent2" w:themeTint="99"/>
                    <w:left w:val="nil"/>
                    <w:bottom w:val="single" w:sz="6" w:space="0" w:color="4EC6FF" w:themeColor="accent2" w:themeTint="99"/>
                    <w:right w:val="nil"/>
                  </w:tcBorders>
                  <w:hideMark/>
                </w:tcPr>
                <w:p w14:paraId="102FD56C" w14:textId="1DBEC4E7" w:rsidR="002D42C1" w:rsidRPr="00DE108C" w:rsidRDefault="002D42C1" w:rsidP="00C92A0B">
                  <w:pPr>
                    <w:spacing w:before="60" w:after="60"/>
                    <w:jc w:val="center"/>
                    <w:rPr>
                      <w:sz w:val="16"/>
                      <w:szCs w:val="16"/>
                    </w:rPr>
                  </w:pPr>
                  <w:r w:rsidRPr="00DE108C">
                    <w:rPr>
                      <w:b/>
                      <w:bCs/>
                      <w:sz w:val="16"/>
                      <w:szCs w:val="16"/>
                    </w:rPr>
                    <w:t>2026-27</w:t>
                  </w:r>
                </w:p>
              </w:tc>
              <w:tc>
                <w:tcPr>
                  <w:tcW w:w="1335" w:type="dxa"/>
                  <w:tcBorders>
                    <w:top w:val="single" w:sz="6" w:space="0" w:color="4EC6FF" w:themeColor="accent2" w:themeTint="99"/>
                    <w:left w:val="nil"/>
                    <w:bottom w:val="single" w:sz="6" w:space="0" w:color="4EC6FF" w:themeColor="accent2" w:themeTint="99"/>
                    <w:right w:val="nil"/>
                  </w:tcBorders>
                  <w:hideMark/>
                </w:tcPr>
                <w:p w14:paraId="161B5073" w14:textId="3A949F18" w:rsidR="002D42C1" w:rsidRPr="00DE108C" w:rsidRDefault="002D42C1" w:rsidP="00C92A0B">
                  <w:pPr>
                    <w:spacing w:before="60" w:after="60"/>
                    <w:jc w:val="center"/>
                    <w:rPr>
                      <w:sz w:val="16"/>
                      <w:szCs w:val="16"/>
                    </w:rPr>
                  </w:pPr>
                  <w:r w:rsidRPr="00DE108C">
                    <w:rPr>
                      <w:b/>
                      <w:bCs/>
                      <w:sz w:val="16"/>
                      <w:szCs w:val="16"/>
                    </w:rPr>
                    <w:t>2027-28</w:t>
                  </w:r>
                </w:p>
              </w:tc>
              <w:tc>
                <w:tcPr>
                  <w:tcW w:w="1335" w:type="dxa"/>
                  <w:tcBorders>
                    <w:top w:val="single" w:sz="6" w:space="0" w:color="4EC6FF" w:themeColor="accent2" w:themeTint="99"/>
                    <w:left w:val="nil"/>
                    <w:bottom w:val="single" w:sz="6" w:space="0" w:color="4EC6FF" w:themeColor="accent2" w:themeTint="99"/>
                    <w:right w:val="nil"/>
                  </w:tcBorders>
                  <w:hideMark/>
                </w:tcPr>
                <w:p w14:paraId="30EA18CE" w14:textId="72A83900" w:rsidR="002D42C1" w:rsidRPr="00DE108C" w:rsidRDefault="002D42C1" w:rsidP="00C92A0B">
                  <w:pPr>
                    <w:spacing w:before="60" w:after="60"/>
                    <w:jc w:val="center"/>
                    <w:rPr>
                      <w:sz w:val="16"/>
                      <w:szCs w:val="16"/>
                    </w:rPr>
                  </w:pPr>
                  <w:r w:rsidRPr="00DE108C">
                    <w:rPr>
                      <w:b/>
                      <w:bCs/>
                      <w:sz w:val="16"/>
                      <w:szCs w:val="16"/>
                    </w:rPr>
                    <w:t>2028-29</w:t>
                  </w:r>
                </w:p>
              </w:tc>
              <w:tc>
                <w:tcPr>
                  <w:tcW w:w="1335" w:type="dxa"/>
                  <w:tcBorders>
                    <w:top w:val="single" w:sz="6" w:space="0" w:color="4EC6FF" w:themeColor="accent2" w:themeTint="99"/>
                    <w:left w:val="nil"/>
                    <w:bottom w:val="single" w:sz="6" w:space="0" w:color="4EC6FF" w:themeColor="accent2" w:themeTint="99"/>
                    <w:right w:val="nil"/>
                  </w:tcBorders>
                  <w:hideMark/>
                </w:tcPr>
                <w:p w14:paraId="1FC66630" w14:textId="3A9FBAAC" w:rsidR="002D42C1" w:rsidRPr="00DE108C" w:rsidRDefault="002D42C1" w:rsidP="00C92A0B">
                  <w:pPr>
                    <w:spacing w:before="60" w:after="60"/>
                    <w:jc w:val="center"/>
                    <w:rPr>
                      <w:sz w:val="16"/>
                      <w:szCs w:val="16"/>
                    </w:rPr>
                  </w:pPr>
                  <w:r w:rsidRPr="00DE108C">
                    <w:rPr>
                      <w:b/>
                      <w:bCs/>
                      <w:sz w:val="16"/>
                      <w:szCs w:val="16"/>
                    </w:rPr>
                    <w:t>2029-30</w:t>
                  </w:r>
                </w:p>
              </w:tc>
              <w:tc>
                <w:tcPr>
                  <w:tcW w:w="1335" w:type="dxa"/>
                  <w:tcBorders>
                    <w:top w:val="single" w:sz="6" w:space="0" w:color="4EC6FF" w:themeColor="accent2" w:themeTint="99"/>
                    <w:left w:val="nil"/>
                    <w:bottom w:val="single" w:sz="6" w:space="0" w:color="4EC6FF" w:themeColor="accent2" w:themeTint="99"/>
                    <w:right w:val="nil"/>
                  </w:tcBorders>
                  <w:hideMark/>
                </w:tcPr>
                <w:p w14:paraId="194B00A1" w14:textId="1CC93420" w:rsidR="002D42C1" w:rsidRPr="00DE108C" w:rsidRDefault="002D42C1" w:rsidP="00C92A0B">
                  <w:pPr>
                    <w:spacing w:before="60" w:after="60"/>
                    <w:jc w:val="center"/>
                    <w:rPr>
                      <w:sz w:val="16"/>
                      <w:szCs w:val="16"/>
                    </w:rPr>
                  </w:pPr>
                  <w:r w:rsidRPr="00DE108C">
                    <w:rPr>
                      <w:b/>
                      <w:bCs/>
                      <w:sz w:val="16"/>
                      <w:szCs w:val="16"/>
                    </w:rPr>
                    <w:t>2030-31</w:t>
                  </w:r>
                </w:p>
              </w:tc>
            </w:tr>
            <w:tr w:rsidR="002D42C1" w:rsidRPr="00DE108C" w14:paraId="742D0AE0" w14:textId="77777777" w:rsidTr="3E68E472">
              <w:trPr>
                <w:trHeight w:val="300"/>
              </w:trPr>
              <w:tc>
                <w:tcPr>
                  <w:tcW w:w="1335" w:type="dxa"/>
                  <w:tcBorders>
                    <w:top w:val="single" w:sz="6" w:space="0" w:color="4EC6FF" w:themeColor="accent2" w:themeTint="99"/>
                    <w:left w:val="nil"/>
                    <w:bottom w:val="single" w:sz="6" w:space="0" w:color="4EC6FF" w:themeColor="accent2" w:themeTint="99"/>
                    <w:right w:val="nil"/>
                  </w:tcBorders>
                  <w:shd w:val="clear" w:color="auto" w:fill="46C2D7" w:themeFill="accent3"/>
                  <w:hideMark/>
                </w:tcPr>
                <w:p w14:paraId="29EFBA98" w14:textId="53DC0951"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35" w:type="dxa"/>
                  <w:tcBorders>
                    <w:top w:val="single" w:sz="6" w:space="0" w:color="4EC6FF" w:themeColor="accent2" w:themeTint="99"/>
                    <w:left w:val="nil"/>
                    <w:bottom w:val="single" w:sz="6" w:space="0" w:color="4EC6FF" w:themeColor="accent2" w:themeTint="99"/>
                    <w:right w:val="nil"/>
                  </w:tcBorders>
                  <w:shd w:val="clear" w:color="auto" w:fill="46C2D7" w:themeFill="accent3"/>
                  <w:vAlign w:val="center"/>
                  <w:hideMark/>
                </w:tcPr>
                <w:p w14:paraId="6CD61F46" w14:textId="13B87AB8" w:rsidR="002D42C1" w:rsidRPr="00DE108C" w:rsidRDefault="002D42C1" w:rsidP="00097A90">
                  <w:pPr>
                    <w:spacing w:before="60" w:after="60"/>
                    <w:jc w:val="center"/>
                    <w:rPr>
                      <w:sz w:val="16"/>
                      <w:szCs w:val="16"/>
                    </w:rPr>
                  </w:pPr>
                  <w:r w:rsidRPr="00DE108C">
                    <w:rPr>
                      <w:sz w:val="16"/>
                      <w:szCs w:val="16"/>
                    </w:rPr>
                    <w:t>394</w:t>
                  </w:r>
                </w:p>
              </w:tc>
              <w:tc>
                <w:tcPr>
                  <w:tcW w:w="1335" w:type="dxa"/>
                  <w:tcBorders>
                    <w:top w:val="single" w:sz="6" w:space="0" w:color="4EC6FF" w:themeColor="accent2" w:themeTint="99"/>
                    <w:left w:val="nil"/>
                    <w:bottom w:val="single" w:sz="6" w:space="0" w:color="4EC6FF" w:themeColor="accent2" w:themeTint="99"/>
                    <w:right w:val="nil"/>
                  </w:tcBorders>
                  <w:shd w:val="clear" w:color="auto" w:fill="46C2D7" w:themeFill="accent3"/>
                  <w:vAlign w:val="center"/>
                  <w:hideMark/>
                </w:tcPr>
                <w:p w14:paraId="6D7ABA43" w14:textId="29E2729D" w:rsidR="002D42C1" w:rsidRPr="00DE108C" w:rsidRDefault="002D42C1" w:rsidP="00097A90">
                  <w:pPr>
                    <w:spacing w:before="60" w:after="60"/>
                    <w:jc w:val="center"/>
                    <w:rPr>
                      <w:sz w:val="16"/>
                      <w:szCs w:val="16"/>
                    </w:rPr>
                  </w:pPr>
                  <w:r w:rsidRPr="00DE108C">
                    <w:rPr>
                      <w:sz w:val="16"/>
                      <w:szCs w:val="16"/>
                    </w:rPr>
                    <w:t>405</w:t>
                  </w:r>
                </w:p>
              </w:tc>
              <w:tc>
                <w:tcPr>
                  <w:tcW w:w="1335" w:type="dxa"/>
                  <w:tcBorders>
                    <w:top w:val="single" w:sz="6" w:space="0" w:color="4EC6FF" w:themeColor="accent2" w:themeTint="99"/>
                    <w:left w:val="nil"/>
                    <w:bottom w:val="single" w:sz="6" w:space="0" w:color="4EC6FF" w:themeColor="accent2" w:themeTint="99"/>
                    <w:right w:val="nil"/>
                  </w:tcBorders>
                  <w:shd w:val="clear" w:color="auto" w:fill="46C2D7" w:themeFill="accent3"/>
                  <w:vAlign w:val="center"/>
                  <w:hideMark/>
                </w:tcPr>
                <w:p w14:paraId="184883AB" w14:textId="7AE5D8B3" w:rsidR="002D42C1" w:rsidRPr="00DE108C" w:rsidRDefault="00C92A0B" w:rsidP="00097A90">
                  <w:pPr>
                    <w:spacing w:before="60" w:after="60"/>
                    <w:jc w:val="center"/>
                    <w:rPr>
                      <w:sz w:val="16"/>
                      <w:szCs w:val="16"/>
                    </w:rPr>
                  </w:pPr>
                  <w:r w:rsidRPr="00C92A0B">
                    <w:rPr>
                      <w:sz w:val="16"/>
                      <w:szCs w:val="16"/>
                    </w:rPr>
                    <w:t>426</w:t>
                  </w:r>
                </w:p>
              </w:tc>
              <w:tc>
                <w:tcPr>
                  <w:tcW w:w="1335" w:type="dxa"/>
                  <w:tcBorders>
                    <w:top w:val="single" w:sz="6" w:space="0" w:color="4EC6FF" w:themeColor="accent2" w:themeTint="99"/>
                    <w:left w:val="nil"/>
                    <w:bottom w:val="single" w:sz="6" w:space="0" w:color="4EC6FF" w:themeColor="accent2" w:themeTint="99"/>
                    <w:right w:val="nil"/>
                  </w:tcBorders>
                  <w:shd w:val="clear" w:color="auto" w:fill="46C2D7" w:themeFill="accent3"/>
                  <w:vAlign w:val="center"/>
                  <w:hideMark/>
                </w:tcPr>
                <w:p w14:paraId="30EFFD2E" w14:textId="3AA552F9" w:rsidR="002D42C1" w:rsidRPr="00DE108C" w:rsidRDefault="00C92A0B" w:rsidP="00097A90">
                  <w:pPr>
                    <w:spacing w:before="60" w:after="60"/>
                    <w:jc w:val="center"/>
                    <w:rPr>
                      <w:sz w:val="16"/>
                      <w:szCs w:val="16"/>
                    </w:rPr>
                  </w:pPr>
                  <w:r w:rsidRPr="0091606C">
                    <w:rPr>
                      <w:sz w:val="16"/>
                      <w:szCs w:val="16"/>
                    </w:rPr>
                    <w:t>444</w:t>
                  </w:r>
                </w:p>
              </w:tc>
              <w:tc>
                <w:tcPr>
                  <w:tcW w:w="1335" w:type="dxa"/>
                  <w:tcBorders>
                    <w:top w:val="single" w:sz="6" w:space="0" w:color="4EC6FF" w:themeColor="accent2" w:themeTint="99"/>
                    <w:left w:val="nil"/>
                    <w:bottom w:val="single" w:sz="6" w:space="0" w:color="4EC6FF" w:themeColor="accent2" w:themeTint="99"/>
                    <w:right w:val="nil"/>
                  </w:tcBorders>
                  <w:shd w:val="clear" w:color="auto" w:fill="46C2D7" w:themeFill="accent3"/>
                  <w:vAlign w:val="center"/>
                  <w:hideMark/>
                </w:tcPr>
                <w:p w14:paraId="01D0A12F" w14:textId="335296E6" w:rsidR="002D42C1" w:rsidRPr="00DE108C" w:rsidRDefault="002D42C1" w:rsidP="00097A90">
                  <w:pPr>
                    <w:spacing w:before="60" w:after="60"/>
                    <w:jc w:val="center"/>
                    <w:rPr>
                      <w:sz w:val="16"/>
                      <w:szCs w:val="16"/>
                    </w:rPr>
                  </w:pPr>
                  <w:r w:rsidRPr="00DE108C">
                    <w:rPr>
                      <w:sz w:val="16"/>
                      <w:szCs w:val="16"/>
                    </w:rPr>
                    <w:t>463</w:t>
                  </w:r>
                </w:p>
              </w:tc>
              <w:tc>
                <w:tcPr>
                  <w:tcW w:w="1335" w:type="dxa"/>
                  <w:tcBorders>
                    <w:top w:val="single" w:sz="6" w:space="0" w:color="4EC6FF" w:themeColor="accent2" w:themeTint="99"/>
                    <w:left w:val="nil"/>
                    <w:bottom w:val="single" w:sz="6" w:space="0" w:color="4EC6FF" w:themeColor="accent2" w:themeTint="99"/>
                    <w:right w:val="nil"/>
                  </w:tcBorders>
                  <w:shd w:val="clear" w:color="auto" w:fill="46C2D7" w:themeFill="accent3"/>
                  <w:vAlign w:val="center"/>
                  <w:hideMark/>
                </w:tcPr>
                <w:p w14:paraId="3BC448E3" w14:textId="2D8C8286" w:rsidR="002D42C1" w:rsidRPr="00DE108C" w:rsidRDefault="00C92A0B" w:rsidP="00097A90">
                  <w:pPr>
                    <w:spacing w:before="60" w:after="60"/>
                    <w:jc w:val="center"/>
                    <w:rPr>
                      <w:sz w:val="16"/>
                      <w:szCs w:val="16"/>
                    </w:rPr>
                  </w:pPr>
                  <w:r w:rsidRPr="0091606C">
                    <w:rPr>
                      <w:sz w:val="16"/>
                      <w:szCs w:val="16"/>
                    </w:rPr>
                    <w:t>481</w:t>
                  </w:r>
                </w:p>
              </w:tc>
            </w:tr>
            <w:tr w:rsidR="002D42C1" w:rsidRPr="00DE108C" w14:paraId="2F4A6FC2" w14:textId="77777777" w:rsidTr="3E68E472">
              <w:trPr>
                <w:trHeight w:val="300"/>
              </w:trPr>
              <w:tc>
                <w:tcPr>
                  <w:tcW w:w="1335" w:type="dxa"/>
                  <w:tcBorders>
                    <w:top w:val="single" w:sz="6" w:space="0" w:color="4EC6FF" w:themeColor="accent2" w:themeTint="99"/>
                    <w:left w:val="nil"/>
                    <w:bottom w:val="single" w:sz="6" w:space="0" w:color="4EC6FF" w:themeColor="accent2" w:themeTint="99"/>
                    <w:right w:val="nil"/>
                  </w:tcBorders>
                  <w:hideMark/>
                </w:tcPr>
                <w:p w14:paraId="7F071F1E" w14:textId="2CBBDE5F"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4F41C9E5" w14:textId="541C7CFE" w:rsidR="002D42C1" w:rsidRPr="00DE108C" w:rsidRDefault="002D42C1" w:rsidP="00097A90">
                  <w:pPr>
                    <w:spacing w:before="60" w:after="60"/>
                    <w:jc w:val="center"/>
                    <w:rPr>
                      <w:sz w:val="16"/>
                      <w:szCs w:val="16"/>
                    </w:rPr>
                  </w:pPr>
                  <w:r w:rsidRPr="00DE108C">
                    <w:rPr>
                      <w:sz w:val="16"/>
                      <w:szCs w:val="16"/>
                    </w:rPr>
                    <w:t>572</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29EB23BE" w14:textId="25155298" w:rsidR="002D42C1" w:rsidRPr="00DE108C" w:rsidRDefault="002D42C1" w:rsidP="00097A90">
                  <w:pPr>
                    <w:spacing w:before="60" w:after="60"/>
                    <w:jc w:val="center"/>
                    <w:rPr>
                      <w:sz w:val="16"/>
                      <w:szCs w:val="16"/>
                    </w:rPr>
                  </w:pPr>
                  <w:r w:rsidRPr="00DE108C">
                    <w:rPr>
                      <w:sz w:val="16"/>
                      <w:szCs w:val="16"/>
                    </w:rPr>
                    <w:t>581</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3CC709CA" w14:textId="4867C48E" w:rsidR="002D42C1" w:rsidRPr="00DE108C" w:rsidRDefault="00C92A0B" w:rsidP="00097A90">
                  <w:pPr>
                    <w:spacing w:before="60" w:after="60"/>
                    <w:jc w:val="center"/>
                    <w:rPr>
                      <w:sz w:val="16"/>
                      <w:szCs w:val="16"/>
                    </w:rPr>
                  </w:pPr>
                  <w:r w:rsidRPr="00C92A0B">
                    <w:rPr>
                      <w:sz w:val="16"/>
                      <w:szCs w:val="16"/>
                    </w:rPr>
                    <w:t>605</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3ACF5516" w14:textId="385C8ADB" w:rsidR="002D42C1" w:rsidRPr="00DE108C" w:rsidRDefault="00C92A0B" w:rsidP="00097A90">
                  <w:pPr>
                    <w:spacing w:before="60" w:after="60"/>
                    <w:jc w:val="center"/>
                    <w:rPr>
                      <w:sz w:val="16"/>
                      <w:szCs w:val="16"/>
                    </w:rPr>
                  </w:pPr>
                  <w:r w:rsidRPr="0091606C">
                    <w:rPr>
                      <w:sz w:val="16"/>
                      <w:szCs w:val="16"/>
                    </w:rPr>
                    <w:t>615</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3F000A81" w14:textId="4B68CAAC" w:rsidR="002D42C1" w:rsidRPr="00DE108C" w:rsidRDefault="002D42C1" w:rsidP="00097A90">
                  <w:pPr>
                    <w:spacing w:before="60" w:after="60"/>
                    <w:jc w:val="center"/>
                    <w:rPr>
                      <w:sz w:val="16"/>
                      <w:szCs w:val="16"/>
                    </w:rPr>
                  </w:pPr>
                  <w:r w:rsidRPr="00DE108C">
                    <w:rPr>
                      <w:sz w:val="16"/>
                      <w:szCs w:val="16"/>
                    </w:rPr>
                    <w:t>626</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7F9FC4B6" w14:textId="7EFBDCC8" w:rsidR="002D42C1" w:rsidRPr="00DE108C" w:rsidRDefault="00C92A0B" w:rsidP="00097A90">
                  <w:pPr>
                    <w:spacing w:before="60" w:after="60"/>
                    <w:jc w:val="center"/>
                    <w:rPr>
                      <w:sz w:val="16"/>
                      <w:szCs w:val="16"/>
                    </w:rPr>
                  </w:pPr>
                  <w:r w:rsidRPr="00C92A0B">
                    <w:rPr>
                      <w:sz w:val="16"/>
                      <w:szCs w:val="16"/>
                    </w:rPr>
                    <w:t>637</w:t>
                  </w:r>
                </w:p>
              </w:tc>
            </w:tr>
            <w:tr w:rsidR="002D42C1" w:rsidRPr="00DE108C" w14:paraId="22936A2A" w14:textId="77777777" w:rsidTr="3E68E472">
              <w:trPr>
                <w:trHeight w:val="300"/>
              </w:trPr>
              <w:tc>
                <w:tcPr>
                  <w:tcW w:w="1335" w:type="dxa"/>
                  <w:tcBorders>
                    <w:top w:val="single" w:sz="6" w:space="0" w:color="4EC6FF" w:themeColor="accent2" w:themeTint="99"/>
                    <w:left w:val="nil"/>
                    <w:bottom w:val="single" w:sz="6" w:space="0" w:color="4EC6FF" w:themeColor="accent2" w:themeTint="99"/>
                    <w:right w:val="nil"/>
                  </w:tcBorders>
                  <w:hideMark/>
                </w:tcPr>
                <w:p w14:paraId="55AE1FD8"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14088E6B" w14:textId="24F64FF6" w:rsidR="002D42C1" w:rsidRPr="00DE108C" w:rsidRDefault="002D42C1" w:rsidP="00097A90">
                  <w:pPr>
                    <w:spacing w:before="60" w:after="60"/>
                    <w:jc w:val="center"/>
                    <w:rPr>
                      <w:sz w:val="16"/>
                      <w:szCs w:val="16"/>
                    </w:rPr>
                  </w:pPr>
                  <w:r w:rsidRPr="00DE108C">
                    <w:rPr>
                      <w:sz w:val="16"/>
                      <w:szCs w:val="16"/>
                    </w:rPr>
                    <w:t>570</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274C5665" w14:textId="2AC63348" w:rsidR="002D42C1" w:rsidRPr="00DE108C" w:rsidRDefault="002D42C1" w:rsidP="00097A90">
                  <w:pPr>
                    <w:spacing w:before="60" w:after="60"/>
                    <w:jc w:val="center"/>
                    <w:rPr>
                      <w:sz w:val="16"/>
                      <w:szCs w:val="16"/>
                    </w:rPr>
                  </w:pPr>
                  <w:r w:rsidRPr="00DE108C">
                    <w:rPr>
                      <w:sz w:val="16"/>
                      <w:szCs w:val="16"/>
                    </w:rPr>
                    <w:t>579</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369B2B05" w14:textId="6ABEF020" w:rsidR="002D42C1" w:rsidRPr="00DE108C" w:rsidRDefault="002D42C1" w:rsidP="00097A90">
                  <w:pPr>
                    <w:spacing w:before="60" w:after="60"/>
                    <w:jc w:val="center"/>
                    <w:rPr>
                      <w:sz w:val="16"/>
                      <w:szCs w:val="16"/>
                    </w:rPr>
                  </w:pPr>
                  <w:r w:rsidRPr="00DE108C">
                    <w:rPr>
                      <w:sz w:val="16"/>
                      <w:szCs w:val="16"/>
                    </w:rPr>
                    <w:t>605</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79CE3FD8" w14:textId="6ADA3174" w:rsidR="002D42C1" w:rsidRPr="00DE108C" w:rsidRDefault="002D42C1" w:rsidP="00097A90">
                  <w:pPr>
                    <w:spacing w:before="60" w:after="60"/>
                    <w:jc w:val="center"/>
                    <w:rPr>
                      <w:sz w:val="16"/>
                      <w:szCs w:val="16"/>
                    </w:rPr>
                  </w:pPr>
                  <w:r w:rsidRPr="00DE108C">
                    <w:rPr>
                      <w:sz w:val="16"/>
                      <w:szCs w:val="16"/>
                    </w:rPr>
                    <w:t>608</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78744A49" w14:textId="00D14471" w:rsidR="002D42C1" w:rsidRPr="00DE108C" w:rsidRDefault="00C92A0B" w:rsidP="00097A90">
                  <w:pPr>
                    <w:spacing w:before="60" w:after="60"/>
                    <w:jc w:val="center"/>
                    <w:rPr>
                      <w:sz w:val="16"/>
                      <w:szCs w:val="16"/>
                    </w:rPr>
                  </w:pPr>
                  <w:r w:rsidRPr="0091606C">
                    <w:rPr>
                      <w:sz w:val="16"/>
                      <w:szCs w:val="16"/>
                    </w:rPr>
                    <w:t>610</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2052C670" w14:textId="3C75D391" w:rsidR="002D42C1" w:rsidRPr="00DE108C" w:rsidRDefault="00C92A0B" w:rsidP="00097A90">
                  <w:pPr>
                    <w:spacing w:before="60" w:after="60"/>
                    <w:jc w:val="center"/>
                    <w:rPr>
                      <w:sz w:val="16"/>
                      <w:szCs w:val="16"/>
                    </w:rPr>
                  </w:pPr>
                  <w:r w:rsidRPr="00C92A0B">
                    <w:rPr>
                      <w:sz w:val="16"/>
                      <w:szCs w:val="16"/>
                    </w:rPr>
                    <w:t>612</w:t>
                  </w:r>
                </w:p>
              </w:tc>
            </w:tr>
            <w:tr w:rsidR="002D42C1" w:rsidRPr="00DE108C" w14:paraId="697DAC90" w14:textId="77777777" w:rsidTr="3E68E472">
              <w:trPr>
                <w:trHeight w:val="300"/>
              </w:trPr>
              <w:tc>
                <w:tcPr>
                  <w:tcW w:w="1335" w:type="dxa"/>
                  <w:tcBorders>
                    <w:top w:val="single" w:sz="6" w:space="0" w:color="4EC6FF" w:themeColor="accent2" w:themeTint="99"/>
                    <w:left w:val="nil"/>
                    <w:bottom w:val="single" w:sz="6" w:space="0" w:color="4EC6FF" w:themeColor="accent2" w:themeTint="99"/>
                    <w:right w:val="nil"/>
                  </w:tcBorders>
                  <w:hideMark/>
                </w:tcPr>
                <w:p w14:paraId="0C5C9EEF" w14:textId="6DFE55F8"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5849E9D9" w14:textId="7B4E047C" w:rsidR="002D42C1" w:rsidRPr="00DE108C" w:rsidRDefault="002D42C1" w:rsidP="00097A90">
                  <w:pPr>
                    <w:spacing w:before="60" w:after="60"/>
                    <w:jc w:val="center"/>
                    <w:rPr>
                      <w:sz w:val="16"/>
                      <w:szCs w:val="16"/>
                    </w:rPr>
                  </w:pPr>
                  <w:r w:rsidRPr="00DE108C">
                    <w:rPr>
                      <w:sz w:val="16"/>
                      <w:szCs w:val="16"/>
                    </w:rPr>
                    <w:t>12.0</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269D1E6C" w14:textId="084D8BBF" w:rsidR="002D42C1" w:rsidRPr="00DE108C" w:rsidRDefault="002D42C1" w:rsidP="00097A90">
                  <w:pPr>
                    <w:spacing w:before="60" w:after="60"/>
                    <w:jc w:val="center"/>
                    <w:rPr>
                      <w:sz w:val="16"/>
                      <w:szCs w:val="16"/>
                    </w:rPr>
                  </w:pPr>
                  <w:r w:rsidRPr="00DE108C">
                    <w:rPr>
                      <w:sz w:val="16"/>
                      <w:szCs w:val="16"/>
                    </w:rPr>
                    <w:t>10.7</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74A4E0FC" w14:textId="142BA4FA"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745815E2" w14:textId="5C9F9058"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724C867F" w14:textId="496C5667"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7CD098AA" w14:textId="73A6B64D" w:rsidR="002D42C1" w:rsidRPr="00DE108C" w:rsidRDefault="002D42C1" w:rsidP="00097A90">
                  <w:pPr>
                    <w:spacing w:before="60" w:after="60"/>
                    <w:jc w:val="center"/>
                    <w:rPr>
                      <w:sz w:val="16"/>
                      <w:szCs w:val="16"/>
                    </w:rPr>
                  </w:pPr>
                  <w:r w:rsidRPr="00DE108C">
                    <w:rPr>
                      <w:sz w:val="16"/>
                      <w:szCs w:val="16"/>
                    </w:rPr>
                    <w:t>7.5</w:t>
                  </w:r>
                </w:p>
              </w:tc>
            </w:tr>
            <w:tr w:rsidR="002D42C1" w:rsidRPr="00DE108C" w14:paraId="6DB44B9D" w14:textId="77777777" w:rsidTr="3E68E472">
              <w:trPr>
                <w:trHeight w:val="300"/>
              </w:trPr>
              <w:tc>
                <w:tcPr>
                  <w:tcW w:w="1335" w:type="dxa"/>
                  <w:tcBorders>
                    <w:top w:val="single" w:sz="6" w:space="0" w:color="4EC6FF" w:themeColor="accent2" w:themeTint="99"/>
                    <w:left w:val="nil"/>
                    <w:bottom w:val="single" w:sz="6" w:space="0" w:color="4EC6FF" w:themeColor="accent2" w:themeTint="99"/>
                    <w:right w:val="nil"/>
                  </w:tcBorders>
                  <w:hideMark/>
                </w:tcPr>
                <w:p w14:paraId="1552056E" w14:textId="772DE053"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06A6FCC5" w14:textId="40418030"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4F3BC0B2" w14:textId="36E3F783" w:rsidR="002D42C1" w:rsidRPr="00DE108C" w:rsidRDefault="002D42C1" w:rsidP="00097A90">
                  <w:pPr>
                    <w:spacing w:before="60" w:after="60"/>
                    <w:jc w:val="center"/>
                    <w:rPr>
                      <w:sz w:val="16"/>
                      <w:szCs w:val="16"/>
                    </w:rPr>
                  </w:pPr>
                  <w:r w:rsidRPr="00DE108C">
                    <w:rPr>
                      <w:sz w:val="16"/>
                      <w:szCs w:val="16"/>
                    </w:rPr>
                    <w:t>1.2</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425C502B" w14:textId="78168509" w:rsidR="002D42C1" w:rsidRPr="00DE108C" w:rsidRDefault="002D42C1" w:rsidP="00097A90">
                  <w:pPr>
                    <w:spacing w:before="60" w:after="60"/>
                    <w:jc w:val="center"/>
                    <w:rPr>
                      <w:sz w:val="16"/>
                      <w:szCs w:val="16"/>
                    </w:rPr>
                  </w:pPr>
                  <w:r w:rsidRPr="00DE108C">
                    <w:rPr>
                      <w:sz w:val="16"/>
                      <w:szCs w:val="16"/>
                    </w:rPr>
                    <w:t>1.4</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6A7C63DA" w14:textId="32993617" w:rsidR="002D42C1" w:rsidRPr="00DE108C" w:rsidRDefault="002D42C1" w:rsidP="00097A90">
                  <w:pPr>
                    <w:spacing w:before="60" w:after="60"/>
                    <w:jc w:val="center"/>
                    <w:rPr>
                      <w:sz w:val="16"/>
                      <w:szCs w:val="16"/>
                    </w:rPr>
                  </w:pPr>
                  <w:r w:rsidRPr="00DE108C">
                    <w:rPr>
                      <w:sz w:val="16"/>
                      <w:szCs w:val="16"/>
                    </w:rPr>
                    <w:t>1.6</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410F810E" w14:textId="7C297511" w:rsidR="002D42C1" w:rsidRPr="00DE108C" w:rsidRDefault="002D42C1" w:rsidP="00097A90">
                  <w:pPr>
                    <w:spacing w:before="60" w:after="60"/>
                    <w:jc w:val="center"/>
                    <w:rPr>
                      <w:sz w:val="16"/>
                      <w:szCs w:val="16"/>
                    </w:rPr>
                  </w:pPr>
                  <w:r w:rsidRPr="00DE108C">
                    <w:rPr>
                      <w:sz w:val="16"/>
                      <w:szCs w:val="16"/>
                    </w:rPr>
                    <w:t>1.9</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0AD6CE48" w14:textId="1F970983" w:rsidR="002D42C1" w:rsidRPr="00DE108C" w:rsidRDefault="002D42C1" w:rsidP="00097A90">
                  <w:pPr>
                    <w:spacing w:before="60" w:after="60"/>
                    <w:jc w:val="center"/>
                    <w:rPr>
                      <w:sz w:val="16"/>
                      <w:szCs w:val="16"/>
                    </w:rPr>
                  </w:pPr>
                  <w:r w:rsidRPr="00DE108C">
                    <w:rPr>
                      <w:sz w:val="16"/>
                      <w:szCs w:val="16"/>
                    </w:rPr>
                    <w:t>2.2</w:t>
                  </w:r>
                </w:p>
              </w:tc>
            </w:tr>
            <w:tr w:rsidR="002D42C1" w:rsidRPr="00DE108C" w14:paraId="4F07BD87" w14:textId="77777777" w:rsidTr="3E68E472">
              <w:trPr>
                <w:trHeight w:val="300"/>
              </w:trPr>
              <w:tc>
                <w:tcPr>
                  <w:tcW w:w="1335" w:type="dxa"/>
                  <w:tcBorders>
                    <w:top w:val="single" w:sz="6" w:space="0" w:color="4EC6FF" w:themeColor="accent2" w:themeTint="99"/>
                    <w:left w:val="nil"/>
                    <w:bottom w:val="single" w:sz="6" w:space="0" w:color="4EC6FF" w:themeColor="accent2" w:themeTint="99"/>
                    <w:right w:val="nil"/>
                  </w:tcBorders>
                  <w:hideMark/>
                </w:tcPr>
                <w:p w14:paraId="38C5AD5D"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12988ED9" w14:textId="483CF4A2"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01ACC7F1" w14:textId="3E2CFCD1"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5C7F295D" w14:textId="1368D237"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1562B333" w14:textId="5D49987E"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068170EA" w14:textId="282E370B"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2ED57C21" w14:textId="48FE831F" w:rsidR="002D42C1" w:rsidRPr="00DE108C" w:rsidRDefault="002D42C1" w:rsidP="00097A90">
                  <w:pPr>
                    <w:spacing w:before="60" w:after="60"/>
                    <w:jc w:val="center"/>
                    <w:rPr>
                      <w:sz w:val="16"/>
                      <w:szCs w:val="16"/>
                    </w:rPr>
                  </w:pPr>
                  <w:r w:rsidRPr="00DE108C">
                    <w:rPr>
                      <w:sz w:val="16"/>
                      <w:szCs w:val="16"/>
                    </w:rPr>
                    <w:t>0.8</w:t>
                  </w:r>
                </w:p>
              </w:tc>
            </w:tr>
            <w:tr w:rsidR="002D42C1" w:rsidRPr="00DE108C" w14:paraId="0C7C3D6C" w14:textId="77777777" w:rsidTr="3E68E472">
              <w:trPr>
                <w:trHeight w:val="300"/>
              </w:trPr>
              <w:tc>
                <w:tcPr>
                  <w:tcW w:w="1335" w:type="dxa"/>
                  <w:tcBorders>
                    <w:top w:val="single" w:sz="6" w:space="0" w:color="4EC6FF" w:themeColor="accent2" w:themeTint="99"/>
                    <w:left w:val="nil"/>
                    <w:bottom w:val="single" w:sz="6" w:space="0" w:color="4EC6FF" w:themeColor="accent2" w:themeTint="99"/>
                    <w:right w:val="nil"/>
                  </w:tcBorders>
                  <w:hideMark/>
                </w:tcPr>
                <w:p w14:paraId="76FEBF14" w14:textId="0BEF0AAD"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25F556B5" w14:textId="7EF99C48" w:rsidR="002D42C1" w:rsidRPr="00DE108C" w:rsidRDefault="002D42C1" w:rsidP="00097A90">
                  <w:pPr>
                    <w:spacing w:before="60" w:after="60"/>
                    <w:jc w:val="center"/>
                    <w:rPr>
                      <w:sz w:val="16"/>
                      <w:szCs w:val="16"/>
                    </w:rPr>
                  </w:pPr>
                  <w:r w:rsidRPr="00DE108C">
                    <w:rPr>
                      <w:sz w:val="16"/>
                      <w:szCs w:val="16"/>
                    </w:rPr>
                    <w:t>1.5</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500C1BB8" w14:textId="5AF9211D"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7B9043FF" w14:textId="78D51B00"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688D8BE4" w14:textId="33938C4B"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193C8638" w14:textId="67F67E95"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themeColor="accent2" w:themeTint="99"/>
                    <w:left w:val="nil"/>
                    <w:bottom w:val="single" w:sz="6" w:space="0" w:color="4EC6FF" w:themeColor="accent2" w:themeTint="99"/>
                    <w:right w:val="nil"/>
                  </w:tcBorders>
                  <w:vAlign w:val="center"/>
                  <w:hideMark/>
                </w:tcPr>
                <w:p w14:paraId="41F5C465" w14:textId="529CE48F" w:rsidR="002D42C1" w:rsidRPr="00DE108C" w:rsidRDefault="002D42C1" w:rsidP="00097A90">
                  <w:pPr>
                    <w:spacing w:before="60" w:after="60"/>
                    <w:jc w:val="center"/>
                    <w:rPr>
                      <w:sz w:val="16"/>
                      <w:szCs w:val="16"/>
                    </w:rPr>
                  </w:pPr>
                  <w:r w:rsidRPr="00DE108C">
                    <w:rPr>
                      <w:sz w:val="16"/>
                      <w:szCs w:val="16"/>
                    </w:rPr>
                    <w:t>0.8</w:t>
                  </w:r>
                </w:p>
              </w:tc>
            </w:tr>
          </w:tbl>
          <w:p w14:paraId="154D0CD6" w14:textId="77777777" w:rsidR="002D42C1" w:rsidRPr="00DE108C" w:rsidRDefault="002D42C1">
            <w:pPr>
              <w:rPr>
                <w:sz w:val="16"/>
                <w:szCs w:val="16"/>
              </w:rPr>
            </w:pPr>
          </w:p>
        </w:tc>
        <w:tc>
          <w:tcPr>
            <w:tcW w:w="10742" w:type="dxa"/>
          </w:tcPr>
          <w:p w14:paraId="47F234D9" w14:textId="754E3C52" w:rsidR="002D42C1" w:rsidRPr="00DE108C" w:rsidRDefault="002D42C1" w:rsidP="00ED094E">
            <w:pPr>
              <w:rPr>
                <w:sz w:val="16"/>
                <w:szCs w:val="16"/>
              </w:rPr>
            </w:pPr>
            <w:r w:rsidRPr="00DE108C">
              <w:rPr>
                <w:sz w:val="16"/>
                <w:szCs w:val="16"/>
              </w:rPr>
              <w:t>Typical year-on-year household bill impacts relative to inflation as a result of Melbourne Water’s proposal are summarised below: </w:t>
            </w:r>
          </w:p>
          <w:tbl>
            <w:tblPr>
              <w:tblW w:w="9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1365"/>
              <w:gridCol w:w="1365"/>
              <w:gridCol w:w="1365"/>
              <w:gridCol w:w="1365"/>
              <w:gridCol w:w="1365"/>
              <w:gridCol w:w="1365"/>
            </w:tblGrid>
            <w:tr w:rsidR="002D42C1" w:rsidRPr="00DE108C" w14:paraId="3CE417AD" w14:textId="77777777" w:rsidTr="00ED094E">
              <w:trPr>
                <w:trHeight w:val="300"/>
              </w:trPr>
              <w:tc>
                <w:tcPr>
                  <w:tcW w:w="1365" w:type="dxa"/>
                  <w:tcBorders>
                    <w:top w:val="single" w:sz="6" w:space="0" w:color="4EC6FF"/>
                    <w:left w:val="nil"/>
                    <w:bottom w:val="single" w:sz="6" w:space="0" w:color="4EC6FF"/>
                    <w:right w:val="nil"/>
                  </w:tcBorders>
                  <w:hideMark/>
                </w:tcPr>
                <w:p w14:paraId="31E25122" w14:textId="77777777" w:rsidR="002D42C1" w:rsidRPr="00DE108C" w:rsidRDefault="002D42C1" w:rsidP="00ED094E">
                  <w:pPr>
                    <w:spacing w:before="60" w:after="60"/>
                    <w:rPr>
                      <w:sz w:val="16"/>
                      <w:szCs w:val="16"/>
                    </w:rPr>
                  </w:pPr>
                  <w:r w:rsidRPr="00DE108C">
                    <w:rPr>
                      <w:b/>
                      <w:bCs/>
                      <w:sz w:val="16"/>
                      <w:szCs w:val="16"/>
                    </w:rPr>
                    <w:t>Bills</w:t>
                  </w:r>
                  <w:r w:rsidRPr="00DE108C">
                    <w:rPr>
                      <w:sz w:val="16"/>
                      <w:szCs w:val="16"/>
                    </w:rPr>
                    <w:t> </w:t>
                  </w:r>
                </w:p>
              </w:tc>
              <w:tc>
                <w:tcPr>
                  <w:tcW w:w="1365" w:type="dxa"/>
                  <w:tcBorders>
                    <w:top w:val="single" w:sz="6" w:space="0" w:color="4EC6FF"/>
                    <w:left w:val="nil"/>
                    <w:bottom w:val="single" w:sz="6" w:space="0" w:color="4EC6FF"/>
                    <w:right w:val="nil"/>
                  </w:tcBorders>
                  <w:hideMark/>
                </w:tcPr>
                <w:p w14:paraId="524F5932" w14:textId="1D6612AB" w:rsidR="002D42C1" w:rsidRPr="00DE108C" w:rsidRDefault="002D42C1" w:rsidP="00C92A0B">
                  <w:pPr>
                    <w:spacing w:before="60" w:after="60"/>
                    <w:jc w:val="center"/>
                    <w:rPr>
                      <w:sz w:val="16"/>
                      <w:szCs w:val="16"/>
                    </w:rPr>
                  </w:pPr>
                  <w:r w:rsidRPr="00DE108C">
                    <w:rPr>
                      <w:b/>
                      <w:bCs/>
                      <w:sz w:val="16"/>
                      <w:szCs w:val="16"/>
                    </w:rPr>
                    <w:t>2025-26</w:t>
                  </w:r>
                </w:p>
              </w:tc>
              <w:tc>
                <w:tcPr>
                  <w:tcW w:w="1365" w:type="dxa"/>
                  <w:tcBorders>
                    <w:top w:val="single" w:sz="6" w:space="0" w:color="4EC6FF"/>
                    <w:left w:val="nil"/>
                    <w:bottom w:val="single" w:sz="6" w:space="0" w:color="4EC6FF"/>
                    <w:right w:val="nil"/>
                  </w:tcBorders>
                  <w:hideMark/>
                </w:tcPr>
                <w:p w14:paraId="491DB6D2" w14:textId="6FE6DB7F" w:rsidR="002D42C1" w:rsidRPr="00DE108C" w:rsidRDefault="002D42C1" w:rsidP="00C92A0B">
                  <w:pPr>
                    <w:spacing w:before="60" w:after="60"/>
                    <w:jc w:val="center"/>
                    <w:rPr>
                      <w:sz w:val="16"/>
                      <w:szCs w:val="16"/>
                    </w:rPr>
                  </w:pPr>
                  <w:r w:rsidRPr="00DE108C">
                    <w:rPr>
                      <w:b/>
                      <w:bCs/>
                      <w:sz w:val="16"/>
                      <w:szCs w:val="16"/>
                    </w:rPr>
                    <w:t>2026-27</w:t>
                  </w:r>
                </w:p>
              </w:tc>
              <w:tc>
                <w:tcPr>
                  <w:tcW w:w="1365" w:type="dxa"/>
                  <w:tcBorders>
                    <w:top w:val="single" w:sz="6" w:space="0" w:color="4EC6FF"/>
                    <w:left w:val="nil"/>
                    <w:bottom w:val="single" w:sz="6" w:space="0" w:color="4EC6FF"/>
                    <w:right w:val="nil"/>
                  </w:tcBorders>
                  <w:hideMark/>
                </w:tcPr>
                <w:p w14:paraId="13FB6019" w14:textId="067F8BE1" w:rsidR="002D42C1" w:rsidRPr="00DE108C" w:rsidRDefault="002D42C1" w:rsidP="00C92A0B">
                  <w:pPr>
                    <w:spacing w:before="60" w:after="60"/>
                    <w:jc w:val="center"/>
                    <w:rPr>
                      <w:sz w:val="16"/>
                      <w:szCs w:val="16"/>
                    </w:rPr>
                  </w:pPr>
                  <w:r w:rsidRPr="00DE108C">
                    <w:rPr>
                      <w:b/>
                      <w:bCs/>
                      <w:sz w:val="16"/>
                      <w:szCs w:val="16"/>
                    </w:rPr>
                    <w:t>2027-28</w:t>
                  </w:r>
                </w:p>
              </w:tc>
              <w:tc>
                <w:tcPr>
                  <w:tcW w:w="1365" w:type="dxa"/>
                  <w:tcBorders>
                    <w:top w:val="single" w:sz="6" w:space="0" w:color="4EC6FF"/>
                    <w:left w:val="nil"/>
                    <w:bottom w:val="single" w:sz="6" w:space="0" w:color="4EC6FF"/>
                    <w:right w:val="nil"/>
                  </w:tcBorders>
                  <w:hideMark/>
                </w:tcPr>
                <w:p w14:paraId="2DA24F56" w14:textId="6625EA36" w:rsidR="002D42C1" w:rsidRPr="00DE108C" w:rsidRDefault="002D42C1" w:rsidP="00C92A0B">
                  <w:pPr>
                    <w:spacing w:before="60" w:after="60"/>
                    <w:jc w:val="center"/>
                    <w:rPr>
                      <w:sz w:val="16"/>
                      <w:szCs w:val="16"/>
                    </w:rPr>
                  </w:pPr>
                  <w:r w:rsidRPr="00DE108C">
                    <w:rPr>
                      <w:b/>
                      <w:bCs/>
                      <w:sz w:val="16"/>
                      <w:szCs w:val="16"/>
                    </w:rPr>
                    <w:t>2028-29</w:t>
                  </w:r>
                </w:p>
              </w:tc>
              <w:tc>
                <w:tcPr>
                  <w:tcW w:w="1365" w:type="dxa"/>
                  <w:tcBorders>
                    <w:top w:val="single" w:sz="6" w:space="0" w:color="4EC6FF"/>
                    <w:left w:val="nil"/>
                    <w:bottom w:val="single" w:sz="6" w:space="0" w:color="4EC6FF"/>
                    <w:right w:val="nil"/>
                  </w:tcBorders>
                  <w:hideMark/>
                </w:tcPr>
                <w:p w14:paraId="46CA6F2F" w14:textId="579711A7" w:rsidR="002D42C1" w:rsidRPr="00DE108C" w:rsidRDefault="002D42C1" w:rsidP="00C92A0B">
                  <w:pPr>
                    <w:spacing w:before="60" w:after="60"/>
                    <w:jc w:val="center"/>
                    <w:rPr>
                      <w:sz w:val="16"/>
                      <w:szCs w:val="16"/>
                    </w:rPr>
                  </w:pPr>
                  <w:r w:rsidRPr="00DE108C">
                    <w:rPr>
                      <w:b/>
                      <w:bCs/>
                      <w:sz w:val="16"/>
                      <w:szCs w:val="16"/>
                    </w:rPr>
                    <w:t>2029-30</w:t>
                  </w:r>
                </w:p>
              </w:tc>
              <w:tc>
                <w:tcPr>
                  <w:tcW w:w="1365" w:type="dxa"/>
                  <w:tcBorders>
                    <w:top w:val="single" w:sz="6" w:space="0" w:color="4EC6FF"/>
                    <w:left w:val="nil"/>
                    <w:bottom w:val="single" w:sz="6" w:space="0" w:color="4EC6FF"/>
                    <w:right w:val="nil"/>
                  </w:tcBorders>
                  <w:hideMark/>
                </w:tcPr>
                <w:p w14:paraId="5F1828DA" w14:textId="598D0D0E" w:rsidR="002D42C1" w:rsidRPr="00DE108C" w:rsidRDefault="002D42C1" w:rsidP="00C92A0B">
                  <w:pPr>
                    <w:spacing w:before="60" w:after="60"/>
                    <w:jc w:val="center"/>
                    <w:rPr>
                      <w:sz w:val="16"/>
                      <w:szCs w:val="16"/>
                    </w:rPr>
                  </w:pPr>
                  <w:r w:rsidRPr="00DE108C">
                    <w:rPr>
                      <w:b/>
                      <w:bCs/>
                      <w:sz w:val="16"/>
                      <w:szCs w:val="16"/>
                    </w:rPr>
                    <w:t>2030-31</w:t>
                  </w:r>
                </w:p>
              </w:tc>
            </w:tr>
            <w:tr w:rsidR="002D42C1" w:rsidRPr="00DE108C" w14:paraId="471F0660" w14:textId="77777777" w:rsidTr="00ED094E">
              <w:trPr>
                <w:trHeight w:val="300"/>
              </w:trPr>
              <w:tc>
                <w:tcPr>
                  <w:tcW w:w="1365" w:type="dxa"/>
                  <w:tcBorders>
                    <w:top w:val="single" w:sz="6" w:space="0" w:color="4EC6FF"/>
                    <w:left w:val="nil"/>
                    <w:bottom w:val="single" w:sz="6" w:space="0" w:color="4EC6FF"/>
                    <w:right w:val="nil"/>
                  </w:tcBorders>
                  <w:shd w:val="clear" w:color="auto" w:fill="46C2D7"/>
                  <w:hideMark/>
                </w:tcPr>
                <w:p w14:paraId="156D1194" w14:textId="4999B92F"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65" w:type="dxa"/>
                  <w:tcBorders>
                    <w:top w:val="single" w:sz="6" w:space="0" w:color="4EC6FF"/>
                    <w:left w:val="nil"/>
                    <w:bottom w:val="single" w:sz="6" w:space="0" w:color="4EC6FF"/>
                    <w:right w:val="nil"/>
                  </w:tcBorders>
                  <w:shd w:val="clear" w:color="auto" w:fill="46C2D7"/>
                  <w:vAlign w:val="center"/>
                  <w:hideMark/>
                </w:tcPr>
                <w:p w14:paraId="14482A6B" w14:textId="162BBEA0" w:rsidR="002D42C1" w:rsidRPr="00DE108C" w:rsidRDefault="002D42C1" w:rsidP="00097A90">
                  <w:pPr>
                    <w:spacing w:before="60" w:after="60"/>
                    <w:jc w:val="center"/>
                    <w:rPr>
                      <w:sz w:val="16"/>
                      <w:szCs w:val="16"/>
                    </w:rPr>
                  </w:pPr>
                  <w:r w:rsidRPr="00DE108C">
                    <w:rPr>
                      <w:sz w:val="16"/>
                      <w:szCs w:val="16"/>
                    </w:rPr>
                    <w:t>$1,110</w:t>
                  </w:r>
                </w:p>
              </w:tc>
              <w:tc>
                <w:tcPr>
                  <w:tcW w:w="1365" w:type="dxa"/>
                  <w:tcBorders>
                    <w:top w:val="single" w:sz="6" w:space="0" w:color="4EC6FF"/>
                    <w:left w:val="nil"/>
                    <w:bottom w:val="single" w:sz="6" w:space="0" w:color="4EC6FF"/>
                    <w:right w:val="nil"/>
                  </w:tcBorders>
                  <w:shd w:val="clear" w:color="auto" w:fill="46C2D7"/>
                  <w:vAlign w:val="center"/>
                  <w:hideMark/>
                </w:tcPr>
                <w:p w14:paraId="2F900192" w14:textId="253ACF8B" w:rsidR="002D42C1" w:rsidRPr="00DE108C" w:rsidRDefault="002D42C1" w:rsidP="00097A90">
                  <w:pPr>
                    <w:spacing w:before="60" w:after="60"/>
                    <w:jc w:val="center"/>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shd w:val="clear" w:color="auto" w:fill="46C2D7"/>
                  <w:vAlign w:val="center"/>
                  <w:hideMark/>
                </w:tcPr>
                <w:p w14:paraId="42990871" w14:textId="0BD08170" w:rsidR="002D42C1" w:rsidRPr="00DE108C" w:rsidRDefault="002D42C1" w:rsidP="00097A90">
                  <w:pPr>
                    <w:spacing w:before="60" w:after="60"/>
                    <w:jc w:val="center"/>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shd w:val="clear" w:color="auto" w:fill="46C2D7"/>
                  <w:vAlign w:val="center"/>
                  <w:hideMark/>
                </w:tcPr>
                <w:p w14:paraId="03E5BF0E" w14:textId="497139F3" w:rsidR="002D42C1" w:rsidRPr="00DE108C" w:rsidRDefault="00510FDD" w:rsidP="00097A90">
                  <w:pPr>
                    <w:spacing w:before="60" w:after="60"/>
                    <w:jc w:val="center"/>
                    <w:rPr>
                      <w:sz w:val="16"/>
                      <w:szCs w:val="16"/>
                    </w:rPr>
                  </w:pPr>
                  <w:r w:rsidRPr="0091606C">
                    <w:rPr>
                      <w:rFonts w:eastAsiaTheme="minorEastAsia"/>
                      <w:sz w:val="16"/>
                      <w:szCs w:val="16"/>
                    </w:rPr>
                    <w:t>0</w:t>
                  </w:r>
                  <w:r w:rsidRPr="0091606C">
                    <w:rPr>
                      <w:color w:val="auto"/>
                      <w:sz w:val="16"/>
                      <w:szCs w:val="16"/>
                    </w:rPr>
                    <w:t>.9</w:t>
                  </w:r>
                  <w:r w:rsidRPr="0091606C">
                    <w:rPr>
                      <w:rFonts w:eastAsiaTheme="minorEastAsia"/>
                      <w:sz w:val="16"/>
                      <w:szCs w:val="16"/>
                    </w:rPr>
                    <w:t>%</w:t>
                  </w:r>
                </w:p>
              </w:tc>
              <w:tc>
                <w:tcPr>
                  <w:tcW w:w="1365" w:type="dxa"/>
                  <w:tcBorders>
                    <w:top w:val="single" w:sz="6" w:space="0" w:color="4EC6FF"/>
                    <w:left w:val="nil"/>
                    <w:bottom w:val="single" w:sz="6" w:space="0" w:color="4EC6FF"/>
                    <w:right w:val="nil"/>
                  </w:tcBorders>
                  <w:shd w:val="clear" w:color="auto" w:fill="46C2D7"/>
                  <w:vAlign w:val="center"/>
                  <w:hideMark/>
                </w:tcPr>
                <w:p w14:paraId="1FDF340F" w14:textId="12045CDA" w:rsidR="002D42C1" w:rsidRPr="00DE108C" w:rsidRDefault="002D42C1" w:rsidP="00097A90">
                  <w:pPr>
                    <w:spacing w:before="60" w:after="60"/>
                    <w:jc w:val="center"/>
                    <w:rPr>
                      <w:sz w:val="16"/>
                      <w:szCs w:val="16"/>
                    </w:rPr>
                  </w:pPr>
                  <w:r w:rsidRPr="00DE108C">
                    <w:rPr>
                      <w:sz w:val="16"/>
                      <w:szCs w:val="16"/>
                    </w:rPr>
                    <w:t>0.9%</w:t>
                  </w:r>
                </w:p>
              </w:tc>
              <w:tc>
                <w:tcPr>
                  <w:tcW w:w="1365" w:type="dxa"/>
                  <w:tcBorders>
                    <w:top w:val="single" w:sz="6" w:space="0" w:color="4EC6FF"/>
                    <w:left w:val="nil"/>
                    <w:bottom w:val="single" w:sz="6" w:space="0" w:color="4EC6FF"/>
                    <w:right w:val="nil"/>
                  </w:tcBorders>
                  <w:shd w:val="clear" w:color="auto" w:fill="46C2D7"/>
                  <w:vAlign w:val="center"/>
                  <w:hideMark/>
                </w:tcPr>
                <w:p w14:paraId="50DCF139" w14:textId="39CB24B0" w:rsidR="002D42C1" w:rsidRPr="00DE108C" w:rsidRDefault="002D42C1" w:rsidP="00097A90">
                  <w:pPr>
                    <w:spacing w:before="60" w:after="60"/>
                    <w:jc w:val="center"/>
                    <w:rPr>
                      <w:sz w:val="16"/>
                      <w:szCs w:val="16"/>
                    </w:rPr>
                  </w:pPr>
                  <w:r w:rsidRPr="0091606C">
                    <w:rPr>
                      <w:rFonts w:eastAsiaTheme="minorEastAsia"/>
                      <w:sz w:val="16"/>
                      <w:szCs w:val="16"/>
                    </w:rPr>
                    <w:t>0.</w:t>
                  </w:r>
                  <w:r w:rsidR="00510FDD" w:rsidRPr="0091606C">
                    <w:rPr>
                      <w:color w:val="auto"/>
                      <w:sz w:val="16"/>
                      <w:szCs w:val="16"/>
                    </w:rPr>
                    <w:t>8</w:t>
                  </w:r>
                  <w:r w:rsidR="00510FDD" w:rsidRPr="0091606C">
                    <w:rPr>
                      <w:rFonts w:eastAsiaTheme="minorEastAsia"/>
                      <w:sz w:val="16"/>
                      <w:szCs w:val="16"/>
                    </w:rPr>
                    <w:t>%</w:t>
                  </w:r>
                </w:p>
              </w:tc>
            </w:tr>
            <w:tr w:rsidR="002D42C1" w:rsidRPr="00DE108C" w14:paraId="26DC596B" w14:textId="77777777" w:rsidTr="00ED094E">
              <w:trPr>
                <w:trHeight w:val="300"/>
              </w:trPr>
              <w:tc>
                <w:tcPr>
                  <w:tcW w:w="1365" w:type="dxa"/>
                  <w:tcBorders>
                    <w:top w:val="single" w:sz="6" w:space="0" w:color="4EC6FF"/>
                    <w:left w:val="nil"/>
                    <w:bottom w:val="single" w:sz="6" w:space="0" w:color="4EC6FF"/>
                    <w:right w:val="nil"/>
                  </w:tcBorders>
                  <w:hideMark/>
                </w:tcPr>
                <w:p w14:paraId="0C447595" w14:textId="34C80953"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395F8D67" w14:textId="273CAB83" w:rsidR="002D42C1" w:rsidRPr="00DE108C" w:rsidRDefault="002D42C1" w:rsidP="00097A90">
                  <w:pPr>
                    <w:spacing w:before="60" w:after="60"/>
                    <w:jc w:val="center"/>
                    <w:rPr>
                      <w:sz w:val="16"/>
                      <w:szCs w:val="16"/>
                    </w:rPr>
                  </w:pPr>
                  <w:r w:rsidRPr="00DE108C">
                    <w:rPr>
                      <w:sz w:val="16"/>
                      <w:szCs w:val="16"/>
                    </w:rPr>
                    <w:t>$1,057</w:t>
                  </w:r>
                </w:p>
              </w:tc>
              <w:tc>
                <w:tcPr>
                  <w:tcW w:w="1365" w:type="dxa"/>
                  <w:tcBorders>
                    <w:top w:val="single" w:sz="6" w:space="0" w:color="4EC6FF"/>
                    <w:left w:val="nil"/>
                    <w:bottom w:val="single" w:sz="6" w:space="0" w:color="4EC6FF"/>
                    <w:right w:val="nil"/>
                  </w:tcBorders>
                  <w:vAlign w:val="center"/>
                  <w:hideMark/>
                </w:tcPr>
                <w:p w14:paraId="21C06BB5" w14:textId="01D9929F" w:rsidR="002D42C1" w:rsidRPr="00DE108C" w:rsidRDefault="002D42C1" w:rsidP="00097A90">
                  <w:pPr>
                    <w:spacing w:before="60" w:after="60"/>
                    <w:jc w:val="center"/>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6DF0B693" w14:textId="684748B5" w:rsidR="002D42C1" w:rsidRPr="00DE108C" w:rsidRDefault="002D42C1" w:rsidP="00097A90">
                  <w:pPr>
                    <w:spacing w:before="60" w:after="60"/>
                    <w:jc w:val="center"/>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46990B9B" w14:textId="24DA7B0D" w:rsidR="002D42C1" w:rsidRPr="00DE108C" w:rsidRDefault="002D42C1" w:rsidP="00097A90">
                  <w:pPr>
                    <w:spacing w:before="60" w:after="60"/>
                    <w:jc w:val="center"/>
                    <w:rPr>
                      <w:sz w:val="16"/>
                      <w:szCs w:val="16"/>
                    </w:rPr>
                  </w:pPr>
                  <w:r w:rsidRPr="00DE108C">
                    <w:rPr>
                      <w:sz w:val="16"/>
                      <w:szCs w:val="16"/>
                    </w:rPr>
                    <w:t>0.</w:t>
                  </w:r>
                  <w:r w:rsidR="00AA1DE7" w:rsidRPr="00510FDD">
                    <w:rPr>
                      <w:color w:val="auto"/>
                      <w:sz w:val="16"/>
                      <w:szCs w:val="16"/>
                    </w:rPr>
                    <w:t>1</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785F09DA" w14:textId="1E082FD4" w:rsidR="002D42C1" w:rsidRPr="00DE108C" w:rsidRDefault="002D42C1" w:rsidP="00097A90">
                  <w:pPr>
                    <w:spacing w:before="60" w:after="60"/>
                    <w:jc w:val="center"/>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7109FA83" w14:textId="49337906" w:rsidR="002D42C1" w:rsidRPr="00DE108C" w:rsidRDefault="002D42C1" w:rsidP="00097A90">
                  <w:pPr>
                    <w:spacing w:before="60" w:after="60"/>
                    <w:jc w:val="center"/>
                    <w:rPr>
                      <w:sz w:val="16"/>
                      <w:szCs w:val="16"/>
                    </w:rPr>
                  </w:pPr>
                  <w:r w:rsidRPr="00DE108C">
                    <w:rPr>
                      <w:sz w:val="16"/>
                      <w:szCs w:val="16"/>
                    </w:rPr>
                    <w:t>0.1%</w:t>
                  </w:r>
                </w:p>
              </w:tc>
            </w:tr>
            <w:tr w:rsidR="002D42C1" w:rsidRPr="00DE108C" w14:paraId="131618FF" w14:textId="77777777" w:rsidTr="00ED094E">
              <w:trPr>
                <w:trHeight w:val="300"/>
              </w:trPr>
              <w:tc>
                <w:tcPr>
                  <w:tcW w:w="1365" w:type="dxa"/>
                  <w:tcBorders>
                    <w:top w:val="single" w:sz="6" w:space="0" w:color="4EC6FF"/>
                    <w:left w:val="nil"/>
                    <w:bottom w:val="single" w:sz="6" w:space="0" w:color="4EC6FF"/>
                    <w:right w:val="nil"/>
                  </w:tcBorders>
                  <w:hideMark/>
                </w:tcPr>
                <w:p w14:paraId="6E5F3203"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550E9C9E" w14:textId="5D8C7A95" w:rsidR="002D42C1" w:rsidRPr="00DE108C" w:rsidRDefault="002D42C1" w:rsidP="00097A90">
                  <w:pPr>
                    <w:spacing w:before="60" w:after="60"/>
                    <w:jc w:val="center"/>
                    <w:rPr>
                      <w:sz w:val="16"/>
                      <w:szCs w:val="16"/>
                    </w:rPr>
                  </w:pPr>
                  <w:r w:rsidRPr="00DE108C">
                    <w:rPr>
                      <w:sz w:val="16"/>
                      <w:szCs w:val="16"/>
                    </w:rPr>
                    <w:t>$1,114</w:t>
                  </w:r>
                </w:p>
              </w:tc>
              <w:tc>
                <w:tcPr>
                  <w:tcW w:w="1365" w:type="dxa"/>
                  <w:tcBorders>
                    <w:top w:val="single" w:sz="6" w:space="0" w:color="4EC6FF"/>
                    <w:left w:val="nil"/>
                    <w:bottom w:val="single" w:sz="6" w:space="0" w:color="4EC6FF"/>
                    <w:right w:val="nil"/>
                  </w:tcBorders>
                  <w:vAlign w:val="center"/>
                  <w:hideMark/>
                </w:tcPr>
                <w:p w14:paraId="2C9B393C" w14:textId="3BFA7F17" w:rsidR="002D42C1" w:rsidRPr="00DE108C" w:rsidRDefault="002D42C1" w:rsidP="00097A90">
                  <w:pPr>
                    <w:spacing w:before="60" w:after="60"/>
                    <w:jc w:val="center"/>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59EF727C" w14:textId="2300AB1D" w:rsidR="002D42C1" w:rsidRPr="00DE108C" w:rsidRDefault="002D42C1" w:rsidP="00097A90">
                  <w:pPr>
                    <w:spacing w:before="60" w:after="60"/>
                    <w:jc w:val="center"/>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5207E805" w14:textId="0BC26A9A" w:rsidR="002D42C1" w:rsidRPr="00DE108C" w:rsidRDefault="002D42C1" w:rsidP="00097A90">
                  <w:pPr>
                    <w:spacing w:before="60" w:after="60"/>
                    <w:jc w:val="center"/>
                    <w:rPr>
                      <w:sz w:val="16"/>
                      <w:szCs w:val="16"/>
                    </w:rPr>
                  </w:pPr>
                  <w:r w:rsidRPr="0091606C">
                    <w:rPr>
                      <w:rFonts w:eastAsiaTheme="minorEastAsia"/>
                      <w:sz w:val="16"/>
                      <w:szCs w:val="16"/>
                    </w:rPr>
                    <w:t>-0.</w:t>
                  </w:r>
                  <w:r w:rsidR="00510FDD" w:rsidRPr="0091606C">
                    <w:rPr>
                      <w:color w:val="auto"/>
                      <w:sz w:val="16"/>
                      <w:szCs w:val="16"/>
                    </w:rPr>
                    <w:t>7</w:t>
                  </w:r>
                  <w:r w:rsidR="00510FDD" w:rsidRPr="0091606C">
                    <w:rPr>
                      <w:rFonts w:eastAsiaTheme="minorEastAsia"/>
                      <w:sz w:val="16"/>
                      <w:szCs w:val="16"/>
                    </w:rPr>
                    <w:t>%</w:t>
                  </w:r>
                </w:p>
              </w:tc>
              <w:tc>
                <w:tcPr>
                  <w:tcW w:w="1365" w:type="dxa"/>
                  <w:tcBorders>
                    <w:top w:val="single" w:sz="6" w:space="0" w:color="4EC6FF"/>
                    <w:left w:val="nil"/>
                    <w:bottom w:val="single" w:sz="6" w:space="0" w:color="4EC6FF"/>
                    <w:right w:val="nil"/>
                  </w:tcBorders>
                  <w:vAlign w:val="center"/>
                  <w:hideMark/>
                </w:tcPr>
                <w:p w14:paraId="145CF404" w14:textId="2378E449" w:rsidR="002D42C1" w:rsidRPr="00DE108C" w:rsidRDefault="002D42C1" w:rsidP="00097A90">
                  <w:pPr>
                    <w:spacing w:before="60" w:after="60"/>
                    <w:jc w:val="center"/>
                    <w:rPr>
                      <w:sz w:val="16"/>
                      <w:szCs w:val="16"/>
                    </w:rPr>
                  </w:pPr>
                  <w:r w:rsidRPr="00DE108C">
                    <w:rPr>
                      <w:sz w:val="16"/>
                      <w:szCs w:val="16"/>
                    </w:rPr>
                    <w:t>-0.</w:t>
                  </w:r>
                  <w:r w:rsidRPr="00510FDD">
                    <w:rPr>
                      <w:color w:val="auto"/>
                      <w:sz w:val="16"/>
                      <w:szCs w:val="16"/>
                    </w:rPr>
                    <w:t>7</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4D09FC05" w14:textId="2B907F6E" w:rsidR="002D42C1" w:rsidRPr="00DE108C" w:rsidRDefault="002D42C1" w:rsidP="00097A90">
                  <w:pPr>
                    <w:spacing w:before="60" w:after="60"/>
                    <w:jc w:val="center"/>
                    <w:rPr>
                      <w:sz w:val="16"/>
                      <w:szCs w:val="16"/>
                    </w:rPr>
                  </w:pPr>
                  <w:r w:rsidRPr="00DE108C">
                    <w:rPr>
                      <w:sz w:val="16"/>
                      <w:szCs w:val="16"/>
                    </w:rPr>
                    <w:t>-0.</w:t>
                  </w:r>
                  <w:r w:rsidRPr="00510FDD">
                    <w:rPr>
                      <w:color w:val="auto"/>
                      <w:sz w:val="16"/>
                      <w:szCs w:val="16"/>
                    </w:rPr>
                    <w:t>8</w:t>
                  </w:r>
                  <w:r w:rsidRPr="00DE108C">
                    <w:rPr>
                      <w:sz w:val="16"/>
                      <w:szCs w:val="16"/>
                    </w:rPr>
                    <w:t>%</w:t>
                  </w:r>
                </w:p>
              </w:tc>
            </w:tr>
            <w:tr w:rsidR="002D42C1" w:rsidRPr="00DE108C" w14:paraId="78D27F3F" w14:textId="77777777" w:rsidTr="00ED094E">
              <w:trPr>
                <w:trHeight w:val="300"/>
              </w:trPr>
              <w:tc>
                <w:tcPr>
                  <w:tcW w:w="1365" w:type="dxa"/>
                  <w:tcBorders>
                    <w:top w:val="single" w:sz="6" w:space="0" w:color="4EC6FF"/>
                    <w:left w:val="nil"/>
                    <w:bottom w:val="single" w:sz="6" w:space="0" w:color="4EC6FF"/>
                    <w:right w:val="nil"/>
                  </w:tcBorders>
                  <w:hideMark/>
                </w:tcPr>
                <w:p w14:paraId="51C9A58F" w14:textId="0B4B53AE"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3FE13E42" w14:textId="71479698" w:rsidR="002D42C1" w:rsidRPr="00DE108C" w:rsidRDefault="002D42C1" w:rsidP="00097A90">
                  <w:pPr>
                    <w:spacing w:before="60" w:after="60"/>
                    <w:jc w:val="center"/>
                    <w:rPr>
                      <w:sz w:val="16"/>
                      <w:szCs w:val="16"/>
                    </w:rPr>
                  </w:pPr>
                  <w:r w:rsidRPr="00DE108C">
                    <w:rPr>
                      <w:sz w:val="16"/>
                      <w:szCs w:val="16"/>
                    </w:rPr>
                    <w:t>$1,183</w:t>
                  </w:r>
                </w:p>
              </w:tc>
              <w:tc>
                <w:tcPr>
                  <w:tcW w:w="1365" w:type="dxa"/>
                  <w:tcBorders>
                    <w:top w:val="single" w:sz="6" w:space="0" w:color="4EC6FF"/>
                    <w:left w:val="nil"/>
                    <w:bottom w:val="single" w:sz="6" w:space="0" w:color="4EC6FF"/>
                    <w:right w:val="nil"/>
                  </w:tcBorders>
                  <w:vAlign w:val="center"/>
                  <w:hideMark/>
                </w:tcPr>
                <w:p w14:paraId="3F1E459D" w14:textId="714F31A9" w:rsidR="002D42C1" w:rsidRPr="00DE108C" w:rsidRDefault="002D42C1" w:rsidP="00097A90">
                  <w:pPr>
                    <w:spacing w:before="60" w:after="60"/>
                    <w:jc w:val="center"/>
                    <w:rPr>
                      <w:sz w:val="16"/>
                      <w:szCs w:val="16"/>
                    </w:rPr>
                  </w:pPr>
                  <w:r w:rsidRPr="00DE108C">
                    <w:rPr>
                      <w:sz w:val="16"/>
                      <w:szCs w:val="16"/>
                    </w:rPr>
                    <w:t>-0.3%</w:t>
                  </w:r>
                </w:p>
              </w:tc>
              <w:tc>
                <w:tcPr>
                  <w:tcW w:w="1365" w:type="dxa"/>
                  <w:tcBorders>
                    <w:top w:val="single" w:sz="6" w:space="0" w:color="4EC6FF"/>
                    <w:left w:val="nil"/>
                    <w:bottom w:val="single" w:sz="6" w:space="0" w:color="4EC6FF"/>
                    <w:right w:val="nil"/>
                  </w:tcBorders>
                  <w:vAlign w:val="center"/>
                  <w:hideMark/>
                </w:tcPr>
                <w:p w14:paraId="0761777F" w14:textId="250A2759" w:rsidR="002D42C1" w:rsidRPr="00DE108C" w:rsidRDefault="002D42C1" w:rsidP="00097A90">
                  <w:pPr>
                    <w:spacing w:before="60" w:after="60"/>
                    <w:jc w:val="center"/>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41320659" w14:textId="028063E9" w:rsidR="002D42C1" w:rsidRPr="00DE108C" w:rsidRDefault="002D42C1" w:rsidP="00097A90">
                  <w:pPr>
                    <w:spacing w:before="60" w:after="60"/>
                    <w:jc w:val="center"/>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372A5B8D" w14:textId="2BA221D3" w:rsidR="002D42C1" w:rsidRPr="00DE108C" w:rsidRDefault="002D42C1" w:rsidP="00097A90">
                  <w:pPr>
                    <w:spacing w:before="60" w:after="60"/>
                    <w:jc w:val="center"/>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6F06F42E" w14:textId="2342682D" w:rsidR="002D42C1" w:rsidRPr="00DE108C" w:rsidRDefault="002D42C1" w:rsidP="00097A90">
                  <w:pPr>
                    <w:spacing w:before="60" w:after="60"/>
                    <w:jc w:val="center"/>
                    <w:rPr>
                      <w:sz w:val="16"/>
                      <w:szCs w:val="16"/>
                    </w:rPr>
                  </w:pPr>
                  <w:r w:rsidRPr="00DE108C">
                    <w:rPr>
                      <w:sz w:val="16"/>
                      <w:szCs w:val="16"/>
                    </w:rPr>
                    <w:t>0.4%</w:t>
                  </w:r>
                </w:p>
              </w:tc>
            </w:tr>
            <w:tr w:rsidR="002D42C1" w:rsidRPr="00DE108C" w14:paraId="47B69DAB" w14:textId="77777777" w:rsidTr="00ED094E">
              <w:trPr>
                <w:trHeight w:val="300"/>
              </w:trPr>
              <w:tc>
                <w:tcPr>
                  <w:tcW w:w="1365" w:type="dxa"/>
                  <w:tcBorders>
                    <w:top w:val="single" w:sz="6" w:space="0" w:color="4EC6FF"/>
                    <w:left w:val="nil"/>
                    <w:bottom w:val="single" w:sz="6" w:space="0" w:color="4EC6FF"/>
                    <w:right w:val="nil"/>
                  </w:tcBorders>
                  <w:hideMark/>
                </w:tcPr>
                <w:p w14:paraId="3E687B83" w14:textId="239BAD20"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49573285" w14:textId="626937B5" w:rsidR="002D42C1" w:rsidRPr="00DE108C" w:rsidRDefault="002D42C1" w:rsidP="00097A90">
                  <w:pPr>
                    <w:spacing w:before="60" w:after="60"/>
                    <w:jc w:val="center"/>
                    <w:rPr>
                      <w:sz w:val="16"/>
                      <w:szCs w:val="16"/>
                    </w:rPr>
                  </w:pPr>
                  <w:r w:rsidRPr="00DE108C">
                    <w:rPr>
                      <w:sz w:val="16"/>
                      <w:szCs w:val="16"/>
                    </w:rPr>
                    <w:t>$1,405</w:t>
                  </w:r>
                </w:p>
              </w:tc>
              <w:tc>
                <w:tcPr>
                  <w:tcW w:w="1365" w:type="dxa"/>
                  <w:tcBorders>
                    <w:top w:val="single" w:sz="6" w:space="0" w:color="4EC6FF"/>
                    <w:left w:val="nil"/>
                    <w:bottom w:val="single" w:sz="6" w:space="0" w:color="4EC6FF"/>
                    <w:right w:val="nil"/>
                  </w:tcBorders>
                  <w:vAlign w:val="center"/>
                  <w:hideMark/>
                </w:tcPr>
                <w:p w14:paraId="313A01AB" w14:textId="276EA5F5" w:rsidR="002D42C1" w:rsidRPr="00DE108C" w:rsidRDefault="002D42C1" w:rsidP="00097A90">
                  <w:pPr>
                    <w:spacing w:before="60" w:after="60"/>
                    <w:jc w:val="center"/>
                    <w:rPr>
                      <w:sz w:val="16"/>
                      <w:szCs w:val="16"/>
                    </w:rPr>
                  </w:pPr>
                  <w:r w:rsidRPr="00DE108C">
                    <w:rPr>
                      <w:sz w:val="16"/>
                      <w:szCs w:val="16"/>
                    </w:rPr>
                    <w:t>1.6%</w:t>
                  </w:r>
                </w:p>
              </w:tc>
              <w:tc>
                <w:tcPr>
                  <w:tcW w:w="1365" w:type="dxa"/>
                  <w:tcBorders>
                    <w:top w:val="single" w:sz="6" w:space="0" w:color="4EC6FF"/>
                    <w:left w:val="nil"/>
                    <w:bottom w:val="single" w:sz="6" w:space="0" w:color="4EC6FF"/>
                    <w:right w:val="nil"/>
                  </w:tcBorders>
                  <w:vAlign w:val="center"/>
                  <w:hideMark/>
                </w:tcPr>
                <w:p w14:paraId="195EBF6F" w14:textId="1484B814" w:rsidR="002D42C1" w:rsidRPr="00DE108C" w:rsidRDefault="002D42C1" w:rsidP="00097A90">
                  <w:pPr>
                    <w:spacing w:before="60" w:after="60"/>
                    <w:jc w:val="center"/>
                    <w:rPr>
                      <w:sz w:val="16"/>
                      <w:szCs w:val="16"/>
                    </w:rPr>
                  </w:pPr>
                  <w:r w:rsidRPr="00DE108C">
                    <w:rPr>
                      <w:sz w:val="16"/>
                      <w:szCs w:val="16"/>
                    </w:rPr>
                    <w:t>0.6%</w:t>
                  </w:r>
                </w:p>
              </w:tc>
              <w:tc>
                <w:tcPr>
                  <w:tcW w:w="1365" w:type="dxa"/>
                  <w:tcBorders>
                    <w:top w:val="single" w:sz="6" w:space="0" w:color="4EC6FF"/>
                    <w:left w:val="nil"/>
                    <w:bottom w:val="single" w:sz="6" w:space="0" w:color="4EC6FF"/>
                    <w:right w:val="nil"/>
                  </w:tcBorders>
                  <w:vAlign w:val="center"/>
                  <w:hideMark/>
                </w:tcPr>
                <w:p w14:paraId="62E2D5A5" w14:textId="28158181" w:rsidR="002D42C1" w:rsidRPr="00DE108C" w:rsidRDefault="002D42C1" w:rsidP="00097A90">
                  <w:pPr>
                    <w:spacing w:before="60" w:after="60"/>
                    <w:jc w:val="center"/>
                    <w:rPr>
                      <w:sz w:val="16"/>
                      <w:szCs w:val="16"/>
                    </w:rPr>
                  </w:pPr>
                  <w:r w:rsidRPr="00DE108C">
                    <w:rPr>
                      <w:sz w:val="16"/>
                      <w:szCs w:val="16"/>
                    </w:rPr>
                    <w:t>0.7%</w:t>
                  </w:r>
                </w:p>
              </w:tc>
              <w:tc>
                <w:tcPr>
                  <w:tcW w:w="1365" w:type="dxa"/>
                  <w:tcBorders>
                    <w:top w:val="single" w:sz="6" w:space="0" w:color="4EC6FF"/>
                    <w:left w:val="nil"/>
                    <w:bottom w:val="single" w:sz="6" w:space="0" w:color="4EC6FF"/>
                    <w:right w:val="nil"/>
                  </w:tcBorders>
                  <w:vAlign w:val="center"/>
                  <w:hideMark/>
                </w:tcPr>
                <w:p w14:paraId="332B105B" w14:textId="4FAD0509" w:rsidR="002D42C1" w:rsidRPr="00DE108C" w:rsidRDefault="002D42C1" w:rsidP="00097A90">
                  <w:pPr>
                    <w:spacing w:before="60" w:after="60"/>
                    <w:jc w:val="center"/>
                    <w:rPr>
                      <w:sz w:val="16"/>
                      <w:szCs w:val="16"/>
                    </w:rPr>
                  </w:pPr>
                  <w:r w:rsidRPr="00DE108C">
                    <w:rPr>
                      <w:sz w:val="16"/>
                      <w:szCs w:val="16"/>
                    </w:rPr>
                    <w:t>0.9%</w:t>
                  </w:r>
                </w:p>
              </w:tc>
              <w:tc>
                <w:tcPr>
                  <w:tcW w:w="1365" w:type="dxa"/>
                  <w:tcBorders>
                    <w:top w:val="single" w:sz="6" w:space="0" w:color="4EC6FF"/>
                    <w:left w:val="nil"/>
                    <w:bottom w:val="single" w:sz="6" w:space="0" w:color="4EC6FF"/>
                    <w:right w:val="nil"/>
                  </w:tcBorders>
                  <w:vAlign w:val="center"/>
                  <w:hideMark/>
                </w:tcPr>
                <w:p w14:paraId="161F3EBD" w14:textId="112D39A8" w:rsidR="002D42C1" w:rsidRPr="00DE108C" w:rsidRDefault="002D42C1" w:rsidP="00097A90">
                  <w:pPr>
                    <w:spacing w:before="60" w:after="60"/>
                    <w:jc w:val="center"/>
                    <w:rPr>
                      <w:sz w:val="16"/>
                      <w:szCs w:val="16"/>
                    </w:rPr>
                  </w:pPr>
                  <w:r w:rsidRPr="00DE108C">
                    <w:rPr>
                      <w:sz w:val="16"/>
                      <w:szCs w:val="16"/>
                    </w:rPr>
                    <w:t>1.1%</w:t>
                  </w:r>
                </w:p>
              </w:tc>
            </w:tr>
            <w:tr w:rsidR="002D42C1" w:rsidRPr="00DE108C" w14:paraId="0615B50D" w14:textId="77777777" w:rsidTr="00ED094E">
              <w:trPr>
                <w:trHeight w:val="300"/>
              </w:trPr>
              <w:tc>
                <w:tcPr>
                  <w:tcW w:w="1365" w:type="dxa"/>
                  <w:tcBorders>
                    <w:top w:val="single" w:sz="6" w:space="0" w:color="4EC6FF"/>
                    <w:left w:val="nil"/>
                    <w:bottom w:val="single" w:sz="6" w:space="0" w:color="4EC6FF"/>
                    <w:right w:val="nil"/>
                  </w:tcBorders>
                  <w:hideMark/>
                </w:tcPr>
                <w:p w14:paraId="43CB8E20"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731835C4" w14:textId="798B0992" w:rsidR="002D42C1" w:rsidRPr="00DE108C" w:rsidRDefault="002D42C1" w:rsidP="00097A90">
                  <w:pPr>
                    <w:spacing w:before="60" w:after="60"/>
                    <w:jc w:val="center"/>
                    <w:rPr>
                      <w:sz w:val="16"/>
                      <w:szCs w:val="16"/>
                    </w:rPr>
                  </w:pPr>
                  <w:r w:rsidRPr="00DE108C">
                    <w:rPr>
                      <w:sz w:val="16"/>
                      <w:szCs w:val="16"/>
                    </w:rPr>
                    <w:t>$1,394</w:t>
                  </w:r>
                </w:p>
              </w:tc>
              <w:tc>
                <w:tcPr>
                  <w:tcW w:w="1365" w:type="dxa"/>
                  <w:tcBorders>
                    <w:top w:val="single" w:sz="6" w:space="0" w:color="4EC6FF"/>
                    <w:left w:val="nil"/>
                    <w:bottom w:val="single" w:sz="6" w:space="0" w:color="4EC6FF"/>
                    <w:right w:val="nil"/>
                  </w:tcBorders>
                  <w:vAlign w:val="center"/>
                  <w:hideMark/>
                </w:tcPr>
                <w:p w14:paraId="02D39FBC" w14:textId="008DCD50" w:rsidR="002D42C1" w:rsidRPr="00DE108C" w:rsidRDefault="002D42C1" w:rsidP="00097A90">
                  <w:pPr>
                    <w:spacing w:before="60" w:after="60"/>
                    <w:jc w:val="center"/>
                    <w:rPr>
                      <w:sz w:val="16"/>
                      <w:szCs w:val="16"/>
                    </w:rPr>
                  </w:pP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0BA3A8C5" w14:textId="2F6FAA3D" w:rsidR="002D42C1" w:rsidRPr="00DE108C" w:rsidRDefault="002D42C1" w:rsidP="00097A90">
                  <w:pPr>
                    <w:spacing w:before="60" w:after="60"/>
                    <w:jc w:val="center"/>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208E4D43" w14:textId="39C47EFE" w:rsidR="002D42C1" w:rsidRPr="00DE108C" w:rsidRDefault="002D42C1" w:rsidP="00097A90">
                  <w:pPr>
                    <w:spacing w:before="60" w:after="60"/>
                    <w:jc w:val="center"/>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0E36B696" w14:textId="79E6B6B6" w:rsidR="002D42C1" w:rsidRPr="00DE108C" w:rsidRDefault="002D42C1" w:rsidP="00097A90">
                  <w:pPr>
                    <w:spacing w:before="60" w:after="60"/>
                    <w:jc w:val="center"/>
                    <w:rPr>
                      <w:sz w:val="16"/>
                      <w:szCs w:val="16"/>
                    </w:rPr>
                  </w:pPr>
                  <w:r w:rsidRPr="00DE108C">
                    <w:rPr>
                      <w:sz w:val="16"/>
                      <w:szCs w:val="16"/>
                    </w:rPr>
                    <w:t>0.2%</w:t>
                  </w:r>
                </w:p>
              </w:tc>
              <w:tc>
                <w:tcPr>
                  <w:tcW w:w="1365" w:type="dxa"/>
                  <w:tcBorders>
                    <w:top w:val="single" w:sz="6" w:space="0" w:color="4EC6FF"/>
                    <w:left w:val="nil"/>
                    <w:bottom w:val="single" w:sz="6" w:space="0" w:color="4EC6FF"/>
                    <w:right w:val="nil"/>
                  </w:tcBorders>
                  <w:vAlign w:val="center"/>
                  <w:hideMark/>
                </w:tcPr>
                <w:p w14:paraId="64074602" w14:textId="4822C9A4" w:rsidR="002D42C1" w:rsidRPr="00DE108C" w:rsidRDefault="002D42C1" w:rsidP="00097A90">
                  <w:pPr>
                    <w:spacing w:before="60" w:after="60"/>
                    <w:jc w:val="center"/>
                    <w:rPr>
                      <w:sz w:val="16"/>
                      <w:szCs w:val="16"/>
                    </w:rPr>
                  </w:pPr>
                  <w:r w:rsidRPr="00DE108C">
                    <w:rPr>
                      <w:sz w:val="16"/>
                      <w:szCs w:val="16"/>
                    </w:rPr>
                    <w:t>0.2%</w:t>
                  </w:r>
                </w:p>
              </w:tc>
            </w:tr>
            <w:tr w:rsidR="002D42C1" w:rsidRPr="00DE108C" w14:paraId="5337836F" w14:textId="77777777" w:rsidTr="00ED094E">
              <w:trPr>
                <w:trHeight w:val="300"/>
              </w:trPr>
              <w:tc>
                <w:tcPr>
                  <w:tcW w:w="1365" w:type="dxa"/>
                  <w:tcBorders>
                    <w:top w:val="single" w:sz="6" w:space="0" w:color="4EC6FF"/>
                    <w:left w:val="nil"/>
                    <w:bottom w:val="single" w:sz="6" w:space="0" w:color="4EC6FF"/>
                    <w:right w:val="nil"/>
                  </w:tcBorders>
                  <w:hideMark/>
                </w:tcPr>
                <w:p w14:paraId="09CF6853" w14:textId="77777777"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74E1FF42" w14:textId="65FB18AD" w:rsidR="002D42C1" w:rsidRPr="00DE108C" w:rsidRDefault="002D42C1" w:rsidP="00097A90">
                  <w:pPr>
                    <w:spacing w:before="60" w:after="60"/>
                    <w:jc w:val="center"/>
                    <w:rPr>
                      <w:sz w:val="16"/>
                      <w:szCs w:val="16"/>
                    </w:rPr>
                  </w:pPr>
                  <w:r w:rsidRPr="00DE108C">
                    <w:rPr>
                      <w:sz w:val="16"/>
                      <w:szCs w:val="16"/>
                    </w:rPr>
                    <w:t>$1,492</w:t>
                  </w:r>
                </w:p>
              </w:tc>
              <w:tc>
                <w:tcPr>
                  <w:tcW w:w="1365" w:type="dxa"/>
                  <w:tcBorders>
                    <w:top w:val="single" w:sz="6" w:space="0" w:color="4EC6FF"/>
                    <w:left w:val="nil"/>
                    <w:bottom w:val="single" w:sz="6" w:space="0" w:color="4EC6FF"/>
                    <w:right w:val="nil"/>
                  </w:tcBorders>
                  <w:vAlign w:val="center"/>
                  <w:hideMark/>
                </w:tcPr>
                <w:p w14:paraId="1D0A6F47" w14:textId="4F7B5A53" w:rsidR="002D42C1" w:rsidRPr="00DE108C" w:rsidRDefault="002D42C1" w:rsidP="00097A90">
                  <w:pPr>
                    <w:spacing w:before="60" w:after="60"/>
                    <w:jc w:val="center"/>
                    <w:rPr>
                      <w:sz w:val="16"/>
                      <w:szCs w:val="16"/>
                    </w:rPr>
                  </w:pPr>
                  <w:r w:rsidRPr="00510FDD">
                    <w:rPr>
                      <w:color w:val="auto"/>
                      <w:sz w:val="16"/>
                      <w:szCs w:val="16"/>
                    </w:rPr>
                    <w:t>-</w:t>
                  </w:r>
                  <w:r w:rsidRPr="00DE108C">
                    <w:rPr>
                      <w:sz w:val="16"/>
                      <w:szCs w:val="16"/>
                    </w:rPr>
                    <w:t>0.</w:t>
                  </w:r>
                  <w:r w:rsidRPr="00510FDD">
                    <w:rPr>
                      <w:color w:val="auto"/>
                      <w:sz w:val="16"/>
                      <w:szCs w:val="16"/>
                    </w:rPr>
                    <w:t>8</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345BCAA4" w14:textId="5669AF94" w:rsidR="002D42C1" w:rsidRPr="00DE108C" w:rsidRDefault="002D42C1" w:rsidP="00097A90">
                  <w:pPr>
                    <w:spacing w:before="60" w:after="60"/>
                    <w:jc w:val="center"/>
                    <w:rPr>
                      <w:sz w:val="16"/>
                      <w:szCs w:val="16"/>
                    </w:rPr>
                  </w:pPr>
                  <w:r w:rsidRPr="00DE108C">
                    <w:rPr>
                      <w:sz w:val="16"/>
                      <w:szCs w:val="16"/>
                    </w:rPr>
                    <w:t>0.0%</w:t>
                  </w:r>
                </w:p>
              </w:tc>
              <w:tc>
                <w:tcPr>
                  <w:tcW w:w="1365" w:type="dxa"/>
                  <w:tcBorders>
                    <w:top w:val="single" w:sz="6" w:space="0" w:color="4EC6FF"/>
                    <w:left w:val="nil"/>
                    <w:bottom w:val="single" w:sz="6" w:space="0" w:color="4EC6FF"/>
                    <w:right w:val="nil"/>
                  </w:tcBorders>
                  <w:vAlign w:val="center"/>
                  <w:hideMark/>
                </w:tcPr>
                <w:p w14:paraId="4079B2DF" w14:textId="1BA76BE1" w:rsidR="002D42C1" w:rsidRPr="00DE108C" w:rsidRDefault="002D42C1" w:rsidP="00097A90">
                  <w:pPr>
                    <w:spacing w:before="60" w:after="60"/>
                    <w:jc w:val="center"/>
                    <w:rPr>
                      <w:sz w:val="16"/>
                      <w:szCs w:val="16"/>
                    </w:rPr>
                  </w:pPr>
                  <w:r w:rsidRPr="00DE108C">
                    <w:rPr>
                      <w:sz w:val="16"/>
                      <w:szCs w:val="16"/>
                    </w:rPr>
                    <w:t>0.</w:t>
                  </w:r>
                  <w:r w:rsidRPr="00510FDD">
                    <w:rPr>
                      <w:color w:val="auto"/>
                      <w:sz w:val="16"/>
                      <w:szCs w:val="16"/>
                    </w:rPr>
                    <w:t>1</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17CFDED2" w14:textId="03FB3505" w:rsidR="002D42C1" w:rsidRPr="00DE108C" w:rsidRDefault="002D42C1" w:rsidP="00097A90">
                  <w:pPr>
                    <w:spacing w:before="60" w:after="60"/>
                    <w:jc w:val="center"/>
                    <w:rPr>
                      <w:sz w:val="16"/>
                      <w:szCs w:val="16"/>
                    </w:rPr>
                  </w:pPr>
                  <w:r w:rsidRPr="00DE108C">
                    <w:rPr>
                      <w:sz w:val="16"/>
                      <w:szCs w:val="16"/>
                    </w:rPr>
                    <w:t>0.0%</w:t>
                  </w:r>
                </w:p>
              </w:tc>
              <w:tc>
                <w:tcPr>
                  <w:tcW w:w="1365" w:type="dxa"/>
                  <w:tcBorders>
                    <w:top w:val="single" w:sz="6" w:space="0" w:color="4EC6FF"/>
                    <w:left w:val="nil"/>
                    <w:bottom w:val="single" w:sz="6" w:space="0" w:color="4EC6FF"/>
                    <w:right w:val="nil"/>
                  </w:tcBorders>
                  <w:vAlign w:val="center"/>
                  <w:hideMark/>
                </w:tcPr>
                <w:p w14:paraId="1CA3CE8C" w14:textId="0E288CE7" w:rsidR="002D42C1" w:rsidRPr="00DE108C" w:rsidRDefault="002D42C1" w:rsidP="00097A90">
                  <w:pPr>
                    <w:spacing w:before="60" w:after="60"/>
                    <w:jc w:val="center"/>
                    <w:rPr>
                      <w:sz w:val="16"/>
                      <w:szCs w:val="16"/>
                    </w:rPr>
                  </w:pPr>
                  <w:r w:rsidRPr="00DE108C">
                    <w:rPr>
                      <w:sz w:val="16"/>
                      <w:szCs w:val="16"/>
                    </w:rPr>
                    <w:t>0.0%</w:t>
                  </w:r>
                </w:p>
              </w:tc>
            </w:tr>
          </w:tbl>
          <w:p w14:paraId="04A69A2B" w14:textId="70CED0F3" w:rsidR="002D42C1" w:rsidRPr="00DE108C" w:rsidRDefault="002D42C1" w:rsidP="536A2DB2">
            <w:pPr>
              <w:rPr>
                <w:sz w:val="16"/>
                <w:szCs w:val="16"/>
              </w:rPr>
            </w:pPr>
            <w:r w:rsidRPr="00DE108C">
              <w:rPr>
                <w:sz w:val="16"/>
                <w:szCs w:val="16"/>
              </w:rPr>
              <w:t>Customer impacts are indicative only and exclude inflation, water corporation 2028 submission impacts and annual pass-throughs</w:t>
            </w:r>
            <w:r w:rsidR="22BD7E6A" w:rsidRPr="4E23B63F">
              <w:rPr>
                <w:sz w:val="16"/>
                <w:szCs w:val="16"/>
              </w:rPr>
              <w:t>,</w:t>
            </w:r>
            <w:r w:rsidRPr="00DE108C">
              <w:rPr>
                <w:sz w:val="16"/>
                <w:szCs w:val="16"/>
              </w:rPr>
              <w:t xml:space="preserve"> including desalinated water orders. Forecast customer bill impacts are estimated on the change in total Melbourne Water bulk costs, it is up to each individual water corporation on how this is passed onto households and businesses.</w:t>
            </w:r>
          </w:p>
          <w:p w14:paraId="13BA2A78" w14:textId="4C30582C" w:rsidR="002D42C1" w:rsidRPr="00DE108C" w:rsidRDefault="002D42C1">
            <w:pPr>
              <w:rPr>
                <w:sz w:val="16"/>
                <w:szCs w:val="16"/>
              </w:rPr>
            </w:pPr>
          </w:p>
        </w:tc>
      </w:tr>
    </w:tbl>
    <w:p w14:paraId="48F43ED9" w14:textId="77777777" w:rsidR="002D42C1" w:rsidRPr="00DE108C" w:rsidRDefault="002D42C1" w:rsidP="00ED094E">
      <w:r w:rsidRPr="00DE108C">
        <w:br w:type="page"/>
      </w:r>
    </w:p>
    <w:p w14:paraId="5D1BDA7B" w14:textId="77777777" w:rsidR="002D42C1" w:rsidRPr="00DE108C" w:rsidRDefault="002D42C1" w:rsidP="00ED094E">
      <w:pPr>
        <w:pStyle w:val="Heading2"/>
      </w:pPr>
      <w:bookmarkStart w:id="1256" w:name="_Toc207892033"/>
      <w:bookmarkStart w:id="1257" w:name="_Toc207892945"/>
      <w:bookmarkStart w:id="1258" w:name="_Toc207853438"/>
      <w:r w:rsidRPr="00DE108C">
        <w:lastRenderedPageBreak/>
        <w:t>A.2 South East Water</w:t>
      </w:r>
      <w:bookmarkEnd w:id="1256"/>
      <w:bookmarkEnd w:id="1257"/>
      <w:bookmarkEnd w:id="1258"/>
    </w:p>
    <w:tbl>
      <w:tblPr>
        <w:tblStyle w:val="TableGrid"/>
        <w:tblW w:w="22361" w:type="dxa"/>
        <w:tblLook w:val="0480" w:firstRow="0" w:lastRow="0" w:firstColumn="1" w:lastColumn="0" w:noHBand="0" w:noVBand="1"/>
      </w:tblPr>
      <w:tblGrid>
        <w:gridCol w:w="1449"/>
        <w:gridCol w:w="10170"/>
        <w:gridCol w:w="10742"/>
      </w:tblGrid>
      <w:tr w:rsidR="002D42C1" w:rsidRPr="00DE108C" w14:paraId="3B987762" w14:textId="77777777" w:rsidTr="00D819A9">
        <w:tc>
          <w:tcPr>
            <w:tcW w:w="1449" w:type="dxa"/>
            <w:shd w:val="clear" w:color="auto" w:fill="00428B" w:themeFill="text2"/>
          </w:tcPr>
          <w:p w14:paraId="10997DBF" w14:textId="556D1CE2" w:rsidR="002D42C1" w:rsidRPr="00DE108C" w:rsidRDefault="002D42C1">
            <w:pPr>
              <w:rPr>
                <w:b/>
                <w:bCs/>
                <w:color w:val="FFFFFF" w:themeColor="background1"/>
                <w:sz w:val="16"/>
                <w:szCs w:val="16"/>
              </w:rPr>
            </w:pPr>
            <w:r w:rsidRPr="00DE108C">
              <w:rPr>
                <w:b/>
                <w:bCs/>
                <w:color w:val="FFFFFF" w:themeColor="background1"/>
                <w:sz w:val="16"/>
                <w:szCs w:val="16"/>
              </w:rPr>
              <w:t xml:space="preserve">How </w:t>
            </w:r>
            <w:r w:rsidRPr="682230DA">
              <w:rPr>
                <w:b/>
                <w:bCs/>
                <w:color w:val="FFFFFF" w:themeColor="background1"/>
                <w:sz w:val="16"/>
                <w:szCs w:val="16"/>
              </w:rPr>
              <w:t>we</w:t>
            </w:r>
            <w:r w:rsidR="3ACC3961" w:rsidRPr="682230DA">
              <w:rPr>
                <w:b/>
                <w:bCs/>
                <w:color w:val="FFFFFF" w:themeColor="background1"/>
                <w:sz w:val="16"/>
                <w:szCs w:val="16"/>
              </w:rPr>
              <w:t xml:space="preserve"> </w:t>
            </w:r>
            <w:r w:rsidR="3ACC3961" w:rsidRPr="74CBA9E7">
              <w:rPr>
                <w:b/>
                <w:bCs/>
                <w:color w:val="FFFFFF" w:themeColor="background1"/>
                <w:sz w:val="16"/>
                <w:szCs w:val="16"/>
              </w:rPr>
              <w:t>have</w:t>
            </w:r>
            <w:r w:rsidRPr="00DE108C">
              <w:rPr>
                <w:b/>
                <w:bCs/>
                <w:color w:val="FFFFFF" w:themeColor="background1"/>
                <w:sz w:val="16"/>
                <w:szCs w:val="16"/>
              </w:rPr>
              <w:t xml:space="preserve"> worked with you</w:t>
            </w:r>
          </w:p>
        </w:tc>
        <w:tc>
          <w:tcPr>
            <w:tcW w:w="20912" w:type="dxa"/>
            <w:gridSpan w:val="2"/>
          </w:tcPr>
          <w:p w14:paraId="6B79D2CA" w14:textId="4EA59481" w:rsidR="002D42C1" w:rsidRPr="00DE108C" w:rsidRDefault="002D42C1">
            <w:pPr>
              <w:rPr>
                <w:sz w:val="16"/>
                <w:szCs w:val="16"/>
              </w:rPr>
            </w:pPr>
            <w:r w:rsidRPr="00DE108C">
              <w:rPr>
                <w:sz w:val="16"/>
                <w:szCs w:val="16"/>
              </w:rPr>
              <w:t xml:space="preserve">We have been working closely with South East Water (SEW) throughout the development of the </w:t>
            </w:r>
            <w:r w:rsidR="0BDE4AA5" w:rsidRPr="74CBA9E7">
              <w:rPr>
                <w:sz w:val="16"/>
                <w:szCs w:val="16"/>
              </w:rPr>
              <w:t>P</w:t>
            </w:r>
            <w:r w:rsidRPr="74CBA9E7">
              <w:rPr>
                <w:sz w:val="16"/>
                <w:szCs w:val="16"/>
              </w:rPr>
              <w:t xml:space="preserve">rice </w:t>
            </w:r>
            <w:r w:rsidR="3DD3B64C" w:rsidRPr="74CBA9E7">
              <w:rPr>
                <w:sz w:val="16"/>
                <w:szCs w:val="16"/>
              </w:rPr>
              <w:t>S</w:t>
            </w:r>
            <w:r w:rsidRPr="00DE108C">
              <w:rPr>
                <w:sz w:val="16"/>
                <w:szCs w:val="16"/>
              </w:rPr>
              <w:t xml:space="preserve">ubmission. SEW feedback was gathered through over 40 meetings of the Water Corporation Forums, </w:t>
            </w:r>
            <w:r w:rsidR="00AF7AC2">
              <w:rPr>
                <w:sz w:val="16"/>
                <w:szCs w:val="16"/>
              </w:rPr>
              <w:t>Regulatory and Tariff</w:t>
            </w:r>
            <w:r w:rsidRPr="00DE108C">
              <w:rPr>
                <w:sz w:val="16"/>
                <w:szCs w:val="16"/>
              </w:rPr>
              <w:t xml:space="preserve"> Forums, the Accord working groups and one-to-one meetings. We also ensured SEW end-use customers were heard directly through our community engagement program, with a specific SEW customer focus group, pop up event in the SEW service region, and SEW customers participating in our surveys, deliberative panel and waterways and drainage customer forum. We have considered all the issues SEW raised during our </w:t>
            </w:r>
            <w:r w:rsidR="63D2E390" w:rsidRPr="76FF2D4F">
              <w:rPr>
                <w:sz w:val="16"/>
                <w:szCs w:val="16"/>
              </w:rPr>
              <w:t>P</w:t>
            </w:r>
            <w:r w:rsidRPr="76FF2D4F">
              <w:rPr>
                <w:sz w:val="16"/>
                <w:szCs w:val="16"/>
              </w:rPr>
              <w:t xml:space="preserve">rice </w:t>
            </w:r>
            <w:r w:rsidR="2F630FE4" w:rsidRPr="76FF2D4F">
              <w:rPr>
                <w:sz w:val="16"/>
                <w:szCs w:val="16"/>
              </w:rPr>
              <w:t>S</w:t>
            </w:r>
            <w:r w:rsidRPr="00DE108C">
              <w:rPr>
                <w:sz w:val="16"/>
                <w:szCs w:val="16"/>
              </w:rPr>
              <w:t>ubmission development and believe we have largely addressed them. </w:t>
            </w:r>
          </w:p>
        </w:tc>
      </w:tr>
      <w:tr w:rsidR="002D42C1" w:rsidRPr="00DE108C" w14:paraId="1A7725FA" w14:textId="77777777" w:rsidTr="00D819A9">
        <w:trPr>
          <w:cnfStyle w:val="000000010000" w:firstRow="0" w:lastRow="0" w:firstColumn="0" w:lastColumn="0" w:oddVBand="0" w:evenVBand="0" w:oddHBand="0" w:evenHBand="1" w:firstRowFirstColumn="0" w:firstRowLastColumn="0" w:lastRowFirstColumn="0" w:lastRowLastColumn="0"/>
        </w:trPr>
        <w:tc>
          <w:tcPr>
            <w:tcW w:w="1449" w:type="dxa"/>
            <w:vMerge w:val="restart"/>
            <w:shd w:val="clear" w:color="auto" w:fill="00428B" w:themeFill="text2"/>
          </w:tcPr>
          <w:p w14:paraId="6328C8EF" w14:textId="77777777" w:rsidR="002D42C1" w:rsidRPr="00DE108C" w:rsidRDefault="002D42C1">
            <w:pPr>
              <w:rPr>
                <w:b/>
                <w:bCs/>
                <w:color w:val="FFFFFF" w:themeColor="background1"/>
                <w:sz w:val="16"/>
                <w:szCs w:val="16"/>
              </w:rPr>
            </w:pPr>
            <w:r w:rsidRPr="00DE108C">
              <w:rPr>
                <w:b/>
                <w:bCs/>
                <w:color w:val="FFFFFF" w:themeColor="background1"/>
                <w:sz w:val="16"/>
                <w:szCs w:val="16"/>
              </w:rPr>
              <w:t>Outcomes – how we’re supporting you</w:t>
            </w:r>
          </w:p>
        </w:tc>
        <w:tc>
          <w:tcPr>
            <w:tcW w:w="10170" w:type="dxa"/>
            <w:shd w:val="clear" w:color="auto" w:fill="00428B" w:themeFill="text2"/>
          </w:tcPr>
          <w:p w14:paraId="2EB16CF7" w14:textId="77777777" w:rsidR="002D42C1" w:rsidRPr="00DE108C" w:rsidRDefault="002D42C1">
            <w:pPr>
              <w:rPr>
                <w:b/>
                <w:bCs/>
                <w:color w:val="FFFFFF" w:themeColor="background1"/>
                <w:sz w:val="16"/>
                <w:szCs w:val="16"/>
              </w:rPr>
            </w:pPr>
            <w:r w:rsidRPr="00DE108C">
              <w:rPr>
                <w:b/>
                <w:bCs/>
                <w:color w:val="FFFFFF" w:themeColor="background1"/>
                <w:sz w:val="16"/>
                <w:szCs w:val="16"/>
              </w:rPr>
              <w:t>MW Outcome</w:t>
            </w:r>
          </w:p>
        </w:tc>
        <w:tc>
          <w:tcPr>
            <w:tcW w:w="10742" w:type="dxa"/>
            <w:shd w:val="clear" w:color="auto" w:fill="00428B" w:themeFill="text2"/>
          </w:tcPr>
          <w:p w14:paraId="67AE0809" w14:textId="77777777" w:rsidR="002D42C1" w:rsidRPr="00DE108C" w:rsidRDefault="002D42C1">
            <w:pPr>
              <w:rPr>
                <w:b/>
                <w:bCs/>
                <w:color w:val="FFFFFF" w:themeColor="background1"/>
                <w:sz w:val="16"/>
                <w:szCs w:val="16"/>
              </w:rPr>
            </w:pPr>
            <w:r w:rsidRPr="00DE108C">
              <w:rPr>
                <w:b/>
                <w:bCs/>
                <w:color w:val="FFFFFF" w:themeColor="background1"/>
                <w:sz w:val="16"/>
                <w:szCs w:val="16"/>
              </w:rPr>
              <w:t>Related SEW Outcomes</w:t>
            </w:r>
          </w:p>
        </w:tc>
      </w:tr>
      <w:tr w:rsidR="002D42C1" w:rsidRPr="00DE108C" w14:paraId="607C835C" w14:textId="77777777" w:rsidTr="00D819A9">
        <w:tc>
          <w:tcPr>
            <w:tcW w:w="1449" w:type="dxa"/>
            <w:vMerge/>
            <w:shd w:val="clear" w:color="auto" w:fill="00428B" w:themeFill="text2"/>
          </w:tcPr>
          <w:p w14:paraId="67F8A017" w14:textId="77777777" w:rsidR="002D42C1" w:rsidRPr="00DE108C" w:rsidRDefault="002D42C1">
            <w:pPr>
              <w:rPr>
                <w:b/>
                <w:bCs/>
                <w:color w:val="FFFFFF" w:themeColor="background1"/>
                <w:sz w:val="16"/>
                <w:szCs w:val="16"/>
              </w:rPr>
            </w:pPr>
          </w:p>
        </w:tc>
        <w:tc>
          <w:tcPr>
            <w:tcW w:w="10170" w:type="dxa"/>
          </w:tcPr>
          <w:p w14:paraId="48227C01" w14:textId="77777777" w:rsidR="002D42C1" w:rsidRPr="00DE108C" w:rsidRDefault="002D42C1">
            <w:pPr>
              <w:rPr>
                <w:sz w:val="16"/>
                <w:szCs w:val="16"/>
              </w:rPr>
            </w:pPr>
            <w:r w:rsidRPr="00DE108C">
              <w:rPr>
                <w:sz w:val="16"/>
                <w:szCs w:val="16"/>
              </w:rPr>
              <w:t>Outcome 1: Safe and reliable bulk water supplies for now and the long term</w:t>
            </w:r>
          </w:p>
        </w:tc>
        <w:tc>
          <w:tcPr>
            <w:tcW w:w="10742" w:type="dxa"/>
          </w:tcPr>
          <w:p w14:paraId="6DFC108C" w14:textId="77777777" w:rsidR="002D42C1" w:rsidRPr="00DE108C" w:rsidRDefault="002D42C1">
            <w:pPr>
              <w:rPr>
                <w:sz w:val="16"/>
                <w:szCs w:val="16"/>
              </w:rPr>
            </w:pPr>
            <w:r w:rsidRPr="00DE108C">
              <w:rPr>
                <w:sz w:val="16"/>
                <w:szCs w:val="16"/>
              </w:rPr>
              <w:t>Outcome 1: Get the basics right, always</w:t>
            </w:r>
          </w:p>
          <w:p w14:paraId="7A13B10F" w14:textId="77777777" w:rsidR="002D42C1" w:rsidRPr="00DE108C" w:rsidRDefault="002D42C1">
            <w:pPr>
              <w:rPr>
                <w:sz w:val="16"/>
                <w:szCs w:val="16"/>
              </w:rPr>
            </w:pPr>
            <w:r w:rsidRPr="00DE108C">
              <w:rPr>
                <w:sz w:val="16"/>
                <w:szCs w:val="16"/>
              </w:rPr>
              <w:t>Outcome 2: Warn me, inform me</w:t>
            </w:r>
          </w:p>
        </w:tc>
      </w:tr>
      <w:tr w:rsidR="00A043F7" w:rsidRPr="00DE108C" w14:paraId="1B60A44F" w14:textId="77777777" w:rsidTr="00D819A9">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23C84474" w14:textId="77777777" w:rsidR="002D42C1" w:rsidRPr="00DE108C" w:rsidRDefault="002D42C1">
            <w:pPr>
              <w:rPr>
                <w:b/>
                <w:bCs/>
                <w:color w:val="FFFFFF" w:themeColor="background1"/>
                <w:sz w:val="16"/>
                <w:szCs w:val="16"/>
              </w:rPr>
            </w:pPr>
          </w:p>
        </w:tc>
        <w:tc>
          <w:tcPr>
            <w:tcW w:w="10170" w:type="dxa"/>
          </w:tcPr>
          <w:p w14:paraId="54F6DC6C" w14:textId="77777777" w:rsidR="002D42C1" w:rsidRPr="00DE108C" w:rsidRDefault="002D42C1">
            <w:pPr>
              <w:rPr>
                <w:sz w:val="16"/>
                <w:szCs w:val="16"/>
              </w:rPr>
            </w:pPr>
            <w:r w:rsidRPr="00DE108C">
              <w:rPr>
                <w:sz w:val="16"/>
                <w:szCs w:val="16"/>
              </w:rPr>
              <w:t>Outcome 2: Environmentally sustainable and reliable bulk sewerage services</w:t>
            </w:r>
          </w:p>
        </w:tc>
        <w:tc>
          <w:tcPr>
            <w:tcW w:w="10742" w:type="dxa"/>
          </w:tcPr>
          <w:p w14:paraId="1D73039D" w14:textId="77777777" w:rsidR="002D42C1" w:rsidRPr="00DE108C" w:rsidRDefault="002D42C1">
            <w:pPr>
              <w:rPr>
                <w:sz w:val="16"/>
                <w:szCs w:val="16"/>
              </w:rPr>
            </w:pPr>
            <w:r w:rsidRPr="00DE108C">
              <w:rPr>
                <w:sz w:val="16"/>
                <w:szCs w:val="16"/>
              </w:rPr>
              <w:t>Outcome 1: Get the basics right, always</w:t>
            </w:r>
          </w:p>
          <w:p w14:paraId="605E527C" w14:textId="77777777" w:rsidR="002D42C1" w:rsidRPr="00DE108C" w:rsidRDefault="002D42C1">
            <w:pPr>
              <w:rPr>
                <w:sz w:val="16"/>
                <w:szCs w:val="16"/>
              </w:rPr>
            </w:pPr>
            <w:r w:rsidRPr="00DE108C">
              <w:rPr>
                <w:sz w:val="16"/>
                <w:szCs w:val="16"/>
              </w:rPr>
              <w:t>Outcome 2: Warn me, inform me</w:t>
            </w:r>
          </w:p>
          <w:p w14:paraId="1D8F3E95" w14:textId="77777777" w:rsidR="002D42C1" w:rsidRPr="00DE108C" w:rsidRDefault="002D42C1">
            <w:pPr>
              <w:rPr>
                <w:sz w:val="16"/>
                <w:szCs w:val="16"/>
              </w:rPr>
            </w:pPr>
            <w:r w:rsidRPr="00DE108C">
              <w:rPr>
                <w:sz w:val="16"/>
                <w:szCs w:val="16"/>
              </w:rPr>
              <w:t>Outcome 5: Support my community, protect my environment</w:t>
            </w:r>
          </w:p>
        </w:tc>
      </w:tr>
      <w:tr w:rsidR="002D42C1" w:rsidRPr="00DE108C" w14:paraId="3460300C" w14:textId="77777777" w:rsidTr="00D819A9">
        <w:tc>
          <w:tcPr>
            <w:tcW w:w="1449" w:type="dxa"/>
            <w:vMerge/>
            <w:shd w:val="clear" w:color="auto" w:fill="00428B" w:themeFill="text2"/>
          </w:tcPr>
          <w:p w14:paraId="658C3DCB" w14:textId="77777777" w:rsidR="002D42C1" w:rsidRPr="00DE108C" w:rsidRDefault="002D42C1">
            <w:pPr>
              <w:rPr>
                <w:b/>
                <w:bCs/>
                <w:color w:val="FFFFFF" w:themeColor="background1"/>
                <w:sz w:val="16"/>
                <w:szCs w:val="16"/>
              </w:rPr>
            </w:pPr>
          </w:p>
        </w:tc>
        <w:tc>
          <w:tcPr>
            <w:tcW w:w="10170" w:type="dxa"/>
          </w:tcPr>
          <w:p w14:paraId="502B7F71" w14:textId="77777777" w:rsidR="002D42C1" w:rsidRPr="00DE108C" w:rsidRDefault="002D42C1">
            <w:pPr>
              <w:rPr>
                <w:sz w:val="16"/>
                <w:szCs w:val="16"/>
              </w:rPr>
            </w:pPr>
            <w:r w:rsidRPr="00DE108C">
              <w:rPr>
                <w:sz w:val="16"/>
                <w:szCs w:val="16"/>
              </w:rPr>
              <w:t>Outcome 3: Healthy, resilient waterways</w:t>
            </w:r>
          </w:p>
        </w:tc>
        <w:tc>
          <w:tcPr>
            <w:tcW w:w="10742" w:type="dxa"/>
          </w:tcPr>
          <w:p w14:paraId="2FC50511" w14:textId="77777777" w:rsidR="002D42C1" w:rsidRPr="00DE108C" w:rsidRDefault="002D42C1">
            <w:pPr>
              <w:rPr>
                <w:sz w:val="16"/>
                <w:szCs w:val="16"/>
              </w:rPr>
            </w:pPr>
            <w:r w:rsidRPr="00DE108C">
              <w:rPr>
                <w:sz w:val="16"/>
                <w:szCs w:val="16"/>
              </w:rPr>
              <w:t>Outcome 5: Support my community, protect my environment</w:t>
            </w:r>
          </w:p>
        </w:tc>
      </w:tr>
      <w:tr w:rsidR="00A043F7" w:rsidRPr="00DE108C" w14:paraId="731597A5" w14:textId="77777777" w:rsidTr="00D819A9">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69201226" w14:textId="77777777" w:rsidR="002D42C1" w:rsidRPr="00DE108C" w:rsidRDefault="002D42C1">
            <w:pPr>
              <w:rPr>
                <w:b/>
                <w:bCs/>
                <w:color w:val="FFFFFF" w:themeColor="background1"/>
                <w:sz w:val="16"/>
                <w:szCs w:val="16"/>
              </w:rPr>
            </w:pPr>
          </w:p>
        </w:tc>
        <w:tc>
          <w:tcPr>
            <w:tcW w:w="10170" w:type="dxa"/>
          </w:tcPr>
          <w:p w14:paraId="0E653B30" w14:textId="77777777" w:rsidR="002D42C1" w:rsidRPr="00DE108C" w:rsidRDefault="002D42C1">
            <w:pPr>
              <w:rPr>
                <w:sz w:val="16"/>
                <w:szCs w:val="16"/>
              </w:rPr>
            </w:pPr>
            <w:r w:rsidRPr="00DE108C">
              <w:rPr>
                <w:sz w:val="16"/>
                <w:szCs w:val="16"/>
              </w:rPr>
              <w:t>Outcome 4: Urban drainage and flood resilience</w:t>
            </w:r>
          </w:p>
        </w:tc>
        <w:tc>
          <w:tcPr>
            <w:tcW w:w="10742" w:type="dxa"/>
          </w:tcPr>
          <w:p w14:paraId="5C9C4BD2" w14:textId="77777777" w:rsidR="002D42C1" w:rsidRPr="00DE108C" w:rsidRDefault="002D42C1">
            <w:pPr>
              <w:rPr>
                <w:sz w:val="16"/>
                <w:szCs w:val="16"/>
              </w:rPr>
            </w:pPr>
            <w:r w:rsidRPr="00DE108C">
              <w:rPr>
                <w:sz w:val="16"/>
                <w:szCs w:val="16"/>
              </w:rPr>
              <w:t>N/A</w:t>
            </w:r>
          </w:p>
        </w:tc>
      </w:tr>
      <w:tr w:rsidR="002D42C1" w:rsidRPr="00DE108C" w14:paraId="7BAC2946" w14:textId="77777777" w:rsidTr="00D819A9">
        <w:tc>
          <w:tcPr>
            <w:tcW w:w="1449" w:type="dxa"/>
            <w:vMerge/>
            <w:shd w:val="clear" w:color="auto" w:fill="00428B" w:themeFill="text2"/>
          </w:tcPr>
          <w:p w14:paraId="1E678569" w14:textId="77777777" w:rsidR="002D42C1" w:rsidRPr="00DE108C" w:rsidRDefault="002D42C1">
            <w:pPr>
              <w:rPr>
                <w:b/>
                <w:bCs/>
                <w:color w:val="FFFFFF" w:themeColor="background1"/>
                <w:sz w:val="16"/>
                <w:szCs w:val="16"/>
              </w:rPr>
            </w:pPr>
          </w:p>
        </w:tc>
        <w:tc>
          <w:tcPr>
            <w:tcW w:w="10170" w:type="dxa"/>
          </w:tcPr>
          <w:p w14:paraId="0475D95A" w14:textId="77777777" w:rsidR="002D42C1" w:rsidRPr="00DE108C" w:rsidRDefault="002D42C1">
            <w:pPr>
              <w:rPr>
                <w:sz w:val="16"/>
                <w:szCs w:val="16"/>
              </w:rPr>
            </w:pPr>
            <w:r w:rsidRPr="00DE108C">
              <w:rPr>
                <w:sz w:val="16"/>
                <w:szCs w:val="16"/>
              </w:rPr>
              <w:t>Outcome 5: A valued partner in water cycle services</w:t>
            </w:r>
          </w:p>
        </w:tc>
        <w:tc>
          <w:tcPr>
            <w:tcW w:w="10742" w:type="dxa"/>
          </w:tcPr>
          <w:p w14:paraId="381FFAC2" w14:textId="77777777" w:rsidR="002D42C1" w:rsidRPr="00DE108C" w:rsidRDefault="002D42C1">
            <w:pPr>
              <w:rPr>
                <w:sz w:val="16"/>
                <w:szCs w:val="16"/>
              </w:rPr>
            </w:pPr>
            <w:r w:rsidRPr="00DE108C">
              <w:rPr>
                <w:sz w:val="16"/>
                <w:szCs w:val="16"/>
              </w:rPr>
              <w:t>Outcome 3: Fair and affordable for all</w:t>
            </w:r>
          </w:p>
          <w:p w14:paraId="3DE3ACA2" w14:textId="77777777" w:rsidR="002D42C1" w:rsidRPr="00DE108C" w:rsidRDefault="002D42C1">
            <w:pPr>
              <w:rPr>
                <w:sz w:val="16"/>
                <w:szCs w:val="16"/>
              </w:rPr>
            </w:pPr>
            <w:r w:rsidRPr="00DE108C">
              <w:rPr>
                <w:sz w:val="16"/>
                <w:szCs w:val="16"/>
              </w:rPr>
              <w:t>Outcome 4: Make my experience better</w:t>
            </w:r>
          </w:p>
          <w:p w14:paraId="6262999E" w14:textId="77777777" w:rsidR="002D42C1" w:rsidRPr="00DE108C" w:rsidRDefault="002D42C1">
            <w:pPr>
              <w:rPr>
                <w:sz w:val="16"/>
                <w:szCs w:val="16"/>
              </w:rPr>
            </w:pPr>
            <w:r w:rsidRPr="00DE108C">
              <w:rPr>
                <w:sz w:val="16"/>
                <w:szCs w:val="16"/>
              </w:rPr>
              <w:t>Outcome 5: Support my community, protect my environment</w:t>
            </w:r>
          </w:p>
        </w:tc>
      </w:tr>
      <w:tr w:rsidR="002D42C1" w:rsidRPr="00DE108C" w14:paraId="36A649B4" w14:textId="77777777" w:rsidTr="00D819A9">
        <w:trPr>
          <w:cnfStyle w:val="000000010000" w:firstRow="0" w:lastRow="0" w:firstColumn="0" w:lastColumn="0" w:oddVBand="0" w:evenVBand="0" w:oddHBand="0" w:evenHBand="1" w:firstRowFirstColumn="0" w:firstRowLastColumn="0" w:lastRowFirstColumn="0" w:lastRowLastColumn="0"/>
        </w:trPr>
        <w:tc>
          <w:tcPr>
            <w:tcW w:w="1449" w:type="dxa"/>
            <w:vMerge w:val="restart"/>
            <w:shd w:val="clear" w:color="auto" w:fill="00428B" w:themeFill="text2"/>
          </w:tcPr>
          <w:p w14:paraId="16B84B55" w14:textId="77777777" w:rsidR="002D42C1" w:rsidRPr="00DE108C" w:rsidRDefault="002D42C1">
            <w:pPr>
              <w:rPr>
                <w:b/>
                <w:bCs/>
                <w:color w:val="FFFFFF" w:themeColor="background1"/>
                <w:sz w:val="16"/>
                <w:szCs w:val="16"/>
              </w:rPr>
            </w:pPr>
            <w:r w:rsidRPr="00DE108C">
              <w:rPr>
                <w:b/>
                <w:bCs/>
                <w:color w:val="FFFFFF" w:themeColor="background1"/>
                <w:sz w:val="16"/>
                <w:szCs w:val="16"/>
              </w:rPr>
              <w:t>Addressing your key areas</w:t>
            </w:r>
          </w:p>
        </w:tc>
        <w:tc>
          <w:tcPr>
            <w:tcW w:w="10170" w:type="dxa"/>
            <w:shd w:val="clear" w:color="auto" w:fill="00428B" w:themeFill="text2"/>
          </w:tcPr>
          <w:p w14:paraId="372EBABF" w14:textId="77777777" w:rsidR="002D42C1" w:rsidRPr="00DE108C" w:rsidRDefault="002D42C1">
            <w:pPr>
              <w:rPr>
                <w:b/>
                <w:bCs/>
                <w:color w:val="FFFFFF" w:themeColor="background1"/>
                <w:sz w:val="16"/>
                <w:szCs w:val="16"/>
              </w:rPr>
            </w:pPr>
            <w:r w:rsidRPr="00DE108C">
              <w:rPr>
                <w:b/>
                <w:bCs/>
                <w:color w:val="FFFFFF" w:themeColor="background1"/>
                <w:sz w:val="16"/>
                <w:szCs w:val="16"/>
              </w:rPr>
              <w:t>What we heard</w:t>
            </w:r>
          </w:p>
        </w:tc>
        <w:tc>
          <w:tcPr>
            <w:tcW w:w="10742" w:type="dxa"/>
            <w:shd w:val="clear" w:color="auto" w:fill="00428B" w:themeFill="text2"/>
          </w:tcPr>
          <w:p w14:paraId="16BEF413" w14:textId="0B879BCA" w:rsidR="002D42C1" w:rsidRPr="00DE108C" w:rsidRDefault="002D42C1">
            <w:pPr>
              <w:rPr>
                <w:b/>
                <w:bCs/>
                <w:color w:val="FFFFFF" w:themeColor="background1"/>
                <w:sz w:val="16"/>
                <w:szCs w:val="16"/>
              </w:rPr>
            </w:pPr>
            <w:r w:rsidRPr="00DE108C">
              <w:rPr>
                <w:b/>
                <w:bCs/>
                <w:color w:val="FFFFFF" w:themeColor="background1"/>
                <w:sz w:val="16"/>
                <w:szCs w:val="16"/>
              </w:rPr>
              <w:t xml:space="preserve">How </w:t>
            </w:r>
            <w:r w:rsidRPr="2A7DB5F0">
              <w:rPr>
                <w:b/>
                <w:bCs/>
                <w:color w:val="FFFFFF" w:themeColor="background1"/>
                <w:sz w:val="16"/>
                <w:szCs w:val="16"/>
              </w:rPr>
              <w:t>we</w:t>
            </w:r>
            <w:r w:rsidR="285D67F9" w:rsidRPr="2A7DB5F0">
              <w:rPr>
                <w:b/>
                <w:bCs/>
                <w:color w:val="FFFFFF" w:themeColor="background1"/>
                <w:sz w:val="16"/>
                <w:szCs w:val="16"/>
              </w:rPr>
              <w:t xml:space="preserve"> are</w:t>
            </w:r>
            <w:r w:rsidRPr="00DE108C">
              <w:rPr>
                <w:b/>
                <w:bCs/>
                <w:color w:val="FFFFFF" w:themeColor="background1"/>
                <w:sz w:val="16"/>
                <w:szCs w:val="16"/>
              </w:rPr>
              <w:t xml:space="preserve"> responding</w:t>
            </w:r>
          </w:p>
        </w:tc>
      </w:tr>
      <w:tr w:rsidR="002D42C1" w:rsidRPr="00DE108C" w14:paraId="1AB0512F" w14:textId="77777777" w:rsidTr="00D819A9">
        <w:tc>
          <w:tcPr>
            <w:tcW w:w="1449" w:type="dxa"/>
            <w:vMerge/>
            <w:shd w:val="clear" w:color="auto" w:fill="00428B" w:themeFill="text2"/>
          </w:tcPr>
          <w:p w14:paraId="24665F33" w14:textId="77777777" w:rsidR="002D42C1" w:rsidRPr="00DE108C" w:rsidRDefault="002D42C1" w:rsidP="00ED094E">
            <w:pPr>
              <w:rPr>
                <w:b/>
                <w:bCs/>
                <w:color w:val="FFFFFF" w:themeColor="background1"/>
                <w:sz w:val="16"/>
                <w:szCs w:val="16"/>
              </w:rPr>
            </w:pPr>
          </w:p>
        </w:tc>
        <w:tc>
          <w:tcPr>
            <w:tcW w:w="10170" w:type="dxa"/>
          </w:tcPr>
          <w:p w14:paraId="065EF515" w14:textId="24F2A4F8" w:rsidR="002D42C1" w:rsidRPr="00DE108C" w:rsidRDefault="002D42C1" w:rsidP="00ED094E">
            <w:pPr>
              <w:rPr>
                <w:sz w:val="16"/>
                <w:szCs w:val="16"/>
              </w:rPr>
            </w:pPr>
            <w:r w:rsidRPr="177E642B">
              <w:rPr>
                <w:rStyle w:val="normaltextrun"/>
                <w:rFonts w:ascii="Verdana" w:hAnsi="Verdana" w:cs="Segoe UI"/>
                <w:sz w:val="16"/>
                <w:szCs w:val="16"/>
              </w:rPr>
              <w:t>Item #1: Potential impacts to SEW customers as a result of asset transfers, tariff reforms and Melbourne Water’s expanded footprint in the west</w:t>
            </w:r>
            <w:r w:rsidR="1A445ACC" w:rsidRPr="177E642B">
              <w:rPr>
                <w:rStyle w:val="normaltextrun"/>
                <w:rFonts w:ascii="Verdana" w:hAnsi="Verdana" w:cs="Segoe UI"/>
                <w:sz w:val="16"/>
                <w:szCs w:val="16"/>
              </w:rPr>
              <w:t>.</w:t>
            </w:r>
            <w:r w:rsidRPr="177E642B">
              <w:rPr>
                <w:rStyle w:val="eop"/>
                <w:rFonts w:ascii="Verdana" w:hAnsi="Verdana" w:cs="Segoe UI"/>
                <w:sz w:val="16"/>
                <w:szCs w:val="16"/>
              </w:rPr>
              <w:t> </w:t>
            </w:r>
          </w:p>
        </w:tc>
        <w:tc>
          <w:tcPr>
            <w:tcW w:w="10742" w:type="dxa"/>
          </w:tcPr>
          <w:p w14:paraId="03ECDA09" w14:textId="77777777" w:rsidR="002D42C1" w:rsidRPr="00DE108C" w:rsidRDefault="002D42C1" w:rsidP="00ED094E">
            <w:pPr>
              <w:pStyle w:val="paragraph"/>
              <w:spacing w:before="0" w:beforeAutospacing="0" w:after="0" w:afterAutospacing="0"/>
              <w:textAlignment w:val="baseline"/>
              <w:divId w:val="1703363687"/>
              <w:rPr>
                <w:rFonts w:ascii="Segoe UI" w:hAnsi="Segoe UI" w:cs="Segoe UI"/>
                <w:color w:val="231F20"/>
                <w:sz w:val="16"/>
                <w:szCs w:val="16"/>
              </w:rPr>
            </w:pPr>
            <w:r w:rsidRPr="00DE108C">
              <w:rPr>
                <w:rStyle w:val="normaltextrun"/>
                <w:rFonts w:ascii="Verdana" w:hAnsi="Verdana" w:cs="Segoe UI"/>
                <w:b/>
                <w:bCs/>
                <w:color w:val="231F20"/>
                <w:sz w:val="16"/>
                <w:szCs w:val="16"/>
              </w:rPr>
              <w:t>Largely addressed</w:t>
            </w:r>
            <w:r w:rsidRPr="00DE108C">
              <w:rPr>
                <w:rStyle w:val="eop"/>
                <w:rFonts w:ascii="Verdana" w:hAnsi="Verdana" w:cs="Segoe UI"/>
                <w:color w:val="231F20"/>
                <w:sz w:val="16"/>
                <w:szCs w:val="16"/>
              </w:rPr>
              <w:t> </w:t>
            </w:r>
          </w:p>
          <w:p w14:paraId="30752F9C" w14:textId="3517E883" w:rsidR="002D42C1" w:rsidRPr="00DE108C" w:rsidRDefault="002D42C1" w:rsidP="00ED094E">
            <w:pPr>
              <w:rPr>
                <w:sz w:val="16"/>
                <w:szCs w:val="16"/>
              </w:rPr>
            </w:pPr>
            <w:r w:rsidRPr="2A7DB5F0">
              <w:rPr>
                <w:rStyle w:val="normaltextrun"/>
                <w:rFonts w:ascii="Verdana" w:hAnsi="Verdana" w:cs="Segoe UI"/>
                <w:sz w:val="16"/>
                <w:szCs w:val="16"/>
              </w:rPr>
              <w:t>We’ve deeply considered differential impacts of</w:t>
            </w:r>
            <w:r w:rsidR="00095E1B">
              <w:rPr>
                <w:rStyle w:val="normaltextrun"/>
                <w:rFonts w:ascii="Verdana" w:hAnsi="Verdana" w:cs="Segoe UI"/>
                <w:sz w:val="16"/>
                <w:szCs w:val="16"/>
              </w:rPr>
              <w:t xml:space="preserve"> </w:t>
            </w:r>
            <w:r w:rsidRPr="2A7DB5F0">
              <w:rPr>
                <w:rStyle w:val="normaltextrun"/>
                <w:rFonts w:ascii="Verdana" w:hAnsi="Verdana" w:cs="Segoe UI"/>
                <w:sz w:val="16"/>
                <w:szCs w:val="16"/>
              </w:rPr>
              <w:t>our decisions that impact prices and modelled all options and scenarios raised by water corporations to limit and mitigate any price impacts. We are committed to the Bulk Supply Agreement Modernisation Project, which includes a workstream on Collaborative Planning and Asset Ownership criteria, to be resolved in time for 2028 Price Submissions, and will continue to consider customer impacts and principles-based decision making.</w:t>
            </w:r>
            <w:r w:rsidRPr="2A7DB5F0">
              <w:rPr>
                <w:rStyle w:val="eop"/>
                <w:rFonts w:ascii="Verdana" w:hAnsi="Verdana" w:cs="Segoe UI"/>
                <w:sz w:val="16"/>
                <w:szCs w:val="16"/>
              </w:rPr>
              <w:t> </w:t>
            </w:r>
          </w:p>
        </w:tc>
      </w:tr>
      <w:tr w:rsidR="00A043F7" w:rsidRPr="00DE108C" w14:paraId="35AC6D5A" w14:textId="77777777" w:rsidTr="00D819A9">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792745EC" w14:textId="77777777" w:rsidR="002D42C1" w:rsidRPr="00DE108C" w:rsidRDefault="002D42C1" w:rsidP="00ED094E">
            <w:pPr>
              <w:rPr>
                <w:b/>
                <w:bCs/>
                <w:color w:val="FFFFFF" w:themeColor="background1"/>
                <w:sz w:val="16"/>
                <w:szCs w:val="16"/>
              </w:rPr>
            </w:pPr>
          </w:p>
        </w:tc>
        <w:tc>
          <w:tcPr>
            <w:tcW w:w="10170" w:type="dxa"/>
          </w:tcPr>
          <w:p w14:paraId="72B2645E" w14:textId="2AAF9287" w:rsidR="002D42C1" w:rsidRPr="00DE108C" w:rsidRDefault="002D42C1" w:rsidP="00ED094E">
            <w:pPr>
              <w:rPr>
                <w:sz w:val="16"/>
                <w:szCs w:val="16"/>
              </w:rPr>
            </w:pPr>
            <w:r w:rsidRPr="177E642B">
              <w:rPr>
                <w:rStyle w:val="normaltextrun"/>
                <w:rFonts w:ascii="Verdana" w:hAnsi="Verdana" w:cs="Segoe UI"/>
                <w:sz w:val="16"/>
                <w:szCs w:val="16"/>
              </w:rPr>
              <w:t xml:space="preserve">Item #2: Right-sizing investment in </w:t>
            </w:r>
            <w:r w:rsidR="618E0746" w:rsidRPr="177E642B">
              <w:rPr>
                <w:rStyle w:val="normaltextrun"/>
                <w:rFonts w:ascii="Verdana" w:hAnsi="Verdana" w:cs="Segoe UI"/>
                <w:sz w:val="16"/>
                <w:szCs w:val="16"/>
              </w:rPr>
              <w:t>the</w:t>
            </w:r>
            <w:r w:rsidRPr="177E642B">
              <w:rPr>
                <w:rStyle w:val="normaltextrun"/>
                <w:rFonts w:ascii="Verdana" w:hAnsi="Verdana" w:cs="Segoe UI"/>
                <w:sz w:val="16"/>
                <w:szCs w:val="16"/>
              </w:rPr>
              <w:t xml:space="preserve"> Eastern Treatment Plant</w:t>
            </w:r>
            <w:r w:rsidR="03FE00F9" w:rsidRPr="177E642B">
              <w:rPr>
                <w:rStyle w:val="normaltextrun"/>
                <w:rFonts w:ascii="Verdana" w:hAnsi="Verdana" w:cs="Segoe UI"/>
                <w:sz w:val="16"/>
                <w:szCs w:val="16"/>
              </w:rPr>
              <w:t xml:space="preserve"> (ETP)</w:t>
            </w:r>
            <w:r w:rsidRPr="177E642B">
              <w:rPr>
                <w:rStyle w:val="normaltextrun"/>
                <w:rFonts w:ascii="Verdana" w:hAnsi="Verdana" w:cs="Segoe UI"/>
                <w:sz w:val="16"/>
                <w:szCs w:val="16"/>
              </w:rPr>
              <w:t>, so that it operates reliably now and</w:t>
            </w:r>
            <w:r w:rsidR="04249FE5" w:rsidRPr="40367A65">
              <w:rPr>
                <w:rStyle w:val="normaltextrun"/>
                <w:rFonts w:ascii="Verdana" w:hAnsi="Verdana" w:cs="Segoe UI"/>
                <w:sz w:val="16"/>
                <w:szCs w:val="16"/>
              </w:rPr>
              <w:t>,</w:t>
            </w:r>
            <w:r w:rsidRPr="177E642B">
              <w:rPr>
                <w:rStyle w:val="normaltextrun"/>
                <w:rFonts w:ascii="Verdana" w:hAnsi="Verdana" w:cs="Segoe UI"/>
                <w:sz w:val="16"/>
                <w:szCs w:val="16"/>
              </w:rPr>
              <w:t xml:space="preserve"> in the future, including recycled water production and incorporating SEW’s intimate knowledge of its customers in sewage demand forecasts</w:t>
            </w:r>
            <w:r w:rsidR="31BA84F7" w:rsidRPr="177E642B">
              <w:rPr>
                <w:rStyle w:val="normaltextrun"/>
                <w:rFonts w:ascii="Verdana" w:hAnsi="Verdana" w:cs="Segoe UI"/>
                <w:sz w:val="16"/>
                <w:szCs w:val="16"/>
              </w:rPr>
              <w:t>.</w:t>
            </w:r>
            <w:r w:rsidRPr="177E642B">
              <w:rPr>
                <w:rStyle w:val="eop"/>
                <w:rFonts w:ascii="Verdana" w:hAnsi="Verdana" w:cs="Segoe UI"/>
                <w:sz w:val="16"/>
                <w:szCs w:val="16"/>
              </w:rPr>
              <w:t> </w:t>
            </w:r>
          </w:p>
        </w:tc>
        <w:tc>
          <w:tcPr>
            <w:tcW w:w="10742" w:type="dxa"/>
          </w:tcPr>
          <w:p w14:paraId="40C1713F" w14:textId="77777777" w:rsidR="002D42C1" w:rsidRPr="00DE108C" w:rsidRDefault="002D42C1" w:rsidP="00ED094E">
            <w:pPr>
              <w:pStyle w:val="paragraph"/>
              <w:spacing w:before="0" w:beforeAutospacing="0" w:after="0" w:afterAutospacing="0"/>
              <w:textAlignment w:val="baseline"/>
              <w:divId w:val="1217625800"/>
              <w:rPr>
                <w:rFonts w:ascii="Segoe UI" w:hAnsi="Segoe UI" w:cs="Segoe UI"/>
                <w:color w:val="231F20"/>
                <w:sz w:val="16"/>
                <w:szCs w:val="16"/>
              </w:rPr>
            </w:pPr>
            <w:r w:rsidRPr="00DE108C">
              <w:rPr>
                <w:rStyle w:val="normaltextrun"/>
                <w:rFonts w:ascii="Verdana" w:hAnsi="Verdana" w:cs="Segoe UI"/>
                <w:b/>
                <w:bCs/>
                <w:color w:val="231F20"/>
                <w:sz w:val="16"/>
                <w:szCs w:val="16"/>
              </w:rPr>
              <w:t>Largely addressed</w:t>
            </w:r>
            <w:r w:rsidRPr="00DE108C">
              <w:rPr>
                <w:rStyle w:val="eop"/>
                <w:rFonts w:ascii="Verdana" w:hAnsi="Verdana" w:cs="Segoe UI"/>
                <w:color w:val="231F20"/>
                <w:sz w:val="16"/>
                <w:szCs w:val="16"/>
              </w:rPr>
              <w:t> </w:t>
            </w:r>
          </w:p>
          <w:p w14:paraId="5822448B" w14:textId="61A18B69" w:rsidR="002D42C1" w:rsidRPr="00DE108C" w:rsidRDefault="002D42C1" w:rsidP="00ED094E">
            <w:pPr>
              <w:rPr>
                <w:sz w:val="16"/>
                <w:szCs w:val="16"/>
              </w:rPr>
            </w:pPr>
            <w:r w:rsidRPr="1C0BC6B6">
              <w:rPr>
                <w:rStyle w:val="normaltextrun"/>
                <w:rFonts w:ascii="Verdana" w:hAnsi="Verdana" w:cs="Segoe UI"/>
                <w:sz w:val="16"/>
                <w:szCs w:val="16"/>
              </w:rPr>
              <w:t xml:space="preserve">We understand that SEW is impacted more directly than the other </w:t>
            </w:r>
            <w:r w:rsidR="625213D1" w:rsidRPr="1C0BC6B6">
              <w:rPr>
                <w:rStyle w:val="normaltextrun"/>
                <w:rFonts w:ascii="Verdana" w:hAnsi="Verdana" w:cs="Segoe UI"/>
                <w:sz w:val="16"/>
                <w:szCs w:val="16"/>
              </w:rPr>
              <w:t xml:space="preserve">water </w:t>
            </w:r>
            <w:r w:rsidR="625213D1" w:rsidRPr="044FB146">
              <w:rPr>
                <w:rStyle w:val="normaltextrun"/>
                <w:rFonts w:ascii="Verdana" w:hAnsi="Verdana" w:cs="Segoe UI"/>
                <w:sz w:val="16"/>
                <w:szCs w:val="16"/>
              </w:rPr>
              <w:t>corporations from</w:t>
            </w:r>
            <w:r w:rsidRPr="1C0BC6B6">
              <w:rPr>
                <w:rStyle w:val="normaltextrun"/>
                <w:rFonts w:ascii="Verdana" w:hAnsi="Verdana" w:cs="Segoe UI"/>
                <w:sz w:val="16"/>
                <w:szCs w:val="16"/>
              </w:rPr>
              <w:t xml:space="preserve"> recent materially higher than forecast flows and loads at ETP and therefore is deeply interested in </w:t>
            </w:r>
            <w:r w:rsidRPr="044FB146">
              <w:rPr>
                <w:rStyle w:val="normaltextrun"/>
                <w:rFonts w:ascii="Verdana" w:hAnsi="Verdana" w:cs="Segoe UI"/>
                <w:sz w:val="16"/>
                <w:szCs w:val="16"/>
              </w:rPr>
              <w:t>M</w:t>
            </w:r>
            <w:r w:rsidR="21C7B5E0" w:rsidRPr="044FB146">
              <w:rPr>
                <w:rStyle w:val="normaltextrun"/>
                <w:rFonts w:ascii="Verdana" w:hAnsi="Verdana" w:cs="Segoe UI"/>
                <w:sz w:val="16"/>
                <w:szCs w:val="16"/>
              </w:rPr>
              <w:t xml:space="preserve">elbourne </w:t>
            </w:r>
            <w:r w:rsidRPr="044FB146">
              <w:rPr>
                <w:rStyle w:val="normaltextrun"/>
                <w:rFonts w:ascii="Verdana" w:hAnsi="Verdana" w:cs="Segoe UI"/>
                <w:sz w:val="16"/>
                <w:szCs w:val="16"/>
              </w:rPr>
              <w:t>W</w:t>
            </w:r>
            <w:r w:rsidR="764F49E0" w:rsidRPr="044FB146">
              <w:rPr>
                <w:rStyle w:val="normaltextrun"/>
                <w:rFonts w:ascii="Verdana" w:hAnsi="Verdana" w:cs="Segoe UI"/>
                <w:sz w:val="16"/>
                <w:szCs w:val="16"/>
              </w:rPr>
              <w:t>ater</w:t>
            </w:r>
            <w:r w:rsidRPr="1C0BC6B6">
              <w:rPr>
                <w:rStyle w:val="normaltextrun"/>
                <w:rFonts w:ascii="Verdana" w:hAnsi="Verdana" w:cs="Segoe UI"/>
                <w:sz w:val="16"/>
                <w:szCs w:val="16"/>
              </w:rPr>
              <w:t xml:space="preserve"> increasing capacity of the plant in a timely manner, but also not over-investing too early to protect customers from paying for assets that are not yet required. We have incorporated SEW’s feedback on our demand forecast and assessed SEW’s alternate demand forecasts</w:t>
            </w:r>
            <w:r w:rsidR="331CCFA3" w:rsidRPr="044FB146">
              <w:rPr>
                <w:rStyle w:val="normaltextrun"/>
                <w:rFonts w:ascii="Verdana" w:hAnsi="Verdana" w:cs="Segoe UI"/>
                <w:sz w:val="16"/>
                <w:szCs w:val="16"/>
              </w:rPr>
              <w:t>,</w:t>
            </w:r>
            <w:r w:rsidRPr="1C0BC6B6">
              <w:rPr>
                <w:rStyle w:val="normaltextrun"/>
                <w:rFonts w:ascii="Verdana" w:hAnsi="Verdana" w:cs="Segoe UI"/>
                <w:sz w:val="16"/>
                <w:szCs w:val="16"/>
              </w:rPr>
              <w:t xml:space="preserve"> which has confirmed no changes to the investment program would be required during the 2026-31 regulatory period. We have included over $</w:t>
            </w:r>
            <w:r w:rsidRPr="044FB146">
              <w:rPr>
                <w:rStyle w:val="normaltextrun"/>
                <w:rFonts w:ascii="Verdana" w:hAnsi="Verdana" w:cs="Segoe UI"/>
                <w:sz w:val="16"/>
                <w:szCs w:val="16"/>
              </w:rPr>
              <w:t>900</w:t>
            </w:r>
            <w:r w:rsidR="33D30681" w:rsidRPr="044FB146">
              <w:rPr>
                <w:rStyle w:val="normaltextrun"/>
                <w:rFonts w:ascii="Verdana" w:hAnsi="Verdana" w:cs="Segoe UI"/>
                <w:sz w:val="16"/>
                <w:szCs w:val="16"/>
              </w:rPr>
              <w:t xml:space="preserve"> </w:t>
            </w:r>
            <w:r w:rsidRPr="044FB146">
              <w:rPr>
                <w:rStyle w:val="normaltextrun"/>
                <w:rFonts w:ascii="Verdana" w:hAnsi="Verdana" w:cs="Segoe UI"/>
                <w:sz w:val="16"/>
                <w:szCs w:val="16"/>
              </w:rPr>
              <w:t>m</w:t>
            </w:r>
            <w:r w:rsidR="6721F152" w:rsidRPr="044FB146">
              <w:rPr>
                <w:rStyle w:val="normaltextrun"/>
                <w:rFonts w:ascii="Verdana" w:hAnsi="Verdana" w:cs="Segoe UI"/>
                <w:sz w:val="16"/>
                <w:szCs w:val="16"/>
              </w:rPr>
              <w:t>illion</w:t>
            </w:r>
            <w:r w:rsidRPr="1C0BC6B6">
              <w:rPr>
                <w:rStyle w:val="normaltextrun"/>
                <w:rFonts w:ascii="Verdana" w:hAnsi="Verdana" w:cs="Segoe UI"/>
                <w:sz w:val="16"/>
                <w:szCs w:val="16"/>
              </w:rPr>
              <w:t xml:space="preserve"> of prudent, efficient and deliverable capital investment at ETP during the 2026-31 period to enhance plant </w:t>
            </w:r>
            <w:r w:rsidR="00767213">
              <w:rPr>
                <w:rStyle w:val="normaltextrun"/>
                <w:rFonts w:ascii="Verdana" w:hAnsi="Verdana" w:cs="Segoe UI"/>
                <w:sz w:val="16"/>
                <w:szCs w:val="16"/>
              </w:rPr>
              <w:t>c</w:t>
            </w:r>
            <w:r w:rsidR="00767213" w:rsidRPr="00767213">
              <w:rPr>
                <w:rStyle w:val="normaltextrun"/>
                <w:rFonts w:ascii="Verdana" w:hAnsi="Verdana" w:cs="Segoe UI"/>
                <w:sz w:val="16"/>
                <w:szCs w:val="16"/>
              </w:rPr>
              <w:t>apacity</w:t>
            </w:r>
            <w:r w:rsidRPr="1C0BC6B6">
              <w:rPr>
                <w:rStyle w:val="normaltextrun"/>
                <w:rFonts w:ascii="Verdana" w:hAnsi="Verdana" w:cs="Segoe UI"/>
                <w:sz w:val="16"/>
                <w:szCs w:val="16"/>
              </w:rPr>
              <w:t xml:space="preserve"> and operating efficiency.</w:t>
            </w:r>
            <w:r w:rsidRPr="1C0BC6B6">
              <w:rPr>
                <w:rStyle w:val="eop"/>
                <w:rFonts w:ascii="Verdana" w:hAnsi="Verdana" w:cs="Segoe UI"/>
                <w:sz w:val="16"/>
                <w:szCs w:val="16"/>
              </w:rPr>
              <w:t> </w:t>
            </w:r>
          </w:p>
        </w:tc>
      </w:tr>
      <w:tr w:rsidR="002D42C1" w:rsidRPr="00DE108C" w14:paraId="655691DE" w14:textId="77777777" w:rsidTr="00D819A9">
        <w:tc>
          <w:tcPr>
            <w:tcW w:w="1449" w:type="dxa"/>
            <w:vMerge/>
            <w:shd w:val="clear" w:color="auto" w:fill="00428B" w:themeFill="text2"/>
          </w:tcPr>
          <w:p w14:paraId="32EBDBE7" w14:textId="77777777" w:rsidR="002D42C1" w:rsidRPr="00DE108C" w:rsidRDefault="002D42C1" w:rsidP="00ED094E">
            <w:pPr>
              <w:rPr>
                <w:b/>
                <w:bCs/>
                <w:color w:val="FFFFFF" w:themeColor="background1"/>
                <w:sz w:val="16"/>
                <w:szCs w:val="16"/>
              </w:rPr>
            </w:pPr>
          </w:p>
        </w:tc>
        <w:tc>
          <w:tcPr>
            <w:tcW w:w="10170" w:type="dxa"/>
          </w:tcPr>
          <w:p w14:paraId="1D600E54" w14:textId="47A62978" w:rsidR="002D42C1" w:rsidRPr="00DE108C" w:rsidRDefault="002D42C1" w:rsidP="00ED094E">
            <w:pPr>
              <w:rPr>
                <w:sz w:val="16"/>
                <w:szCs w:val="16"/>
              </w:rPr>
            </w:pPr>
            <w:r w:rsidRPr="177E642B">
              <w:rPr>
                <w:rStyle w:val="normaltextrun"/>
                <w:rFonts w:ascii="Verdana" w:hAnsi="Verdana" w:cs="Segoe UI"/>
                <w:sz w:val="16"/>
                <w:szCs w:val="16"/>
              </w:rPr>
              <w:t>Item #3: Increased collaboration on whole of water cycle service planning</w:t>
            </w:r>
            <w:r w:rsidR="7C1FDB27" w:rsidRPr="177E642B">
              <w:rPr>
                <w:rStyle w:val="eop"/>
                <w:rFonts w:ascii="Verdana" w:hAnsi="Verdana" w:cs="Segoe UI"/>
                <w:sz w:val="16"/>
                <w:szCs w:val="16"/>
              </w:rPr>
              <w:t>.</w:t>
            </w:r>
          </w:p>
        </w:tc>
        <w:tc>
          <w:tcPr>
            <w:tcW w:w="10742" w:type="dxa"/>
          </w:tcPr>
          <w:p w14:paraId="09126517" w14:textId="77777777" w:rsidR="002D42C1" w:rsidRPr="00DE108C" w:rsidRDefault="002D42C1" w:rsidP="00ED094E">
            <w:pPr>
              <w:pStyle w:val="paragraph"/>
              <w:spacing w:before="0" w:beforeAutospacing="0" w:after="0" w:afterAutospacing="0"/>
              <w:textAlignment w:val="baseline"/>
              <w:divId w:val="1021325056"/>
              <w:rPr>
                <w:rFonts w:ascii="Segoe UI" w:hAnsi="Segoe UI" w:cs="Segoe UI"/>
                <w:color w:val="231F20"/>
                <w:sz w:val="16"/>
                <w:szCs w:val="16"/>
              </w:rPr>
            </w:pPr>
            <w:r w:rsidRPr="00DE108C">
              <w:rPr>
                <w:rStyle w:val="normaltextrun"/>
                <w:rFonts w:ascii="Verdana" w:hAnsi="Verdana" w:cs="Segoe UI"/>
                <w:b/>
                <w:bCs/>
                <w:color w:val="231F20"/>
                <w:sz w:val="16"/>
                <w:szCs w:val="16"/>
              </w:rPr>
              <w:t>Addressed</w:t>
            </w:r>
            <w:r w:rsidRPr="00DE108C">
              <w:rPr>
                <w:rStyle w:val="eop"/>
                <w:rFonts w:ascii="Verdana" w:hAnsi="Verdana" w:cs="Segoe UI"/>
                <w:color w:val="231F20"/>
                <w:sz w:val="16"/>
                <w:szCs w:val="16"/>
              </w:rPr>
              <w:t> </w:t>
            </w:r>
          </w:p>
          <w:p w14:paraId="21BCDC27" w14:textId="00F00237" w:rsidR="002D42C1" w:rsidRPr="00DE108C" w:rsidRDefault="002D42C1" w:rsidP="00ED094E">
            <w:pPr>
              <w:rPr>
                <w:sz w:val="16"/>
                <w:szCs w:val="16"/>
              </w:rPr>
            </w:pPr>
            <w:r w:rsidRPr="6EC192FB">
              <w:rPr>
                <w:rStyle w:val="normaltextrun"/>
                <w:rFonts w:ascii="Verdana" w:hAnsi="Verdana" w:cs="Segoe UI"/>
                <w:sz w:val="16"/>
                <w:szCs w:val="16"/>
              </w:rPr>
              <w:t xml:space="preserve">Under Outcome 5, we commit to collaborating and co-creating plans with the water sector and playing a key role in delivering water solutions that addresses the challenges in future planning across Melbourne and climate change. We are committed to working with other businesses to complete a collaborative </w:t>
            </w:r>
            <w:r w:rsidR="1FB08864" w:rsidRPr="20ACCE37">
              <w:rPr>
                <w:rStyle w:val="normaltextrun"/>
                <w:rFonts w:ascii="Verdana" w:hAnsi="Verdana" w:cs="Segoe UI"/>
                <w:sz w:val="16"/>
                <w:szCs w:val="16"/>
              </w:rPr>
              <w:t>l</w:t>
            </w:r>
            <w:r w:rsidRPr="6EC192FB">
              <w:rPr>
                <w:rStyle w:val="normaltextrun"/>
                <w:rFonts w:ascii="Verdana" w:hAnsi="Verdana" w:cs="Segoe UI"/>
                <w:sz w:val="16"/>
                <w:szCs w:val="16"/>
              </w:rPr>
              <w:t xml:space="preserve">ong-term capital and operating plan to support Urban Water and System Strategies and future </w:t>
            </w:r>
            <w:r w:rsidR="00FB646F" w:rsidRPr="00FB646F">
              <w:rPr>
                <w:rStyle w:val="normaltextrun"/>
                <w:rFonts w:ascii="Verdana" w:hAnsi="Verdana" w:cs="Segoe UI"/>
                <w:sz w:val="16"/>
                <w:szCs w:val="16"/>
              </w:rPr>
              <w:t>water corporation</w:t>
            </w:r>
            <w:r w:rsidR="00FB646F" w:rsidRPr="66247AEA">
              <w:rPr>
                <w:rStyle w:val="normaltextrun"/>
                <w:rFonts w:ascii="Verdana" w:hAnsi="Verdana" w:cs="Segoe UI"/>
                <w:sz w:val="16"/>
                <w:szCs w:val="16"/>
              </w:rPr>
              <w:t xml:space="preserve"> </w:t>
            </w:r>
            <w:r w:rsidRPr="6EC192FB">
              <w:rPr>
                <w:rStyle w:val="normaltextrun"/>
                <w:rFonts w:ascii="Verdana" w:hAnsi="Verdana" w:cs="Segoe UI"/>
                <w:sz w:val="16"/>
                <w:szCs w:val="16"/>
              </w:rPr>
              <w:t xml:space="preserve">and Melbourne Water </w:t>
            </w:r>
            <w:r w:rsidR="15055681" w:rsidRPr="20ACCE37">
              <w:rPr>
                <w:rStyle w:val="normaltextrun"/>
                <w:rFonts w:ascii="Verdana" w:hAnsi="Verdana" w:cs="Segoe UI"/>
                <w:sz w:val="16"/>
                <w:szCs w:val="16"/>
              </w:rPr>
              <w:t>P</w:t>
            </w:r>
            <w:r w:rsidRPr="20ACCE37">
              <w:rPr>
                <w:rStyle w:val="normaltextrun"/>
                <w:rFonts w:ascii="Verdana" w:hAnsi="Verdana" w:cs="Segoe UI"/>
                <w:sz w:val="16"/>
                <w:szCs w:val="16"/>
              </w:rPr>
              <w:t xml:space="preserve">rice </w:t>
            </w:r>
            <w:r w:rsidR="6EB6394F" w:rsidRPr="20ACCE37">
              <w:rPr>
                <w:rStyle w:val="normaltextrun"/>
                <w:rFonts w:ascii="Verdana" w:hAnsi="Verdana" w:cs="Segoe UI"/>
                <w:sz w:val="16"/>
                <w:szCs w:val="16"/>
              </w:rPr>
              <w:t>S</w:t>
            </w:r>
            <w:r w:rsidRPr="20ACCE37">
              <w:rPr>
                <w:rStyle w:val="normaltextrun"/>
                <w:rFonts w:ascii="Verdana" w:hAnsi="Verdana" w:cs="Segoe UI"/>
                <w:sz w:val="16"/>
                <w:szCs w:val="16"/>
              </w:rPr>
              <w:t>ubmissions</w:t>
            </w:r>
            <w:r w:rsidRPr="6EC192FB">
              <w:rPr>
                <w:rStyle w:val="normaltextrun"/>
                <w:rFonts w:ascii="Verdana" w:hAnsi="Verdana" w:cs="Segoe UI"/>
                <w:sz w:val="16"/>
                <w:szCs w:val="16"/>
              </w:rPr>
              <w:t>, as well as Integrated Water Management Forums.</w:t>
            </w:r>
            <w:r w:rsidRPr="6EC192FB">
              <w:rPr>
                <w:rStyle w:val="eop"/>
                <w:rFonts w:ascii="Verdana" w:hAnsi="Verdana" w:cs="Segoe UI"/>
                <w:sz w:val="16"/>
                <w:szCs w:val="16"/>
              </w:rPr>
              <w:t> </w:t>
            </w:r>
          </w:p>
        </w:tc>
      </w:tr>
      <w:tr w:rsidR="00A043F7" w:rsidRPr="00DE108C" w14:paraId="61411DC1" w14:textId="77777777" w:rsidTr="00D819A9">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4526D959" w14:textId="77777777" w:rsidR="002D42C1" w:rsidRPr="00DE108C" w:rsidRDefault="002D42C1" w:rsidP="00ED094E">
            <w:pPr>
              <w:rPr>
                <w:b/>
                <w:bCs/>
                <w:color w:val="FFFFFF" w:themeColor="background1"/>
                <w:sz w:val="16"/>
                <w:szCs w:val="16"/>
              </w:rPr>
            </w:pPr>
          </w:p>
        </w:tc>
        <w:tc>
          <w:tcPr>
            <w:tcW w:w="10170" w:type="dxa"/>
          </w:tcPr>
          <w:p w14:paraId="7E6D1427" w14:textId="28D15F89" w:rsidR="002D42C1" w:rsidRPr="00DE108C" w:rsidRDefault="002D42C1" w:rsidP="00ED094E">
            <w:pPr>
              <w:rPr>
                <w:sz w:val="16"/>
                <w:szCs w:val="16"/>
              </w:rPr>
            </w:pPr>
            <w:r w:rsidRPr="31090976">
              <w:rPr>
                <w:rStyle w:val="normaltextrun"/>
                <w:rFonts w:ascii="Verdana" w:hAnsi="Verdana" w:cs="Segoe UI"/>
                <w:sz w:val="16"/>
                <w:szCs w:val="16"/>
              </w:rPr>
              <w:t>Item #4: Fair tariff reforms, including a higher variable water tariff that incentivises efficient investment and has MW taking on more demand risk, and a ‘user pays’ cost allocation</w:t>
            </w:r>
            <w:r w:rsidR="51B57E02" w:rsidRPr="31090976">
              <w:rPr>
                <w:rStyle w:val="normaltextrun"/>
                <w:rFonts w:ascii="Verdana" w:hAnsi="Verdana" w:cs="Segoe UI"/>
                <w:sz w:val="16"/>
                <w:szCs w:val="16"/>
              </w:rPr>
              <w:t>.</w:t>
            </w:r>
            <w:r w:rsidRPr="31090976">
              <w:rPr>
                <w:rStyle w:val="eop"/>
                <w:rFonts w:ascii="Verdana" w:hAnsi="Verdana" w:cs="Segoe UI"/>
                <w:sz w:val="16"/>
                <w:szCs w:val="16"/>
              </w:rPr>
              <w:t> </w:t>
            </w:r>
          </w:p>
        </w:tc>
        <w:tc>
          <w:tcPr>
            <w:tcW w:w="10742" w:type="dxa"/>
          </w:tcPr>
          <w:p w14:paraId="39AB20CB" w14:textId="77777777" w:rsidR="002D42C1" w:rsidRPr="00DE108C" w:rsidRDefault="002D42C1" w:rsidP="00ED094E">
            <w:pPr>
              <w:pStyle w:val="paragraph"/>
              <w:spacing w:before="0" w:beforeAutospacing="0" w:after="0" w:afterAutospacing="0"/>
              <w:textAlignment w:val="baseline"/>
              <w:divId w:val="1225026045"/>
              <w:rPr>
                <w:rFonts w:ascii="Segoe UI" w:hAnsi="Segoe UI" w:cs="Segoe UI"/>
                <w:color w:val="231F20"/>
                <w:sz w:val="16"/>
                <w:szCs w:val="16"/>
              </w:rPr>
            </w:pPr>
            <w:r w:rsidRPr="00DE108C">
              <w:rPr>
                <w:rStyle w:val="normaltextrun"/>
                <w:rFonts w:ascii="Verdana" w:hAnsi="Verdana" w:cs="Segoe UI"/>
                <w:b/>
                <w:bCs/>
                <w:color w:val="231F20"/>
                <w:sz w:val="16"/>
                <w:szCs w:val="16"/>
              </w:rPr>
              <w:t>Largely addressed</w:t>
            </w:r>
            <w:r w:rsidRPr="00DE108C">
              <w:rPr>
                <w:rStyle w:val="eop"/>
                <w:rFonts w:ascii="Verdana" w:hAnsi="Verdana" w:cs="Segoe UI"/>
                <w:color w:val="231F20"/>
                <w:sz w:val="16"/>
                <w:szCs w:val="16"/>
              </w:rPr>
              <w:t> </w:t>
            </w:r>
          </w:p>
          <w:p w14:paraId="7515D2B3" w14:textId="77777777" w:rsidR="002D42C1" w:rsidRPr="00DE108C" w:rsidRDefault="002D42C1" w:rsidP="00ED094E">
            <w:pPr>
              <w:rPr>
                <w:sz w:val="16"/>
                <w:szCs w:val="16"/>
              </w:rPr>
            </w:pPr>
            <w:r w:rsidRPr="00DE108C">
              <w:rPr>
                <w:rStyle w:val="normaltextrun"/>
                <w:rFonts w:ascii="Verdana" w:hAnsi="Verdana" w:cs="Segoe UI"/>
                <w:color w:val="231F20"/>
                <w:sz w:val="16"/>
                <w:szCs w:val="16"/>
              </w:rPr>
              <w:t xml:space="preserve">We are proposing a suite of tariff reforms that take interests consistent with SEW’s preferences and taking SEW’s customers into account. This includes moving to a higher variable water price as desired by SEW, and allocating fixed charges based on historical usage rather than forecasts. </w:t>
            </w:r>
          </w:p>
        </w:tc>
      </w:tr>
      <w:tr w:rsidR="002D42C1" w:rsidRPr="00DE108C" w14:paraId="1942DBB6" w14:textId="77777777" w:rsidTr="00D819A9">
        <w:tc>
          <w:tcPr>
            <w:tcW w:w="1449" w:type="dxa"/>
            <w:vMerge/>
            <w:shd w:val="clear" w:color="auto" w:fill="00428B" w:themeFill="text2"/>
          </w:tcPr>
          <w:p w14:paraId="1A1F515A" w14:textId="77777777" w:rsidR="002D42C1" w:rsidRPr="00DE108C" w:rsidRDefault="002D42C1" w:rsidP="00ED094E">
            <w:pPr>
              <w:rPr>
                <w:b/>
                <w:bCs/>
                <w:color w:val="FFFFFF" w:themeColor="background1"/>
                <w:sz w:val="16"/>
                <w:szCs w:val="16"/>
              </w:rPr>
            </w:pPr>
          </w:p>
        </w:tc>
        <w:tc>
          <w:tcPr>
            <w:tcW w:w="10170" w:type="dxa"/>
          </w:tcPr>
          <w:p w14:paraId="3E80B42D" w14:textId="4C6F7716" w:rsidR="002D42C1" w:rsidRPr="00DE108C" w:rsidRDefault="002D42C1" w:rsidP="00ED094E">
            <w:pPr>
              <w:rPr>
                <w:sz w:val="16"/>
                <w:szCs w:val="16"/>
              </w:rPr>
            </w:pPr>
            <w:r w:rsidRPr="31090976">
              <w:rPr>
                <w:rStyle w:val="normaltextrun"/>
                <w:rFonts w:ascii="Verdana" w:hAnsi="Verdana" w:cs="Segoe UI"/>
                <w:sz w:val="16"/>
                <w:szCs w:val="16"/>
              </w:rPr>
              <w:t>Item #5: Increased support for customers in hardship</w:t>
            </w:r>
            <w:r w:rsidR="0098E85D" w:rsidRPr="31090976">
              <w:rPr>
                <w:rStyle w:val="eop"/>
                <w:rFonts w:ascii="Verdana" w:hAnsi="Verdana" w:cs="Segoe UI"/>
                <w:sz w:val="16"/>
                <w:szCs w:val="16"/>
              </w:rPr>
              <w:t>.</w:t>
            </w:r>
          </w:p>
        </w:tc>
        <w:tc>
          <w:tcPr>
            <w:tcW w:w="10742" w:type="dxa"/>
          </w:tcPr>
          <w:p w14:paraId="6A8CEAF3" w14:textId="77777777" w:rsidR="002D42C1" w:rsidRPr="00DE108C" w:rsidRDefault="002D42C1" w:rsidP="00ED094E">
            <w:pPr>
              <w:pStyle w:val="paragraph"/>
              <w:spacing w:before="0" w:beforeAutospacing="0" w:after="0" w:afterAutospacing="0"/>
              <w:textAlignment w:val="baseline"/>
              <w:divId w:val="1872373196"/>
              <w:rPr>
                <w:rFonts w:ascii="Segoe UI" w:hAnsi="Segoe UI" w:cs="Segoe UI"/>
                <w:color w:val="231F20"/>
                <w:sz w:val="16"/>
                <w:szCs w:val="16"/>
              </w:rPr>
            </w:pPr>
            <w:r w:rsidRPr="00DE108C">
              <w:rPr>
                <w:rStyle w:val="normaltextrun"/>
                <w:rFonts w:ascii="Verdana" w:hAnsi="Verdana" w:cs="Segoe UI"/>
                <w:b/>
                <w:bCs/>
                <w:color w:val="231F20"/>
                <w:sz w:val="16"/>
                <w:szCs w:val="16"/>
              </w:rPr>
              <w:t>Addressed</w:t>
            </w:r>
            <w:r w:rsidRPr="00DE108C">
              <w:rPr>
                <w:rStyle w:val="eop"/>
                <w:rFonts w:ascii="Verdana" w:hAnsi="Verdana" w:cs="Segoe UI"/>
                <w:color w:val="231F20"/>
                <w:sz w:val="16"/>
                <w:szCs w:val="16"/>
              </w:rPr>
              <w:t> </w:t>
            </w:r>
          </w:p>
          <w:p w14:paraId="3B1E6CDB" w14:textId="36C76973" w:rsidR="002D42C1" w:rsidRPr="00DE108C" w:rsidRDefault="002D42C1" w:rsidP="00ED094E">
            <w:pPr>
              <w:rPr>
                <w:sz w:val="16"/>
                <w:szCs w:val="16"/>
              </w:rPr>
            </w:pPr>
            <w:r w:rsidRPr="20ACCE37">
              <w:rPr>
                <w:rStyle w:val="normaltextrun"/>
                <w:rFonts w:ascii="Verdana" w:hAnsi="Verdana" w:cs="Segoe UI"/>
                <w:sz w:val="16"/>
                <w:szCs w:val="16"/>
              </w:rPr>
              <w:t>We are building on retail water corporations’ extensive support for households experiencing vulnerability with Melbourne Water’s first hardship package, including providing payment difficulty support, water efficient appliances for customers experiencing hardship, and working with community sector organisations.</w:t>
            </w:r>
            <w:r w:rsidRPr="20ACCE37">
              <w:rPr>
                <w:rStyle w:val="eop"/>
                <w:rFonts w:ascii="Verdana" w:hAnsi="Verdana" w:cs="Segoe UI"/>
                <w:sz w:val="16"/>
                <w:szCs w:val="16"/>
              </w:rPr>
              <w:t> </w:t>
            </w:r>
          </w:p>
        </w:tc>
      </w:tr>
      <w:tr w:rsidR="00A043F7" w:rsidRPr="00DE108C" w14:paraId="713E5F65" w14:textId="77777777" w:rsidTr="00D819A9">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34F399E7" w14:textId="77777777" w:rsidR="002D42C1" w:rsidRPr="00DE108C" w:rsidRDefault="002D42C1" w:rsidP="00ED094E">
            <w:pPr>
              <w:rPr>
                <w:b/>
                <w:bCs/>
                <w:color w:val="FFFFFF" w:themeColor="background1"/>
                <w:sz w:val="16"/>
                <w:szCs w:val="16"/>
              </w:rPr>
            </w:pPr>
          </w:p>
        </w:tc>
        <w:tc>
          <w:tcPr>
            <w:tcW w:w="10170" w:type="dxa"/>
          </w:tcPr>
          <w:p w14:paraId="00640305" w14:textId="07C2F7A7" w:rsidR="002D42C1" w:rsidRPr="00DE108C" w:rsidRDefault="002D42C1" w:rsidP="00ED094E">
            <w:pPr>
              <w:rPr>
                <w:sz w:val="16"/>
                <w:szCs w:val="16"/>
              </w:rPr>
            </w:pPr>
            <w:r w:rsidRPr="31090976">
              <w:rPr>
                <w:rStyle w:val="normaltextrun"/>
                <w:rFonts w:ascii="Verdana" w:hAnsi="Verdana" w:cs="Segoe UI"/>
                <w:sz w:val="16"/>
                <w:szCs w:val="16"/>
              </w:rPr>
              <w:t>Item #6: A new water quality Guaranteed Service Level (GSL) that would apply in cases of confirmed microbiological contamination</w:t>
            </w:r>
            <w:r w:rsidR="06BD4A2E" w:rsidRPr="31090976">
              <w:rPr>
                <w:rStyle w:val="normaltextrun"/>
                <w:rFonts w:ascii="Verdana" w:hAnsi="Verdana" w:cs="Segoe UI"/>
                <w:sz w:val="16"/>
                <w:szCs w:val="16"/>
              </w:rPr>
              <w:t>.</w:t>
            </w:r>
            <w:r w:rsidRPr="31090976">
              <w:rPr>
                <w:rStyle w:val="eop"/>
                <w:rFonts w:ascii="Verdana" w:hAnsi="Verdana" w:cs="Segoe UI"/>
                <w:sz w:val="16"/>
                <w:szCs w:val="16"/>
              </w:rPr>
              <w:t> </w:t>
            </w:r>
          </w:p>
        </w:tc>
        <w:tc>
          <w:tcPr>
            <w:tcW w:w="10742" w:type="dxa"/>
          </w:tcPr>
          <w:p w14:paraId="17D490F7" w14:textId="77777777" w:rsidR="002D42C1" w:rsidRPr="00DE108C" w:rsidRDefault="002D42C1" w:rsidP="00ED094E">
            <w:pPr>
              <w:pStyle w:val="paragraph"/>
              <w:spacing w:before="0" w:beforeAutospacing="0" w:after="0" w:afterAutospacing="0"/>
              <w:textAlignment w:val="baseline"/>
              <w:divId w:val="637960164"/>
              <w:rPr>
                <w:rFonts w:ascii="Segoe UI" w:hAnsi="Segoe UI" w:cs="Segoe UI"/>
                <w:color w:val="231F20"/>
                <w:sz w:val="16"/>
                <w:szCs w:val="16"/>
              </w:rPr>
            </w:pPr>
            <w:r w:rsidRPr="00DE108C">
              <w:rPr>
                <w:rStyle w:val="normaltextrun"/>
                <w:rFonts w:ascii="Verdana" w:hAnsi="Verdana" w:cs="Segoe UI"/>
                <w:b/>
                <w:bCs/>
                <w:color w:val="231F20"/>
                <w:sz w:val="16"/>
                <w:szCs w:val="16"/>
              </w:rPr>
              <w:t>Addressed</w:t>
            </w:r>
            <w:r w:rsidRPr="00DE108C">
              <w:rPr>
                <w:rStyle w:val="eop"/>
                <w:rFonts w:ascii="Verdana" w:hAnsi="Verdana" w:cs="Segoe UI"/>
                <w:color w:val="231F20"/>
                <w:sz w:val="16"/>
                <w:szCs w:val="16"/>
              </w:rPr>
              <w:t> </w:t>
            </w:r>
          </w:p>
          <w:p w14:paraId="50CA0569" w14:textId="7BFD2E3C" w:rsidR="002D42C1" w:rsidRPr="00DE108C" w:rsidRDefault="002D42C1" w:rsidP="00ED094E">
            <w:pPr>
              <w:rPr>
                <w:sz w:val="16"/>
                <w:szCs w:val="16"/>
              </w:rPr>
            </w:pPr>
            <w:r w:rsidRPr="0069EA2D">
              <w:rPr>
                <w:rStyle w:val="normaltextrun"/>
                <w:rFonts w:ascii="Verdana" w:hAnsi="Verdana" w:cs="Segoe UI"/>
                <w:sz w:val="16"/>
                <w:szCs w:val="16"/>
              </w:rPr>
              <w:t xml:space="preserve">We are proposing to introduce a water quality </w:t>
            </w:r>
            <w:r w:rsidR="469BC768" w:rsidRPr="1677200B">
              <w:rPr>
                <w:rStyle w:val="normaltextrun"/>
                <w:rFonts w:ascii="Verdana" w:hAnsi="Verdana" w:cs="Segoe UI"/>
                <w:sz w:val="16"/>
                <w:szCs w:val="16"/>
              </w:rPr>
              <w:t>Guaranteed</w:t>
            </w:r>
            <w:r w:rsidR="0D4E5D85" w:rsidRPr="0069EA2D">
              <w:rPr>
                <w:rStyle w:val="normaltextrun"/>
                <w:rFonts w:ascii="Verdana" w:hAnsi="Verdana" w:cs="Segoe UI"/>
                <w:sz w:val="16"/>
                <w:szCs w:val="16"/>
              </w:rPr>
              <w:t xml:space="preserve"> </w:t>
            </w:r>
            <w:r w:rsidRPr="0069EA2D">
              <w:rPr>
                <w:rStyle w:val="normaltextrun"/>
                <w:rFonts w:ascii="Verdana" w:hAnsi="Verdana" w:cs="Segoe UI"/>
                <w:sz w:val="16"/>
                <w:szCs w:val="16"/>
              </w:rPr>
              <w:t>S</w:t>
            </w:r>
            <w:r w:rsidR="0E888B83" w:rsidRPr="0069EA2D">
              <w:rPr>
                <w:rStyle w:val="normaltextrun"/>
                <w:rFonts w:ascii="Verdana" w:hAnsi="Verdana" w:cs="Segoe UI"/>
                <w:sz w:val="16"/>
                <w:szCs w:val="16"/>
              </w:rPr>
              <w:t xml:space="preserve">ervice </w:t>
            </w:r>
            <w:r w:rsidRPr="0069EA2D">
              <w:rPr>
                <w:rStyle w:val="normaltextrun"/>
                <w:rFonts w:ascii="Verdana" w:hAnsi="Verdana" w:cs="Segoe UI"/>
                <w:sz w:val="16"/>
                <w:szCs w:val="16"/>
              </w:rPr>
              <w:t>L</w:t>
            </w:r>
            <w:r w:rsidR="52F49918" w:rsidRPr="0069EA2D">
              <w:rPr>
                <w:rStyle w:val="normaltextrun"/>
                <w:rFonts w:ascii="Verdana" w:hAnsi="Verdana" w:cs="Segoe UI"/>
                <w:sz w:val="16"/>
                <w:szCs w:val="16"/>
              </w:rPr>
              <w:t>evel (</w:t>
            </w:r>
            <w:r w:rsidRPr="0069EA2D">
              <w:rPr>
                <w:rStyle w:val="normaltextrun"/>
                <w:rFonts w:ascii="Verdana" w:hAnsi="Verdana" w:cs="Segoe UI"/>
                <w:sz w:val="16"/>
                <w:szCs w:val="16"/>
              </w:rPr>
              <w:t>GSL</w:t>
            </w:r>
            <w:r w:rsidR="52F49918" w:rsidRPr="0069EA2D">
              <w:rPr>
                <w:rStyle w:val="normaltextrun"/>
                <w:rFonts w:ascii="Verdana" w:hAnsi="Verdana" w:cs="Segoe UI"/>
                <w:sz w:val="16"/>
                <w:szCs w:val="16"/>
              </w:rPr>
              <w:t>)</w:t>
            </w:r>
            <w:r w:rsidRPr="0069EA2D">
              <w:rPr>
                <w:rStyle w:val="normaltextrun"/>
                <w:rFonts w:ascii="Verdana" w:hAnsi="Verdana" w:cs="Segoe UI"/>
                <w:sz w:val="16"/>
                <w:szCs w:val="16"/>
              </w:rPr>
              <w:t xml:space="preserve">. We are proposing the payment to match </w:t>
            </w:r>
            <w:r w:rsidRPr="1677200B">
              <w:rPr>
                <w:rStyle w:val="normaltextrun"/>
                <w:rFonts w:ascii="Verdana" w:hAnsi="Verdana" w:cs="Segoe UI"/>
                <w:sz w:val="16"/>
                <w:szCs w:val="16"/>
              </w:rPr>
              <w:t>retail</w:t>
            </w:r>
            <w:r w:rsidR="00A043F7">
              <w:rPr>
                <w:rStyle w:val="normaltextrun"/>
                <w:rFonts w:ascii="Verdana" w:hAnsi="Verdana" w:cs="Segoe UI"/>
                <w:sz w:val="16"/>
                <w:szCs w:val="16"/>
              </w:rPr>
              <w:t xml:space="preserve"> </w:t>
            </w:r>
            <w:r w:rsidR="14654C8B" w:rsidRPr="1677200B">
              <w:rPr>
                <w:rStyle w:val="normaltextrun"/>
                <w:rFonts w:ascii="Verdana" w:hAnsi="Verdana" w:cs="Segoe UI"/>
                <w:sz w:val="16"/>
                <w:szCs w:val="16"/>
              </w:rPr>
              <w:t>water corporation</w:t>
            </w:r>
            <w:r w:rsidRPr="0069EA2D">
              <w:rPr>
                <w:rStyle w:val="normaltextrun"/>
                <w:rFonts w:ascii="Verdana" w:hAnsi="Verdana" w:cs="Segoe UI"/>
                <w:sz w:val="16"/>
                <w:szCs w:val="16"/>
              </w:rPr>
              <w:t xml:space="preserve"> GSL up to $75, which is higher than SEW’s desired level ($60) based on its current GSL payment levels. We are committed to working collaboratively with SEW and the other </w:t>
            </w:r>
            <w:r w:rsidR="00B401AD">
              <w:rPr>
                <w:rStyle w:val="normaltextrun"/>
                <w:rFonts w:ascii="Verdana" w:hAnsi="Verdana" w:cs="Segoe UI"/>
                <w:sz w:val="16"/>
                <w:szCs w:val="16"/>
              </w:rPr>
              <w:t xml:space="preserve">retail </w:t>
            </w:r>
            <w:r w:rsidR="74C7D74B" w:rsidRPr="1677200B">
              <w:rPr>
                <w:rStyle w:val="normaltextrun"/>
                <w:rFonts w:ascii="Verdana" w:hAnsi="Verdana" w:cs="Segoe UI"/>
                <w:sz w:val="16"/>
                <w:szCs w:val="16"/>
              </w:rPr>
              <w:t>water corporations</w:t>
            </w:r>
            <w:r w:rsidRPr="0069EA2D">
              <w:rPr>
                <w:rStyle w:val="normaltextrun"/>
                <w:rFonts w:ascii="Verdana" w:hAnsi="Verdana" w:cs="Segoe UI"/>
                <w:sz w:val="16"/>
                <w:szCs w:val="16"/>
              </w:rPr>
              <w:t xml:space="preserve"> as they work through GSLs in their </w:t>
            </w:r>
            <w:r w:rsidR="0EFD506E" w:rsidRPr="1677200B">
              <w:rPr>
                <w:rStyle w:val="normaltextrun"/>
                <w:rFonts w:ascii="Verdana" w:hAnsi="Verdana" w:cs="Segoe UI"/>
                <w:sz w:val="16"/>
                <w:szCs w:val="16"/>
              </w:rPr>
              <w:t xml:space="preserve">2028 Price </w:t>
            </w:r>
            <w:r w:rsidR="00B401AD" w:rsidRPr="1677200B">
              <w:rPr>
                <w:rStyle w:val="normaltextrun"/>
                <w:rFonts w:ascii="Verdana" w:hAnsi="Verdana" w:cs="Segoe UI"/>
                <w:sz w:val="16"/>
                <w:szCs w:val="16"/>
              </w:rPr>
              <w:t>Submission</w:t>
            </w:r>
            <w:r w:rsidR="0EFD506E" w:rsidRPr="1677200B">
              <w:rPr>
                <w:rStyle w:val="normaltextrun"/>
                <w:rFonts w:ascii="Verdana" w:hAnsi="Verdana" w:cs="Segoe UI"/>
                <w:sz w:val="16"/>
                <w:szCs w:val="16"/>
              </w:rPr>
              <w:t xml:space="preserve"> </w:t>
            </w:r>
            <w:r w:rsidRPr="0069EA2D">
              <w:rPr>
                <w:rStyle w:val="normaltextrun"/>
                <w:rFonts w:ascii="Verdana" w:hAnsi="Verdana" w:cs="Segoe UI"/>
                <w:sz w:val="16"/>
                <w:szCs w:val="16"/>
              </w:rPr>
              <w:t>engagements.</w:t>
            </w:r>
            <w:r w:rsidRPr="0069EA2D">
              <w:rPr>
                <w:rStyle w:val="eop"/>
                <w:rFonts w:ascii="Verdana" w:hAnsi="Verdana" w:cs="Segoe UI"/>
                <w:sz w:val="16"/>
                <w:szCs w:val="16"/>
              </w:rPr>
              <w:t> </w:t>
            </w:r>
          </w:p>
        </w:tc>
      </w:tr>
      <w:tr w:rsidR="002D42C1" w:rsidRPr="00DE108C" w14:paraId="6A93E85B" w14:textId="77777777" w:rsidTr="00D819A9">
        <w:tc>
          <w:tcPr>
            <w:tcW w:w="1449" w:type="dxa"/>
            <w:vMerge/>
            <w:shd w:val="clear" w:color="auto" w:fill="00428B" w:themeFill="text2"/>
          </w:tcPr>
          <w:p w14:paraId="00DE9856" w14:textId="77777777" w:rsidR="002D42C1" w:rsidRPr="00DE108C" w:rsidRDefault="002D42C1" w:rsidP="00ED094E">
            <w:pPr>
              <w:rPr>
                <w:b/>
                <w:bCs/>
                <w:color w:val="FFFFFF" w:themeColor="background1"/>
                <w:sz w:val="16"/>
                <w:szCs w:val="16"/>
              </w:rPr>
            </w:pPr>
          </w:p>
        </w:tc>
        <w:tc>
          <w:tcPr>
            <w:tcW w:w="10170" w:type="dxa"/>
          </w:tcPr>
          <w:p w14:paraId="7686CB6B" w14:textId="30BC6C87" w:rsidR="002D42C1" w:rsidRPr="00DE108C" w:rsidRDefault="002D42C1" w:rsidP="00ED094E">
            <w:pPr>
              <w:rPr>
                <w:sz w:val="16"/>
                <w:szCs w:val="16"/>
              </w:rPr>
            </w:pPr>
            <w:r w:rsidRPr="31090976">
              <w:rPr>
                <w:rStyle w:val="normaltextrun"/>
                <w:rFonts w:ascii="Verdana" w:hAnsi="Verdana" w:cs="Segoe UI"/>
                <w:sz w:val="16"/>
                <w:szCs w:val="16"/>
              </w:rPr>
              <w:t>Item #7: Co-design of measures and targets, including a measure on water security and a customer satisfaction measure that reflects the relationship between Melbourne Water and connected water corporations</w:t>
            </w:r>
            <w:r w:rsidR="43DDED4E" w:rsidRPr="31090976">
              <w:rPr>
                <w:rStyle w:val="normaltextrun"/>
                <w:rFonts w:ascii="Verdana" w:hAnsi="Verdana" w:cs="Segoe UI"/>
                <w:sz w:val="16"/>
                <w:szCs w:val="16"/>
              </w:rPr>
              <w:t>.</w:t>
            </w:r>
            <w:r w:rsidRPr="31090976">
              <w:rPr>
                <w:rStyle w:val="eop"/>
                <w:rFonts w:ascii="Verdana" w:hAnsi="Verdana" w:cs="Segoe UI"/>
                <w:sz w:val="16"/>
                <w:szCs w:val="16"/>
              </w:rPr>
              <w:t> </w:t>
            </w:r>
          </w:p>
        </w:tc>
        <w:tc>
          <w:tcPr>
            <w:tcW w:w="10742" w:type="dxa"/>
          </w:tcPr>
          <w:p w14:paraId="2C36C035" w14:textId="77777777" w:rsidR="002D42C1" w:rsidRPr="00DE108C" w:rsidRDefault="002D42C1" w:rsidP="00ED094E">
            <w:pPr>
              <w:pStyle w:val="paragraph"/>
              <w:spacing w:before="0" w:beforeAutospacing="0" w:after="0" w:afterAutospacing="0"/>
              <w:textAlignment w:val="baseline"/>
              <w:divId w:val="1333096425"/>
              <w:rPr>
                <w:rFonts w:ascii="Segoe UI" w:hAnsi="Segoe UI" w:cs="Segoe UI"/>
                <w:color w:val="231F20"/>
                <w:sz w:val="16"/>
                <w:szCs w:val="16"/>
              </w:rPr>
            </w:pPr>
            <w:r w:rsidRPr="00DE108C">
              <w:rPr>
                <w:rStyle w:val="normaltextrun"/>
                <w:rFonts w:ascii="Verdana" w:hAnsi="Verdana" w:cs="Segoe UI"/>
                <w:b/>
                <w:bCs/>
                <w:color w:val="231F20"/>
                <w:sz w:val="16"/>
                <w:szCs w:val="16"/>
              </w:rPr>
              <w:t>Addressed</w:t>
            </w:r>
            <w:r w:rsidRPr="00DE108C">
              <w:rPr>
                <w:rStyle w:val="eop"/>
                <w:rFonts w:ascii="Verdana" w:hAnsi="Verdana" w:cs="Segoe UI"/>
                <w:color w:val="231F20"/>
                <w:sz w:val="16"/>
                <w:szCs w:val="16"/>
              </w:rPr>
              <w:t> </w:t>
            </w:r>
          </w:p>
          <w:p w14:paraId="4B788BB1" w14:textId="1039F809" w:rsidR="002D42C1" w:rsidRPr="00DE108C" w:rsidRDefault="002D42C1" w:rsidP="00ED094E">
            <w:pPr>
              <w:rPr>
                <w:sz w:val="16"/>
                <w:szCs w:val="16"/>
              </w:rPr>
            </w:pPr>
            <w:r w:rsidRPr="70028789">
              <w:rPr>
                <w:rStyle w:val="normaltextrun"/>
                <w:rFonts w:ascii="Verdana" w:hAnsi="Verdana" w:cs="Segoe UI"/>
                <w:sz w:val="16"/>
                <w:szCs w:val="16"/>
              </w:rPr>
              <w:t>We have iterated outcomes and measures based on feedback from customers and community, including introducing a new measure around the health of the relationship between M</w:t>
            </w:r>
            <w:r w:rsidR="422C9D08" w:rsidRPr="70028789">
              <w:rPr>
                <w:rStyle w:val="normaltextrun"/>
                <w:rFonts w:ascii="Verdana" w:hAnsi="Verdana" w:cs="Segoe UI"/>
                <w:sz w:val="16"/>
                <w:szCs w:val="16"/>
              </w:rPr>
              <w:t xml:space="preserve">elbourne </w:t>
            </w:r>
            <w:r w:rsidRPr="70028789">
              <w:rPr>
                <w:rStyle w:val="normaltextrun"/>
                <w:rFonts w:ascii="Verdana" w:hAnsi="Verdana" w:cs="Segoe UI"/>
                <w:sz w:val="16"/>
                <w:szCs w:val="16"/>
              </w:rPr>
              <w:t>W</w:t>
            </w:r>
            <w:r w:rsidR="4DD02234" w:rsidRPr="70028789">
              <w:rPr>
                <w:rStyle w:val="normaltextrun"/>
                <w:rFonts w:ascii="Verdana" w:hAnsi="Verdana" w:cs="Segoe UI"/>
                <w:sz w:val="16"/>
                <w:szCs w:val="16"/>
              </w:rPr>
              <w:t>ater</w:t>
            </w:r>
            <w:r w:rsidRPr="70028789">
              <w:rPr>
                <w:rStyle w:val="normaltextrun"/>
                <w:rFonts w:ascii="Verdana" w:hAnsi="Verdana" w:cs="Segoe UI"/>
                <w:sz w:val="16"/>
                <w:szCs w:val="16"/>
              </w:rPr>
              <w:t xml:space="preserve"> and bulk customers and a new measure on water security.</w:t>
            </w:r>
            <w:r w:rsidRPr="70028789">
              <w:rPr>
                <w:rStyle w:val="eop"/>
                <w:rFonts w:ascii="Verdana" w:hAnsi="Verdana" w:cs="Segoe UI"/>
                <w:sz w:val="16"/>
                <w:szCs w:val="16"/>
              </w:rPr>
              <w:t> </w:t>
            </w:r>
          </w:p>
        </w:tc>
      </w:tr>
      <w:tr w:rsidR="00A043F7" w:rsidRPr="00DE108C" w14:paraId="37BA1ED3" w14:textId="77777777" w:rsidTr="00D819A9">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4745C9D8" w14:textId="77777777" w:rsidR="002D42C1" w:rsidRPr="00DE108C" w:rsidRDefault="002D42C1" w:rsidP="00ED094E">
            <w:pPr>
              <w:rPr>
                <w:b/>
                <w:bCs/>
                <w:color w:val="FFFFFF" w:themeColor="background1"/>
                <w:sz w:val="16"/>
                <w:szCs w:val="16"/>
              </w:rPr>
            </w:pPr>
          </w:p>
        </w:tc>
        <w:tc>
          <w:tcPr>
            <w:tcW w:w="10170" w:type="dxa"/>
          </w:tcPr>
          <w:p w14:paraId="5B5D34B1" w14:textId="681431B3" w:rsidR="002D42C1" w:rsidRPr="00DE108C" w:rsidRDefault="002D42C1" w:rsidP="00ED094E">
            <w:pPr>
              <w:rPr>
                <w:sz w:val="16"/>
                <w:szCs w:val="16"/>
              </w:rPr>
            </w:pPr>
            <w:r w:rsidRPr="31090976">
              <w:rPr>
                <w:rStyle w:val="normaltextrun"/>
                <w:rFonts w:ascii="Verdana" w:hAnsi="Verdana" w:cs="Segoe UI"/>
                <w:sz w:val="16"/>
                <w:szCs w:val="16"/>
              </w:rPr>
              <w:t>Item #8: Investing in ‘readiness’ for the next large scale water supply</w:t>
            </w:r>
            <w:r w:rsidR="7B2C2A2B" w:rsidRPr="31090976">
              <w:rPr>
                <w:rStyle w:val="normaltextrun"/>
                <w:rFonts w:ascii="Verdana" w:hAnsi="Verdana" w:cs="Segoe UI"/>
                <w:sz w:val="16"/>
                <w:szCs w:val="16"/>
              </w:rPr>
              <w:t>.</w:t>
            </w:r>
          </w:p>
        </w:tc>
        <w:tc>
          <w:tcPr>
            <w:tcW w:w="10742" w:type="dxa"/>
          </w:tcPr>
          <w:p w14:paraId="21BB403F" w14:textId="77777777" w:rsidR="002D42C1" w:rsidRPr="00DE108C" w:rsidRDefault="002D42C1" w:rsidP="00ED094E">
            <w:pPr>
              <w:pStyle w:val="paragraph"/>
              <w:spacing w:before="0" w:beforeAutospacing="0" w:after="0" w:afterAutospacing="0"/>
              <w:textAlignment w:val="baseline"/>
              <w:divId w:val="696809088"/>
              <w:rPr>
                <w:rFonts w:ascii="Segoe UI" w:hAnsi="Segoe UI" w:cs="Segoe UI"/>
                <w:color w:val="231F20"/>
                <w:sz w:val="16"/>
                <w:szCs w:val="16"/>
              </w:rPr>
            </w:pPr>
            <w:r w:rsidRPr="00DE108C">
              <w:rPr>
                <w:rStyle w:val="normaltextrun"/>
                <w:rFonts w:ascii="Verdana" w:hAnsi="Verdana" w:cs="Segoe UI"/>
                <w:b/>
                <w:bCs/>
                <w:color w:val="231F20"/>
                <w:sz w:val="16"/>
                <w:szCs w:val="16"/>
              </w:rPr>
              <w:t>Addressed</w:t>
            </w:r>
            <w:r w:rsidRPr="00DE108C">
              <w:rPr>
                <w:rStyle w:val="eop"/>
                <w:rFonts w:ascii="Verdana" w:hAnsi="Verdana" w:cs="Segoe UI"/>
                <w:color w:val="231F20"/>
                <w:sz w:val="16"/>
                <w:szCs w:val="16"/>
              </w:rPr>
              <w:t> </w:t>
            </w:r>
          </w:p>
          <w:p w14:paraId="279C717A" w14:textId="3AE3BB1E" w:rsidR="002D42C1" w:rsidRPr="00DE108C" w:rsidRDefault="002D42C1" w:rsidP="00ED094E">
            <w:pPr>
              <w:rPr>
                <w:sz w:val="16"/>
                <w:szCs w:val="16"/>
              </w:rPr>
            </w:pPr>
            <w:r w:rsidRPr="70028789">
              <w:rPr>
                <w:rStyle w:val="normaltextrun"/>
                <w:rFonts w:ascii="Verdana" w:hAnsi="Verdana" w:cs="Segoe UI"/>
                <w:sz w:val="16"/>
                <w:szCs w:val="16"/>
              </w:rPr>
              <w:t>We have included $250</w:t>
            </w:r>
            <w:r w:rsidR="49608446" w:rsidRPr="70028789">
              <w:rPr>
                <w:rStyle w:val="normaltextrun"/>
                <w:rFonts w:ascii="Verdana" w:hAnsi="Verdana" w:cs="Segoe UI"/>
                <w:sz w:val="16"/>
                <w:szCs w:val="16"/>
              </w:rPr>
              <w:t xml:space="preserve"> </w:t>
            </w:r>
            <w:r w:rsidRPr="70028789">
              <w:rPr>
                <w:rStyle w:val="normaltextrun"/>
                <w:rFonts w:ascii="Verdana" w:hAnsi="Verdana" w:cs="Segoe UI"/>
                <w:sz w:val="16"/>
                <w:szCs w:val="16"/>
              </w:rPr>
              <w:t>m</w:t>
            </w:r>
            <w:r w:rsidR="5960A247" w:rsidRPr="70028789">
              <w:rPr>
                <w:rStyle w:val="normaltextrun"/>
                <w:rFonts w:ascii="Verdana" w:hAnsi="Verdana" w:cs="Segoe UI"/>
                <w:sz w:val="16"/>
                <w:szCs w:val="16"/>
              </w:rPr>
              <w:t>illion</w:t>
            </w:r>
            <w:r w:rsidRPr="70028789">
              <w:rPr>
                <w:rStyle w:val="normaltextrun"/>
                <w:rFonts w:ascii="Verdana" w:hAnsi="Verdana" w:cs="Segoe UI"/>
                <w:sz w:val="16"/>
                <w:szCs w:val="16"/>
              </w:rPr>
              <w:t xml:space="preserve"> of early planning to determine a preferred combination of water supply options for the future and ‘no regrets’ development costs for water transfer and treatment projects that are required for the next large</w:t>
            </w:r>
            <w:r w:rsidR="203C8258" w:rsidRPr="70028789">
              <w:rPr>
                <w:rStyle w:val="normaltextrun"/>
                <w:rFonts w:ascii="Verdana" w:hAnsi="Verdana" w:cs="Segoe UI"/>
                <w:sz w:val="16"/>
                <w:szCs w:val="16"/>
              </w:rPr>
              <w:t>-</w:t>
            </w:r>
            <w:r w:rsidRPr="70028789">
              <w:rPr>
                <w:rStyle w:val="normaltextrun"/>
                <w:rFonts w:ascii="Verdana" w:hAnsi="Verdana" w:cs="Segoe UI"/>
                <w:sz w:val="16"/>
                <w:szCs w:val="16"/>
              </w:rPr>
              <w:t>scale water supply.</w:t>
            </w:r>
            <w:r w:rsidRPr="70028789">
              <w:rPr>
                <w:rStyle w:val="eop"/>
                <w:rFonts w:ascii="Verdana" w:hAnsi="Verdana" w:cs="Segoe UI"/>
                <w:sz w:val="16"/>
                <w:szCs w:val="16"/>
              </w:rPr>
              <w:t> </w:t>
            </w:r>
          </w:p>
        </w:tc>
      </w:tr>
      <w:tr w:rsidR="002D42C1" w:rsidRPr="00DE108C" w14:paraId="582A3E42" w14:textId="77777777" w:rsidTr="00D819A9">
        <w:tc>
          <w:tcPr>
            <w:tcW w:w="1449" w:type="dxa"/>
            <w:vMerge w:val="restart"/>
            <w:shd w:val="clear" w:color="auto" w:fill="00428B" w:themeFill="text2"/>
          </w:tcPr>
          <w:p w14:paraId="7A3D65C2" w14:textId="77777777" w:rsidR="002D42C1" w:rsidRPr="00DE108C" w:rsidRDefault="002D42C1">
            <w:pPr>
              <w:rPr>
                <w:b/>
                <w:bCs/>
                <w:color w:val="FFFFFF" w:themeColor="background1"/>
                <w:sz w:val="16"/>
                <w:szCs w:val="16"/>
              </w:rPr>
            </w:pPr>
            <w:r w:rsidRPr="00DE108C">
              <w:rPr>
                <w:b/>
                <w:bCs/>
                <w:color w:val="FFFFFF" w:themeColor="background1"/>
                <w:sz w:val="16"/>
                <w:szCs w:val="16"/>
              </w:rPr>
              <w:t xml:space="preserve">Key projects, actions and commitments </w:t>
            </w:r>
          </w:p>
          <w:p w14:paraId="2075ACE7" w14:textId="77777777" w:rsidR="002D42C1" w:rsidRPr="00DE108C" w:rsidRDefault="002D42C1">
            <w:pPr>
              <w:rPr>
                <w:b/>
                <w:bCs/>
                <w:color w:val="FFFFFF" w:themeColor="background1"/>
                <w:sz w:val="16"/>
                <w:szCs w:val="16"/>
              </w:rPr>
            </w:pPr>
            <w:r w:rsidRPr="00DE108C">
              <w:rPr>
                <w:b/>
                <w:bCs/>
                <w:color w:val="FFFFFF" w:themeColor="background1"/>
                <w:sz w:val="16"/>
                <w:szCs w:val="16"/>
              </w:rPr>
              <w:t>Prices and bill impacts – how our prices impact you and your customers</w:t>
            </w:r>
          </w:p>
        </w:tc>
        <w:tc>
          <w:tcPr>
            <w:tcW w:w="20912" w:type="dxa"/>
            <w:gridSpan w:val="2"/>
          </w:tcPr>
          <w:p w14:paraId="5D76E345" w14:textId="77777777" w:rsidR="002D42C1" w:rsidRPr="00DE108C" w:rsidRDefault="002D42C1">
            <w:pPr>
              <w:rPr>
                <w:sz w:val="16"/>
                <w:szCs w:val="16"/>
              </w:rPr>
            </w:pPr>
            <w:r w:rsidRPr="00DE108C">
              <w:rPr>
                <w:sz w:val="16"/>
                <w:szCs w:val="16"/>
              </w:rPr>
              <w:t>In PS26, we are committing to:</w:t>
            </w:r>
          </w:p>
          <w:tbl>
            <w:tblPr>
              <w:tblpPr w:leftFromText="180" w:rightFromText="180" w:vertAnchor="text" w:tblpY="1"/>
              <w:tblW w:w="20199" w:type="dxa"/>
              <w:tblLook w:val="04A0" w:firstRow="1" w:lastRow="0" w:firstColumn="1" w:lastColumn="0" w:noHBand="0" w:noVBand="1"/>
            </w:tblPr>
            <w:tblGrid>
              <w:gridCol w:w="6733"/>
              <w:gridCol w:w="6733"/>
              <w:gridCol w:w="6733"/>
            </w:tblGrid>
            <w:tr w:rsidR="002D42C1" w:rsidRPr="00DE108C" w14:paraId="602525C7" w14:textId="77777777" w:rsidTr="006413FE">
              <w:trPr>
                <w:trHeight w:val="300"/>
              </w:trPr>
              <w:tc>
                <w:tcPr>
                  <w:tcW w:w="6733" w:type="dxa"/>
                </w:tcPr>
                <w:p w14:paraId="34F9C79A" w14:textId="77777777" w:rsidR="002D42C1" w:rsidRPr="00DE108C" w:rsidRDefault="002D42C1" w:rsidP="00095E1B">
                  <w:pPr>
                    <w:pStyle w:val="Tablebullet"/>
                  </w:pPr>
                  <w:r w:rsidRPr="00DE108C">
                    <w:t>Collaborative planning</w:t>
                  </w:r>
                </w:p>
                <w:p w14:paraId="6D6B2A3F" w14:textId="77777777" w:rsidR="002D42C1" w:rsidRPr="00DE108C" w:rsidRDefault="002D42C1" w:rsidP="00095E1B">
                  <w:pPr>
                    <w:pStyle w:val="Tablebullet"/>
                  </w:pPr>
                  <w:r w:rsidRPr="00DE108C">
                    <w:t>Updating and modernising our Bulk Supply Agreements</w:t>
                  </w:r>
                </w:p>
              </w:tc>
              <w:tc>
                <w:tcPr>
                  <w:tcW w:w="6733" w:type="dxa"/>
                </w:tcPr>
                <w:p w14:paraId="4340A1C8" w14:textId="4D8E4989" w:rsidR="002D42C1" w:rsidRPr="00DE108C" w:rsidRDefault="002D42C1" w:rsidP="00095E1B">
                  <w:pPr>
                    <w:pStyle w:val="Tablebullet"/>
                  </w:pPr>
                  <w:r w:rsidRPr="00DE108C">
                    <w:t>Implementing a water quality</w:t>
                  </w:r>
                  <w:r w:rsidR="6679E893" w:rsidRPr="70028789">
                    <w:t xml:space="preserve"> </w:t>
                  </w:r>
                  <w:r w:rsidR="6679E893" w:rsidRPr="0A3736E5">
                    <w:t>GSL</w:t>
                  </w:r>
                </w:p>
                <w:p w14:paraId="218B48E7" w14:textId="77777777" w:rsidR="002D42C1" w:rsidRPr="00DE108C" w:rsidRDefault="002D42C1" w:rsidP="00095E1B">
                  <w:pPr>
                    <w:pStyle w:val="Tablebullet"/>
                  </w:pPr>
                  <w:r w:rsidRPr="00DE108C">
                    <w:t>Tracking our performance against a new water security measure</w:t>
                  </w:r>
                </w:p>
              </w:tc>
              <w:tc>
                <w:tcPr>
                  <w:tcW w:w="6733" w:type="dxa"/>
                </w:tcPr>
                <w:p w14:paraId="77789830" w14:textId="77777777" w:rsidR="002D42C1" w:rsidRPr="00DE108C" w:rsidRDefault="002D42C1" w:rsidP="00095E1B">
                  <w:pPr>
                    <w:pStyle w:val="Tablebullet"/>
                  </w:pPr>
                  <w:r w:rsidRPr="00DE108C">
                    <w:t>Price smoothing</w:t>
                  </w:r>
                </w:p>
                <w:p w14:paraId="2B726F50" w14:textId="06F2F8E3" w:rsidR="002D42C1" w:rsidRPr="00815639" w:rsidRDefault="002D42C1" w:rsidP="00095E1B">
                  <w:pPr>
                    <w:pStyle w:val="Tablebullet"/>
                  </w:pPr>
                  <w:r w:rsidRPr="00DE108C">
                    <w:t>Fair tariff reforms</w:t>
                  </w:r>
                </w:p>
              </w:tc>
            </w:tr>
          </w:tbl>
          <w:p w14:paraId="0C273BB5" w14:textId="77777777" w:rsidR="002D42C1" w:rsidRPr="00DE108C" w:rsidRDefault="002D42C1">
            <w:pPr>
              <w:rPr>
                <w:b/>
                <w:bCs/>
                <w:sz w:val="16"/>
                <w:szCs w:val="16"/>
              </w:rPr>
            </w:pPr>
          </w:p>
        </w:tc>
      </w:tr>
      <w:tr w:rsidR="00D67026" w:rsidRPr="00DE108C" w14:paraId="6F686861" w14:textId="77777777" w:rsidTr="00D819A9">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67A349F5" w14:textId="77777777" w:rsidR="002D42C1" w:rsidRPr="00DE108C" w:rsidRDefault="002D42C1">
            <w:pPr>
              <w:rPr>
                <w:b/>
                <w:bCs/>
                <w:color w:val="FFFFFF" w:themeColor="background1"/>
                <w:sz w:val="16"/>
                <w:szCs w:val="16"/>
              </w:rPr>
            </w:pPr>
          </w:p>
        </w:tc>
        <w:tc>
          <w:tcPr>
            <w:tcW w:w="20912" w:type="dxa"/>
            <w:gridSpan w:val="2"/>
          </w:tcPr>
          <w:p w14:paraId="7E592FFD" w14:textId="77777777" w:rsidR="002D42C1" w:rsidRPr="00DE108C" w:rsidRDefault="002D42C1" w:rsidP="00ED094E">
            <w:pPr>
              <w:rPr>
                <w:sz w:val="16"/>
                <w:szCs w:val="16"/>
              </w:rPr>
            </w:pPr>
            <w:r w:rsidRPr="00DE108C">
              <w:rPr>
                <w:sz w:val="16"/>
                <w:szCs w:val="16"/>
              </w:rPr>
              <w:t>Key projects:* </w:t>
            </w:r>
          </w:p>
          <w:p w14:paraId="3E930402" w14:textId="444729AE" w:rsidR="002D42C1" w:rsidRPr="00DE108C" w:rsidRDefault="002D42C1" w:rsidP="00C05BDA">
            <w:pPr>
              <w:pStyle w:val="Tablebullet"/>
            </w:pPr>
            <w:r w:rsidRPr="00DE108C">
              <w:t>Over $</w:t>
            </w:r>
            <w:r w:rsidRPr="0A3736E5">
              <w:t>940</w:t>
            </w:r>
            <w:r w:rsidR="5935237D" w:rsidRPr="0A3736E5">
              <w:t xml:space="preserve"> </w:t>
            </w:r>
            <w:r w:rsidRPr="0A3736E5">
              <w:t>m</w:t>
            </w:r>
            <w:r w:rsidR="10F61A2C" w:rsidRPr="0A3736E5">
              <w:t>illion</w:t>
            </w:r>
            <w:r w:rsidRPr="00DE108C">
              <w:t xml:space="preserve"> of investment at </w:t>
            </w:r>
            <w:r w:rsidRPr="00DE108C">
              <w:rPr>
                <w:b/>
                <w:bCs/>
              </w:rPr>
              <w:t>Eastern Treatment Plant</w:t>
            </w:r>
            <w:r w:rsidRPr="00DE108C">
              <w:t xml:space="preserve"> (</w:t>
            </w:r>
            <w:r w:rsidRPr="00EA7D9F">
              <w:t>ETP</w:t>
            </w:r>
            <w:r w:rsidRPr="00DE108C">
              <w:t>) for growth and compliance/improvement</w:t>
            </w:r>
            <w:r w:rsidR="709B192A" w:rsidRPr="0A3736E5">
              <w:t>,</w:t>
            </w:r>
            <w:r w:rsidRPr="00DE108C">
              <w:t xml:space="preserve"> as well as improving the reliability of recycled water in conjunction with requirements for safe discharge of treated water to the environment, including: </w:t>
            </w:r>
          </w:p>
          <w:p w14:paraId="290D8763" w14:textId="66A7EC3A" w:rsidR="002D42C1" w:rsidRPr="00DE108C" w:rsidRDefault="397C0F94" w:rsidP="00C05BDA">
            <w:pPr>
              <w:pStyle w:val="Tablebullet2"/>
              <w:rPr>
                <w:szCs w:val="20"/>
              </w:rPr>
            </w:pPr>
            <w:r w:rsidRPr="5E82DBE2">
              <w:t>i</w:t>
            </w:r>
            <w:r w:rsidR="002D42C1" w:rsidRPr="00DE108C">
              <w:t>nfluent screening and screenings processing augmentation ~$</w:t>
            </w:r>
            <w:r w:rsidR="002B0D4E" w:rsidRPr="5E82DBE2">
              <w:t>6</w:t>
            </w:r>
            <w:r w:rsidR="002D42C1" w:rsidRPr="5E82DBE2">
              <w:t>8</w:t>
            </w:r>
            <w:r w:rsidR="2CB9DA3B" w:rsidRPr="5E82DBE2">
              <w:t xml:space="preserve"> </w:t>
            </w:r>
            <w:r w:rsidR="002D42C1" w:rsidRPr="5E82DBE2">
              <w:t>m</w:t>
            </w:r>
            <w:r w:rsidR="2CB9DA3B" w:rsidRPr="5E82DBE2">
              <w:t>illion</w:t>
            </w:r>
            <w:r w:rsidR="002D42C1" w:rsidRPr="00DE108C">
              <w:t xml:space="preserve"> (continued in 2031-36 period) </w:t>
            </w:r>
          </w:p>
          <w:p w14:paraId="070F9F75" w14:textId="7DB36E46" w:rsidR="002D42C1" w:rsidRPr="00DE108C" w:rsidRDefault="002D42C1" w:rsidP="00C05BDA">
            <w:pPr>
              <w:pStyle w:val="Tablebullet2"/>
              <w:rPr>
                <w:szCs w:val="20"/>
              </w:rPr>
            </w:pPr>
            <w:r w:rsidRPr="00DE108C">
              <w:t>PST and Grit Tank augmentation ~$</w:t>
            </w:r>
            <w:r w:rsidRPr="5E82DBE2">
              <w:t>178</w:t>
            </w:r>
            <w:r w:rsidR="1AFF522A" w:rsidRPr="5E82DBE2">
              <w:t xml:space="preserve"> </w:t>
            </w:r>
            <w:r w:rsidRPr="4E863C79">
              <w:t>m</w:t>
            </w:r>
            <w:r w:rsidR="335B075B" w:rsidRPr="4E863C79">
              <w:t>illion</w:t>
            </w:r>
            <w:r w:rsidRPr="00DE108C">
              <w:t xml:space="preserve"> (continued in 2031-36 period) </w:t>
            </w:r>
          </w:p>
          <w:p w14:paraId="7D6511B5" w14:textId="531E56A5" w:rsidR="002D42C1" w:rsidRPr="00DE108C" w:rsidRDefault="30CAFA70" w:rsidP="00C05BDA">
            <w:pPr>
              <w:pStyle w:val="Tablebullet2"/>
              <w:rPr>
                <w:szCs w:val="20"/>
              </w:rPr>
            </w:pPr>
            <w:r w:rsidRPr="0D13F23B">
              <w:t>s</w:t>
            </w:r>
            <w:r w:rsidR="002D42C1" w:rsidRPr="00DE108C">
              <w:t>ludge dewatering upgrade ~$</w:t>
            </w:r>
            <w:r w:rsidR="002D42C1" w:rsidRPr="4E863C79">
              <w:t>177</w:t>
            </w:r>
            <w:r w:rsidR="484169AA" w:rsidRPr="4E863C79">
              <w:t xml:space="preserve"> </w:t>
            </w:r>
            <w:r w:rsidR="002D42C1" w:rsidRPr="4E863C79">
              <w:t>m</w:t>
            </w:r>
            <w:r w:rsidR="6DA0F413" w:rsidRPr="4E863C79">
              <w:t>illion</w:t>
            </w:r>
            <w:r w:rsidR="002D42C1" w:rsidRPr="00DE108C">
              <w:t> </w:t>
            </w:r>
          </w:p>
          <w:p w14:paraId="29655487" w14:textId="48811327" w:rsidR="002D42C1" w:rsidRPr="00DE108C" w:rsidRDefault="040C50A1" w:rsidP="00C05BDA">
            <w:pPr>
              <w:pStyle w:val="Tablebullet2"/>
              <w:rPr>
                <w:szCs w:val="20"/>
              </w:rPr>
            </w:pPr>
            <w:r w:rsidRPr="0D13F23B">
              <w:t>s</w:t>
            </w:r>
            <w:r w:rsidR="002D42C1" w:rsidRPr="00DE108C">
              <w:t>ludge digestion capacity augmentation ~$</w:t>
            </w:r>
            <w:r w:rsidR="002D42C1" w:rsidRPr="4E863C79">
              <w:t>73</w:t>
            </w:r>
            <w:r w:rsidR="51188B78" w:rsidRPr="4E863C79">
              <w:t xml:space="preserve"> </w:t>
            </w:r>
            <w:r w:rsidR="002D42C1" w:rsidRPr="4E863C79">
              <w:t>m</w:t>
            </w:r>
            <w:r w:rsidR="46537A80" w:rsidRPr="4E863C79">
              <w:t>illion</w:t>
            </w:r>
            <w:r w:rsidR="002D42C1" w:rsidRPr="00DE108C">
              <w:t> </w:t>
            </w:r>
          </w:p>
          <w:p w14:paraId="2F68779D" w14:textId="1AC8A35A" w:rsidR="002D42C1" w:rsidRPr="00DE108C" w:rsidRDefault="78EFEC58" w:rsidP="00C05BDA">
            <w:pPr>
              <w:pStyle w:val="Tablebullet2"/>
              <w:rPr>
                <w:szCs w:val="20"/>
              </w:rPr>
            </w:pPr>
            <w:r w:rsidRPr="0D13F23B">
              <w:t>c</w:t>
            </w:r>
            <w:r w:rsidR="002D42C1" w:rsidRPr="00DE108C">
              <w:t>hlorine renewal risk reduction ~$</w:t>
            </w:r>
            <w:r w:rsidR="002D42C1" w:rsidRPr="4E863C79">
              <w:t>50</w:t>
            </w:r>
            <w:r w:rsidR="717EA163" w:rsidRPr="4E863C79">
              <w:t xml:space="preserve"> </w:t>
            </w:r>
            <w:r w:rsidR="002D42C1" w:rsidRPr="4E863C79">
              <w:t>m</w:t>
            </w:r>
            <w:r w:rsidR="133D3460" w:rsidRPr="4E863C79">
              <w:t>illion</w:t>
            </w:r>
            <w:r w:rsidR="002D42C1" w:rsidRPr="00DE108C">
              <w:t> </w:t>
            </w:r>
          </w:p>
          <w:p w14:paraId="55C1A131" w14:textId="1E2F618E" w:rsidR="002D42C1" w:rsidRPr="00DE108C" w:rsidRDefault="7D77C497" w:rsidP="00C05BDA">
            <w:pPr>
              <w:pStyle w:val="Tablebullet2"/>
              <w:rPr>
                <w:szCs w:val="20"/>
              </w:rPr>
            </w:pPr>
            <w:r w:rsidRPr="0D13F23B">
              <w:t>s</w:t>
            </w:r>
            <w:r w:rsidR="002D42C1" w:rsidRPr="00DE108C">
              <w:t>ite electricity supply capacity augmentation ~$</w:t>
            </w:r>
            <w:r w:rsidR="002D42C1" w:rsidRPr="4E863C79">
              <w:t>43</w:t>
            </w:r>
            <w:r w:rsidR="53A61242" w:rsidRPr="4E863C79">
              <w:t xml:space="preserve"> </w:t>
            </w:r>
            <w:r w:rsidR="002D42C1" w:rsidRPr="4E863C79">
              <w:t>m</w:t>
            </w:r>
            <w:r w:rsidR="267ECB6E" w:rsidRPr="4E863C79">
              <w:t>illion</w:t>
            </w:r>
            <w:r w:rsidR="002D42C1" w:rsidRPr="00DE108C">
              <w:t xml:space="preserve"> (continued in 2031-36 period) </w:t>
            </w:r>
          </w:p>
          <w:p w14:paraId="0051C8DE" w14:textId="3D0F8FF6" w:rsidR="002D42C1" w:rsidRPr="00DE108C" w:rsidRDefault="74A4A75F" w:rsidP="00C05BDA">
            <w:pPr>
              <w:pStyle w:val="Tablebullet2"/>
              <w:rPr>
                <w:szCs w:val="20"/>
              </w:rPr>
            </w:pPr>
            <w:r w:rsidRPr="0D13F23B">
              <w:t>o</w:t>
            </w:r>
            <w:r w:rsidR="002D42C1" w:rsidRPr="00DE108C">
              <w:t>zone generation reliability ~$</w:t>
            </w:r>
            <w:r w:rsidR="002D42C1" w:rsidRPr="4E863C79">
              <w:t>41</w:t>
            </w:r>
            <w:r w:rsidR="05EA318C" w:rsidRPr="4E863C79">
              <w:t xml:space="preserve"> </w:t>
            </w:r>
            <w:r w:rsidR="002D42C1" w:rsidRPr="4E863C79">
              <w:t>m</w:t>
            </w:r>
            <w:r w:rsidR="216F7A97" w:rsidRPr="4E863C79">
              <w:t>illion</w:t>
            </w:r>
            <w:r w:rsidR="002D42C1" w:rsidRPr="00DE108C">
              <w:t xml:space="preserve"> (continued in 2031-36 period</w:t>
            </w:r>
            <w:r w:rsidR="002D42C1" w:rsidRPr="0D13F23B">
              <w:t>)</w:t>
            </w:r>
            <w:r w:rsidR="35E701E7" w:rsidRPr="0D13F23B">
              <w:t>.</w:t>
            </w:r>
            <w:r w:rsidR="002D42C1" w:rsidRPr="00DE108C">
              <w:t> </w:t>
            </w:r>
          </w:p>
          <w:p w14:paraId="5C93ADFC" w14:textId="1F48F9B0" w:rsidR="002D42C1" w:rsidRPr="00DE108C" w:rsidRDefault="002D42C1" w:rsidP="00C05BDA">
            <w:pPr>
              <w:pStyle w:val="Tablebullet"/>
            </w:pPr>
            <w:r w:rsidRPr="00DE108C">
              <w:t>Over $</w:t>
            </w:r>
            <w:r w:rsidRPr="0D13F23B">
              <w:t>740</w:t>
            </w:r>
            <w:r w:rsidR="29A4398E" w:rsidRPr="0D13F23B">
              <w:t xml:space="preserve"> </w:t>
            </w:r>
            <w:r w:rsidRPr="0D13F23B">
              <w:t>m</w:t>
            </w:r>
            <w:r w:rsidR="1A0BAABE" w:rsidRPr="0D13F23B">
              <w:t>illion</w:t>
            </w:r>
            <w:r w:rsidRPr="00DE108C">
              <w:t xml:space="preserve"> investment in </w:t>
            </w:r>
            <w:r w:rsidRPr="00DE108C">
              <w:rPr>
                <w:b/>
                <w:bCs/>
              </w:rPr>
              <w:t>sewerage transfer</w:t>
            </w:r>
            <w:r w:rsidRPr="00DE108C">
              <w:t>, including: </w:t>
            </w:r>
          </w:p>
          <w:p w14:paraId="28868560" w14:textId="4ABD4881" w:rsidR="002D42C1" w:rsidRPr="00DE108C" w:rsidRDefault="002D42C1" w:rsidP="00C05BDA">
            <w:pPr>
              <w:pStyle w:val="Tablebullet2"/>
              <w:rPr>
                <w:szCs w:val="20"/>
              </w:rPr>
            </w:pPr>
            <w:r w:rsidRPr="00DE108C">
              <w:t>Ringwood South Branch Augmentation ~$</w:t>
            </w:r>
            <w:r w:rsidRPr="0D13F23B">
              <w:t>41</w:t>
            </w:r>
            <w:r w:rsidR="50EACE17" w:rsidRPr="0D13F23B">
              <w:t xml:space="preserve"> </w:t>
            </w:r>
            <w:r w:rsidRPr="0D13F23B">
              <w:t>m</w:t>
            </w:r>
            <w:r w:rsidR="50EACE17" w:rsidRPr="0D13F23B">
              <w:t>illion</w:t>
            </w:r>
            <w:r w:rsidRPr="00DE108C">
              <w:t xml:space="preserve"> (continued in 2031-36 period) </w:t>
            </w:r>
          </w:p>
          <w:p w14:paraId="4BB77A28" w14:textId="1912A5CA" w:rsidR="002D42C1" w:rsidRPr="00DE108C" w:rsidRDefault="5F5D5A08" w:rsidP="00C05BDA">
            <w:pPr>
              <w:pStyle w:val="Tablebullet2"/>
              <w:rPr>
                <w:szCs w:val="20"/>
              </w:rPr>
            </w:pPr>
            <w:r w:rsidRPr="52E4F437">
              <w:t>i</w:t>
            </w:r>
            <w:r w:rsidR="002D42C1" w:rsidRPr="00DE108C">
              <w:t xml:space="preserve">nvestigation of uncontrolled spill reduction in extreme wet weather events (projects to be confirmed, including addressing South East Water Wells </w:t>
            </w:r>
            <w:r w:rsidR="002D42C1" w:rsidRPr="52E4F437">
              <w:t>R</w:t>
            </w:r>
            <w:r w:rsidR="1462600F" w:rsidRPr="52E4F437">
              <w:t>oa</w:t>
            </w:r>
            <w:r w:rsidR="002D42C1" w:rsidRPr="52E4F437">
              <w:t>d</w:t>
            </w:r>
            <w:r w:rsidR="002D42C1" w:rsidRPr="00DE108C">
              <w:t xml:space="preserve"> pump station</w:t>
            </w:r>
            <w:r w:rsidR="002D42C1" w:rsidRPr="52E4F437">
              <w:t>)</w:t>
            </w:r>
            <w:r w:rsidR="4D5E2678" w:rsidRPr="52E4F437">
              <w:t>.</w:t>
            </w:r>
            <w:r w:rsidR="002D42C1" w:rsidRPr="00DE108C">
              <w:t> </w:t>
            </w:r>
          </w:p>
          <w:p w14:paraId="58D638E8" w14:textId="12CE0D1D" w:rsidR="002D42C1" w:rsidRPr="00DE108C" w:rsidRDefault="002D42C1" w:rsidP="00C05BDA">
            <w:pPr>
              <w:pStyle w:val="Tablebullet"/>
            </w:pPr>
            <w:r w:rsidRPr="00DE108C">
              <w:t xml:space="preserve">In terms of </w:t>
            </w:r>
            <w:r w:rsidRPr="00DE108C">
              <w:rPr>
                <w:b/>
                <w:bCs/>
              </w:rPr>
              <w:t>water headworks</w:t>
            </w:r>
            <w:r w:rsidR="1EDFE29C" w:rsidRPr="35A16F45">
              <w:rPr>
                <w:b/>
                <w:bCs/>
              </w:rPr>
              <w:t>,</w:t>
            </w:r>
            <w:r w:rsidRPr="00DE108C">
              <w:t xml:space="preserve"> we propose more than $</w:t>
            </w:r>
            <w:r w:rsidRPr="35A16F45">
              <w:t>630</w:t>
            </w:r>
            <w:r w:rsidR="5175384E" w:rsidRPr="35A16F45">
              <w:t xml:space="preserve"> </w:t>
            </w:r>
            <w:r w:rsidRPr="35A16F45">
              <w:t>m</w:t>
            </w:r>
            <w:r w:rsidR="5175384E" w:rsidRPr="35A16F45">
              <w:t>illion</w:t>
            </w:r>
            <w:r w:rsidRPr="00DE108C">
              <w:t xml:space="preserve"> investment, including a number of projects in Sout East Water’s service area to ensure the resilience and integrity of critical headworks water supply infrastructure, including:</w:t>
            </w:r>
          </w:p>
          <w:p w14:paraId="2D51F719" w14:textId="7F088F45" w:rsidR="002D42C1" w:rsidRPr="00DE108C" w:rsidRDefault="002D42C1" w:rsidP="00C05BDA">
            <w:pPr>
              <w:pStyle w:val="Tablebullet2"/>
            </w:pPr>
            <w:r w:rsidRPr="00DE108C">
              <w:t>Cardinia dam safety upgrade works ~$</w:t>
            </w:r>
            <w:r w:rsidRPr="35A16F45">
              <w:t>191</w:t>
            </w:r>
            <w:r w:rsidR="036CAAD5" w:rsidRPr="35A16F45">
              <w:t xml:space="preserve"> </w:t>
            </w:r>
            <w:r w:rsidRPr="35A16F45">
              <w:t>m</w:t>
            </w:r>
            <w:r w:rsidR="51DB110B" w:rsidRPr="35A16F45">
              <w:t>illion</w:t>
            </w:r>
            <w:r w:rsidRPr="00DE108C">
              <w:t> </w:t>
            </w:r>
          </w:p>
          <w:p w14:paraId="3C813341" w14:textId="29915AC1" w:rsidR="002D42C1" w:rsidRPr="00DE108C" w:rsidRDefault="002D42C1" w:rsidP="00C05BDA">
            <w:pPr>
              <w:pStyle w:val="Tablebullet2"/>
            </w:pPr>
            <w:r w:rsidRPr="00DE108C">
              <w:lastRenderedPageBreak/>
              <w:t>Cardinia pump station upgrade ~$</w:t>
            </w:r>
            <w:r w:rsidRPr="35A16F45">
              <w:t>99</w:t>
            </w:r>
            <w:r w:rsidR="6F83B339" w:rsidRPr="35A16F45">
              <w:t xml:space="preserve"> </w:t>
            </w:r>
            <w:r w:rsidRPr="35A16F45">
              <w:t>m</w:t>
            </w:r>
            <w:r w:rsidR="7CCB34BA" w:rsidRPr="35A16F45">
              <w:t>illion</w:t>
            </w:r>
            <w:r w:rsidRPr="00DE108C">
              <w:t> </w:t>
            </w:r>
          </w:p>
          <w:p w14:paraId="43980ECB" w14:textId="66FAC2CF" w:rsidR="002D42C1" w:rsidRPr="00DE108C" w:rsidRDefault="002D42C1" w:rsidP="00C05BDA">
            <w:pPr>
              <w:pStyle w:val="Tablebullet2"/>
            </w:pPr>
            <w:r w:rsidRPr="00DE108C">
              <w:t>Cardinia Reservoir catch drain system capacity upgrade ~</w:t>
            </w:r>
            <w:r w:rsidR="00F63307">
              <w:t>$</w:t>
            </w:r>
            <w:r w:rsidRPr="35A16F45">
              <w:t>30</w:t>
            </w:r>
            <w:r w:rsidR="0F9C9254" w:rsidRPr="35A16F45">
              <w:t xml:space="preserve"> </w:t>
            </w:r>
            <w:r w:rsidRPr="35A16F45">
              <w:t>m</w:t>
            </w:r>
            <w:r w:rsidR="60DA833F" w:rsidRPr="35A16F45">
              <w:t>illion</w:t>
            </w:r>
            <w:r w:rsidRPr="00DE108C">
              <w:t> </w:t>
            </w:r>
          </w:p>
          <w:p w14:paraId="3B7C54D8" w14:textId="554718D5" w:rsidR="002D42C1" w:rsidRPr="00DE108C" w:rsidRDefault="002D42C1" w:rsidP="00C05BDA">
            <w:pPr>
              <w:pStyle w:val="Tablebullet"/>
            </w:pPr>
            <w:r w:rsidRPr="00DE108C">
              <w:t>We’re planning more than $</w:t>
            </w:r>
            <w:r w:rsidRPr="35A16F45">
              <w:t>540</w:t>
            </w:r>
            <w:r w:rsidR="64D78268" w:rsidRPr="35A16F45">
              <w:t xml:space="preserve"> </w:t>
            </w:r>
            <w:r w:rsidRPr="35A16F45">
              <w:t>m</w:t>
            </w:r>
            <w:r w:rsidR="0BC4C701" w:rsidRPr="35A16F45">
              <w:t>illion</w:t>
            </w:r>
            <w:r w:rsidRPr="00DE108C">
              <w:t xml:space="preserve"> investment in </w:t>
            </w:r>
            <w:r w:rsidRPr="00DE108C">
              <w:rPr>
                <w:b/>
                <w:bCs/>
              </w:rPr>
              <w:t>water quality</w:t>
            </w:r>
            <w:r w:rsidRPr="00DE108C">
              <w:t>, including: </w:t>
            </w:r>
          </w:p>
          <w:p w14:paraId="2BCFA6CE" w14:textId="7B6EEC8D" w:rsidR="002D42C1" w:rsidRPr="00DE108C" w:rsidRDefault="002D42C1" w:rsidP="00C05BDA">
            <w:pPr>
              <w:pStyle w:val="Tablebullet2"/>
              <w:rPr>
                <w:szCs w:val="20"/>
              </w:rPr>
            </w:pPr>
            <w:r w:rsidRPr="00DE108C">
              <w:t>Cardinia lime plant renewal, preparing to implement multiple barrier treatment (UV disinfection), and chlorine disinfection resilience dosing unit ~$</w:t>
            </w:r>
            <w:r w:rsidRPr="35A16F45">
              <w:t>29</w:t>
            </w:r>
            <w:r w:rsidR="317F2664" w:rsidRPr="35A16F45">
              <w:t xml:space="preserve"> </w:t>
            </w:r>
            <w:r w:rsidRPr="35A16F45">
              <w:t>m</w:t>
            </w:r>
            <w:r w:rsidR="2E63D876" w:rsidRPr="35A16F45">
              <w:t>il</w:t>
            </w:r>
            <w:r w:rsidR="002D5259">
              <w:t>l</w:t>
            </w:r>
            <w:r w:rsidR="2E63D876" w:rsidRPr="35A16F45">
              <w:t>ion</w:t>
            </w:r>
            <w:r w:rsidRPr="00DE108C">
              <w:t> </w:t>
            </w:r>
          </w:p>
          <w:p w14:paraId="583EF97D" w14:textId="5FB306AE" w:rsidR="002D42C1" w:rsidRPr="00DE108C" w:rsidRDefault="3EBD0833" w:rsidP="00C05BDA">
            <w:pPr>
              <w:pStyle w:val="Tablebullet2"/>
              <w:rPr>
                <w:szCs w:val="20"/>
              </w:rPr>
            </w:pPr>
            <w:r w:rsidRPr="35A16F45">
              <w:t>h</w:t>
            </w:r>
            <w:r w:rsidR="002D42C1" w:rsidRPr="00DE108C">
              <w:t>igh security fencing, preparing to implement chlorine renewal and risk reduction and UV disinfection, fluoride plant renewals, and lime plant improvements at Silvan ~$</w:t>
            </w:r>
            <w:r w:rsidR="002D42C1" w:rsidRPr="35A16F45">
              <w:t>71</w:t>
            </w:r>
            <w:r w:rsidR="3262413F" w:rsidRPr="35A16F45">
              <w:t xml:space="preserve"> </w:t>
            </w:r>
            <w:r w:rsidR="002D42C1" w:rsidRPr="35A16F45">
              <w:t>m</w:t>
            </w:r>
            <w:r w:rsidR="78F910DF" w:rsidRPr="35A16F45">
              <w:t>illion</w:t>
            </w:r>
            <w:r w:rsidR="002D42C1" w:rsidRPr="00DE108C">
              <w:t> </w:t>
            </w:r>
          </w:p>
          <w:p w14:paraId="02F60349" w14:textId="77777777" w:rsidR="002D42C1" w:rsidRPr="00DE108C" w:rsidRDefault="002D42C1">
            <w:pPr>
              <w:numPr>
                <w:ilvl w:val="0"/>
                <w:numId w:val="17"/>
              </w:numPr>
              <w:spacing w:line="240" w:lineRule="auto"/>
              <w:ind w:left="630" w:hanging="450"/>
              <w:rPr>
                <w:sz w:val="16"/>
                <w:szCs w:val="16"/>
              </w:rPr>
            </w:pPr>
            <w:r w:rsidRPr="00DE108C">
              <w:rPr>
                <w:sz w:val="16"/>
                <w:szCs w:val="16"/>
              </w:rPr>
              <w:t xml:space="preserve">We’re proposing to invest more than $750m in </w:t>
            </w:r>
            <w:r w:rsidRPr="00DE108C">
              <w:rPr>
                <w:b/>
                <w:bCs/>
                <w:sz w:val="16"/>
                <w:szCs w:val="16"/>
              </w:rPr>
              <w:t>water transfer</w:t>
            </w:r>
            <w:r w:rsidRPr="00DE108C">
              <w:rPr>
                <w:sz w:val="16"/>
                <w:szCs w:val="16"/>
              </w:rPr>
              <w:t>, including specific projects that benefit South East Water’s service region such as:</w:t>
            </w:r>
          </w:p>
          <w:p w14:paraId="32E8B6F3" w14:textId="0E0DF163" w:rsidR="002D42C1" w:rsidRPr="00DE108C" w:rsidRDefault="002D42C1" w:rsidP="00C05BDA">
            <w:pPr>
              <w:pStyle w:val="Tablebullet2"/>
              <w:rPr>
                <w:szCs w:val="20"/>
              </w:rPr>
            </w:pPr>
            <w:r w:rsidRPr="00DE108C">
              <w:t>Officer North Water Supply Service Reservoir ~$</w:t>
            </w:r>
            <w:r w:rsidRPr="7BE7DC1D">
              <w:t>34</w:t>
            </w:r>
            <w:r w:rsidR="072E6C97" w:rsidRPr="7BE7DC1D">
              <w:t xml:space="preserve"> </w:t>
            </w:r>
            <w:r w:rsidRPr="7BE7DC1D">
              <w:t>m</w:t>
            </w:r>
            <w:r w:rsidR="0E45249B" w:rsidRPr="7BE7DC1D">
              <w:t>illion</w:t>
            </w:r>
            <w:r w:rsidRPr="00DE108C">
              <w:t> </w:t>
            </w:r>
          </w:p>
          <w:p w14:paraId="24BF614C" w14:textId="3945E0C2" w:rsidR="002D42C1" w:rsidRPr="00DE108C" w:rsidRDefault="002D42C1" w:rsidP="00C05BDA">
            <w:pPr>
              <w:pStyle w:val="Tablebullet2"/>
              <w:rPr>
                <w:szCs w:val="20"/>
              </w:rPr>
            </w:pPr>
            <w:r w:rsidRPr="00DE108C">
              <w:t>Cranbourne 2nd tank and improvement works, Dandenong No 1 Tank Refurbishment, and developing the M441 main renewal project ~$</w:t>
            </w:r>
            <w:r w:rsidRPr="7BE7DC1D">
              <w:t>7</w:t>
            </w:r>
            <w:r w:rsidR="1FF09FAF" w:rsidRPr="7BE7DC1D">
              <w:t xml:space="preserve"> </w:t>
            </w:r>
            <w:r w:rsidRPr="7BE7DC1D">
              <w:t>m</w:t>
            </w:r>
            <w:r w:rsidR="4039799A" w:rsidRPr="7BE7DC1D">
              <w:t>illion</w:t>
            </w:r>
            <w:r w:rsidRPr="00DE108C">
              <w:t> </w:t>
            </w:r>
          </w:p>
          <w:p w14:paraId="5D0462FF" w14:textId="32A62AF8" w:rsidR="002D42C1" w:rsidRPr="00DE108C" w:rsidRDefault="002D42C1" w:rsidP="00C05BDA">
            <w:pPr>
              <w:pStyle w:val="Tablebullet"/>
            </w:pPr>
            <w:r w:rsidRPr="00DE108C">
              <w:t>$250</w:t>
            </w:r>
            <w:r w:rsidR="2FE5D6A0" w:rsidRPr="00DE108C">
              <w:t xml:space="preserve"> </w:t>
            </w:r>
            <w:r w:rsidRPr="00DE108C">
              <w:t>m</w:t>
            </w:r>
            <w:r w:rsidR="2FE5D6A0" w:rsidRPr="00DE108C">
              <w:t>illion</w:t>
            </w:r>
            <w:r w:rsidRPr="00DE108C">
              <w:t xml:space="preserve"> investment for early planning to determine a preferred combination of water supply options for the future and ‘no regrets’ development costs for water transfer and treatment projects that are required for the next large</w:t>
            </w:r>
            <w:r w:rsidR="440C064B" w:rsidRPr="00DE108C">
              <w:t>-</w:t>
            </w:r>
            <w:r w:rsidRPr="00DE108C">
              <w:t>scale water supply</w:t>
            </w:r>
            <w:r w:rsidR="217BEE84" w:rsidRPr="00DE108C">
              <w:t>.</w:t>
            </w:r>
            <w:r w:rsidRPr="00DE108C">
              <w:t> </w:t>
            </w:r>
          </w:p>
          <w:p w14:paraId="0C56A7EF" w14:textId="77777777" w:rsidR="002D42C1" w:rsidRPr="00DE108C" w:rsidRDefault="002D42C1" w:rsidP="00C05BDA">
            <w:pPr>
              <w:pStyle w:val="Tablebullet"/>
            </w:pPr>
            <w:r w:rsidRPr="00DE108C">
              <w:rPr>
                <w:b/>
                <w:bCs/>
              </w:rPr>
              <w:t>Increased reliability at ETP</w:t>
            </w:r>
            <w:r w:rsidRPr="00DE108C">
              <w:t>, including resetting the bulk recycled water contract - better balancing financial risk and in context of upgrades taking 10 years at ETP. </w:t>
            </w:r>
          </w:p>
          <w:p w14:paraId="73752063" w14:textId="73194012" w:rsidR="002D42C1" w:rsidRPr="00DE108C" w:rsidRDefault="002D42C1" w:rsidP="00ED094E">
            <w:pPr>
              <w:rPr>
                <w:sz w:val="16"/>
                <w:szCs w:val="16"/>
              </w:rPr>
            </w:pPr>
            <w:r w:rsidRPr="00DE108C">
              <w:rPr>
                <w:sz w:val="16"/>
                <w:szCs w:val="16"/>
              </w:rPr>
              <w:t xml:space="preserve">*All projects listed in </w:t>
            </w:r>
            <w:r w:rsidR="48B1E002" w:rsidRPr="077A3F4F">
              <w:rPr>
                <w:sz w:val="16"/>
                <w:szCs w:val="16"/>
              </w:rPr>
              <w:t>$</w:t>
            </w:r>
            <w:r w:rsidRPr="00DE108C">
              <w:rPr>
                <w:sz w:val="16"/>
                <w:szCs w:val="16"/>
              </w:rPr>
              <w:t xml:space="preserve">real </w:t>
            </w:r>
            <w:r w:rsidRPr="077A3F4F">
              <w:rPr>
                <w:sz w:val="16"/>
                <w:szCs w:val="16"/>
              </w:rPr>
              <w:t>202</w:t>
            </w:r>
            <w:r w:rsidR="12315ACB" w:rsidRPr="077A3F4F">
              <w:rPr>
                <w:sz w:val="16"/>
                <w:szCs w:val="16"/>
              </w:rPr>
              <w:t>5-2</w:t>
            </w:r>
            <w:r w:rsidRPr="077A3F4F">
              <w:rPr>
                <w:sz w:val="16"/>
                <w:szCs w:val="16"/>
              </w:rPr>
              <w:t>6</w:t>
            </w:r>
            <w:r w:rsidRPr="00DE108C">
              <w:rPr>
                <w:sz w:val="16"/>
                <w:szCs w:val="16"/>
              </w:rPr>
              <w:t> </w:t>
            </w:r>
          </w:p>
        </w:tc>
      </w:tr>
      <w:tr w:rsidR="002D42C1" w:rsidRPr="00DE108C" w14:paraId="2D000301" w14:textId="77777777" w:rsidTr="00D819A9">
        <w:tc>
          <w:tcPr>
            <w:tcW w:w="1449" w:type="dxa"/>
            <w:vMerge/>
            <w:shd w:val="clear" w:color="auto" w:fill="00428B" w:themeFill="text2"/>
          </w:tcPr>
          <w:p w14:paraId="1379392B" w14:textId="77777777" w:rsidR="002D42C1" w:rsidRPr="00DE108C" w:rsidRDefault="002D42C1">
            <w:pPr>
              <w:rPr>
                <w:b/>
                <w:bCs/>
                <w:color w:val="FFFFFF" w:themeColor="background1"/>
                <w:sz w:val="16"/>
                <w:szCs w:val="16"/>
              </w:rPr>
            </w:pPr>
          </w:p>
        </w:tc>
        <w:tc>
          <w:tcPr>
            <w:tcW w:w="10170" w:type="dxa"/>
            <w:shd w:val="clear" w:color="auto" w:fill="00428B" w:themeFill="text2"/>
          </w:tcPr>
          <w:p w14:paraId="2C92D7B3" w14:textId="77777777" w:rsidR="002D42C1" w:rsidRPr="00DE108C" w:rsidRDefault="002D42C1">
            <w:pPr>
              <w:rPr>
                <w:b/>
                <w:bCs/>
                <w:color w:val="FFFFFF" w:themeColor="background1"/>
                <w:sz w:val="16"/>
                <w:szCs w:val="16"/>
              </w:rPr>
            </w:pPr>
            <w:r w:rsidRPr="00DE108C">
              <w:rPr>
                <w:b/>
                <w:bCs/>
                <w:color w:val="FFFFFF" w:themeColor="background1"/>
                <w:sz w:val="16"/>
                <w:szCs w:val="16"/>
              </w:rPr>
              <w:t>Bulk charges impact</w:t>
            </w:r>
          </w:p>
        </w:tc>
        <w:tc>
          <w:tcPr>
            <w:tcW w:w="10742" w:type="dxa"/>
            <w:shd w:val="clear" w:color="auto" w:fill="00428B" w:themeFill="text2"/>
          </w:tcPr>
          <w:p w14:paraId="1869C6E5" w14:textId="79E9816F" w:rsidR="002D42C1" w:rsidRPr="00DE108C" w:rsidRDefault="002D42C1">
            <w:pPr>
              <w:rPr>
                <w:b/>
                <w:bCs/>
                <w:color w:val="FFFFFF" w:themeColor="background1"/>
                <w:sz w:val="16"/>
                <w:szCs w:val="16"/>
              </w:rPr>
            </w:pPr>
            <w:r w:rsidRPr="00DE108C">
              <w:rPr>
                <w:b/>
                <w:bCs/>
                <w:color w:val="FFFFFF" w:themeColor="background1"/>
                <w:sz w:val="16"/>
                <w:szCs w:val="16"/>
              </w:rPr>
              <w:t>End</w:t>
            </w:r>
            <w:r w:rsidR="13897B2E" w:rsidRPr="74E540C8">
              <w:rPr>
                <w:b/>
                <w:bCs/>
                <w:color w:val="FFFFFF" w:themeColor="background1"/>
                <w:sz w:val="16"/>
                <w:szCs w:val="16"/>
              </w:rPr>
              <w:t>-</w:t>
            </w:r>
            <w:r w:rsidRPr="00DE108C">
              <w:rPr>
                <w:b/>
                <w:bCs/>
                <w:color w:val="FFFFFF" w:themeColor="background1"/>
                <w:sz w:val="16"/>
                <w:szCs w:val="16"/>
              </w:rPr>
              <w:t>use customer bill impact</w:t>
            </w:r>
          </w:p>
        </w:tc>
      </w:tr>
      <w:tr w:rsidR="00A043F7" w:rsidRPr="00DE108C" w14:paraId="5DB92528" w14:textId="77777777" w:rsidTr="00D819A9">
        <w:trPr>
          <w:cnfStyle w:val="000000010000" w:firstRow="0" w:lastRow="0" w:firstColumn="0" w:lastColumn="0" w:oddVBand="0" w:evenVBand="0" w:oddHBand="0" w:evenHBand="1" w:firstRowFirstColumn="0" w:firstRowLastColumn="0" w:lastRowFirstColumn="0" w:lastRowLastColumn="0"/>
        </w:trPr>
        <w:tc>
          <w:tcPr>
            <w:tcW w:w="1449" w:type="dxa"/>
            <w:vMerge/>
            <w:shd w:val="clear" w:color="auto" w:fill="00428B" w:themeFill="text2"/>
          </w:tcPr>
          <w:p w14:paraId="747FFF99" w14:textId="77777777" w:rsidR="002D42C1" w:rsidRPr="00DE108C" w:rsidRDefault="002D42C1">
            <w:pPr>
              <w:rPr>
                <w:b/>
                <w:bCs/>
                <w:color w:val="FFFFFF" w:themeColor="background1"/>
                <w:sz w:val="16"/>
                <w:szCs w:val="16"/>
              </w:rPr>
            </w:pPr>
          </w:p>
        </w:tc>
        <w:tc>
          <w:tcPr>
            <w:tcW w:w="10170" w:type="dxa"/>
          </w:tcPr>
          <w:p w14:paraId="6D7D804C" w14:textId="07CADEDF" w:rsidR="002D42C1" w:rsidRPr="00DE108C" w:rsidRDefault="002D42C1" w:rsidP="00ED094E">
            <w:pPr>
              <w:rPr>
                <w:sz w:val="16"/>
                <w:szCs w:val="16"/>
              </w:rPr>
            </w:pPr>
            <w:r w:rsidRPr="00DE108C">
              <w:rPr>
                <w:sz w:val="16"/>
                <w:szCs w:val="16"/>
              </w:rPr>
              <w:t xml:space="preserve">Forecast total Melbourne Water bulk charges (excludes desalination orders), in </w:t>
            </w:r>
            <w:r w:rsidR="00054EAF">
              <w:rPr>
                <w:sz w:val="16"/>
                <w:szCs w:val="16"/>
              </w:rPr>
              <w:t xml:space="preserve">$millions, </w:t>
            </w:r>
            <w:r w:rsidR="00054EAF" w:rsidRPr="00CF6652">
              <w:rPr>
                <w:sz w:val="16"/>
                <w:szCs w:val="16"/>
              </w:rPr>
              <w:t>real 20</w:t>
            </w:r>
            <w:r w:rsidR="00054EAF">
              <w:rPr>
                <w:sz w:val="16"/>
                <w:szCs w:val="16"/>
              </w:rPr>
              <w:t>25-</w:t>
            </w:r>
            <w:r w:rsidR="00054EAF" w:rsidRPr="00CF6652">
              <w:rPr>
                <w:sz w:val="16"/>
                <w:szCs w:val="16"/>
              </w:rPr>
              <w:t>26</w:t>
            </w:r>
            <w:r w:rsidRPr="00DE108C">
              <w:rPr>
                <w:sz w:val="16"/>
                <w:szCs w:val="16"/>
              </w:rPr>
              <w:t xml:space="preserve"> (before inflation): </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1335"/>
              <w:gridCol w:w="1335"/>
              <w:gridCol w:w="1335"/>
              <w:gridCol w:w="1335"/>
              <w:gridCol w:w="1335"/>
              <w:gridCol w:w="1335"/>
            </w:tblGrid>
            <w:tr w:rsidR="002D42C1" w:rsidRPr="00DE108C" w14:paraId="323EA2AC" w14:textId="77777777" w:rsidTr="00097A90">
              <w:trPr>
                <w:trHeight w:val="300"/>
              </w:trPr>
              <w:tc>
                <w:tcPr>
                  <w:tcW w:w="1335" w:type="dxa"/>
                  <w:tcBorders>
                    <w:top w:val="single" w:sz="6" w:space="0" w:color="4EC6FF"/>
                    <w:left w:val="nil"/>
                    <w:bottom w:val="single" w:sz="6" w:space="0" w:color="4EC6FF"/>
                    <w:right w:val="nil"/>
                  </w:tcBorders>
                  <w:hideMark/>
                </w:tcPr>
                <w:p w14:paraId="02AFDD39" w14:textId="0313CE46" w:rsidR="002D42C1" w:rsidRPr="00DE108C" w:rsidRDefault="002D42C1" w:rsidP="00ED094E">
                  <w:pPr>
                    <w:spacing w:before="60" w:after="60"/>
                    <w:rPr>
                      <w:sz w:val="16"/>
                      <w:szCs w:val="16"/>
                    </w:rPr>
                  </w:pPr>
                  <w:r w:rsidRPr="00DE108C">
                    <w:rPr>
                      <w:b/>
                      <w:bCs/>
                      <w:sz w:val="16"/>
                      <w:szCs w:val="16"/>
                    </w:rPr>
                    <w:t>Rev</w:t>
                  </w:r>
                  <w:r w:rsidR="008C46DF">
                    <w:rPr>
                      <w:b/>
                      <w:bCs/>
                      <w:sz w:val="16"/>
                      <w:szCs w:val="16"/>
                    </w:rPr>
                    <w:t xml:space="preserve"> </w:t>
                  </w:r>
                </w:p>
              </w:tc>
              <w:tc>
                <w:tcPr>
                  <w:tcW w:w="1335" w:type="dxa"/>
                  <w:tcBorders>
                    <w:top w:val="single" w:sz="6" w:space="0" w:color="4EC6FF"/>
                    <w:left w:val="nil"/>
                    <w:bottom w:val="single" w:sz="6" w:space="0" w:color="4EC6FF"/>
                    <w:right w:val="nil"/>
                  </w:tcBorders>
                  <w:hideMark/>
                </w:tcPr>
                <w:p w14:paraId="2FC67FB1" w14:textId="0341D202" w:rsidR="002D42C1" w:rsidRPr="00DE108C" w:rsidRDefault="002D42C1" w:rsidP="00097A90">
                  <w:pPr>
                    <w:spacing w:before="60" w:after="60"/>
                    <w:jc w:val="center"/>
                    <w:rPr>
                      <w:sz w:val="16"/>
                      <w:szCs w:val="16"/>
                    </w:rPr>
                  </w:pPr>
                  <w:r w:rsidRPr="00DE108C">
                    <w:rPr>
                      <w:b/>
                      <w:bCs/>
                      <w:sz w:val="16"/>
                      <w:szCs w:val="16"/>
                    </w:rPr>
                    <w:t>2025-26</w:t>
                  </w:r>
                </w:p>
              </w:tc>
              <w:tc>
                <w:tcPr>
                  <w:tcW w:w="1335" w:type="dxa"/>
                  <w:tcBorders>
                    <w:top w:val="single" w:sz="6" w:space="0" w:color="4EC6FF"/>
                    <w:left w:val="nil"/>
                    <w:bottom w:val="single" w:sz="6" w:space="0" w:color="4EC6FF"/>
                    <w:right w:val="nil"/>
                  </w:tcBorders>
                  <w:hideMark/>
                </w:tcPr>
                <w:p w14:paraId="6D1D74AE" w14:textId="328DF2AB" w:rsidR="002D42C1" w:rsidRPr="00DE108C" w:rsidRDefault="002D42C1" w:rsidP="00097A90">
                  <w:pPr>
                    <w:spacing w:before="60" w:after="60"/>
                    <w:jc w:val="center"/>
                    <w:rPr>
                      <w:sz w:val="16"/>
                      <w:szCs w:val="16"/>
                    </w:rPr>
                  </w:pPr>
                  <w:r w:rsidRPr="00DE108C">
                    <w:rPr>
                      <w:b/>
                      <w:bCs/>
                      <w:sz w:val="16"/>
                      <w:szCs w:val="16"/>
                    </w:rPr>
                    <w:t>2026-27</w:t>
                  </w:r>
                </w:p>
              </w:tc>
              <w:tc>
                <w:tcPr>
                  <w:tcW w:w="1335" w:type="dxa"/>
                  <w:tcBorders>
                    <w:top w:val="single" w:sz="6" w:space="0" w:color="4EC6FF"/>
                    <w:left w:val="nil"/>
                    <w:bottom w:val="single" w:sz="6" w:space="0" w:color="4EC6FF"/>
                    <w:right w:val="nil"/>
                  </w:tcBorders>
                  <w:hideMark/>
                </w:tcPr>
                <w:p w14:paraId="1E121DB7" w14:textId="378C9991" w:rsidR="002D42C1" w:rsidRPr="00DE108C" w:rsidRDefault="002D42C1" w:rsidP="00097A90">
                  <w:pPr>
                    <w:spacing w:before="60" w:after="60"/>
                    <w:jc w:val="center"/>
                    <w:rPr>
                      <w:sz w:val="16"/>
                      <w:szCs w:val="16"/>
                    </w:rPr>
                  </w:pPr>
                  <w:r w:rsidRPr="00DE108C">
                    <w:rPr>
                      <w:b/>
                      <w:bCs/>
                      <w:sz w:val="16"/>
                      <w:szCs w:val="16"/>
                    </w:rPr>
                    <w:t>2027-28</w:t>
                  </w:r>
                </w:p>
              </w:tc>
              <w:tc>
                <w:tcPr>
                  <w:tcW w:w="1335" w:type="dxa"/>
                  <w:tcBorders>
                    <w:top w:val="single" w:sz="6" w:space="0" w:color="4EC6FF"/>
                    <w:left w:val="nil"/>
                    <w:bottom w:val="single" w:sz="6" w:space="0" w:color="4EC6FF"/>
                    <w:right w:val="nil"/>
                  </w:tcBorders>
                  <w:hideMark/>
                </w:tcPr>
                <w:p w14:paraId="380ABB8A" w14:textId="2B3510CA" w:rsidR="002D42C1" w:rsidRPr="00DE108C" w:rsidRDefault="002D42C1" w:rsidP="00097A90">
                  <w:pPr>
                    <w:spacing w:before="60" w:after="60"/>
                    <w:jc w:val="center"/>
                    <w:rPr>
                      <w:sz w:val="16"/>
                      <w:szCs w:val="16"/>
                    </w:rPr>
                  </w:pPr>
                  <w:r w:rsidRPr="00DE108C">
                    <w:rPr>
                      <w:b/>
                      <w:bCs/>
                      <w:sz w:val="16"/>
                      <w:szCs w:val="16"/>
                    </w:rPr>
                    <w:t>2028-29</w:t>
                  </w:r>
                </w:p>
              </w:tc>
              <w:tc>
                <w:tcPr>
                  <w:tcW w:w="1335" w:type="dxa"/>
                  <w:tcBorders>
                    <w:top w:val="single" w:sz="6" w:space="0" w:color="4EC6FF"/>
                    <w:left w:val="nil"/>
                    <w:bottom w:val="single" w:sz="6" w:space="0" w:color="4EC6FF"/>
                    <w:right w:val="nil"/>
                  </w:tcBorders>
                  <w:hideMark/>
                </w:tcPr>
                <w:p w14:paraId="0EC9709B" w14:textId="66EAB0DF" w:rsidR="002D42C1" w:rsidRPr="00DE108C" w:rsidRDefault="002D42C1" w:rsidP="00097A90">
                  <w:pPr>
                    <w:spacing w:before="60" w:after="60"/>
                    <w:jc w:val="center"/>
                    <w:rPr>
                      <w:sz w:val="16"/>
                      <w:szCs w:val="16"/>
                    </w:rPr>
                  </w:pPr>
                  <w:r w:rsidRPr="00DE108C">
                    <w:rPr>
                      <w:b/>
                      <w:bCs/>
                      <w:sz w:val="16"/>
                      <w:szCs w:val="16"/>
                    </w:rPr>
                    <w:t>2029-30</w:t>
                  </w:r>
                </w:p>
              </w:tc>
              <w:tc>
                <w:tcPr>
                  <w:tcW w:w="1335" w:type="dxa"/>
                  <w:tcBorders>
                    <w:top w:val="single" w:sz="6" w:space="0" w:color="4EC6FF"/>
                    <w:left w:val="nil"/>
                    <w:bottom w:val="single" w:sz="6" w:space="0" w:color="4EC6FF"/>
                    <w:right w:val="nil"/>
                  </w:tcBorders>
                  <w:hideMark/>
                </w:tcPr>
                <w:p w14:paraId="60F1AB1F" w14:textId="3FF14B32" w:rsidR="002D42C1" w:rsidRPr="00DE108C" w:rsidRDefault="002D42C1" w:rsidP="00097A90">
                  <w:pPr>
                    <w:spacing w:before="60" w:after="60"/>
                    <w:jc w:val="center"/>
                    <w:rPr>
                      <w:sz w:val="16"/>
                      <w:szCs w:val="16"/>
                    </w:rPr>
                  </w:pPr>
                  <w:r w:rsidRPr="00DE108C">
                    <w:rPr>
                      <w:b/>
                      <w:bCs/>
                      <w:sz w:val="16"/>
                      <w:szCs w:val="16"/>
                    </w:rPr>
                    <w:t>2030-31</w:t>
                  </w:r>
                </w:p>
              </w:tc>
            </w:tr>
            <w:tr w:rsidR="002D42C1" w:rsidRPr="00DE108C" w14:paraId="47FEE471" w14:textId="77777777" w:rsidTr="00097A90">
              <w:trPr>
                <w:trHeight w:val="300"/>
              </w:trPr>
              <w:tc>
                <w:tcPr>
                  <w:tcW w:w="1335" w:type="dxa"/>
                  <w:tcBorders>
                    <w:top w:val="single" w:sz="6" w:space="0" w:color="4EC6FF"/>
                    <w:left w:val="nil"/>
                    <w:bottom w:val="single" w:sz="6" w:space="0" w:color="4EC6FF"/>
                    <w:right w:val="nil"/>
                  </w:tcBorders>
                  <w:hideMark/>
                </w:tcPr>
                <w:p w14:paraId="27F3753B" w14:textId="1DA9D79E"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41E51C9E" w14:textId="14816F7E" w:rsidR="002D42C1" w:rsidRPr="00DE108C" w:rsidRDefault="002D42C1" w:rsidP="00097A90">
                  <w:pPr>
                    <w:spacing w:before="60" w:after="60"/>
                    <w:jc w:val="center"/>
                    <w:rPr>
                      <w:sz w:val="16"/>
                      <w:szCs w:val="16"/>
                    </w:rPr>
                  </w:pPr>
                  <w:r w:rsidRPr="00DE108C">
                    <w:rPr>
                      <w:sz w:val="16"/>
                      <w:szCs w:val="16"/>
                    </w:rPr>
                    <w:t>394</w:t>
                  </w:r>
                </w:p>
              </w:tc>
              <w:tc>
                <w:tcPr>
                  <w:tcW w:w="1335" w:type="dxa"/>
                  <w:tcBorders>
                    <w:top w:val="single" w:sz="6" w:space="0" w:color="4EC6FF"/>
                    <w:left w:val="nil"/>
                    <w:bottom w:val="single" w:sz="6" w:space="0" w:color="4EC6FF"/>
                    <w:right w:val="nil"/>
                  </w:tcBorders>
                  <w:vAlign w:val="center"/>
                  <w:hideMark/>
                </w:tcPr>
                <w:p w14:paraId="0D87BE7B" w14:textId="2134DA6C" w:rsidR="002D42C1" w:rsidRPr="00DE108C" w:rsidRDefault="002D42C1" w:rsidP="00097A90">
                  <w:pPr>
                    <w:spacing w:before="60" w:after="60"/>
                    <w:jc w:val="center"/>
                    <w:rPr>
                      <w:sz w:val="16"/>
                      <w:szCs w:val="16"/>
                    </w:rPr>
                  </w:pPr>
                  <w:r w:rsidRPr="00DE108C">
                    <w:rPr>
                      <w:sz w:val="16"/>
                      <w:szCs w:val="16"/>
                    </w:rPr>
                    <w:t>405</w:t>
                  </w:r>
                </w:p>
              </w:tc>
              <w:tc>
                <w:tcPr>
                  <w:tcW w:w="1335" w:type="dxa"/>
                  <w:tcBorders>
                    <w:top w:val="single" w:sz="6" w:space="0" w:color="4EC6FF"/>
                    <w:left w:val="nil"/>
                    <w:bottom w:val="single" w:sz="6" w:space="0" w:color="4EC6FF"/>
                    <w:right w:val="nil"/>
                  </w:tcBorders>
                  <w:vAlign w:val="center"/>
                  <w:hideMark/>
                </w:tcPr>
                <w:p w14:paraId="2BA3296F" w14:textId="7D584821" w:rsidR="002D42C1" w:rsidRPr="00DE108C" w:rsidRDefault="00097A90" w:rsidP="00097A90">
                  <w:pPr>
                    <w:spacing w:before="60" w:after="60"/>
                    <w:jc w:val="center"/>
                    <w:rPr>
                      <w:sz w:val="16"/>
                      <w:szCs w:val="16"/>
                    </w:rPr>
                  </w:pPr>
                  <w:r w:rsidRPr="00C92A0B">
                    <w:rPr>
                      <w:sz w:val="16"/>
                      <w:szCs w:val="16"/>
                    </w:rPr>
                    <w:t>426</w:t>
                  </w:r>
                </w:p>
              </w:tc>
              <w:tc>
                <w:tcPr>
                  <w:tcW w:w="1335" w:type="dxa"/>
                  <w:tcBorders>
                    <w:top w:val="single" w:sz="6" w:space="0" w:color="4EC6FF"/>
                    <w:left w:val="nil"/>
                    <w:bottom w:val="single" w:sz="6" w:space="0" w:color="4EC6FF"/>
                    <w:right w:val="nil"/>
                  </w:tcBorders>
                  <w:vAlign w:val="center"/>
                  <w:hideMark/>
                </w:tcPr>
                <w:p w14:paraId="2D795C5F" w14:textId="6809720C" w:rsidR="002D42C1" w:rsidRPr="00DE108C" w:rsidRDefault="00097A90" w:rsidP="00097A90">
                  <w:pPr>
                    <w:spacing w:before="60" w:after="60"/>
                    <w:jc w:val="center"/>
                    <w:rPr>
                      <w:sz w:val="16"/>
                      <w:szCs w:val="16"/>
                    </w:rPr>
                  </w:pPr>
                  <w:r w:rsidRPr="0091606C">
                    <w:rPr>
                      <w:sz w:val="16"/>
                      <w:szCs w:val="16"/>
                    </w:rPr>
                    <w:t>444</w:t>
                  </w:r>
                </w:p>
              </w:tc>
              <w:tc>
                <w:tcPr>
                  <w:tcW w:w="1335" w:type="dxa"/>
                  <w:tcBorders>
                    <w:top w:val="single" w:sz="6" w:space="0" w:color="4EC6FF"/>
                    <w:left w:val="nil"/>
                    <w:bottom w:val="single" w:sz="6" w:space="0" w:color="4EC6FF"/>
                    <w:right w:val="nil"/>
                  </w:tcBorders>
                  <w:vAlign w:val="center"/>
                  <w:hideMark/>
                </w:tcPr>
                <w:p w14:paraId="23D96235" w14:textId="5792ED2A" w:rsidR="002D42C1" w:rsidRPr="00DE108C" w:rsidRDefault="002D42C1" w:rsidP="00097A90">
                  <w:pPr>
                    <w:spacing w:before="60" w:after="60"/>
                    <w:jc w:val="center"/>
                    <w:rPr>
                      <w:sz w:val="16"/>
                      <w:szCs w:val="16"/>
                    </w:rPr>
                  </w:pPr>
                  <w:r w:rsidRPr="00DE108C">
                    <w:rPr>
                      <w:sz w:val="16"/>
                      <w:szCs w:val="16"/>
                    </w:rPr>
                    <w:t>463</w:t>
                  </w:r>
                </w:p>
              </w:tc>
              <w:tc>
                <w:tcPr>
                  <w:tcW w:w="1335" w:type="dxa"/>
                  <w:tcBorders>
                    <w:top w:val="single" w:sz="6" w:space="0" w:color="4EC6FF"/>
                    <w:left w:val="nil"/>
                    <w:bottom w:val="single" w:sz="6" w:space="0" w:color="4EC6FF"/>
                    <w:right w:val="nil"/>
                  </w:tcBorders>
                  <w:vAlign w:val="center"/>
                  <w:hideMark/>
                </w:tcPr>
                <w:p w14:paraId="65995FD9" w14:textId="5A618E04" w:rsidR="002D42C1" w:rsidRPr="00DE108C" w:rsidRDefault="00097A90" w:rsidP="00097A90">
                  <w:pPr>
                    <w:spacing w:before="60" w:after="60"/>
                    <w:jc w:val="center"/>
                    <w:rPr>
                      <w:sz w:val="16"/>
                      <w:szCs w:val="16"/>
                    </w:rPr>
                  </w:pPr>
                  <w:r w:rsidRPr="0091606C">
                    <w:rPr>
                      <w:sz w:val="16"/>
                      <w:szCs w:val="16"/>
                    </w:rPr>
                    <w:t>481</w:t>
                  </w:r>
                </w:p>
              </w:tc>
            </w:tr>
            <w:tr w:rsidR="002D42C1" w:rsidRPr="00DE108C" w14:paraId="11F9081E" w14:textId="77777777" w:rsidTr="00097A90">
              <w:trPr>
                <w:trHeight w:val="300"/>
              </w:trPr>
              <w:tc>
                <w:tcPr>
                  <w:tcW w:w="1335" w:type="dxa"/>
                  <w:tcBorders>
                    <w:top w:val="single" w:sz="6" w:space="0" w:color="4EC6FF"/>
                    <w:left w:val="nil"/>
                    <w:bottom w:val="single" w:sz="6" w:space="0" w:color="4EC6FF"/>
                    <w:right w:val="nil"/>
                  </w:tcBorders>
                  <w:shd w:val="clear" w:color="auto" w:fill="46C2D7"/>
                  <w:hideMark/>
                </w:tcPr>
                <w:p w14:paraId="188EB060" w14:textId="743E779B"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35" w:type="dxa"/>
                  <w:tcBorders>
                    <w:top w:val="single" w:sz="6" w:space="0" w:color="4EC6FF"/>
                    <w:left w:val="nil"/>
                    <w:bottom w:val="single" w:sz="6" w:space="0" w:color="4EC6FF"/>
                    <w:right w:val="nil"/>
                  </w:tcBorders>
                  <w:shd w:val="clear" w:color="auto" w:fill="46C2D7"/>
                  <w:vAlign w:val="center"/>
                  <w:hideMark/>
                </w:tcPr>
                <w:p w14:paraId="351106E0" w14:textId="5D58A9F5" w:rsidR="002D42C1" w:rsidRPr="00DE108C" w:rsidRDefault="002D42C1" w:rsidP="00097A90">
                  <w:pPr>
                    <w:spacing w:before="60" w:after="60"/>
                    <w:jc w:val="center"/>
                    <w:rPr>
                      <w:sz w:val="16"/>
                      <w:szCs w:val="16"/>
                    </w:rPr>
                  </w:pPr>
                  <w:r w:rsidRPr="00DE108C">
                    <w:rPr>
                      <w:sz w:val="16"/>
                      <w:szCs w:val="16"/>
                    </w:rPr>
                    <w:t>572</w:t>
                  </w:r>
                </w:p>
              </w:tc>
              <w:tc>
                <w:tcPr>
                  <w:tcW w:w="1335" w:type="dxa"/>
                  <w:tcBorders>
                    <w:top w:val="single" w:sz="6" w:space="0" w:color="4EC6FF"/>
                    <w:left w:val="nil"/>
                    <w:bottom w:val="single" w:sz="6" w:space="0" w:color="4EC6FF"/>
                    <w:right w:val="nil"/>
                  </w:tcBorders>
                  <w:shd w:val="clear" w:color="auto" w:fill="46C2D7"/>
                  <w:vAlign w:val="center"/>
                  <w:hideMark/>
                </w:tcPr>
                <w:p w14:paraId="69419B76" w14:textId="3212018D" w:rsidR="002D42C1" w:rsidRPr="00DE108C" w:rsidRDefault="002D42C1" w:rsidP="00097A90">
                  <w:pPr>
                    <w:spacing w:before="60" w:after="60"/>
                    <w:jc w:val="center"/>
                    <w:rPr>
                      <w:sz w:val="16"/>
                      <w:szCs w:val="16"/>
                    </w:rPr>
                  </w:pPr>
                  <w:r w:rsidRPr="00DE108C">
                    <w:rPr>
                      <w:sz w:val="16"/>
                      <w:szCs w:val="16"/>
                    </w:rPr>
                    <w:t>581</w:t>
                  </w:r>
                </w:p>
              </w:tc>
              <w:tc>
                <w:tcPr>
                  <w:tcW w:w="1335" w:type="dxa"/>
                  <w:tcBorders>
                    <w:top w:val="single" w:sz="6" w:space="0" w:color="4EC6FF"/>
                    <w:left w:val="nil"/>
                    <w:bottom w:val="single" w:sz="6" w:space="0" w:color="4EC6FF"/>
                    <w:right w:val="nil"/>
                  </w:tcBorders>
                  <w:shd w:val="clear" w:color="auto" w:fill="46C2D7"/>
                  <w:vAlign w:val="center"/>
                  <w:hideMark/>
                </w:tcPr>
                <w:p w14:paraId="14F5E0C7" w14:textId="586A1370" w:rsidR="002D42C1" w:rsidRPr="00DE108C" w:rsidRDefault="00097A90" w:rsidP="00097A90">
                  <w:pPr>
                    <w:spacing w:before="60" w:after="60"/>
                    <w:jc w:val="center"/>
                    <w:rPr>
                      <w:sz w:val="16"/>
                      <w:szCs w:val="16"/>
                    </w:rPr>
                  </w:pPr>
                  <w:r w:rsidRPr="00C92A0B">
                    <w:rPr>
                      <w:sz w:val="16"/>
                      <w:szCs w:val="16"/>
                    </w:rPr>
                    <w:t>605</w:t>
                  </w:r>
                </w:p>
              </w:tc>
              <w:tc>
                <w:tcPr>
                  <w:tcW w:w="1335" w:type="dxa"/>
                  <w:tcBorders>
                    <w:top w:val="single" w:sz="6" w:space="0" w:color="4EC6FF"/>
                    <w:left w:val="nil"/>
                    <w:bottom w:val="single" w:sz="6" w:space="0" w:color="4EC6FF"/>
                    <w:right w:val="nil"/>
                  </w:tcBorders>
                  <w:shd w:val="clear" w:color="auto" w:fill="46C2D7"/>
                  <w:vAlign w:val="center"/>
                  <w:hideMark/>
                </w:tcPr>
                <w:p w14:paraId="37BCDCC7" w14:textId="42665B8B" w:rsidR="002D42C1" w:rsidRPr="00DE108C" w:rsidRDefault="00097A90" w:rsidP="00097A90">
                  <w:pPr>
                    <w:spacing w:before="60" w:after="60"/>
                    <w:jc w:val="center"/>
                    <w:rPr>
                      <w:sz w:val="16"/>
                      <w:szCs w:val="16"/>
                    </w:rPr>
                  </w:pPr>
                  <w:r w:rsidRPr="0091606C">
                    <w:rPr>
                      <w:sz w:val="16"/>
                      <w:szCs w:val="16"/>
                    </w:rPr>
                    <w:t>615</w:t>
                  </w:r>
                </w:p>
              </w:tc>
              <w:tc>
                <w:tcPr>
                  <w:tcW w:w="1335" w:type="dxa"/>
                  <w:tcBorders>
                    <w:top w:val="single" w:sz="6" w:space="0" w:color="4EC6FF"/>
                    <w:left w:val="nil"/>
                    <w:bottom w:val="single" w:sz="6" w:space="0" w:color="4EC6FF"/>
                    <w:right w:val="nil"/>
                  </w:tcBorders>
                  <w:shd w:val="clear" w:color="auto" w:fill="46C2D7"/>
                  <w:vAlign w:val="center"/>
                  <w:hideMark/>
                </w:tcPr>
                <w:p w14:paraId="636E97C1" w14:textId="0F9C5392" w:rsidR="002D42C1" w:rsidRPr="00DE108C" w:rsidRDefault="002D42C1" w:rsidP="00097A90">
                  <w:pPr>
                    <w:spacing w:before="60" w:after="60"/>
                    <w:jc w:val="center"/>
                    <w:rPr>
                      <w:sz w:val="16"/>
                      <w:szCs w:val="16"/>
                    </w:rPr>
                  </w:pPr>
                  <w:r w:rsidRPr="00DE108C">
                    <w:rPr>
                      <w:sz w:val="16"/>
                      <w:szCs w:val="16"/>
                    </w:rPr>
                    <w:t>626</w:t>
                  </w:r>
                </w:p>
              </w:tc>
              <w:tc>
                <w:tcPr>
                  <w:tcW w:w="1335" w:type="dxa"/>
                  <w:tcBorders>
                    <w:top w:val="single" w:sz="6" w:space="0" w:color="4EC6FF"/>
                    <w:left w:val="nil"/>
                    <w:bottom w:val="single" w:sz="6" w:space="0" w:color="4EC6FF"/>
                    <w:right w:val="nil"/>
                  </w:tcBorders>
                  <w:shd w:val="clear" w:color="auto" w:fill="46C2D7"/>
                  <w:vAlign w:val="center"/>
                  <w:hideMark/>
                </w:tcPr>
                <w:p w14:paraId="24C0C2AC" w14:textId="32F6EE3E" w:rsidR="002D42C1" w:rsidRPr="00DE108C" w:rsidRDefault="00097A90" w:rsidP="00097A90">
                  <w:pPr>
                    <w:spacing w:before="60" w:after="60"/>
                    <w:jc w:val="center"/>
                    <w:rPr>
                      <w:sz w:val="16"/>
                      <w:szCs w:val="16"/>
                    </w:rPr>
                  </w:pPr>
                  <w:r w:rsidRPr="00C92A0B">
                    <w:rPr>
                      <w:sz w:val="16"/>
                      <w:szCs w:val="16"/>
                    </w:rPr>
                    <w:t>637</w:t>
                  </w:r>
                </w:p>
              </w:tc>
            </w:tr>
            <w:tr w:rsidR="002D42C1" w:rsidRPr="00DE108C" w14:paraId="04381120" w14:textId="77777777" w:rsidTr="00097A90">
              <w:trPr>
                <w:trHeight w:val="300"/>
              </w:trPr>
              <w:tc>
                <w:tcPr>
                  <w:tcW w:w="1335" w:type="dxa"/>
                  <w:tcBorders>
                    <w:top w:val="single" w:sz="6" w:space="0" w:color="4EC6FF"/>
                    <w:left w:val="nil"/>
                    <w:bottom w:val="single" w:sz="6" w:space="0" w:color="4EC6FF"/>
                    <w:right w:val="nil"/>
                  </w:tcBorders>
                  <w:hideMark/>
                </w:tcPr>
                <w:p w14:paraId="19B93341"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70EFFB9C" w14:textId="1F87AE49" w:rsidR="002D42C1" w:rsidRPr="00DE108C" w:rsidRDefault="002D42C1" w:rsidP="00097A90">
                  <w:pPr>
                    <w:spacing w:before="60" w:after="60"/>
                    <w:jc w:val="center"/>
                    <w:rPr>
                      <w:sz w:val="16"/>
                      <w:szCs w:val="16"/>
                    </w:rPr>
                  </w:pPr>
                  <w:r w:rsidRPr="00DE108C">
                    <w:rPr>
                      <w:sz w:val="16"/>
                      <w:szCs w:val="16"/>
                    </w:rPr>
                    <w:t>570</w:t>
                  </w:r>
                </w:p>
              </w:tc>
              <w:tc>
                <w:tcPr>
                  <w:tcW w:w="1335" w:type="dxa"/>
                  <w:tcBorders>
                    <w:top w:val="single" w:sz="6" w:space="0" w:color="4EC6FF"/>
                    <w:left w:val="nil"/>
                    <w:bottom w:val="single" w:sz="6" w:space="0" w:color="4EC6FF"/>
                    <w:right w:val="nil"/>
                  </w:tcBorders>
                  <w:vAlign w:val="center"/>
                  <w:hideMark/>
                </w:tcPr>
                <w:p w14:paraId="419475F3" w14:textId="37F26F87" w:rsidR="002D42C1" w:rsidRPr="00DE108C" w:rsidRDefault="002D42C1" w:rsidP="00097A90">
                  <w:pPr>
                    <w:spacing w:before="60" w:after="60"/>
                    <w:jc w:val="center"/>
                    <w:rPr>
                      <w:sz w:val="16"/>
                      <w:szCs w:val="16"/>
                    </w:rPr>
                  </w:pPr>
                  <w:r w:rsidRPr="00DE108C">
                    <w:rPr>
                      <w:sz w:val="16"/>
                      <w:szCs w:val="16"/>
                    </w:rPr>
                    <w:t>579</w:t>
                  </w:r>
                </w:p>
              </w:tc>
              <w:tc>
                <w:tcPr>
                  <w:tcW w:w="1335" w:type="dxa"/>
                  <w:tcBorders>
                    <w:top w:val="single" w:sz="6" w:space="0" w:color="4EC6FF"/>
                    <w:left w:val="nil"/>
                    <w:bottom w:val="single" w:sz="6" w:space="0" w:color="4EC6FF"/>
                    <w:right w:val="nil"/>
                  </w:tcBorders>
                  <w:vAlign w:val="center"/>
                  <w:hideMark/>
                </w:tcPr>
                <w:p w14:paraId="777DC2DE" w14:textId="193D9D5D" w:rsidR="002D42C1" w:rsidRPr="00DE108C" w:rsidRDefault="002D42C1" w:rsidP="00097A90">
                  <w:pPr>
                    <w:spacing w:before="60" w:after="60"/>
                    <w:jc w:val="center"/>
                    <w:rPr>
                      <w:sz w:val="16"/>
                      <w:szCs w:val="16"/>
                    </w:rPr>
                  </w:pPr>
                  <w:r w:rsidRPr="00DE108C">
                    <w:rPr>
                      <w:sz w:val="16"/>
                      <w:szCs w:val="16"/>
                    </w:rPr>
                    <w:t>605</w:t>
                  </w:r>
                </w:p>
              </w:tc>
              <w:tc>
                <w:tcPr>
                  <w:tcW w:w="1335" w:type="dxa"/>
                  <w:tcBorders>
                    <w:top w:val="single" w:sz="6" w:space="0" w:color="4EC6FF"/>
                    <w:left w:val="nil"/>
                    <w:bottom w:val="single" w:sz="6" w:space="0" w:color="4EC6FF"/>
                    <w:right w:val="nil"/>
                  </w:tcBorders>
                  <w:vAlign w:val="center"/>
                  <w:hideMark/>
                </w:tcPr>
                <w:p w14:paraId="2EA9A574" w14:textId="5A088EF5" w:rsidR="002D42C1" w:rsidRPr="00DE108C" w:rsidRDefault="002D42C1" w:rsidP="00097A90">
                  <w:pPr>
                    <w:spacing w:before="60" w:after="60"/>
                    <w:jc w:val="center"/>
                    <w:rPr>
                      <w:sz w:val="16"/>
                      <w:szCs w:val="16"/>
                    </w:rPr>
                  </w:pPr>
                  <w:r w:rsidRPr="00DE108C">
                    <w:rPr>
                      <w:sz w:val="16"/>
                      <w:szCs w:val="16"/>
                    </w:rPr>
                    <w:t>608</w:t>
                  </w:r>
                </w:p>
              </w:tc>
              <w:tc>
                <w:tcPr>
                  <w:tcW w:w="1335" w:type="dxa"/>
                  <w:tcBorders>
                    <w:top w:val="single" w:sz="6" w:space="0" w:color="4EC6FF"/>
                    <w:left w:val="nil"/>
                    <w:bottom w:val="single" w:sz="6" w:space="0" w:color="4EC6FF"/>
                    <w:right w:val="nil"/>
                  </w:tcBorders>
                  <w:vAlign w:val="center"/>
                  <w:hideMark/>
                </w:tcPr>
                <w:p w14:paraId="3D3D0EB6" w14:textId="4DCDDF1A" w:rsidR="002D42C1" w:rsidRPr="00DE108C" w:rsidRDefault="00097A90" w:rsidP="00097A90">
                  <w:pPr>
                    <w:spacing w:before="60" w:after="60"/>
                    <w:jc w:val="center"/>
                    <w:rPr>
                      <w:sz w:val="16"/>
                      <w:szCs w:val="16"/>
                    </w:rPr>
                  </w:pPr>
                  <w:r w:rsidRPr="0091606C">
                    <w:rPr>
                      <w:sz w:val="16"/>
                      <w:szCs w:val="16"/>
                    </w:rPr>
                    <w:t>610</w:t>
                  </w:r>
                </w:p>
              </w:tc>
              <w:tc>
                <w:tcPr>
                  <w:tcW w:w="1335" w:type="dxa"/>
                  <w:tcBorders>
                    <w:top w:val="single" w:sz="6" w:space="0" w:color="4EC6FF"/>
                    <w:left w:val="nil"/>
                    <w:bottom w:val="single" w:sz="6" w:space="0" w:color="4EC6FF"/>
                    <w:right w:val="nil"/>
                  </w:tcBorders>
                  <w:vAlign w:val="center"/>
                  <w:hideMark/>
                </w:tcPr>
                <w:p w14:paraId="6A6A1F1A" w14:textId="62FEEE7B" w:rsidR="002D42C1" w:rsidRPr="00DE108C" w:rsidRDefault="00097A90" w:rsidP="00097A90">
                  <w:pPr>
                    <w:spacing w:before="60" w:after="60"/>
                    <w:jc w:val="center"/>
                    <w:rPr>
                      <w:sz w:val="16"/>
                      <w:szCs w:val="16"/>
                    </w:rPr>
                  </w:pPr>
                  <w:r w:rsidRPr="00C92A0B">
                    <w:rPr>
                      <w:sz w:val="16"/>
                      <w:szCs w:val="16"/>
                    </w:rPr>
                    <w:t>612</w:t>
                  </w:r>
                </w:p>
              </w:tc>
            </w:tr>
            <w:tr w:rsidR="002D42C1" w:rsidRPr="00DE108C" w14:paraId="22312E89" w14:textId="77777777" w:rsidTr="00097A90">
              <w:trPr>
                <w:trHeight w:val="300"/>
              </w:trPr>
              <w:tc>
                <w:tcPr>
                  <w:tcW w:w="1335" w:type="dxa"/>
                  <w:tcBorders>
                    <w:top w:val="single" w:sz="6" w:space="0" w:color="4EC6FF"/>
                    <w:left w:val="nil"/>
                    <w:bottom w:val="single" w:sz="6" w:space="0" w:color="4EC6FF"/>
                    <w:right w:val="nil"/>
                  </w:tcBorders>
                  <w:hideMark/>
                </w:tcPr>
                <w:p w14:paraId="75F5A295" w14:textId="018A2E69"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6B6B238A" w14:textId="1F824485" w:rsidR="002D42C1" w:rsidRPr="00DE108C" w:rsidRDefault="002D42C1" w:rsidP="00097A90">
                  <w:pPr>
                    <w:spacing w:before="60" w:after="60"/>
                    <w:jc w:val="center"/>
                    <w:rPr>
                      <w:sz w:val="16"/>
                      <w:szCs w:val="16"/>
                    </w:rPr>
                  </w:pPr>
                  <w:r w:rsidRPr="00DE108C">
                    <w:rPr>
                      <w:sz w:val="16"/>
                      <w:szCs w:val="16"/>
                    </w:rPr>
                    <w:t>12.0</w:t>
                  </w:r>
                </w:p>
              </w:tc>
              <w:tc>
                <w:tcPr>
                  <w:tcW w:w="1335" w:type="dxa"/>
                  <w:tcBorders>
                    <w:top w:val="single" w:sz="6" w:space="0" w:color="4EC6FF"/>
                    <w:left w:val="nil"/>
                    <w:bottom w:val="single" w:sz="6" w:space="0" w:color="4EC6FF"/>
                    <w:right w:val="nil"/>
                  </w:tcBorders>
                  <w:vAlign w:val="center"/>
                  <w:hideMark/>
                </w:tcPr>
                <w:p w14:paraId="083F5741" w14:textId="789722AB" w:rsidR="002D42C1" w:rsidRPr="00DE108C" w:rsidRDefault="002D42C1" w:rsidP="00097A90">
                  <w:pPr>
                    <w:spacing w:before="60" w:after="60"/>
                    <w:jc w:val="center"/>
                    <w:rPr>
                      <w:sz w:val="16"/>
                      <w:szCs w:val="16"/>
                    </w:rPr>
                  </w:pPr>
                  <w:r w:rsidRPr="00DE108C">
                    <w:rPr>
                      <w:sz w:val="16"/>
                      <w:szCs w:val="16"/>
                    </w:rPr>
                    <w:t>10.7</w:t>
                  </w:r>
                </w:p>
              </w:tc>
              <w:tc>
                <w:tcPr>
                  <w:tcW w:w="1335" w:type="dxa"/>
                  <w:tcBorders>
                    <w:top w:val="single" w:sz="6" w:space="0" w:color="4EC6FF"/>
                    <w:left w:val="nil"/>
                    <w:bottom w:val="single" w:sz="6" w:space="0" w:color="4EC6FF"/>
                    <w:right w:val="nil"/>
                  </w:tcBorders>
                  <w:vAlign w:val="center"/>
                  <w:hideMark/>
                </w:tcPr>
                <w:p w14:paraId="0102FE4E" w14:textId="50F63E51"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6AE2B7D2" w14:textId="4A289E9B"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16B2EA0E" w14:textId="6942C5E6"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68C9D65A" w14:textId="70D08497" w:rsidR="002D42C1" w:rsidRPr="00DE108C" w:rsidRDefault="002D42C1" w:rsidP="00097A90">
                  <w:pPr>
                    <w:spacing w:before="60" w:after="60"/>
                    <w:jc w:val="center"/>
                    <w:rPr>
                      <w:sz w:val="16"/>
                      <w:szCs w:val="16"/>
                    </w:rPr>
                  </w:pPr>
                  <w:r w:rsidRPr="00DE108C">
                    <w:rPr>
                      <w:sz w:val="16"/>
                      <w:szCs w:val="16"/>
                    </w:rPr>
                    <w:t>7.5</w:t>
                  </w:r>
                </w:p>
              </w:tc>
            </w:tr>
            <w:tr w:rsidR="002D42C1" w:rsidRPr="00DE108C" w14:paraId="07120C32" w14:textId="77777777" w:rsidTr="00097A90">
              <w:trPr>
                <w:trHeight w:val="300"/>
              </w:trPr>
              <w:tc>
                <w:tcPr>
                  <w:tcW w:w="1335" w:type="dxa"/>
                  <w:tcBorders>
                    <w:top w:val="single" w:sz="6" w:space="0" w:color="4EC6FF"/>
                    <w:left w:val="nil"/>
                    <w:bottom w:val="single" w:sz="6" w:space="0" w:color="4EC6FF"/>
                    <w:right w:val="nil"/>
                  </w:tcBorders>
                  <w:hideMark/>
                </w:tcPr>
                <w:p w14:paraId="53D31090" w14:textId="3813BA30"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632F5980" w14:textId="3DFEC111"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2A8960A3" w14:textId="79322349" w:rsidR="002D42C1" w:rsidRPr="00DE108C" w:rsidRDefault="002D42C1" w:rsidP="00097A90">
                  <w:pPr>
                    <w:spacing w:before="60" w:after="60"/>
                    <w:jc w:val="center"/>
                    <w:rPr>
                      <w:sz w:val="16"/>
                      <w:szCs w:val="16"/>
                    </w:rPr>
                  </w:pPr>
                  <w:r w:rsidRPr="00DE108C">
                    <w:rPr>
                      <w:sz w:val="16"/>
                      <w:szCs w:val="16"/>
                    </w:rPr>
                    <w:t>1.2</w:t>
                  </w:r>
                </w:p>
              </w:tc>
              <w:tc>
                <w:tcPr>
                  <w:tcW w:w="1335" w:type="dxa"/>
                  <w:tcBorders>
                    <w:top w:val="single" w:sz="6" w:space="0" w:color="4EC6FF"/>
                    <w:left w:val="nil"/>
                    <w:bottom w:val="single" w:sz="6" w:space="0" w:color="4EC6FF"/>
                    <w:right w:val="nil"/>
                  </w:tcBorders>
                  <w:vAlign w:val="center"/>
                  <w:hideMark/>
                </w:tcPr>
                <w:p w14:paraId="734D1E96" w14:textId="496FF8CC" w:rsidR="002D42C1" w:rsidRPr="00DE108C" w:rsidRDefault="002D42C1" w:rsidP="00097A90">
                  <w:pPr>
                    <w:spacing w:before="60" w:after="60"/>
                    <w:jc w:val="center"/>
                    <w:rPr>
                      <w:sz w:val="16"/>
                      <w:szCs w:val="16"/>
                    </w:rPr>
                  </w:pPr>
                  <w:r w:rsidRPr="00DE108C">
                    <w:rPr>
                      <w:sz w:val="16"/>
                      <w:szCs w:val="16"/>
                    </w:rPr>
                    <w:t>1.4</w:t>
                  </w:r>
                </w:p>
              </w:tc>
              <w:tc>
                <w:tcPr>
                  <w:tcW w:w="1335" w:type="dxa"/>
                  <w:tcBorders>
                    <w:top w:val="single" w:sz="6" w:space="0" w:color="4EC6FF"/>
                    <w:left w:val="nil"/>
                    <w:bottom w:val="single" w:sz="6" w:space="0" w:color="4EC6FF"/>
                    <w:right w:val="nil"/>
                  </w:tcBorders>
                  <w:vAlign w:val="center"/>
                  <w:hideMark/>
                </w:tcPr>
                <w:p w14:paraId="709B445E" w14:textId="49EB8FA5" w:rsidR="002D42C1" w:rsidRPr="00DE108C" w:rsidRDefault="002D42C1" w:rsidP="00097A90">
                  <w:pPr>
                    <w:spacing w:before="60" w:after="60"/>
                    <w:jc w:val="center"/>
                    <w:rPr>
                      <w:sz w:val="16"/>
                      <w:szCs w:val="16"/>
                    </w:rPr>
                  </w:pPr>
                  <w:r w:rsidRPr="00DE108C">
                    <w:rPr>
                      <w:sz w:val="16"/>
                      <w:szCs w:val="16"/>
                    </w:rPr>
                    <w:t>1.6</w:t>
                  </w:r>
                </w:p>
              </w:tc>
              <w:tc>
                <w:tcPr>
                  <w:tcW w:w="1335" w:type="dxa"/>
                  <w:tcBorders>
                    <w:top w:val="single" w:sz="6" w:space="0" w:color="4EC6FF"/>
                    <w:left w:val="nil"/>
                    <w:bottom w:val="single" w:sz="6" w:space="0" w:color="4EC6FF"/>
                    <w:right w:val="nil"/>
                  </w:tcBorders>
                  <w:vAlign w:val="center"/>
                  <w:hideMark/>
                </w:tcPr>
                <w:p w14:paraId="0F9ACF4D" w14:textId="2D382EB4" w:rsidR="002D42C1" w:rsidRPr="00DE108C" w:rsidRDefault="002D42C1" w:rsidP="00097A90">
                  <w:pPr>
                    <w:spacing w:before="60" w:after="60"/>
                    <w:jc w:val="center"/>
                    <w:rPr>
                      <w:sz w:val="16"/>
                      <w:szCs w:val="16"/>
                    </w:rPr>
                  </w:pPr>
                  <w:r w:rsidRPr="00DE108C">
                    <w:rPr>
                      <w:sz w:val="16"/>
                      <w:szCs w:val="16"/>
                    </w:rPr>
                    <w:t>1.9</w:t>
                  </w:r>
                </w:p>
              </w:tc>
              <w:tc>
                <w:tcPr>
                  <w:tcW w:w="1335" w:type="dxa"/>
                  <w:tcBorders>
                    <w:top w:val="single" w:sz="6" w:space="0" w:color="4EC6FF"/>
                    <w:left w:val="nil"/>
                    <w:bottom w:val="single" w:sz="6" w:space="0" w:color="4EC6FF"/>
                    <w:right w:val="nil"/>
                  </w:tcBorders>
                  <w:vAlign w:val="center"/>
                  <w:hideMark/>
                </w:tcPr>
                <w:p w14:paraId="410F67E8" w14:textId="2C7ECA4D" w:rsidR="002D42C1" w:rsidRPr="00DE108C" w:rsidRDefault="002D42C1" w:rsidP="00097A90">
                  <w:pPr>
                    <w:spacing w:before="60" w:after="60"/>
                    <w:jc w:val="center"/>
                    <w:rPr>
                      <w:sz w:val="16"/>
                      <w:szCs w:val="16"/>
                    </w:rPr>
                  </w:pPr>
                  <w:r w:rsidRPr="00DE108C">
                    <w:rPr>
                      <w:sz w:val="16"/>
                      <w:szCs w:val="16"/>
                    </w:rPr>
                    <w:t>2.2</w:t>
                  </w:r>
                </w:p>
              </w:tc>
            </w:tr>
            <w:tr w:rsidR="002D42C1" w:rsidRPr="00DE108C" w14:paraId="6BBC76A1" w14:textId="77777777" w:rsidTr="00097A90">
              <w:trPr>
                <w:trHeight w:val="300"/>
              </w:trPr>
              <w:tc>
                <w:tcPr>
                  <w:tcW w:w="1335" w:type="dxa"/>
                  <w:tcBorders>
                    <w:top w:val="single" w:sz="6" w:space="0" w:color="4EC6FF"/>
                    <w:left w:val="nil"/>
                    <w:bottom w:val="single" w:sz="6" w:space="0" w:color="4EC6FF"/>
                    <w:right w:val="nil"/>
                  </w:tcBorders>
                  <w:hideMark/>
                </w:tcPr>
                <w:p w14:paraId="5A6A96A1"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46218EBB" w14:textId="4EFEB58C"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106D7986" w14:textId="1C3B5B06"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52DBB822" w14:textId="58AF6302"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5233E1DE" w14:textId="5F4D3ED8"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2B6CE29B" w14:textId="4EF69AB7"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left w:val="nil"/>
                    <w:bottom w:val="single" w:sz="6" w:space="0" w:color="4EC6FF"/>
                    <w:right w:val="nil"/>
                  </w:tcBorders>
                  <w:vAlign w:val="center"/>
                  <w:hideMark/>
                </w:tcPr>
                <w:p w14:paraId="0B3E2FCD" w14:textId="667B49F6" w:rsidR="002D42C1" w:rsidRPr="00DE108C" w:rsidRDefault="002D42C1" w:rsidP="00097A90">
                  <w:pPr>
                    <w:spacing w:before="60" w:after="60"/>
                    <w:jc w:val="center"/>
                    <w:rPr>
                      <w:sz w:val="16"/>
                      <w:szCs w:val="16"/>
                    </w:rPr>
                  </w:pPr>
                  <w:r w:rsidRPr="00DE108C">
                    <w:rPr>
                      <w:sz w:val="16"/>
                      <w:szCs w:val="16"/>
                    </w:rPr>
                    <w:t>0.8</w:t>
                  </w:r>
                </w:p>
              </w:tc>
            </w:tr>
            <w:tr w:rsidR="002D42C1" w:rsidRPr="00DE108C" w14:paraId="34FBBFD8" w14:textId="77777777" w:rsidTr="00097A90">
              <w:trPr>
                <w:trHeight w:val="300"/>
              </w:trPr>
              <w:tc>
                <w:tcPr>
                  <w:tcW w:w="1335" w:type="dxa"/>
                  <w:tcBorders>
                    <w:top w:val="single" w:sz="6" w:space="0" w:color="4EC6FF"/>
                    <w:left w:val="nil"/>
                    <w:bottom w:val="single" w:sz="6" w:space="0" w:color="4EC6FF"/>
                    <w:right w:val="nil"/>
                  </w:tcBorders>
                  <w:hideMark/>
                </w:tcPr>
                <w:p w14:paraId="381FF04E" w14:textId="77777777"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3C52B6E1" w14:textId="53E7E1EB" w:rsidR="002D42C1" w:rsidRPr="00DE108C" w:rsidRDefault="002D42C1" w:rsidP="00097A90">
                  <w:pPr>
                    <w:spacing w:before="60" w:after="60"/>
                    <w:jc w:val="center"/>
                    <w:rPr>
                      <w:sz w:val="16"/>
                      <w:szCs w:val="16"/>
                    </w:rPr>
                  </w:pPr>
                  <w:r w:rsidRPr="00DE108C">
                    <w:rPr>
                      <w:sz w:val="16"/>
                      <w:szCs w:val="16"/>
                    </w:rPr>
                    <w:t>1.5</w:t>
                  </w:r>
                </w:p>
              </w:tc>
              <w:tc>
                <w:tcPr>
                  <w:tcW w:w="1335" w:type="dxa"/>
                  <w:tcBorders>
                    <w:top w:val="single" w:sz="6" w:space="0" w:color="4EC6FF"/>
                    <w:left w:val="nil"/>
                    <w:bottom w:val="single" w:sz="6" w:space="0" w:color="4EC6FF"/>
                    <w:right w:val="nil"/>
                  </w:tcBorders>
                  <w:vAlign w:val="center"/>
                  <w:hideMark/>
                </w:tcPr>
                <w:p w14:paraId="4C3EA7B6" w14:textId="12B8D733"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1AB4C005" w14:textId="0D50A885"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23373D8F" w14:textId="25EE866E"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19416434" w14:textId="26BB6E48"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left w:val="nil"/>
                    <w:bottom w:val="single" w:sz="6" w:space="0" w:color="4EC6FF"/>
                    <w:right w:val="nil"/>
                  </w:tcBorders>
                  <w:vAlign w:val="center"/>
                  <w:hideMark/>
                </w:tcPr>
                <w:p w14:paraId="7CADDCC7" w14:textId="4D5B1FD7" w:rsidR="002D42C1" w:rsidRPr="00DE108C" w:rsidRDefault="002D42C1" w:rsidP="00097A90">
                  <w:pPr>
                    <w:spacing w:before="60" w:after="60"/>
                    <w:jc w:val="center"/>
                    <w:rPr>
                      <w:sz w:val="16"/>
                      <w:szCs w:val="16"/>
                    </w:rPr>
                  </w:pPr>
                  <w:r w:rsidRPr="00DE108C">
                    <w:rPr>
                      <w:sz w:val="16"/>
                      <w:szCs w:val="16"/>
                    </w:rPr>
                    <w:t>0.8</w:t>
                  </w:r>
                </w:p>
              </w:tc>
            </w:tr>
          </w:tbl>
          <w:p w14:paraId="38FB9D8E" w14:textId="77777777" w:rsidR="002D42C1" w:rsidRPr="00DE108C" w:rsidRDefault="002D42C1" w:rsidP="00ED094E">
            <w:pPr>
              <w:rPr>
                <w:sz w:val="16"/>
                <w:szCs w:val="16"/>
              </w:rPr>
            </w:pPr>
            <w:r w:rsidRPr="00DE108C">
              <w:rPr>
                <w:sz w:val="16"/>
                <w:szCs w:val="16"/>
              </w:rPr>
              <w:t> </w:t>
            </w:r>
          </w:p>
          <w:p w14:paraId="27D8337E" w14:textId="77777777" w:rsidR="002D42C1" w:rsidRPr="00DE108C" w:rsidRDefault="002D42C1">
            <w:pPr>
              <w:rPr>
                <w:sz w:val="16"/>
                <w:szCs w:val="16"/>
              </w:rPr>
            </w:pPr>
          </w:p>
        </w:tc>
        <w:tc>
          <w:tcPr>
            <w:tcW w:w="10742" w:type="dxa"/>
          </w:tcPr>
          <w:p w14:paraId="2C3C399F" w14:textId="77777777" w:rsidR="002D42C1" w:rsidRPr="00DE108C" w:rsidRDefault="002D42C1" w:rsidP="00ED094E">
            <w:pPr>
              <w:rPr>
                <w:sz w:val="16"/>
                <w:szCs w:val="16"/>
              </w:rPr>
            </w:pPr>
            <w:r w:rsidRPr="00DE108C">
              <w:rPr>
                <w:sz w:val="16"/>
                <w:szCs w:val="16"/>
              </w:rPr>
              <w:t>Typical year-on-year household bill impacts relative to inflation, as a result of Melbourne Water’s proposal are summarised below: </w:t>
            </w:r>
          </w:p>
          <w:tbl>
            <w:tblPr>
              <w:tblW w:w="9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1365"/>
              <w:gridCol w:w="1365"/>
              <w:gridCol w:w="1365"/>
              <w:gridCol w:w="1365"/>
              <w:gridCol w:w="1365"/>
              <w:gridCol w:w="1365"/>
            </w:tblGrid>
            <w:tr w:rsidR="002D42C1" w:rsidRPr="00DE108C" w14:paraId="5B7AB9B3" w14:textId="77777777" w:rsidTr="0C4C27BB">
              <w:trPr>
                <w:trHeight w:val="300"/>
              </w:trPr>
              <w:tc>
                <w:tcPr>
                  <w:tcW w:w="1365" w:type="dxa"/>
                  <w:tcBorders>
                    <w:top w:val="single" w:sz="6" w:space="0" w:color="4EC6FF" w:themeColor="accent2" w:themeTint="99"/>
                    <w:left w:val="nil"/>
                    <w:bottom w:val="single" w:sz="6" w:space="0" w:color="4EC6FF" w:themeColor="accent2" w:themeTint="99"/>
                    <w:right w:val="nil"/>
                  </w:tcBorders>
                  <w:hideMark/>
                </w:tcPr>
                <w:p w14:paraId="1D7B623B" w14:textId="77777777" w:rsidR="002D42C1" w:rsidRPr="00DE108C" w:rsidRDefault="002D42C1" w:rsidP="00ED094E">
                  <w:pPr>
                    <w:spacing w:before="60" w:after="60"/>
                    <w:rPr>
                      <w:sz w:val="16"/>
                      <w:szCs w:val="16"/>
                    </w:rPr>
                  </w:pPr>
                  <w:r w:rsidRPr="00DE108C">
                    <w:rPr>
                      <w:b/>
                      <w:bCs/>
                      <w:sz w:val="16"/>
                      <w:szCs w:val="16"/>
                    </w:rPr>
                    <w:t>Bills</w:t>
                  </w:r>
                  <w:r w:rsidRPr="00DE108C">
                    <w:rPr>
                      <w:sz w:val="16"/>
                      <w:szCs w:val="16"/>
                    </w:rPr>
                    <w:t> </w:t>
                  </w:r>
                </w:p>
              </w:tc>
              <w:tc>
                <w:tcPr>
                  <w:tcW w:w="1365" w:type="dxa"/>
                  <w:tcBorders>
                    <w:top w:val="single" w:sz="6" w:space="0" w:color="4EC6FF" w:themeColor="accent2" w:themeTint="99"/>
                    <w:left w:val="nil"/>
                    <w:bottom w:val="single" w:sz="6" w:space="0" w:color="4EC6FF" w:themeColor="accent2" w:themeTint="99"/>
                    <w:right w:val="nil"/>
                  </w:tcBorders>
                  <w:hideMark/>
                </w:tcPr>
                <w:p w14:paraId="21742044" w14:textId="6B30E383" w:rsidR="002D42C1" w:rsidRPr="00DE108C" w:rsidRDefault="002D42C1" w:rsidP="008A11C9">
                  <w:pPr>
                    <w:spacing w:before="60" w:after="60"/>
                    <w:jc w:val="center"/>
                    <w:rPr>
                      <w:sz w:val="16"/>
                      <w:szCs w:val="16"/>
                    </w:rPr>
                  </w:pPr>
                  <w:r w:rsidRPr="00DE108C">
                    <w:rPr>
                      <w:b/>
                      <w:bCs/>
                      <w:sz w:val="16"/>
                      <w:szCs w:val="16"/>
                    </w:rPr>
                    <w:t>2025-26</w:t>
                  </w:r>
                </w:p>
              </w:tc>
              <w:tc>
                <w:tcPr>
                  <w:tcW w:w="1365" w:type="dxa"/>
                  <w:tcBorders>
                    <w:top w:val="single" w:sz="6" w:space="0" w:color="4EC6FF" w:themeColor="accent2" w:themeTint="99"/>
                    <w:left w:val="nil"/>
                    <w:bottom w:val="single" w:sz="6" w:space="0" w:color="4EC6FF" w:themeColor="accent2" w:themeTint="99"/>
                    <w:right w:val="nil"/>
                  </w:tcBorders>
                  <w:hideMark/>
                </w:tcPr>
                <w:p w14:paraId="7F069855" w14:textId="676CE8F6" w:rsidR="002D42C1" w:rsidRPr="00DE108C" w:rsidRDefault="002D42C1" w:rsidP="008A11C9">
                  <w:pPr>
                    <w:spacing w:before="60" w:after="60"/>
                    <w:jc w:val="center"/>
                    <w:rPr>
                      <w:sz w:val="16"/>
                      <w:szCs w:val="16"/>
                    </w:rPr>
                  </w:pPr>
                  <w:r w:rsidRPr="00DE108C">
                    <w:rPr>
                      <w:b/>
                      <w:bCs/>
                      <w:sz w:val="16"/>
                      <w:szCs w:val="16"/>
                    </w:rPr>
                    <w:t>2026-27</w:t>
                  </w:r>
                </w:p>
              </w:tc>
              <w:tc>
                <w:tcPr>
                  <w:tcW w:w="1365" w:type="dxa"/>
                  <w:tcBorders>
                    <w:top w:val="single" w:sz="6" w:space="0" w:color="4EC6FF" w:themeColor="accent2" w:themeTint="99"/>
                    <w:left w:val="nil"/>
                    <w:bottom w:val="single" w:sz="6" w:space="0" w:color="4EC6FF" w:themeColor="accent2" w:themeTint="99"/>
                    <w:right w:val="nil"/>
                  </w:tcBorders>
                  <w:hideMark/>
                </w:tcPr>
                <w:p w14:paraId="3B0EE798" w14:textId="166808C2" w:rsidR="002D42C1" w:rsidRPr="00DE108C" w:rsidRDefault="002D42C1" w:rsidP="008A11C9">
                  <w:pPr>
                    <w:spacing w:before="60" w:after="60"/>
                    <w:jc w:val="center"/>
                    <w:rPr>
                      <w:sz w:val="16"/>
                      <w:szCs w:val="16"/>
                    </w:rPr>
                  </w:pPr>
                  <w:r w:rsidRPr="00DE108C">
                    <w:rPr>
                      <w:b/>
                      <w:bCs/>
                      <w:sz w:val="16"/>
                      <w:szCs w:val="16"/>
                    </w:rPr>
                    <w:t>2027-28</w:t>
                  </w:r>
                </w:p>
              </w:tc>
              <w:tc>
                <w:tcPr>
                  <w:tcW w:w="1365" w:type="dxa"/>
                  <w:tcBorders>
                    <w:top w:val="single" w:sz="6" w:space="0" w:color="4EC6FF" w:themeColor="accent2" w:themeTint="99"/>
                    <w:left w:val="nil"/>
                    <w:bottom w:val="single" w:sz="6" w:space="0" w:color="4EC6FF" w:themeColor="accent2" w:themeTint="99"/>
                    <w:right w:val="nil"/>
                  </w:tcBorders>
                  <w:hideMark/>
                </w:tcPr>
                <w:p w14:paraId="45D78FA8" w14:textId="0B37CF8C" w:rsidR="002D42C1" w:rsidRPr="00DE108C" w:rsidRDefault="002D42C1" w:rsidP="008A11C9">
                  <w:pPr>
                    <w:spacing w:before="60" w:after="60"/>
                    <w:jc w:val="center"/>
                    <w:rPr>
                      <w:sz w:val="16"/>
                      <w:szCs w:val="16"/>
                    </w:rPr>
                  </w:pPr>
                  <w:r w:rsidRPr="00DE108C">
                    <w:rPr>
                      <w:b/>
                      <w:bCs/>
                      <w:sz w:val="16"/>
                      <w:szCs w:val="16"/>
                    </w:rPr>
                    <w:t>2028-29</w:t>
                  </w:r>
                </w:p>
              </w:tc>
              <w:tc>
                <w:tcPr>
                  <w:tcW w:w="1365" w:type="dxa"/>
                  <w:tcBorders>
                    <w:top w:val="single" w:sz="6" w:space="0" w:color="4EC6FF" w:themeColor="accent2" w:themeTint="99"/>
                    <w:left w:val="nil"/>
                    <w:bottom w:val="single" w:sz="6" w:space="0" w:color="4EC6FF" w:themeColor="accent2" w:themeTint="99"/>
                    <w:right w:val="nil"/>
                  </w:tcBorders>
                  <w:hideMark/>
                </w:tcPr>
                <w:p w14:paraId="79AEE6E9" w14:textId="6B07C3D1" w:rsidR="002D42C1" w:rsidRPr="00DE108C" w:rsidRDefault="002D42C1" w:rsidP="008A11C9">
                  <w:pPr>
                    <w:spacing w:before="60" w:after="60"/>
                    <w:jc w:val="center"/>
                    <w:rPr>
                      <w:sz w:val="16"/>
                      <w:szCs w:val="16"/>
                    </w:rPr>
                  </w:pPr>
                  <w:r w:rsidRPr="00DE108C">
                    <w:rPr>
                      <w:b/>
                      <w:bCs/>
                      <w:sz w:val="16"/>
                      <w:szCs w:val="16"/>
                    </w:rPr>
                    <w:t>2029-30</w:t>
                  </w:r>
                </w:p>
              </w:tc>
              <w:tc>
                <w:tcPr>
                  <w:tcW w:w="1365" w:type="dxa"/>
                  <w:tcBorders>
                    <w:top w:val="single" w:sz="6" w:space="0" w:color="4EC6FF" w:themeColor="accent2" w:themeTint="99"/>
                    <w:left w:val="nil"/>
                    <w:bottom w:val="single" w:sz="6" w:space="0" w:color="4EC6FF" w:themeColor="accent2" w:themeTint="99"/>
                    <w:right w:val="nil"/>
                  </w:tcBorders>
                  <w:hideMark/>
                </w:tcPr>
                <w:p w14:paraId="45DD7267" w14:textId="4B44D854" w:rsidR="002D42C1" w:rsidRPr="00DE108C" w:rsidRDefault="002D42C1" w:rsidP="008A11C9">
                  <w:pPr>
                    <w:spacing w:before="60" w:after="60"/>
                    <w:jc w:val="center"/>
                    <w:rPr>
                      <w:sz w:val="16"/>
                      <w:szCs w:val="16"/>
                    </w:rPr>
                  </w:pPr>
                  <w:r w:rsidRPr="00DE108C">
                    <w:rPr>
                      <w:b/>
                      <w:bCs/>
                      <w:sz w:val="16"/>
                      <w:szCs w:val="16"/>
                    </w:rPr>
                    <w:t>2030-31</w:t>
                  </w:r>
                </w:p>
              </w:tc>
            </w:tr>
            <w:tr w:rsidR="002D42C1" w:rsidRPr="00DE108C" w14:paraId="7FE8B3BF" w14:textId="77777777" w:rsidTr="0C4C27BB">
              <w:trPr>
                <w:trHeight w:val="300"/>
              </w:trPr>
              <w:tc>
                <w:tcPr>
                  <w:tcW w:w="1365" w:type="dxa"/>
                  <w:tcBorders>
                    <w:top w:val="single" w:sz="6" w:space="0" w:color="4EC6FF" w:themeColor="accent2" w:themeTint="99"/>
                    <w:left w:val="nil"/>
                    <w:bottom w:val="single" w:sz="6" w:space="0" w:color="4EC6FF" w:themeColor="accent2" w:themeTint="99"/>
                    <w:right w:val="nil"/>
                  </w:tcBorders>
                  <w:hideMark/>
                </w:tcPr>
                <w:p w14:paraId="0E32F188" w14:textId="456255F0"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5368984A" w14:textId="1D5E01D5" w:rsidR="002D42C1" w:rsidRPr="00DE108C" w:rsidRDefault="002D42C1" w:rsidP="00097A90">
                  <w:pPr>
                    <w:spacing w:before="60" w:after="60"/>
                    <w:jc w:val="center"/>
                    <w:rPr>
                      <w:sz w:val="16"/>
                      <w:szCs w:val="16"/>
                    </w:rPr>
                  </w:pPr>
                  <w:r w:rsidRPr="00DE108C">
                    <w:rPr>
                      <w:sz w:val="16"/>
                      <w:szCs w:val="16"/>
                    </w:rPr>
                    <w:t>$1,110</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6EA73D53" w14:textId="49F4EE5B" w:rsidR="002D42C1" w:rsidRPr="00DE108C" w:rsidRDefault="002D42C1" w:rsidP="00097A90">
                  <w:pPr>
                    <w:spacing w:before="60" w:after="60"/>
                    <w:jc w:val="center"/>
                    <w:rPr>
                      <w:sz w:val="16"/>
                      <w:szCs w:val="16"/>
                    </w:rPr>
                  </w:pPr>
                  <w:r w:rsidRPr="00510FDD">
                    <w:rPr>
                      <w:rFonts w:eastAsiaTheme="minorEastAsia" w:cstheme="minorBidi"/>
                      <w:sz w:val="16"/>
                      <w:szCs w:val="16"/>
                      <w:lang w:val="en-US"/>
                    </w:rPr>
                    <w:t>-</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20E88F51" w14:textId="5760E890" w:rsidR="002D42C1" w:rsidRPr="00DE108C" w:rsidRDefault="002D42C1" w:rsidP="00097A90">
                  <w:pPr>
                    <w:spacing w:before="60" w:after="60"/>
                    <w:jc w:val="center"/>
                    <w:rPr>
                      <w:sz w:val="16"/>
                      <w:szCs w:val="16"/>
                    </w:rPr>
                  </w:pPr>
                  <w:r w:rsidRPr="00DE108C">
                    <w:rPr>
                      <w:sz w:val="16"/>
                      <w:szCs w:val="16"/>
                    </w:rPr>
                    <w:t>1.5%</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14CEDB23" w14:textId="555FF8A3" w:rsidR="002D42C1" w:rsidRPr="00DE108C" w:rsidRDefault="008A11C9" w:rsidP="00097A90">
                  <w:pPr>
                    <w:spacing w:before="60" w:after="60"/>
                    <w:jc w:val="center"/>
                    <w:rPr>
                      <w:sz w:val="16"/>
                      <w:szCs w:val="16"/>
                    </w:rPr>
                  </w:pPr>
                  <w:r w:rsidRPr="0091606C">
                    <w:rPr>
                      <w:rFonts w:eastAsiaTheme="minorEastAsia"/>
                      <w:sz w:val="16"/>
                      <w:szCs w:val="16"/>
                    </w:rPr>
                    <w:t>0</w:t>
                  </w:r>
                  <w:r w:rsidRPr="0091606C">
                    <w:rPr>
                      <w:color w:val="auto"/>
                      <w:sz w:val="16"/>
                      <w:szCs w:val="16"/>
                    </w:rPr>
                    <w:t>.9</w:t>
                  </w:r>
                  <w:r w:rsidRPr="0091606C">
                    <w:rPr>
                      <w:rFonts w:eastAsiaTheme="minorEastAsia"/>
                      <w:sz w:val="16"/>
                      <w:szCs w:val="16"/>
                    </w:rPr>
                    <w:t>%</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5EB996D8" w14:textId="69509C5F" w:rsidR="002D42C1" w:rsidRPr="00DE108C" w:rsidRDefault="002D42C1" w:rsidP="00097A90">
                  <w:pPr>
                    <w:spacing w:before="60" w:after="60"/>
                    <w:jc w:val="center"/>
                    <w:rPr>
                      <w:sz w:val="16"/>
                      <w:szCs w:val="16"/>
                    </w:rPr>
                  </w:pPr>
                  <w:r w:rsidRPr="00DE108C">
                    <w:rPr>
                      <w:sz w:val="16"/>
                      <w:szCs w:val="16"/>
                    </w:rPr>
                    <w:t>0.9%</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10DCC11A" w14:textId="11669FF7" w:rsidR="002D42C1" w:rsidRPr="00DE108C" w:rsidRDefault="002D42C1" w:rsidP="00097A90">
                  <w:pPr>
                    <w:spacing w:before="60" w:after="60"/>
                    <w:jc w:val="center"/>
                    <w:rPr>
                      <w:sz w:val="16"/>
                      <w:szCs w:val="16"/>
                    </w:rPr>
                  </w:pPr>
                  <w:r w:rsidRPr="0091606C">
                    <w:rPr>
                      <w:rFonts w:eastAsiaTheme="minorEastAsia"/>
                      <w:sz w:val="16"/>
                      <w:szCs w:val="16"/>
                    </w:rPr>
                    <w:t>0.</w:t>
                  </w:r>
                  <w:r w:rsidR="008A11C9" w:rsidRPr="0091606C">
                    <w:rPr>
                      <w:color w:val="auto"/>
                      <w:sz w:val="16"/>
                      <w:szCs w:val="16"/>
                    </w:rPr>
                    <w:t>8</w:t>
                  </w:r>
                  <w:r w:rsidR="008A11C9" w:rsidRPr="0091606C">
                    <w:rPr>
                      <w:rFonts w:eastAsiaTheme="minorEastAsia"/>
                      <w:sz w:val="16"/>
                      <w:szCs w:val="16"/>
                    </w:rPr>
                    <w:t>%</w:t>
                  </w:r>
                </w:p>
              </w:tc>
            </w:tr>
            <w:tr w:rsidR="002D42C1" w:rsidRPr="00DE108C" w14:paraId="447F05DD" w14:textId="77777777" w:rsidTr="0C4C27BB">
              <w:trPr>
                <w:trHeight w:val="300"/>
              </w:trPr>
              <w:tc>
                <w:tcPr>
                  <w:tcW w:w="1365" w:type="dxa"/>
                  <w:tcBorders>
                    <w:top w:val="single" w:sz="6" w:space="0" w:color="4EC6FF" w:themeColor="accent2" w:themeTint="99"/>
                    <w:left w:val="nil"/>
                    <w:bottom w:val="single" w:sz="6" w:space="0" w:color="4EC6FF" w:themeColor="accent2" w:themeTint="99"/>
                    <w:right w:val="nil"/>
                  </w:tcBorders>
                  <w:shd w:val="clear" w:color="auto" w:fill="46C2D7" w:themeFill="accent3"/>
                  <w:hideMark/>
                </w:tcPr>
                <w:p w14:paraId="1D449429" w14:textId="3721DB19"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65" w:type="dxa"/>
                  <w:tcBorders>
                    <w:top w:val="single" w:sz="6" w:space="0" w:color="4EC6FF" w:themeColor="accent2" w:themeTint="99"/>
                    <w:left w:val="nil"/>
                    <w:bottom w:val="single" w:sz="6" w:space="0" w:color="4EC6FF" w:themeColor="accent2" w:themeTint="99"/>
                    <w:right w:val="nil"/>
                  </w:tcBorders>
                  <w:shd w:val="clear" w:color="auto" w:fill="46C2D7" w:themeFill="accent3"/>
                  <w:vAlign w:val="center"/>
                  <w:hideMark/>
                </w:tcPr>
                <w:p w14:paraId="6AF4A06A" w14:textId="3A790778" w:rsidR="002D42C1" w:rsidRPr="00DE108C" w:rsidRDefault="002D42C1" w:rsidP="00097A90">
                  <w:pPr>
                    <w:spacing w:before="60" w:after="60"/>
                    <w:jc w:val="center"/>
                    <w:rPr>
                      <w:sz w:val="16"/>
                      <w:szCs w:val="16"/>
                    </w:rPr>
                  </w:pPr>
                  <w:r w:rsidRPr="00DE108C">
                    <w:rPr>
                      <w:sz w:val="16"/>
                      <w:szCs w:val="16"/>
                    </w:rPr>
                    <w:t>$1,057</w:t>
                  </w:r>
                </w:p>
              </w:tc>
              <w:tc>
                <w:tcPr>
                  <w:tcW w:w="1365" w:type="dxa"/>
                  <w:tcBorders>
                    <w:top w:val="single" w:sz="6" w:space="0" w:color="4EC6FF" w:themeColor="accent2" w:themeTint="99"/>
                    <w:left w:val="nil"/>
                    <w:bottom w:val="single" w:sz="6" w:space="0" w:color="4EC6FF" w:themeColor="accent2" w:themeTint="99"/>
                    <w:right w:val="nil"/>
                  </w:tcBorders>
                  <w:shd w:val="clear" w:color="auto" w:fill="46C2D7" w:themeFill="accent3"/>
                  <w:vAlign w:val="center"/>
                  <w:hideMark/>
                </w:tcPr>
                <w:p w14:paraId="45BAF333" w14:textId="1A9BF73F" w:rsidR="002D42C1" w:rsidRPr="00DE108C" w:rsidRDefault="002D42C1" w:rsidP="00097A90">
                  <w:pPr>
                    <w:spacing w:before="60" w:after="60"/>
                    <w:jc w:val="center"/>
                    <w:rPr>
                      <w:sz w:val="16"/>
                      <w:szCs w:val="16"/>
                    </w:rPr>
                  </w:pPr>
                  <w:r w:rsidRPr="00510FDD">
                    <w:rPr>
                      <w:rFonts w:eastAsiaTheme="minorEastAsia" w:cstheme="minorBidi"/>
                      <w:sz w:val="16"/>
                      <w:szCs w:val="16"/>
                      <w:lang w:val="en-US"/>
                    </w:rPr>
                    <w:t>-</w:t>
                  </w:r>
                </w:p>
              </w:tc>
              <w:tc>
                <w:tcPr>
                  <w:tcW w:w="1365" w:type="dxa"/>
                  <w:tcBorders>
                    <w:top w:val="single" w:sz="6" w:space="0" w:color="4EC6FF" w:themeColor="accent2" w:themeTint="99"/>
                    <w:left w:val="nil"/>
                    <w:bottom w:val="single" w:sz="6" w:space="0" w:color="4EC6FF" w:themeColor="accent2" w:themeTint="99"/>
                    <w:right w:val="nil"/>
                  </w:tcBorders>
                  <w:shd w:val="clear" w:color="auto" w:fill="46C2D7" w:themeFill="accent3"/>
                  <w:vAlign w:val="center"/>
                  <w:hideMark/>
                </w:tcPr>
                <w:p w14:paraId="3010CC90" w14:textId="105EACAA" w:rsidR="002D42C1" w:rsidRPr="00DE108C" w:rsidRDefault="002D42C1" w:rsidP="00097A90">
                  <w:pPr>
                    <w:spacing w:before="60" w:after="60"/>
                    <w:jc w:val="center"/>
                    <w:rPr>
                      <w:sz w:val="16"/>
                      <w:szCs w:val="16"/>
                    </w:rPr>
                  </w:pPr>
                  <w:r w:rsidRPr="00DE108C">
                    <w:rPr>
                      <w:sz w:val="16"/>
                      <w:szCs w:val="16"/>
                    </w:rPr>
                    <w:t>1.5%</w:t>
                  </w:r>
                </w:p>
              </w:tc>
              <w:tc>
                <w:tcPr>
                  <w:tcW w:w="1365" w:type="dxa"/>
                  <w:tcBorders>
                    <w:top w:val="single" w:sz="6" w:space="0" w:color="4EC6FF" w:themeColor="accent2" w:themeTint="99"/>
                    <w:left w:val="nil"/>
                    <w:bottom w:val="single" w:sz="6" w:space="0" w:color="4EC6FF" w:themeColor="accent2" w:themeTint="99"/>
                    <w:right w:val="nil"/>
                  </w:tcBorders>
                  <w:shd w:val="clear" w:color="auto" w:fill="46C2D7" w:themeFill="accent3"/>
                  <w:vAlign w:val="center"/>
                  <w:hideMark/>
                </w:tcPr>
                <w:p w14:paraId="0F846C69" w14:textId="3740A578" w:rsidR="002D42C1" w:rsidRPr="00DE108C" w:rsidRDefault="002D42C1" w:rsidP="00097A90">
                  <w:pPr>
                    <w:spacing w:before="60" w:after="60"/>
                    <w:jc w:val="center"/>
                    <w:rPr>
                      <w:sz w:val="16"/>
                      <w:szCs w:val="16"/>
                    </w:rPr>
                  </w:pPr>
                  <w:r w:rsidRPr="00DE108C">
                    <w:rPr>
                      <w:sz w:val="16"/>
                      <w:szCs w:val="16"/>
                    </w:rPr>
                    <w:t>0.</w:t>
                  </w:r>
                  <w:r w:rsidR="00AA1DE7" w:rsidRPr="00510FDD">
                    <w:rPr>
                      <w:color w:val="auto"/>
                      <w:sz w:val="16"/>
                      <w:szCs w:val="16"/>
                    </w:rPr>
                    <w:t>1</w:t>
                  </w:r>
                  <w:r w:rsidRPr="00DE108C">
                    <w:rPr>
                      <w:sz w:val="16"/>
                      <w:szCs w:val="16"/>
                    </w:rPr>
                    <w:t>%</w:t>
                  </w:r>
                </w:p>
              </w:tc>
              <w:tc>
                <w:tcPr>
                  <w:tcW w:w="1365" w:type="dxa"/>
                  <w:tcBorders>
                    <w:top w:val="single" w:sz="6" w:space="0" w:color="4EC6FF" w:themeColor="accent2" w:themeTint="99"/>
                    <w:left w:val="nil"/>
                    <w:bottom w:val="single" w:sz="6" w:space="0" w:color="4EC6FF" w:themeColor="accent2" w:themeTint="99"/>
                    <w:right w:val="nil"/>
                  </w:tcBorders>
                  <w:shd w:val="clear" w:color="auto" w:fill="46C2D7" w:themeFill="accent3"/>
                  <w:vAlign w:val="center"/>
                  <w:hideMark/>
                </w:tcPr>
                <w:p w14:paraId="663F9F2E" w14:textId="3CC9C14B" w:rsidR="002D42C1" w:rsidRPr="00DE108C" w:rsidRDefault="002D42C1" w:rsidP="00097A90">
                  <w:pPr>
                    <w:spacing w:before="60" w:after="60"/>
                    <w:jc w:val="center"/>
                    <w:rPr>
                      <w:sz w:val="16"/>
                      <w:szCs w:val="16"/>
                    </w:rPr>
                  </w:pPr>
                  <w:r w:rsidRPr="00DE108C">
                    <w:rPr>
                      <w:sz w:val="16"/>
                      <w:szCs w:val="16"/>
                    </w:rPr>
                    <w:t>0.1%</w:t>
                  </w:r>
                </w:p>
              </w:tc>
              <w:tc>
                <w:tcPr>
                  <w:tcW w:w="1365" w:type="dxa"/>
                  <w:tcBorders>
                    <w:top w:val="single" w:sz="6" w:space="0" w:color="4EC6FF" w:themeColor="accent2" w:themeTint="99"/>
                    <w:left w:val="nil"/>
                    <w:bottom w:val="single" w:sz="6" w:space="0" w:color="4EC6FF" w:themeColor="accent2" w:themeTint="99"/>
                    <w:right w:val="nil"/>
                  </w:tcBorders>
                  <w:shd w:val="clear" w:color="auto" w:fill="46C2D7" w:themeFill="accent3"/>
                  <w:vAlign w:val="center"/>
                  <w:hideMark/>
                </w:tcPr>
                <w:p w14:paraId="31CA99E7" w14:textId="330902B3" w:rsidR="002D42C1" w:rsidRPr="00DE108C" w:rsidRDefault="002D42C1" w:rsidP="00097A90">
                  <w:pPr>
                    <w:spacing w:before="60" w:after="60"/>
                    <w:jc w:val="center"/>
                    <w:rPr>
                      <w:sz w:val="16"/>
                      <w:szCs w:val="16"/>
                    </w:rPr>
                  </w:pPr>
                  <w:r w:rsidRPr="00DE108C">
                    <w:rPr>
                      <w:sz w:val="16"/>
                      <w:szCs w:val="16"/>
                    </w:rPr>
                    <w:t>0.1%</w:t>
                  </w:r>
                </w:p>
              </w:tc>
            </w:tr>
            <w:tr w:rsidR="002D42C1" w:rsidRPr="00DE108C" w14:paraId="3D5498AF" w14:textId="77777777" w:rsidTr="0C4C27BB">
              <w:trPr>
                <w:trHeight w:val="300"/>
              </w:trPr>
              <w:tc>
                <w:tcPr>
                  <w:tcW w:w="1365" w:type="dxa"/>
                  <w:tcBorders>
                    <w:top w:val="single" w:sz="6" w:space="0" w:color="4EC6FF" w:themeColor="accent2" w:themeTint="99"/>
                    <w:left w:val="nil"/>
                    <w:bottom w:val="single" w:sz="6" w:space="0" w:color="4EC6FF" w:themeColor="accent2" w:themeTint="99"/>
                    <w:right w:val="nil"/>
                  </w:tcBorders>
                  <w:hideMark/>
                </w:tcPr>
                <w:p w14:paraId="5810CC0C"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1770BD42" w14:textId="50205E2F" w:rsidR="002D42C1" w:rsidRPr="00DE108C" w:rsidRDefault="002D42C1" w:rsidP="00097A90">
                  <w:pPr>
                    <w:spacing w:before="60" w:after="60"/>
                    <w:jc w:val="center"/>
                    <w:rPr>
                      <w:sz w:val="16"/>
                      <w:szCs w:val="16"/>
                    </w:rPr>
                  </w:pPr>
                  <w:r w:rsidRPr="00DE108C">
                    <w:rPr>
                      <w:sz w:val="16"/>
                      <w:szCs w:val="16"/>
                    </w:rPr>
                    <w:t>$1,114</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5B1938BC" w14:textId="48E33E1F" w:rsidR="002D42C1" w:rsidRPr="00DE108C" w:rsidRDefault="002D42C1" w:rsidP="00097A90">
                  <w:pPr>
                    <w:spacing w:before="60" w:after="60"/>
                    <w:jc w:val="center"/>
                    <w:rPr>
                      <w:sz w:val="16"/>
                      <w:szCs w:val="16"/>
                    </w:rPr>
                  </w:pPr>
                  <w:r w:rsidRPr="00510FDD">
                    <w:rPr>
                      <w:rFonts w:eastAsiaTheme="minorEastAsia" w:cstheme="minorBidi"/>
                      <w:sz w:val="16"/>
                      <w:szCs w:val="16"/>
                      <w:lang w:val="en-US"/>
                    </w:rPr>
                    <w:t>-</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71A26121" w14:textId="4946D5D3" w:rsidR="002D42C1" w:rsidRPr="00DE108C" w:rsidRDefault="002D42C1" w:rsidP="00097A90">
                  <w:pPr>
                    <w:spacing w:before="60" w:after="60"/>
                    <w:jc w:val="center"/>
                    <w:rPr>
                      <w:sz w:val="16"/>
                      <w:szCs w:val="16"/>
                    </w:rPr>
                  </w:pPr>
                  <w:r w:rsidRPr="00DE108C">
                    <w:rPr>
                      <w:sz w:val="16"/>
                      <w:szCs w:val="16"/>
                    </w:rPr>
                    <w:t>1.5%</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7D753136" w14:textId="551D6F9D" w:rsidR="002D42C1" w:rsidRPr="00DE108C" w:rsidRDefault="002D42C1" w:rsidP="00097A90">
                  <w:pPr>
                    <w:spacing w:before="60" w:after="60"/>
                    <w:jc w:val="center"/>
                    <w:rPr>
                      <w:sz w:val="16"/>
                      <w:szCs w:val="16"/>
                    </w:rPr>
                  </w:pPr>
                  <w:r w:rsidRPr="0091606C">
                    <w:rPr>
                      <w:rFonts w:eastAsiaTheme="minorEastAsia"/>
                      <w:sz w:val="16"/>
                      <w:szCs w:val="16"/>
                    </w:rPr>
                    <w:t>-0.</w:t>
                  </w:r>
                  <w:r w:rsidR="008A11C9" w:rsidRPr="0091606C">
                    <w:rPr>
                      <w:color w:val="auto"/>
                      <w:sz w:val="16"/>
                      <w:szCs w:val="16"/>
                    </w:rPr>
                    <w:t>7</w:t>
                  </w:r>
                  <w:r w:rsidR="008A11C9" w:rsidRPr="0091606C">
                    <w:rPr>
                      <w:rFonts w:eastAsiaTheme="minorEastAsia"/>
                      <w:sz w:val="16"/>
                      <w:szCs w:val="16"/>
                    </w:rPr>
                    <w:t>%</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13EDD922" w14:textId="3FCB11FE" w:rsidR="002D42C1" w:rsidRPr="00DE108C" w:rsidRDefault="002D42C1" w:rsidP="00097A90">
                  <w:pPr>
                    <w:spacing w:before="60" w:after="60"/>
                    <w:jc w:val="center"/>
                    <w:rPr>
                      <w:sz w:val="16"/>
                      <w:szCs w:val="16"/>
                    </w:rPr>
                  </w:pPr>
                  <w:r w:rsidRPr="00DE108C">
                    <w:rPr>
                      <w:sz w:val="16"/>
                      <w:szCs w:val="16"/>
                    </w:rPr>
                    <w:t>-0.</w:t>
                  </w:r>
                  <w:r w:rsidRPr="00510FDD">
                    <w:rPr>
                      <w:color w:val="auto"/>
                      <w:sz w:val="16"/>
                      <w:szCs w:val="16"/>
                    </w:rPr>
                    <w:t>7</w:t>
                  </w:r>
                  <w:r w:rsidRPr="00DE108C">
                    <w:rPr>
                      <w:sz w:val="16"/>
                      <w:szCs w:val="16"/>
                    </w:rPr>
                    <w:t>%</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26AFB236" w14:textId="3C5504B1" w:rsidR="002D42C1" w:rsidRPr="00DE108C" w:rsidRDefault="002D42C1" w:rsidP="00097A90">
                  <w:pPr>
                    <w:spacing w:before="60" w:after="60"/>
                    <w:jc w:val="center"/>
                    <w:rPr>
                      <w:sz w:val="16"/>
                      <w:szCs w:val="16"/>
                    </w:rPr>
                  </w:pPr>
                  <w:r w:rsidRPr="00DE108C">
                    <w:rPr>
                      <w:sz w:val="16"/>
                      <w:szCs w:val="16"/>
                    </w:rPr>
                    <w:t>-0.</w:t>
                  </w:r>
                  <w:r w:rsidRPr="00510FDD">
                    <w:rPr>
                      <w:color w:val="auto"/>
                      <w:sz w:val="16"/>
                      <w:szCs w:val="16"/>
                    </w:rPr>
                    <w:t>8</w:t>
                  </w:r>
                  <w:r w:rsidRPr="00DE108C">
                    <w:rPr>
                      <w:sz w:val="16"/>
                      <w:szCs w:val="16"/>
                    </w:rPr>
                    <w:t>%</w:t>
                  </w:r>
                </w:p>
              </w:tc>
            </w:tr>
            <w:tr w:rsidR="002D42C1" w:rsidRPr="00DE108C" w14:paraId="14AB0A7D" w14:textId="77777777" w:rsidTr="002D5259">
              <w:trPr>
                <w:trHeight w:val="432"/>
              </w:trPr>
              <w:tc>
                <w:tcPr>
                  <w:tcW w:w="1365" w:type="dxa"/>
                  <w:tcBorders>
                    <w:top w:val="single" w:sz="6" w:space="0" w:color="4EC6FF" w:themeColor="accent2" w:themeTint="99"/>
                    <w:left w:val="nil"/>
                    <w:bottom w:val="single" w:sz="6" w:space="0" w:color="4EC6FF" w:themeColor="accent2" w:themeTint="99"/>
                    <w:right w:val="nil"/>
                  </w:tcBorders>
                  <w:hideMark/>
                </w:tcPr>
                <w:p w14:paraId="71724DF5" w14:textId="12287023"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4925AEC8" w14:textId="04CA17E1" w:rsidR="002D42C1" w:rsidRPr="00DE108C" w:rsidRDefault="002D42C1" w:rsidP="00097A90">
                  <w:pPr>
                    <w:spacing w:before="60" w:after="60"/>
                    <w:jc w:val="center"/>
                    <w:rPr>
                      <w:sz w:val="16"/>
                      <w:szCs w:val="16"/>
                    </w:rPr>
                  </w:pPr>
                  <w:r w:rsidRPr="00DE108C">
                    <w:rPr>
                      <w:sz w:val="16"/>
                      <w:szCs w:val="16"/>
                    </w:rPr>
                    <w:t>$1,183</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45AF1562" w14:textId="21F852F6" w:rsidR="002D42C1" w:rsidRPr="00DE108C" w:rsidRDefault="002D42C1" w:rsidP="00097A90">
                  <w:pPr>
                    <w:spacing w:before="60" w:after="60"/>
                    <w:jc w:val="center"/>
                    <w:rPr>
                      <w:sz w:val="16"/>
                      <w:szCs w:val="16"/>
                    </w:rPr>
                  </w:pPr>
                  <w:r w:rsidRPr="00DE108C">
                    <w:rPr>
                      <w:sz w:val="16"/>
                      <w:szCs w:val="16"/>
                    </w:rPr>
                    <w:t>-0.3%</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68D42B90" w14:textId="083BA92F" w:rsidR="002D42C1" w:rsidRPr="00DE108C" w:rsidRDefault="002D42C1" w:rsidP="00097A90">
                  <w:pPr>
                    <w:spacing w:before="60" w:after="60"/>
                    <w:jc w:val="center"/>
                    <w:rPr>
                      <w:sz w:val="16"/>
                      <w:szCs w:val="16"/>
                    </w:rPr>
                  </w:pPr>
                  <w:r w:rsidRPr="00DE108C">
                    <w:rPr>
                      <w:sz w:val="16"/>
                      <w:szCs w:val="16"/>
                    </w:rPr>
                    <w:t>-0.1%</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2E9820C9" w14:textId="7A9738F3" w:rsidR="002D42C1" w:rsidRPr="00DE108C" w:rsidRDefault="002D42C1" w:rsidP="00097A90">
                  <w:pPr>
                    <w:spacing w:before="60" w:after="60"/>
                    <w:jc w:val="center"/>
                    <w:rPr>
                      <w:sz w:val="16"/>
                      <w:szCs w:val="16"/>
                    </w:rPr>
                  </w:pPr>
                  <w:r w:rsidRPr="00DE108C">
                    <w:rPr>
                      <w:sz w:val="16"/>
                      <w:szCs w:val="16"/>
                    </w:rPr>
                    <w:t>-0.1%</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1D2E80F5" w14:textId="7E68FFDC" w:rsidR="002D42C1" w:rsidRPr="00DE108C" w:rsidRDefault="002D42C1" w:rsidP="00097A90">
                  <w:pPr>
                    <w:spacing w:before="60" w:after="60"/>
                    <w:jc w:val="center"/>
                    <w:rPr>
                      <w:sz w:val="16"/>
                      <w:szCs w:val="16"/>
                    </w:rPr>
                  </w:pPr>
                  <w:r w:rsidRPr="00DE108C">
                    <w:rPr>
                      <w:sz w:val="16"/>
                      <w:szCs w:val="16"/>
                    </w:rPr>
                    <w:t>-0.1%</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1C160ADA" w14:textId="51736160" w:rsidR="002D42C1" w:rsidRPr="00DE108C" w:rsidRDefault="002D42C1" w:rsidP="00097A90">
                  <w:pPr>
                    <w:spacing w:before="60" w:after="60"/>
                    <w:jc w:val="center"/>
                    <w:rPr>
                      <w:sz w:val="16"/>
                      <w:szCs w:val="16"/>
                    </w:rPr>
                  </w:pPr>
                  <w:r w:rsidRPr="00DE108C">
                    <w:rPr>
                      <w:sz w:val="16"/>
                      <w:szCs w:val="16"/>
                    </w:rPr>
                    <w:t>0.4%</w:t>
                  </w:r>
                </w:p>
              </w:tc>
            </w:tr>
            <w:tr w:rsidR="002D42C1" w:rsidRPr="00DE108C" w14:paraId="6E114032" w14:textId="77777777" w:rsidTr="0C4C27BB">
              <w:trPr>
                <w:trHeight w:val="300"/>
              </w:trPr>
              <w:tc>
                <w:tcPr>
                  <w:tcW w:w="1365" w:type="dxa"/>
                  <w:tcBorders>
                    <w:top w:val="single" w:sz="6" w:space="0" w:color="4EC6FF" w:themeColor="accent2" w:themeTint="99"/>
                    <w:left w:val="nil"/>
                    <w:bottom w:val="single" w:sz="6" w:space="0" w:color="4EC6FF" w:themeColor="accent2" w:themeTint="99"/>
                    <w:right w:val="nil"/>
                  </w:tcBorders>
                  <w:hideMark/>
                </w:tcPr>
                <w:p w14:paraId="00BE2738" w14:textId="4728C125"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19F33F9A" w14:textId="5802CE4E" w:rsidR="002D42C1" w:rsidRPr="00DE108C" w:rsidRDefault="002D42C1" w:rsidP="00097A90">
                  <w:pPr>
                    <w:spacing w:before="60" w:after="60"/>
                    <w:jc w:val="center"/>
                    <w:rPr>
                      <w:sz w:val="16"/>
                      <w:szCs w:val="16"/>
                    </w:rPr>
                  </w:pPr>
                  <w:r w:rsidRPr="00DE108C">
                    <w:rPr>
                      <w:sz w:val="16"/>
                      <w:szCs w:val="16"/>
                    </w:rPr>
                    <w:t>$1,405</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23DBA986" w14:textId="183677E3" w:rsidR="002D42C1" w:rsidRPr="00DE108C" w:rsidRDefault="002D42C1" w:rsidP="00097A90">
                  <w:pPr>
                    <w:spacing w:before="60" w:after="60"/>
                    <w:jc w:val="center"/>
                    <w:rPr>
                      <w:sz w:val="16"/>
                      <w:szCs w:val="16"/>
                    </w:rPr>
                  </w:pPr>
                  <w:r w:rsidRPr="00DE108C">
                    <w:rPr>
                      <w:sz w:val="16"/>
                      <w:szCs w:val="16"/>
                    </w:rPr>
                    <w:t>1.6%</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3D034FF6" w14:textId="6AEF24DC" w:rsidR="002D42C1" w:rsidRPr="00DE108C" w:rsidRDefault="002D42C1" w:rsidP="00097A90">
                  <w:pPr>
                    <w:spacing w:before="60" w:after="60"/>
                    <w:jc w:val="center"/>
                    <w:rPr>
                      <w:sz w:val="16"/>
                      <w:szCs w:val="16"/>
                    </w:rPr>
                  </w:pPr>
                  <w:r w:rsidRPr="00DE108C">
                    <w:rPr>
                      <w:sz w:val="16"/>
                      <w:szCs w:val="16"/>
                    </w:rPr>
                    <w:t>0.6%</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431F5D22" w14:textId="2AF21022" w:rsidR="002D42C1" w:rsidRPr="00DE108C" w:rsidRDefault="002D42C1" w:rsidP="00097A90">
                  <w:pPr>
                    <w:spacing w:before="60" w:after="60"/>
                    <w:jc w:val="center"/>
                    <w:rPr>
                      <w:sz w:val="16"/>
                      <w:szCs w:val="16"/>
                    </w:rPr>
                  </w:pPr>
                  <w:r w:rsidRPr="00DE108C">
                    <w:rPr>
                      <w:sz w:val="16"/>
                      <w:szCs w:val="16"/>
                    </w:rPr>
                    <w:t>0.7%</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2544AB88" w14:textId="78D69E4C" w:rsidR="002D42C1" w:rsidRPr="00DE108C" w:rsidRDefault="002D42C1" w:rsidP="00097A90">
                  <w:pPr>
                    <w:spacing w:before="60" w:after="60"/>
                    <w:jc w:val="center"/>
                    <w:rPr>
                      <w:sz w:val="16"/>
                      <w:szCs w:val="16"/>
                    </w:rPr>
                  </w:pPr>
                  <w:r w:rsidRPr="00DE108C">
                    <w:rPr>
                      <w:sz w:val="16"/>
                      <w:szCs w:val="16"/>
                    </w:rPr>
                    <w:t>0.9%</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56755380" w14:textId="451BD6BE" w:rsidR="002D42C1" w:rsidRPr="00DE108C" w:rsidRDefault="002D42C1" w:rsidP="00097A90">
                  <w:pPr>
                    <w:spacing w:before="60" w:after="60"/>
                    <w:jc w:val="center"/>
                    <w:rPr>
                      <w:sz w:val="16"/>
                      <w:szCs w:val="16"/>
                    </w:rPr>
                  </w:pPr>
                  <w:r w:rsidRPr="00DE108C">
                    <w:rPr>
                      <w:sz w:val="16"/>
                      <w:szCs w:val="16"/>
                    </w:rPr>
                    <w:t>1.1%</w:t>
                  </w:r>
                </w:p>
              </w:tc>
            </w:tr>
            <w:tr w:rsidR="002D42C1" w:rsidRPr="00DE108C" w14:paraId="09C4AAD0" w14:textId="77777777" w:rsidTr="0C4C27BB">
              <w:trPr>
                <w:trHeight w:val="300"/>
              </w:trPr>
              <w:tc>
                <w:tcPr>
                  <w:tcW w:w="1365" w:type="dxa"/>
                  <w:tcBorders>
                    <w:top w:val="single" w:sz="6" w:space="0" w:color="4EC6FF" w:themeColor="accent2" w:themeTint="99"/>
                    <w:left w:val="nil"/>
                    <w:bottom w:val="single" w:sz="6" w:space="0" w:color="4EC6FF" w:themeColor="accent2" w:themeTint="99"/>
                    <w:right w:val="nil"/>
                  </w:tcBorders>
                  <w:hideMark/>
                </w:tcPr>
                <w:p w14:paraId="26D8B12E"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621204A8" w14:textId="7EB16FAE" w:rsidR="002D42C1" w:rsidRPr="00DE108C" w:rsidRDefault="002D42C1" w:rsidP="00097A90">
                  <w:pPr>
                    <w:spacing w:before="60" w:after="60"/>
                    <w:jc w:val="center"/>
                    <w:rPr>
                      <w:sz w:val="16"/>
                      <w:szCs w:val="16"/>
                    </w:rPr>
                  </w:pPr>
                  <w:r w:rsidRPr="00DE108C">
                    <w:rPr>
                      <w:sz w:val="16"/>
                      <w:szCs w:val="16"/>
                    </w:rPr>
                    <w:t>$1,394</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68497DCA" w14:textId="1E7616B9" w:rsidR="002D42C1" w:rsidRPr="00DE108C" w:rsidRDefault="002D42C1" w:rsidP="00097A90">
                  <w:pPr>
                    <w:spacing w:before="60" w:after="60"/>
                    <w:jc w:val="center"/>
                    <w:rPr>
                      <w:sz w:val="16"/>
                      <w:szCs w:val="16"/>
                    </w:rPr>
                  </w:pPr>
                  <w:r w:rsidRPr="00DE108C">
                    <w:rPr>
                      <w:sz w:val="16"/>
                      <w:szCs w:val="16"/>
                    </w:rPr>
                    <w:t>-</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666BA9A3" w14:textId="7B6EF1C5" w:rsidR="002D42C1" w:rsidRPr="00DE108C" w:rsidRDefault="002D42C1" w:rsidP="00097A90">
                  <w:pPr>
                    <w:spacing w:before="60" w:after="60"/>
                    <w:jc w:val="center"/>
                    <w:rPr>
                      <w:sz w:val="16"/>
                      <w:szCs w:val="16"/>
                    </w:rPr>
                  </w:pPr>
                  <w:r w:rsidRPr="00DE108C">
                    <w:rPr>
                      <w:sz w:val="16"/>
                      <w:szCs w:val="16"/>
                    </w:rPr>
                    <w:t>0.1%</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4B57CAB3" w14:textId="68F01212" w:rsidR="002D42C1" w:rsidRPr="00DE108C" w:rsidRDefault="002D42C1" w:rsidP="00097A90">
                  <w:pPr>
                    <w:spacing w:before="60" w:after="60"/>
                    <w:jc w:val="center"/>
                    <w:rPr>
                      <w:sz w:val="16"/>
                      <w:szCs w:val="16"/>
                    </w:rPr>
                  </w:pPr>
                  <w:r w:rsidRPr="00DE108C">
                    <w:rPr>
                      <w:sz w:val="16"/>
                      <w:szCs w:val="16"/>
                    </w:rPr>
                    <w:t>0.1%</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020811DE" w14:textId="4F84EB12" w:rsidR="002D42C1" w:rsidRPr="00DE108C" w:rsidRDefault="002D42C1" w:rsidP="00097A90">
                  <w:pPr>
                    <w:spacing w:before="60" w:after="60"/>
                    <w:jc w:val="center"/>
                    <w:rPr>
                      <w:sz w:val="16"/>
                      <w:szCs w:val="16"/>
                    </w:rPr>
                  </w:pPr>
                  <w:r w:rsidRPr="00DE108C">
                    <w:rPr>
                      <w:sz w:val="16"/>
                      <w:szCs w:val="16"/>
                    </w:rPr>
                    <w:t>0.2%</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0AA22727" w14:textId="273BF931" w:rsidR="002D42C1" w:rsidRPr="00DE108C" w:rsidRDefault="002D42C1" w:rsidP="00097A90">
                  <w:pPr>
                    <w:spacing w:before="60" w:after="60"/>
                    <w:jc w:val="center"/>
                    <w:rPr>
                      <w:sz w:val="16"/>
                      <w:szCs w:val="16"/>
                    </w:rPr>
                  </w:pPr>
                  <w:r w:rsidRPr="00DE108C">
                    <w:rPr>
                      <w:sz w:val="16"/>
                      <w:szCs w:val="16"/>
                    </w:rPr>
                    <w:t>0.2%</w:t>
                  </w:r>
                </w:p>
              </w:tc>
            </w:tr>
            <w:tr w:rsidR="002D42C1" w:rsidRPr="00DE108C" w14:paraId="0DE80C10" w14:textId="77777777" w:rsidTr="0C4C27BB">
              <w:trPr>
                <w:trHeight w:val="300"/>
              </w:trPr>
              <w:tc>
                <w:tcPr>
                  <w:tcW w:w="1365" w:type="dxa"/>
                  <w:tcBorders>
                    <w:top w:val="single" w:sz="6" w:space="0" w:color="4EC6FF" w:themeColor="accent2" w:themeTint="99"/>
                    <w:left w:val="nil"/>
                    <w:bottom w:val="single" w:sz="6" w:space="0" w:color="4EC6FF" w:themeColor="accent2" w:themeTint="99"/>
                    <w:right w:val="nil"/>
                  </w:tcBorders>
                  <w:hideMark/>
                </w:tcPr>
                <w:p w14:paraId="58D9950A" w14:textId="77777777"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2E378704" w14:textId="7816753F" w:rsidR="002D42C1" w:rsidRPr="00DE108C" w:rsidRDefault="002D42C1" w:rsidP="00097A90">
                  <w:pPr>
                    <w:spacing w:before="60" w:after="60"/>
                    <w:jc w:val="center"/>
                    <w:rPr>
                      <w:sz w:val="16"/>
                      <w:szCs w:val="16"/>
                    </w:rPr>
                  </w:pPr>
                  <w:r w:rsidRPr="00DE108C">
                    <w:rPr>
                      <w:sz w:val="16"/>
                      <w:szCs w:val="16"/>
                    </w:rPr>
                    <w:t>$1,492</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234363FF" w14:textId="47C13923" w:rsidR="002D42C1" w:rsidRPr="00DE108C" w:rsidRDefault="002D42C1" w:rsidP="00097A90">
                  <w:pPr>
                    <w:spacing w:before="60" w:after="60"/>
                    <w:jc w:val="center"/>
                    <w:rPr>
                      <w:sz w:val="16"/>
                      <w:szCs w:val="16"/>
                    </w:rPr>
                  </w:pPr>
                  <w:r w:rsidRPr="00510FDD">
                    <w:rPr>
                      <w:color w:val="auto"/>
                      <w:sz w:val="16"/>
                      <w:szCs w:val="16"/>
                    </w:rPr>
                    <w:t>-</w:t>
                  </w:r>
                  <w:r w:rsidRPr="00DE108C">
                    <w:rPr>
                      <w:sz w:val="16"/>
                      <w:szCs w:val="16"/>
                    </w:rPr>
                    <w:t>0.</w:t>
                  </w:r>
                  <w:r w:rsidRPr="00510FDD">
                    <w:rPr>
                      <w:color w:val="auto"/>
                      <w:sz w:val="16"/>
                      <w:szCs w:val="16"/>
                    </w:rPr>
                    <w:t>8</w:t>
                  </w:r>
                  <w:r w:rsidRPr="00DE108C">
                    <w:rPr>
                      <w:sz w:val="16"/>
                      <w:szCs w:val="16"/>
                    </w:rPr>
                    <w:t>%</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6B5FE24F" w14:textId="226650E9" w:rsidR="002D42C1" w:rsidRPr="00DE108C" w:rsidRDefault="002D42C1" w:rsidP="00097A90">
                  <w:pPr>
                    <w:spacing w:before="60" w:after="60"/>
                    <w:jc w:val="center"/>
                    <w:rPr>
                      <w:sz w:val="16"/>
                      <w:szCs w:val="16"/>
                    </w:rPr>
                  </w:pPr>
                  <w:r w:rsidRPr="00DE108C">
                    <w:rPr>
                      <w:sz w:val="16"/>
                      <w:szCs w:val="16"/>
                    </w:rPr>
                    <w:t>0.0%</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5879E523" w14:textId="4AC8EF51" w:rsidR="002D42C1" w:rsidRPr="00DE108C" w:rsidRDefault="002D42C1" w:rsidP="00097A90">
                  <w:pPr>
                    <w:spacing w:before="60" w:after="60"/>
                    <w:jc w:val="center"/>
                    <w:rPr>
                      <w:sz w:val="16"/>
                      <w:szCs w:val="16"/>
                    </w:rPr>
                  </w:pPr>
                  <w:r w:rsidRPr="00DE108C">
                    <w:rPr>
                      <w:sz w:val="16"/>
                      <w:szCs w:val="16"/>
                    </w:rPr>
                    <w:t>0.</w:t>
                  </w:r>
                  <w:r w:rsidRPr="00510FDD">
                    <w:rPr>
                      <w:color w:val="auto"/>
                      <w:sz w:val="16"/>
                      <w:szCs w:val="16"/>
                    </w:rPr>
                    <w:t>1</w:t>
                  </w:r>
                  <w:r w:rsidRPr="00DE108C">
                    <w:rPr>
                      <w:sz w:val="16"/>
                      <w:szCs w:val="16"/>
                    </w:rPr>
                    <w:t>%</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5758540B" w14:textId="0C2B98A5" w:rsidR="002D42C1" w:rsidRPr="00DE108C" w:rsidRDefault="002D42C1" w:rsidP="00097A90">
                  <w:pPr>
                    <w:spacing w:before="60" w:after="60"/>
                    <w:jc w:val="center"/>
                    <w:rPr>
                      <w:sz w:val="16"/>
                      <w:szCs w:val="16"/>
                    </w:rPr>
                  </w:pPr>
                  <w:r w:rsidRPr="00DE108C">
                    <w:rPr>
                      <w:sz w:val="16"/>
                      <w:szCs w:val="16"/>
                    </w:rPr>
                    <w:t>0.0%</w:t>
                  </w:r>
                </w:p>
              </w:tc>
              <w:tc>
                <w:tcPr>
                  <w:tcW w:w="1365" w:type="dxa"/>
                  <w:tcBorders>
                    <w:top w:val="single" w:sz="6" w:space="0" w:color="4EC6FF" w:themeColor="accent2" w:themeTint="99"/>
                    <w:left w:val="nil"/>
                    <w:bottom w:val="single" w:sz="6" w:space="0" w:color="4EC6FF" w:themeColor="accent2" w:themeTint="99"/>
                    <w:right w:val="nil"/>
                  </w:tcBorders>
                  <w:vAlign w:val="center"/>
                  <w:hideMark/>
                </w:tcPr>
                <w:p w14:paraId="729D0C26" w14:textId="2919C548" w:rsidR="002D42C1" w:rsidRPr="00DE108C" w:rsidRDefault="002D42C1" w:rsidP="00097A90">
                  <w:pPr>
                    <w:spacing w:before="60" w:after="60"/>
                    <w:jc w:val="center"/>
                    <w:rPr>
                      <w:sz w:val="16"/>
                      <w:szCs w:val="16"/>
                    </w:rPr>
                  </w:pPr>
                  <w:r w:rsidRPr="00DE108C">
                    <w:rPr>
                      <w:sz w:val="16"/>
                      <w:szCs w:val="16"/>
                    </w:rPr>
                    <w:t>0.0%</w:t>
                  </w:r>
                </w:p>
              </w:tc>
            </w:tr>
          </w:tbl>
          <w:p w14:paraId="3F596462" w14:textId="4E27C3D6" w:rsidR="002D42C1" w:rsidRPr="00DE108C" w:rsidRDefault="002D42C1" w:rsidP="4E23B63F">
            <w:pPr>
              <w:rPr>
                <w:sz w:val="16"/>
                <w:szCs w:val="16"/>
              </w:rPr>
            </w:pPr>
            <w:r w:rsidRPr="00DE108C">
              <w:rPr>
                <w:sz w:val="16"/>
                <w:szCs w:val="16"/>
              </w:rPr>
              <w:t>Customer impacts are indicative only and exclude inflation, water corporation 2028 submission impacts and annual pass-throughs</w:t>
            </w:r>
            <w:r w:rsidR="68901E56" w:rsidRPr="5D131F51">
              <w:rPr>
                <w:sz w:val="16"/>
                <w:szCs w:val="16"/>
              </w:rPr>
              <w:t>,</w:t>
            </w:r>
            <w:r w:rsidRPr="00DE108C">
              <w:rPr>
                <w:sz w:val="16"/>
                <w:szCs w:val="16"/>
              </w:rPr>
              <w:t xml:space="preserve"> including desalinated water orders. Forecast customer bill impacts are estimated on the change in total Melbourne Water bulk costs, it is up to each individual water corporation on how this is passed onto households and businesses.</w:t>
            </w:r>
          </w:p>
          <w:p w14:paraId="1A2377D7" w14:textId="0E7CF2BC" w:rsidR="002D42C1" w:rsidRPr="00DE108C" w:rsidRDefault="002D42C1">
            <w:pPr>
              <w:rPr>
                <w:sz w:val="16"/>
                <w:szCs w:val="16"/>
              </w:rPr>
            </w:pPr>
          </w:p>
        </w:tc>
      </w:tr>
    </w:tbl>
    <w:p w14:paraId="22D35643" w14:textId="77777777" w:rsidR="002D42C1" w:rsidRPr="00DE108C" w:rsidRDefault="002D42C1" w:rsidP="00ED094E">
      <w:r w:rsidRPr="00DE108C">
        <w:br w:type="page"/>
      </w:r>
    </w:p>
    <w:p w14:paraId="20A0FCF1" w14:textId="77777777" w:rsidR="002D42C1" w:rsidRPr="00DE108C" w:rsidRDefault="002D42C1" w:rsidP="00ED094E">
      <w:pPr>
        <w:pStyle w:val="Heading2"/>
      </w:pPr>
      <w:bookmarkStart w:id="1259" w:name="_Toc207892034"/>
      <w:bookmarkStart w:id="1260" w:name="_Toc207892946"/>
      <w:bookmarkStart w:id="1261" w:name="_Toc207853439"/>
      <w:r w:rsidRPr="00DE108C">
        <w:lastRenderedPageBreak/>
        <w:t>A.3 Yarra Valley Water</w:t>
      </w:r>
      <w:bookmarkEnd w:id="1259"/>
      <w:bookmarkEnd w:id="1260"/>
      <w:bookmarkEnd w:id="1261"/>
    </w:p>
    <w:tbl>
      <w:tblPr>
        <w:tblStyle w:val="TableGrid"/>
        <w:tblW w:w="22361" w:type="dxa"/>
        <w:tblLook w:val="0480" w:firstRow="0" w:lastRow="0" w:firstColumn="1" w:lastColumn="0" w:noHBand="0" w:noVBand="1"/>
      </w:tblPr>
      <w:tblGrid>
        <w:gridCol w:w="1555"/>
        <w:gridCol w:w="10064"/>
        <w:gridCol w:w="10742"/>
      </w:tblGrid>
      <w:tr w:rsidR="002D42C1" w:rsidRPr="00DE108C" w14:paraId="48C921B9" w14:textId="77777777" w:rsidTr="00C05BDA">
        <w:tc>
          <w:tcPr>
            <w:tcW w:w="1555" w:type="dxa"/>
            <w:shd w:val="clear" w:color="auto" w:fill="00428B" w:themeFill="text2"/>
          </w:tcPr>
          <w:p w14:paraId="5B1470A8" w14:textId="010BA9DB" w:rsidR="002D42C1" w:rsidRPr="00DE108C" w:rsidRDefault="002D42C1" w:rsidP="00ED094E">
            <w:pPr>
              <w:rPr>
                <w:b/>
                <w:bCs/>
                <w:color w:val="FFFFFF" w:themeColor="background1"/>
                <w:sz w:val="16"/>
                <w:szCs w:val="16"/>
              </w:rPr>
            </w:pPr>
            <w:r w:rsidRPr="00DE108C">
              <w:rPr>
                <w:b/>
                <w:bCs/>
                <w:color w:val="FFFFFF" w:themeColor="background1"/>
                <w:sz w:val="16"/>
                <w:szCs w:val="16"/>
              </w:rPr>
              <w:t xml:space="preserve">How </w:t>
            </w:r>
            <w:r w:rsidRPr="7F6BB4F6">
              <w:rPr>
                <w:b/>
                <w:bCs/>
                <w:color w:val="FFFFFF" w:themeColor="background1"/>
                <w:sz w:val="16"/>
                <w:szCs w:val="16"/>
              </w:rPr>
              <w:t>we</w:t>
            </w:r>
            <w:r w:rsidR="1FDC74F5" w:rsidRPr="7F6BB4F6">
              <w:rPr>
                <w:b/>
                <w:bCs/>
                <w:color w:val="FFFFFF" w:themeColor="background1"/>
                <w:sz w:val="16"/>
                <w:szCs w:val="16"/>
              </w:rPr>
              <w:t xml:space="preserve"> </w:t>
            </w:r>
            <w:r w:rsidR="1FDC74F5" w:rsidRPr="1E6AED45">
              <w:rPr>
                <w:b/>
                <w:bCs/>
                <w:color w:val="FFFFFF" w:themeColor="background1"/>
                <w:sz w:val="16"/>
                <w:szCs w:val="16"/>
              </w:rPr>
              <w:t>have</w:t>
            </w:r>
            <w:r w:rsidRPr="00DE108C">
              <w:rPr>
                <w:b/>
                <w:bCs/>
                <w:color w:val="FFFFFF" w:themeColor="background1"/>
                <w:sz w:val="16"/>
                <w:szCs w:val="16"/>
              </w:rPr>
              <w:t xml:space="preserve"> worked with you</w:t>
            </w:r>
          </w:p>
        </w:tc>
        <w:tc>
          <w:tcPr>
            <w:tcW w:w="20806" w:type="dxa"/>
            <w:gridSpan w:val="2"/>
          </w:tcPr>
          <w:p w14:paraId="3A32C555" w14:textId="28AC6126" w:rsidR="002D42C1" w:rsidRPr="00DE108C" w:rsidRDefault="002D42C1" w:rsidP="00ED094E">
            <w:pPr>
              <w:rPr>
                <w:sz w:val="16"/>
                <w:szCs w:val="16"/>
              </w:rPr>
            </w:pPr>
            <w:r w:rsidRPr="00DE108C">
              <w:rPr>
                <w:sz w:val="16"/>
                <w:szCs w:val="16"/>
              </w:rPr>
              <w:t xml:space="preserve">We have been working closely with Yarra Valley Water (YVW) throughout the development of the </w:t>
            </w:r>
            <w:r w:rsidR="10085733" w:rsidRPr="1E6AED45">
              <w:rPr>
                <w:sz w:val="16"/>
                <w:szCs w:val="16"/>
              </w:rPr>
              <w:t>P</w:t>
            </w:r>
            <w:r w:rsidRPr="1E6AED45">
              <w:rPr>
                <w:sz w:val="16"/>
                <w:szCs w:val="16"/>
              </w:rPr>
              <w:t xml:space="preserve">rice </w:t>
            </w:r>
            <w:r w:rsidR="594882FC" w:rsidRPr="1E6AED45">
              <w:rPr>
                <w:sz w:val="16"/>
                <w:szCs w:val="16"/>
              </w:rPr>
              <w:t>S</w:t>
            </w:r>
            <w:r w:rsidRPr="00DE108C">
              <w:rPr>
                <w:sz w:val="16"/>
                <w:szCs w:val="16"/>
              </w:rPr>
              <w:t xml:space="preserve">ubmission. YVW feedback was gathered through over 40 meetings of the Water Corporation Forums, </w:t>
            </w:r>
            <w:r w:rsidR="00AF7AC2">
              <w:rPr>
                <w:sz w:val="16"/>
                <w:szCs w:val="16"/>
              </w:rPr>
              <w:t>Regulatory and Tariff</w:t>
            </w:r>
            <w:r w:rsidRPr="00DE108C">
              <w:rPr>
                <w:sz w:val="16"/>
                <w:szCs w:val="16"/>
              </w:rPr>
              <w:t xml:space="preserve"> Forums, the Accord working groups and one-to-one meetings. We also ensured YVW end-use customers were heard directly through our community engagement program, with a specific YVW customer focus group, pop up event in the YVW service region, and YVW customers participating in our surveys, deliberative panel and waterways and drainage customer forum. We have considered all the issues YVW raised during our </w:t>
            </w:r>
            <w:r w:rsidR="66E7B3CC" w:rsidRPr="08A5F723">
              <w:rPr>
                <w:sz w:val="16"/>
                <w:szCs w:val="16"/>
              </w:rPr>
              <w:t>P</w:t>
            </w:r>
            <w:r w:rsidRPr="08A5F723">
              <w:rPr>
                <w:sz w:val="16"/>
                <w:szCs w:val="16"/>
              </w:rPr>
              <w:t xml:space="preserve">rice </w:t>
            </w:r>
            <w:r w:rsidR="10F39827" w:rsidRPr="08A5F723">
              <w:rPr>
                <w:sz w:val="16"/>
                <w:szCs w:val="16"/>
              </w:rPr>
              <w:t>S</w:t>
            </w:r>
            <w:r w:rsidRPr="00DE108C">
              <w:rPr>
                <w:sz w:val="16"/>
                <w:szCs w:val="16"/>
              </w:rPr>
              <w:t>ubmission development and believe we have largely addressed them.</w:t>
            </w:r>
            <w:r w:rsidR="008C46DF">
              <w:rPr>
                <w:sz w:val="16"/>
                <w:szCs w:val="16"/>
              </w:rPr>
              <w:t xml:space="preserve"> </w:t>
            </w:r>
            <w:r w:rsidRPr="00DE108C">
              <w:rPr>
                <w:sz w:val="16"/>
                <w:szCs w:val="16"/>
              </w:rPr>
              <w:t> </w:t>
            </w:r>
          </w:p>
        </w:tc>
      </w:tr>
      <w:tr w:rsidR="002D42C1" w:rsidRPr="00DE108C" w14:paraId="7C457665" w14:textId="77777777" w:rsidTr="00C05BDA">
        <w:trPr>
          <w:cnfStyle w:val="000000010000" w:firstRow="0" w:lastRow="0" w:firstColumn="0" w:lastColumn="0" w:oddVBand="0" w:evenVBand="0" w:oddHBand="0" w:evenHBand="1" w:firstRowFirstColumn="0" w:firstRowLastColumn="0" w:lastRowFirstColumn="0" w:lastRowLastColumn="0"/>
        </w:trPr>
        <w:tc>
          <w:tcPr>
            <w:tcW w:w="1555" w:type="dxa"/>
            <w:vMerge w:val="restart"/>
            <w:shd w:val="clear" w:color="auto" w:fill="00428B" w:themeFill="text2"/>
          </w:tcPr>
          <w:p w14:paraId="671F99DC" w14:textId="2E11ECCA" w:rsidR="002D42C1" w:rsidRPr="00DE108C" w:rsidRDefault="002D42C1" w:rsidP="00ED094E">
            <w:pPr>
              <w:rPr>
                <w:b/>
                <w:bCs/>
                <w:color w:val="FFFFFF" w:themeColor="background1"/>
                <w:sz w:val="16"/>
                <w:szCs w:val="16"/>
              </w:rPr>
            </w:pPr>
            <w:r w:rsidRPr="00DE108C">
              <w:rPr>
                <w:b/>
                <w:bCs/>
                <w:color w:val="FFFFFF" w:themeColor="background1"/>
                <w:sz w:val="16"/>
                <w:szCs w:val="16"/>
              </w:rPr>
              <w:t xml:space="preserve">Outcomes – how </w:t>
            </w:r>
            <w:r w:rsidRPr="50321967">
              <w:rPr>
                <w:b/>
                <w:bCs/>
                <w:color w:val="FFFFFF" w:themeColor="background1"/>
                <w:sz w:val="16"/>
                <w:szCs w:val="16"/>
              </w:rPr>
              <w:t>we</w:t>
            </w:r>
            <w:r w:rsidR="68CB9DE7" w:rsidRPr="50321967">
              <w:rPr>
                <w:b/>
                <w:bCs/>
                <w:color w:val="FFFFFF" w:themeColor="background1"/>
                <w:sz w:val="16"/>
                <w:szCs w:val="16"/>
              </w:rPr>
              <w:t xml:space="preserve"> are</w:t>
            </w:r>
            <w:r w:rsidRPr="00DE108C">
              <w:rPr>
                <w:b/>
                <w:bCs/>
                <w:color w:val="FFFFFF" w:themeColor="background1"/>
                <w:sz w:val="16"/>
                <w:szCs w:val="16"/>
              </w:rPr>
              <w:t xml:space="preserve"> supporting you</w:t>
            </w:r>
          </w:p>
        </w:tc>
        <w:tc>
          <w:tcPr>
            <w:tcW w:w="10064" w:type="dxa"/>
            <w:shd w:val="clear" w:color="auto" w:fill="00428B" w:themeFill="text2"/>
          </w:tcPr>
          <w:p w14:paraId="425E7D17"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t>MW Outcome</w:t>
            </w:r>
          </w:p>
        </w:tc>
        <w:tc>
          <w:tcPr>
            <w:tcW w:w="10742" w:type="dxa"/>
            <w:shd w:val="clear" w:color="auto" w:fill="00428B" w:themeFill="text2"/>
          </w:tcPr>
          <w:p w14:paraId="3DF1B1F9"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t>Related YVW Outcome</w:t>
            </w:r>
          </w:p>
        </w:tc>
      </w:tr>
      <w:tr w:rsidR="002D42C1" w:rsidRPr="00DE108C" w14:paraId="5983D573" w14:textId="77777777" w:rsidTr="00C05BDA">
        <w:trPr>
          <w:trHeight w:val="945"/>
        </w:trPr>
        <w:tc>
          <w:tcPr>
            <w:tcW w:w="1555" w:type="dxa"/>
            <w:vMerge/>
            <w:shd w:val="clear" w:color="auto" w:fill="00428B" w:themeFill="text2"/>
          </w:tcPr>
          <w:p w14:paraId="0FDBF1D6" w14:textId="77777777" w:rsidR="002D42C1" w:rsidRPr="00DE108C" w:rsidRDefault="002D42C1" w:rsidP="00ED094E">
            <w:pPr>
              <w:rPr>
                <w:b/>
                <w:bCs/>
                <w:color w:val="FFFFFF" w:themeColor="background1"/>
                <w:sz w:val="16"/>
                <w:szCs w:val="16"/>
              </w:rPr>
            </w:pPr>
          </w:p>
        </w:tc>
        <w:tc>
          <w:tcPr>
            <w:tcW w:w="10064" w:type="dxa"/>
          </w:tcPr>
          <w:p w14:paraId="03D95D03" w14:textId="77777777" w:rsidR="002D42C1" w:rsidRPr="00DE108C" w:rsidRDefault="002D42C1" w:rsidP="00ED094E">
            <w:pPr>
              <w:rPr>
                <w:sz w:val="16"/>
                <w:szCs w:val="16"/>
              </w:rPr>
            </w:pPr>
            <w:r w:rsidRPr="00DE108C">
              <w:rPr>
                <w:sz w:val="16"/>
                <w:szCs w:val="16"/>
              </w:rPr>
              <w:t>Outcome 1: Safe and reliable bulk water supplies for now and the long term</w:t>
            </w:r>
          </w:p>
        </w:tc>
        <w:tc>
          <w:tcPr>
            <w:tcW w:w="10742" w:type="dxa"/>
          </w:tcPr>
          <w:p w14:paraId="44D1ED65" w14:textId="77777777" w:rsidR="002D42C1" w:rsidRPr="00DE108C" w:rsidRDefault="002D42C1" w:rsidP="00ED094E">
            <w:pPr>
              <w:rPr>
                <w:sz w:val="16"/>
                <w:szCs w:val="16"/>
              </w:rPr>
            </w:pPr>
            <w:r w:rsidRPr="00DE108C">
              <w:rPr>
                <w:sz w:val="16"/>
                <w:szCs w:val="16"/>
              </w:rPr>
              <w:t xml:space="preserve">Outcome 1: Safe and pleasant drinking water </w:t>
            </w:r>
          </w:p>
          <w:p w14:paraId="448D0319" w14:textId="77777777" w:rsidR="002D42C1" w:rsidRPr="00DE108C" w:rsidRDefault="002D42C1" w:rsidP="00ED094E">
            <w:pPr>
              <w:rPr>
                <w:sz w:val="16"/>
                <w:szCs w:val="16"/>
              </w:rPr>
            </w:pPr>
            <w:r w:rsidRPr="00DE108C">
              <w:rPr>
                <w:sz w:val="16"/>
                <w:szCs w:val="16"/>
              </w:rPr>
              <w:t xml:space="preserve">Outcome 2: Reliable </w:t>
            </w:r>
            <w:r w:rsidRPr="00DE108C">
              <w:rPr>
                <w:sz w:val="16"/>
                <w:szCs w:val="16"/>
                <w:u w:val="single"/>
              </w:rPr>
              <w:t>water</w:t>
            </w:r>
            <w:r w:rsidRPr="00DE108C">
              <w:rPr>
                <w:sz w:val="16"/>
                <w:szCs w:val="16"/>
              </w:rPr>
              <w:t xml:space="preserve"> and sewerage services </w:t>
            </w:r>
          </w:p>
          <w:p w14:paraId="70BCB3E4" w14:textId="77777777" w:rsidR="002D42C1" w:rsidRPr="00DE108C" w:rsidRDefault="002D42C1" w:rsidP="00ED094E">
            <w:pPr>
              <w:rPr>
                <w:sz w:val="16"/>
                <w:szCs w:val="16"/>
              </w:rPr>
            </w:pPr>
            <w:r w:rsidRPr="00DE108C">
              <w:rPr>
                <w:sz w:val="16"/>
                <w:szCs w:val="16"/>
              </w:rPr>
              <w:t>Outcome 3: Timely response and repair</w:t>
            </w:r>
          </w:p>
          <w:p w14:paraId="124E1B8E" w14:textId="77777777" w:rsidR="002D42C1" w:rsidRPr="00DE108C" w:rsidRDefault="002D42C1" w:rsidP="00ED094E">
            <w:pPr>
              <w:rPr>
                <w:sz w:val="16"/>
                <w:szCs w:val="16"/>
              </w:rPr>
            </w:pPr>
            <w:r w:rsidRPr="00DE108C">
              <w:rPr>
                <w:sz w:val="16"/>
                <w:szCs w:val="16"/>
              </w:rPr>
              <w:t>Outcome 5: Saving water for the future</w:t>
            </w:r>
          </w:p>
        </w:tc>
      </w:tr>
      <w:tr w:rsidR="00A043F7" w:rsidRPr="00DE108C" w14:paraId="68597F98" w14:textId="77777777" w:rsidTr="00C05BDA">
        <w:trPr>
          <w:cnfStyle w:val="000000010000" w:firstRow="0" w:lastRow="0" w:firstColumn="0" w:lastColumn="0" w:oddVBand="0" w:evenVBand="0" w:oddHBand="0" w:evenHBand="1" w:firstRowFirstColumn="0" w:firstRowLastColumn="0" w:lastRowFirstColumn="0" w:lastRowLastColumn="0"/>
        </w:trPr>
        <w:tc>
          <w:tcPr>
            <w:tcW w:w="1555" w:type="dxa"/>
            <w:vMerge/>
            <w:shd w:val="clear" w:color="auto" w:fill="00428B" w:themeFill="text2"/>
          </w:tcPr>
          <w:p w14:paraId="31A085D4" w14:textId="77777777" w:rsidR="002D42C1" w:rsidRPr="00DE108C" w:rsidRDefault="002D42C1" w:rsidP="00ED094E">
            <w:pPr>
              <w:rPr>
                <w:b/>
                <w:bCs/>
                <w:color w:val="FFFFFF" w:themeColor="background1"/>
                <w:sz w:val="16"/>
                <w:szCs w:val="16"/>
              </w:rPr>
            </w:pPr>
          </w:p>
        </w:tc>
        <w:tc>
          <w:tcPr>
            <w:tcW w:w="10064" w:type="dxa"/>
          </w:tcPr>
          <w:p w14:paraId="763AE2D0" w14:textId="77777777" w:rsidR="002D42C1" w:rsidRPr="00DE108C" w:rsidRDefault="002D42C1" w:rsidP="00ED094E">
            <w:pPr>
              <w:rPr>
                <w:sz w:val="16"/>
                <w:szCs w:val="16"/>
              </w:rPr>
            </w:pPr>
            <w:r w:rsidRPr="00DE108C">
              <w:rPr>
                <w:sz w:val="16"/>
                <w:szCs w:val="16"/>
              </w:rPr>
              <w:t>Outcome 2: Environmentally sustainable and reliable bulk sewerage services</w:t>
            </w:r>
          </w:p>
        </w:tc>
        <w:tc>
          <w:tcPr>
            <w:tcW w:w="10742" w:type="dxa"/>
          </w:tcPr>
          <w:p w14:paraId="4C1C4CBC" w14:textId="77777777" w:rsidR="002D42C1" w:rsidRPr="00DE108C" w:rsidRDefault="002D42C1" w:rsidP="00ED094E">
            <w:pPr>
              <w:rPr>
                <w:sz w:val="16"/>
                <w:szCs w:val="16"/>
              </w:rPr>
            </w:pPr>
            <w:r w:rsidRPr="00DE108C">
              <w:rPr>
                <w:sz w:val="16"/>
                <w:szCs w:val="16"/>
              </w:rPr>
              <w:t xml:space="preserve">Outcome 2: Reliable water and </w:t>
            </w:r>
            <w:r w:rsidRPr="00DE108C">
              <w:rPr>
                <w:sz w:val="16"/>
                <w:szCs w:val="16"/>
                <w:u w:val="single"/>
              </w:rPr>
              <w:t>sewerage</w:t>
            </w:r>
            <w:r w:rsidRPr="00DE108C">
              <w:rPr>
                <w:sz w:val="16"/>
                <w:szCs w:val="16"/>
              </w:rPr>
              <w:t xml:space="preserve"> services</w:t>
            </w:r>
          </w:p>
          <w:p w14:paraId="74B895D8" w14:textId="77777777" w:rsidR="002D42C1" w:rsidRPr="00DE108C" w:rsidRDefault="002D42C1" w:rsidP="00ED094E">
            <w:pPr>
              <w:rPr>
                <w:sz w:val="16"/>
                <w:szCs w:val="16"/>
              </w:rPr>
            </w:pPr>
            <w:r w:rsidRPr="00DE108C">
              <w:rPr>
                <w:sz w:val="16"/>
                <w:szCs w:val="16"/>
              </w:rPr>
              <w:t>Outcome 6: Looking after our natural environment</w:t>
            </w:r>
          </w:p>
        </w:tc>
      </w:tr>
      <w:tr w:rsidR="002D42C1" w:rsidRPr="00DE108C" w14:paraId="3F3B8728" w14:textId="77777777" w:rsidTr="00C05BDA">
        <w:tc>
          <w:tcPr>
            <w:tcW w:w="1555" w:type="dxa"/>
            <w:vMerge/>
            <w:shd w:val="clear" w:color="auto" w:fill="00428B" w:themeFill="text2"/>
          </w:tcPr>
          <w:p w14:paraId="4C80DB6F" w14:textId="77777777" w:rsidR="002D42C1" w:rsidRPr="00DE108C" w:rsidRDefault="002D42C1" w:rsidP="00ED094E">
            <w:pPr>
              <w:rPr>
                <w:b/>
                <w:bCs/>
                <w:color w:val="FFFFFF" w:themeColor="background1"/>
                <w:sz w:val="16"/>
                <w:szCs w:val="16"/>
              </w:rPr>
            </w:pPr>
          </w:p>
        </w:tc>
        <w:tc>
          <w:tcPr>
            <w:tcW w:w="10064" w:type="dxa"/>
          </w:tcPr>
          <w:p w14:paraId="066F1CC6" w14:textId="77777777" w:rsidR="002D42C1" w:rsidRPr="00DE108C" w:rsidRDefault="002D42C1" w:rsidP="00ED094E">
            <w:pPr>
              <w:rPr>
                <w:sz w:val="16"/>
                <w:szCs w:val="16"/>
              </w:rPr>
            </w:pPr>
            <w:r w:rsidRPr="00DE108C">
              <w:rPr>
                <w:sz w:val="16"/>
                <w:szCs w:val="16"/>
              </w:rPr>
              <w:t>Outcome 3: Healthy, resilient waterways</w:t>
            </w:r>
          </w:p>
        </w:tc>
        <w:tc>
          <w:tcPr>
            <w:tcW w:w="10742" w:type="dxa"/>
          </w:tcPr>
          <w:p w14:paraId="6FAF9D89" w14:textId="77777777" w:rsidR="002D42C1" w:rsidRPr="00DE108C" w:rsidRDefault="002D42C1" w:rsidP="00ED094E">
            <w:pPr>
              <w:rPr>
                <w:sz w:val="16"/>
                <w:szCs w:val="16"/>
              </w:rPr>
            </w:pPr>
            <w:r w:rsidRPr="00DE108C">
              <w:rPr>
                <w:sz w:val="16"/>
                <w:szCs w:val="16"/>
              </w:rPr>
              <w:t>Outcome 6: Looking after our natural environment</w:t>
            </w:r>
          </w:p>
        </w:tc>
      </w:tr>
      <w:tr w:rsidR="00A043F7" w:rsidRPr="00DE108C" w14:paraId="469BA3A5" w14:textId="77777777" w:rsidTr="00C05BDA">
        <w:trPr>
          <w:cnfStyle w:val="000000010000" w:firstRow="0" w:lastRow="0" w:firstColumn="0" w:lastColumn="0" w:oddVBand="0" w:evenVBand="0" w:oddHBand="0" w:evenHBand="1" w:firstRowFirstColumn="0" w:firstRowLastColumn="0" w:lastRowFirstColumn="0" w:lastRowLastColumn="0"/>
        </w:trPr>
        <w:tc>
          <w:tcPr>
            <w:tcW w:w="1555" w:type="dxa"/>
            <w:vMerge/>
            <w:shd w:val="clear" w:color="auto" w:fill="00428B" w:themeFill="text2"/>
          </w:tcPr>
          <w:p w14:paraId="69BCE311" w14:textId="77777777" w:rsidR="002D42C1" w:rsidRPr="00DE108C" w:rsidRDefault="002D42C1" w:rsidP="00ED094E">
            <w:pPr>
              <w:rPr>
                <w:b/>
                <w:bCs/>
                <w:color w:val="FFFFFF" w:themeColor="background1"/>
                <w:sz w:val="16"/>
                <w:szCs w:val="16"/>
              </w:rPr>
            </w:pPr>
          </w:p>
        </w:tc>
        <w:tc>
          <w:tcPr>
            <w:tcW w:w="10064" w:type="dxa"/>
          </w:tcPr>
          <w:p w14:paraId="0E6005B4" w14:textId="77777777" w:rsidR="002D42C1" w:rsidRPr="00DE108C" w:rsidRDefault="002D42C1" w:rsidP="00ED094E">
            <w:pPr>
              <w:rPr>
                <w:sz w:val="16"/>
                <w:szCs w:val="16"/>
              </w:rPr>
            </w:pPr>
            <w:r w:rsidRPr="00DE108C">
              <w:rPr>
                <w:sz w:val="16"/>
                <w:szCs w:val="16"/>
              </w:rPr>
              <w:t>Outcome 4: Urban drainage and flood resilience</w:t>
            </w:r>
          </w:p>
        </w:tc>
        <w:tc>
          <w:tcPr>
            <w:tcW w:w="10742" w:type="dxa"/>
          </w:tcPr>
          <w:p w14:paraId="14C78DE7" w14:textId="77777777" w:rsidR="002D42C1" w:rsidRPr="00DE108C" w:rsidRDefault="002D42C1" w:rsidP="00ED094E">
            <w:pPr>
              <w:rPr>
                <w:sz w:val="16"/>
                <w:szCs w:val="16"/>
              </w:rPr>
            </w:pPr>
            <w:r w:rsidRPr="00DE108C">
              <w:rPr>
                <w:sz w:val="16"/>
                <w:szCs w:val="16"/>
              </w:rPr>
              <w:t>N/A</w:t>
            </w:r>
          </w:p>
        </w:tc>
      </w:tr>
      <w:tr w:rsidR="002D42C1" w:rsidRPr="00DE108C" w14:paraId="0ADA7183" w14:textId="77777777" w:rsidTr="00C05BDA">
        <w:tc>
          <w:tcPr>
            <w:tcW w:w="1555" w:type="dxa"/>
            <w:vMerge/>
            <w:shd w:val="clear" w:color="auto" w:fill="00428B" w:themeFill="text2"/>
          </w:tcPr>
          <w:p w14:paraId="5BE1CAC7" w14:textId="77777777" w:rsidR="002D42C1" w:rsidRPr="00DE108C" w:rsidRDefault="002D42C1" w:rsidP="00ED094E">
            <w:pPr>
              <w:rPr>
                <w:b/>
                <w:bCs/>
                <w:color w:val="FFFFFF" w:themeColor="background1"/>
                <w:sz w:val="16"/>
                <w:szCs w:val="16"/>
              </w:rPr>
            </w:pPr>
          </w:p>
        </w:tc>
        <w:tc>
          <w:tcPr>
            <w:tcW w:w="10064" w:type="dxa"/>
          </w:tcPr>
          <w:p w14:paraId="002D2C55" w14:textId="77777777" w:rsidR="002D42C1" w:rsidRPr="00DE108C" w:rsidRDefault="002D42C1" w:rsidP="00ED094E">
            <w:pPr>
              <w:rPr>
                <w:sz w:val="16"/>
                <w:szCs w:val="16"/>
              </w:rPr>
            </w:pPr>
            <w:r w:rsidRPr="00DE108C">
              <w:rPr>
                <w:sz w:val="16"/>
                <w:szCs w:val="16"/>
              </w:rPr>
              <w:t>Outcome 5: A valued partner in water cycle services</w:t>
            </w:r>
          </w:p>
        </w:tc>
        <w:tc>
          <w:tcPr>
            <w:tcW w:w="10742" w:type="dxa"/>
          </w:tcPr>
          <w:p w14:paraId="600A6BE7" w14:textId="77777777" w:rsidR="002D42C1" w:rsidRPr="00DE108C" w:rsidRDefault="002D42C1" w:rsidP="00ED094E">
            <w:pPr>
              <w:rPr>
                <w:sz w:val="16"/>
                <w:szCs w:val="16"/>
              </w:rPr>
            </w:pPr>
            <w:r w:rsidRPr="00DE108C">
              <w:rPr>
                <w:sz w:val="16"/>
                <w:szCs w:val="16"/>
              </w:rPr>
              <w:t>Outcome 4: Service that meets everyone’s needs</w:t>
            </w:r>
          </w:p>
        </w:tc>
      </w:tr>
      <w:tr w:rsidR="002D42C1" w:rsidRPr="00DE108C" w14:paraId="764B6E7B" w14:textId="77777777" w:rsidTr="00C05BDA">
        <w:trPr>
          <w:cnfStyle w:val="000000010000" w:firstRow="0" w:lastRow="0" w:firstColumn="0" w:lastColumn="0" w:oddVBand="0" w:evenVBand="0" w:oddHBand="0" w:evenHBand="1" w:firstRowFirstColumn="0" w:firstRowLastColumn="0" w:lastRowFirstColumn="0" w:lastRowLastColumn="0"/>
        </w:trPr>
        <w:tc>
          <w:tcPr>
            <w:tcW w:w="1555" w:type="dxa"/>
            <w:vMerge w:val="restart"/>
            <w:shd w:val="clear" w:color="auto" w:fill="00428B" w:themeFill="text2"/>
          </w:tcPr>
          <w:p w14:paraId="7941625D"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t>Addressing your key areas</w:t>
            </w:r>
          </w:p>
        </w:tc>
        <w:tc>
          <w:tcPr>
            <w:tcW w:w="10064" w:type="dxa"/>
            <w:shd w:val="clear" w:color="auto" w:fill="00428B" w:themeFill="text2"/>
          </w:tcPr>
          <w:p w14:paraId="5C677754"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t>What we heard</w:t>
            </w:r>
          </w:p>
        </w:tc>
        <w:tc>
          <w:tcPr>
            <w:tcW w:w="10742" w:type="dxa"/>
            <w:shd w:val="clear" w:color="auto" w:fill="00428B" w:themeFill="text2"/>
          </w:tcPr>
          <w:p w14:paraId="0859C0F0"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t>How we’re responding</w:t>
            </w:r>
          </w:p>
        </w:tc>
      </w:tr>
      <w:tr w:rsidR="002D42C1" w:rsidRPr="00DE108C" w14:paraId="5CBA30D1" w14:textId="77777777" w:rsidTr="00C05BDA">
        <w:tc>
          <w:tcPr>
            <w:tcW w:w="1555" w:type="dxa"/>
            <w:vMerge/>
            <w:shd w:val="clear" w:color="auto" w:fill="00428B" w:themeFill="text2"/>
          </w:tcPr>
          <w:p w14:paraId="46DA66D5" w14:textId="77777777" w:rsidR="002D42C1" w:rsidRPr="00DE108C" w:rsidRDefault="002D42C1" w:rsidP="00ED094E">
            <w:pPr>
              <w:rPr>
                <w:b/>
                <w:bCs/>
                <w:color w:val="FFFFFF" w:themeColor="background1"/>
                <w:sz w:val="16"/>
                <w:szCs w:val="16"/>
              </w:rPr>
            </w:pPr>
          </w:p>
        </w:tc>
        <w:tc>
          <w:tcPr>
            <w:tcW w:w="10064" w:type="dxa"/>
          </w:tcPr>
          <w:p w14:paraId="43A7E6D9" w14:textId="1146D830" w:rsidR="002D42C1" w:rsidRPr="00DE108C" w:rsidRDefault="002D42C1" w:rsidP="00ED094E">
            <w:pPr>
              <w:rPr>
                <w:sz w:val="16"/>
                <w:szCs w:val="16"/>
              </w:rPr>
            </w:pPr>
            <w:r w:rsidRPr="2E5490A3">
              <w:rPr>
                <w:rStyle w:val="normaltextrun"/>
                <w:rFonts w:ascii="Verdana" w:hAnsi="Verdana" w:cs="Segoe UI"/>
                <w:sz w:val="16"/>
                <w:szCs w:val="16"/>
              </w:rPr>
              <w:t>Item #1: Fair tariff reforms, including a higher variable water tariff that incentivises efficient investment, and a ‘user pays’ cost allocation</w:t>
            </w:r>
            <w:r w:rsidR="7CD3A6BE" w:rsidRPr="2E5490A3">
              <w:rPr>
                <w:rStyle w:val="normaltextrun"/>
                <w:rFonts w:ascii="Verdana" w:hAnsi="Verdana" w:cs="Segoe UI"/>
                <w:sz w:val="16"/>
                <w:szCs w:val="16"/>
              </w:rPr>
              <w:t>.</w:t>
            </w:r>
            <w:r w:rsidR="008C46DF">
              <w:rPr>
                <w:rStyle w:val="normaltextrun"/>
                <w:rFonts w:ascii="Verdana" w:hAnsi="Verdana" w:cs="Segoe UI"/>
                <w:sz w:val="16"/>
                <w:szCs w:val="16"/>
              </w:rPr>
              <w:t xml:space="preserve"> </w:t>
            </w:r>
            <w:r w:rsidRPr="2E5490A3">
              <w:rPr>
                <w:rStyle w:val="eop"/>
                <w:rFonts w:ascii="Verdana" w:hAnsi="Verdana" w:cs="Segoe UI"/>
                <w:sz w:val="16"/>
                <w:szCs w:val="16"/>
              </w:rPr>
              <w:t> </w:t>
            </w:r>
          </w:p>
        </w:tc>
        <w:tc>
          <w:tcPr>
            <w:tcW w:w="10742" w:type="dxa"/>
          </w:tcPr>
          <w:p w14:paraId="1B4FFB23" w14:textId="77777777" w:rsidR="002D42C1" w:rsidRPr="00DE108C" w:rsidRDefault="002D42C1" w:rsidP="00ED094E">
            <w:pPr>
              <w:pStyle w:val="paragraph"/>
              <w:spacing w:before="0" w:beforeAutospacing="0" w:after="0" w:afterAutospacing="0"/>
              <w:textAlignment w:val="baseline"/>
              <w:divId w:val="1989507988"/>
              <w:rPr>
                <w:rFonts w:ascii="Segoe UI" w:hAnsi="Segoe UI" w:cs="Segoe UI"/>
                <w:color w:val="231F20"/>
                <w:sz w:val="16"/>
                <w:szCs w:val="16"/>
              </w:rPr>
            </w:pPr>
            <w:r w:rsidRPr="00DE108C">
              <w:rPr>
                <w:rStyle w:val="normaltextrun"/>
                <w:rFonts w:ascii="Verdana" w:hAnsi="Verdana" w:cs="Segoe UI"/>
                <w:b/>
                <w:bCs/>
                <w:color w:val="231F20"/>
                <w:sz w:val="16"/>
                <w:szCs w:val="16"/>
              </w:rPr>
              <w:t>Largely addressed</w:t>
            </w:r>
            <w:r w:rsidRPr="00DE108C">
              <w:rPr>
                <w:rStyle w:val="eop"/>
                <w:rFonts w:ascii="Verdana" w:hAnsi="Verdana" w:cs="Segoe UI"/>
                <w:color w:val="231F20"/>
                <w:sz w:val="16"/>
                <w:szCs w:val="16"/>
              </w:rPr>
              <w:t> </w:t>
            </w:r>
          </w:p>
          <w:p w14:paraId="66621B32" w14:textId="00B5D801" w:rsidR="002D42C1" w:rsidRPr="00DE108C" w:rsidRDefault="002D42C1" w:rsidP="00ED094E">
            <w:pPr>
              <w:rPr>
                <w:sz w:val="16"/>
                <w:szCs w:val="16"/>
              </w:rPr>
            </w:pPr>
            <w:r w:rsidRPr="25047F0C">
              <w:rPr>
                <w:rStyle w:val="normaltextrun"/>
                <w:rFonts w:ascii="Verdana" w:hAnsi="Verdana" w:cs="Segoe UI"/>
                <w:sz w:val="16"/>
                <w:szCs w:val="16"/>
              </w:rPr>
              <w:t>We are proposing a suite of tariff reforms that take interests consistent with YVW’s preferences and take YVW’s customers into account. This includes moving to a higher variable water price as requested by YVW, and allocating fixed charges based on historical usage rather than forecasts.</w:t>
            </w:r>
            <w:r w:rsidRPr="25047F0C">
              <w:rPr>
                <w:rStyle w:val="eop"/>
                <w:rFonts w:ascii="Verdana" w:hAnsi="Verdana" w:cs="Segoe UI"/>
                <w:sz w:val="16"/>
                <w:szCs w:val="16"/>
              </w:rPr>
              <w:t> </w:t>
            </w:r>
          </w:p>
        </w:tc>
      </w:tr>
      <w:tr w:rsidR="00A043F7" w:rsidRPr="00DE108C" w14:paraId="3A5909D3" w14:textId="77777777" w:rsidTr="00C05BDA">
        <w:trPr>
          <w:cnfStyle w:val="000000010000" w:firstRow="0" w:lastRow="0" w:firstColumn="0" w:lastColumn="0" w:oddVBand="0" w:evenVBand="0" w:oddHBand="0" w:evenHBand="1" w:firstRowFirstColumn="0" w:firstRowLastColumn="0" w:lastRowFirstColumn="0" w:lastRowLastColumn="0"/>
        </w:trPr>
        <w:tc>
          <w:tcPr>
            <w:tcW w:w="1555" w:type="dxa"/>
            <w:vMerge/>
            <w:shd w:val="clear" w:color="auto" w:fill="00428B" w:themeFill="text2"/>
          </w:tcPr>
          <w:p w14:paraId="6DEFB217" w14:textId="77777777" w:rsidR="002D42C1" w:rsidRPr="00DE108C" w:rsidRDefault="002D42C1" w:rsidP="00ED094E">
            <w:pPr>
              <w:rPr>
                <w:b/>
                <w:bCs/>
                <w:color w:val="FFFFFF" w:themeColor="background1"/>
                <w:sz w:val="16"/>
                <w:szCs w:val="16"/>
              </w:rPr>
            </w:pPr>
          </w:p>
        </w:tc>
        <w:tc>
          <w:tcPr>
            <w:tcW w:w="10064" w:type="dxa"/>
          </w:tcPr>
          <w:p w14:paraId="1F901957" w14:textId="6DE75842" w:rsidR="002D42C1" w:rsidRPr="00DE108C" w:rsidRDefault="002D42C1" w:rsidP="00ED094E">
            <w:pPr>
              <w:rPr>
                <w:sz w:val="16"/>
                <w:szCs w:val="16"/>
              </w:rPr>
            </w:pPr>
            <w:r w:rsidRPr="00DE108C">
              <w:rPr>
                <w:rStyle w:val="normaltextrun"/>
                <w:rFonts w:ascii="Verdana" w:hAnsi="Verdana" w:cs="Segoe UI"/>
                <w:sz w:val="16"/>
                <w:szCs w:val="16"/>
              </w:rPr>
              <w:t xml:space="preserve">Item #2: Transfer of </w:t>
            </w:r>
            <w:r w:rsidR="00446233" w:rsidRPr="00DE108C">
              <w:rPr>
                <w:rStyle w:val="normaltextrun"/>
                <w:rFonts w:ascii="Verdana" w:hAnsi="Verdana" w:cs="Segoe UI"/>
                <w:sz w:val="16"/>
                <w:szCs w:val="16"/>
              </w:rPr>
              <w:t>Northern Interceptor Sewer</w:t>
            </w:r>
            <w:r w:rsidRPr="00DE108C">
              <w:rPr>
                <w:rStyle w:val="normaltextrun"/>
                <w:rFonts w:ascii="Verdana" w:hAnsi="Verdana" w:cs="Segoe UI"/>
                <w:sz w:val="16"/>
                <w:szCs w:val="16"/>
              </w:rPr>
              <w:t xml:space="preserve"> to </w:t>
            </w:r>
            <w:r w:rsidRPr="68A6AB3D">
              <w:rPr>
                <w:rStyle w:val="normaltextrun"/>
                <w:rFonts w:ascii="Verdana" w:hAnsi="Verdana" w:cs="Segoe UI"/>
                <w:sz w:val="16"/>
                <w:szCs w:val="16"/>
              </w:rPr>
              <w:t>M</w:t>
            </w:r>
            <w:r w:rsidR="1FDE6280" w:rsidRPr="68A6AB3D">
              <w:rPr>
                <w:rStyle w:val="normaltextrun"/>
                <w:rFonts w:ascii="Verdana" w:hAnsi="Verdana" w:cs="Segoe UI"/>
                <w:sz w:val="16"/>
                <w:szCs w:val="16"/>
              </w:rPr>
              <w:t xml:space="preserve">elbourne </w:t>
            </w:r>
            <w:r w:rsidRPr="68A6AB3D">
              <w:rPr>
                <w:rStyle w:val="normaltextrun"/>
                <w:rFonts w:ascii="Verdana" w:hAnsi="Verdana" w:cs="Segoe UI"/>
                <w:sz w:val="16"/>
                <w:szCs w:val="16"/>
              </w:rPr>
              <w:t>W</w:t>
            </w:r>
            <w:r w:rsidR="0EB8842F" w:rsidRPr="68A6AB3D">
              <w:rPr>
                <w:rStyle w:val="normaltextrun"/>
                <w:rFonts w:ascii="Verdana" w:hAnsi="Verdana" w:cs="Segoe UI"/>
                <w:sz w:val="16"/>
                <w:szCs w:val="16"/>
              </w:rPr>
              <w:t>ater</w:t>
            </w:r>
            <w:r w:rsidRPr="00DE108C">
              <w:rPr>
                <w:rStyle w:val="normaltextrun"/>
                <w:rFonts w:ascii="Verdana" w:hAnsi="Verdana" w:cs="Segoe UI"/>
                <w:sz w:val="16"/>
                <w:szCs w:val="16"/>
              </w:rPr>
              <w:t xml:space="preserve">, and </w:t>
            </w:r>
            <w:r w:rsidRPr="68A6AB3D">
              <w:rPr>
                <w:rStyle w:val="normaltextrun"/>
                <w:rFonts w:ascii="Verdana" w:hAnsi="Verdana" w:cs="Segoe UI"/>
                <w:sz w:val="16"/>
                <w:szCs w:val="16"/>
              </w:rPr>
              <w:t>M</w:t>
            </w:r>
            <w:r w:rsidR="7F8F965B" w:rsidRPr="68A6AB3D">
              <w:rPr>
                <w:rStyle w:val="normaltextrun"/>
                <w:rFonts w:ascii="Verdana" w:hAnsi="Verdana" w:cs="Segoe UI"/>
                <w:sz w:val="16"/>
                <w:szCs w:val="16"/>
              </w:rPr>
              <w:t xml:space="preserve">elbourne </w:t>
            </w:r>
            <w:r w:rsidRPr="68A6AB3D">
              <w:rPr>
                <w:rStyle w:val="normaltextrun"/>
                <w:rFonts w:ascii="Verdana" w:hAnsi="Verdana" w:cs="Segoe UI"/>
                <w:sz w:val="16"/>
                <w:szCs w:val="16"/>
              </w:rPr>
              <w:t>W</w:t>
            </w:r>
            <w:r w:rsidR="4C267632" w:rsidRPr="68A6AB3D">
              <w:rPr>
                <w:rStyle w:val="normaltextrun"/>
                <w:rFonts w:ascii="Verdana" w:hAnsi="Verdana" w:cs="Segoe UI"/>
                <w:sz w:val="16"/>
                <w:szCs w:val="16"/>
              </w:rPr>
              <w:t>ater</w:t>
            </w:r>
            <w:r w:rsidRPr="00DE108C">
              <w:rPr>
                <w:rStyle w:val="normaltextrun"/>
                <w:rFonts w:ascii="Verdana" w:hAnsi="Verdana" w:cs="Segoe UI"/>
                <w:sz w:val="16"/>
                <w:szCs w:val="16"/>
              </w:rPr>
              <w:t xml:space="preserve"> to deliver Darebin Interceptor Sewer, and a subsequent review of asset ownership and interface principles, by 2028</w:t>
            </w:r>
            <w:r w:rsidR="242DED06" w:rsidRPr="2E5490A3">
              <w:rPr>
                <w:rStyle w:val="normaltextrun"/>
                <w:rFonts w:ascii="Verdana" w:hAnsi="Verdana" w:cs="Segoe UI"/>
                <w:sz w:val="16"/>
                <w:szCs w:val="16"/>
              </w:rPr>
              <w:t>.</w:t>
            </w:r>
            <w:r w:rsidR="008C46DF">
              <w:rPr>
                <w:rStyle w:val="normaltextrun"/>
                <w:rFonts w:ascii="Verdana" w:hAnsi="Verdana" w:cs="Segoe UI"/>
                <w:sz w:val="16"/>
                <w:szCs w:val="16"/>
              </w:rPr>
              <w:t xml:space="preserve"> </w:t>
            </w:r>
            <w:r w:rsidRPr="00DE108C">
              <w:rPr>
                <w:rStyle w:val="eop"/>
                <w:rFonts w:ascii="Verdana" w:hAnsi="Verdana" w:cs="Segoe UI"/>
                <w:sz w:val="16"/>
                <w:szCs w:val="16"/>
              </w:rPr>
              <w:t> </w:t>
            </w:r>
          </w:p>
        </w:tc>
        <w:tc>
          <w:tcPr>
            <w:tcW w:w="10742" w:type="dxa"/>
          </w:tcPr>
          <w:p w14:paraId="7628D12E" w14:textId="77777777" w:rsidR="002D42C1" w:rsidRPr="00DE108C" w:rsidRDefault="002D42C1" w:rsidP="00ED094E">
            <w:pPr>
              <w:pStyle w:val="paragraph"/>
              <w:spacing w:before="0" w:beforeAutospacing="0" w:after="0" w:afterAutospacing="0"/>
              <w:textAlignment w:val="baseline"/>
              <w:divId w:val="354119348"/>
              <w:rPr>
                <w:rFonts w:ascii="Segoe UI" w:hAnsi="Segoe UI" w:cs="Segoe UI"/>
                <w:color w:val="231F20"/>
                <w:sz w:val="16"/>
                <w:szCs w:val="16"/>
              </w:rPr>
            </w:pPr>
            <w:r w:rsidRPr="00DE108C">
              <w:rPr>
                <w:rStyle w:val="normaltextrun"/>
                <w:rFonts w:ascii="Verdana" w:hAnsi="Verdana" w:cs="Segoe UI"/>
                <w:b/>
                <w:bCs/>
                <w:color w:val="231F20"/>
                <w:sz w:val="16"/>
                <w:szCs w:val="16"/>
              </w:rPr>
              <w:t>Partially addressed</w:t>
            </w:r>
            <w:r w:rsidRPr="00DE108C">
              <w:rPr>
                <w:rStyle w:val="eop"/>
                <w:rFonts w:ascii="Verdana" w:hAnsi="Verdana" w:cs="Segoe UI"/>
                <w:color w:val="231F20"/>
                <w:sz w:val="16"/>
                <w:szCs w:val="16"/>
              </w:rPr>
              <w:t> </w:t>
            </w:r>
          </w:p>
          <w:p w14:paraId="16EDC2DB" w14:textId="4E29F854" w:rsidR="002D42C1" w:rsidRPr="00DE108C" w:rsidRDefault="002D42C1" w:rsidP="00ED094E">
            <w:pPr>
              <w:rPr>
                <w:sz w:val="16"/>
                <w:szCs w:val="16"/>
              </w:rPr>
            </w:pPr>
            <w:r w:rsidRPr="126BD7ED">
              <w:rPr>
                <w:rStyle w:val="normaltextrun"/>
                <w:rFonts w:ascii="Verdana" w:hAnsi="Verdana" w:cs="Segoe UI"/>
                <w:sz w:val="16"/>
                <w:szCs w:val="16"/>
              </w:rPr>
              <w:t xml:space="preserve">We are committing to working collaboratively with YVW to identify the least community-cost solution to address General Environmental Duty issues for which the Darebin Interceptor Sewer has been proposed. We are delivering the Bulk Supply Agreement Modernisation Project, which includes a workstream on Collaborative Planning and confirmation of Asset Ownership and principles for asset transfers. Our timelines will resolve in time for the 2028 </w:t>
            </w:r>
            <w:r w:rsidR="686C9D38" w:rsidRPr="126BD7ED">
              <w:rPr>
                <w:rStyle w:val="normaltextrun"/>
                <w:rFonts w:ascii="Verdana" w:hAnsi="Verdana" w:cs="Segoe UI"/>
                <w:sz w:val="16"/>
                <w:szCs w:val="16"/>
              </w:rPr>
              <w:t>P</w:t>
            </w:r>
            <w:r w:rsidRPr="126BD7ED">
              <w:rPr>
                <w:rStyle w:val="normaltextrun"/>
                <w:rFonts w:ascii="Verdana" w:hAnsi="Verdana" w:cs="Segoe UI"/>
                <w:sz w:val="16"/>
                <w:szCs w:val="16"/>
              </w:rPr>
              <w:t xml:space="preserve">rice </w:t>
            </w:r>
            <w:r w:rsidR="2F748CC8" w:rsidRPr="126BD7ED">
              <w:rPr>
                <w:rStyle w:val="normaltextrun"/>
                <w:rFonts w:ascii="Verdana" w:hAnsi="Verdana" w:cs="Segoe UI"/>
                <w:sz w:val="16"/>
                <w:szCs w:val="16"/>
              </w:rPr>
              <w:t>S</w:t>
            </w:r>
            <w:r w:rsidRPr="126BD7ED">
              <w:rPr>
                <w:rStyle w:val="normaltextrun"/>
                <w:rFonts w:ascii="Verdana" w:hAnsi="Verdana" w:cs="Segoe UI"/>
                <w:sz w:val="16"/>
                <w:szCs w:val="16"/>
              </w:rPr>
              <w:t>ubmissions.</w:t>
            </w:r>
            <w:r w:rsidRPr="126BD7ED">
              <w:rPr>
                <w:rStyle w:val="eop"/>
                <w:rFonts w:ascii="Verdana" w:hAnsi="Verdana" w:cs="Segoe UI"/>
                <w:sz w:val="16"/>
                <w:szCs w:val="16"/>
              </w:rPr>
              <w:t> </w:t>
            </w:r>
          </w:p>
        </w:tc>
      </w:tr>
      <w:tr w:rsidR="002D42C1" w:rsidRPr="00DE108C" w14:paraId="17AE4EF1" w14:textId="77777777" w:rsidTr="00C05BDA">
        <w:tc>
          <w:tcPr>
            <w:tcW w:w="1555" w:type="dxa"/>
            <w:vMerge/>
            <w:shd w:val="clear" w:color="auto" w:fill="00428B" w:themeFill="text2"/>
          </w:tcPr>
          <w:p w14:paraId="04DABB53" w14:textId="77777777" w:rsidR="002D42C1" w:rsidRPr="00DE108C" w:rsidRDefault="002D42C1" w:rsidP="00ED094E">
            <w:pPr>
              <w:rPr>
                <w:b/>
                <w:bCs/>
                <w:color w:val="FFFFFF" w:themeColor="background1"/>
                <w:sz w:val="16"/>
                <w:szCs w:val="16"/>
              </w:rPr>
            </w:pPr>
          </w:p>
        </w:tc>
        <w:tc>
          <w:tcPr>
            <w:tcW w:w="10064" w:type="dxa"/>
          </w:tcPr>
          <w:p w14:paraId="56510032" w14:textId="1F0E9A69" w:rsidR="002D42C1" w:rsidRPr="00DE108C" w:rsidRDefault="002D42C1" w:rsidP="00ED094E">
            <w:pPr>
              <w:rPr>
                <w:sz w:val="16"/>
                <w:szCs w:val="16"/>
              </w:rPr>
            </w:pPr>
            <w:r w:rsidRPr="2E5490A3">
              <w:rPr>
                <w:rStyle w:val="normaltextrun"/>
                <w:rFonts w:ascii="Verdana" w:hAnsi="Verdana" w:cs="Segoe UI"/>
                <w:sz w:val="16"/>
                <w:szCs w:val="16"/>
              </w:rPr>
              <w:t>Item #3: A new water quality Guaranteed Service Level (GSL) that would apply in cases of confirmed microbiological contamination</w:t>
            </w:r>
            <w:r w:rsidR="56A5FED7" w:rsidRPr="2E5490A3">
              <w:rPr>
                <w:rStyle w:val="normaltextrun"/>
                <w:rFonts w:ascii="Verdana" w:hAnsi="Verdana" w:cs="Segoe UI"/>
                <w:sz w:val="16"/>
                <w:szCs w:val="16"/>
              </w:rPr>
              <w:t>.</w:t>
            </w:r>
            <w:r w:rsidRPr="2E5490A3">
              <w:rPr>
                <w:rStyle w:val="eop"/>
                <w:rFonts w:ascii="Verdana" w:hAnsi="Verdana" w:cs="Segoe UI"/>
                <w:sz w:val="16"/>
                <w:szCs w:val="16"/>
              </w:rPr>
              <w:t> </w:t>
            </w:r>
          </w:p>
        </w:tc>
        <w:tc>
          <w:tcPr>
            <w:tcW w:w="10742" w:type="dxa"/>
          </w:tcPr>
          <w:p w14:paraId="7C815BF9" w14:textId="77777777" w:rsidR="002D42C1" w:rsidRPr="00DE108C" w:rsidRDefault="002D42C1" w:rsidP="00ED094E">
            <w:pPr>
              <w:pStyle w:val="paragraph"/>
              <w:spacing w:before="0" w:beforeAutospacing="0" w:after="0" w:afterAutospacing="0"/>
              <w:textAlignment w:val="baseline"/>
              <w:divId w:val="725646250"/>
              <w:rPr>
                <w:rFonts w:ascii="Segoe UI" w:hAnsi="Segoe UI" w:cs="Segoe UI"/>
                <w:color w:val="231F20"/>
                <w:sz w:val="16"/>
                <w:szCs w:val="16"/>
              </w:rPr>
            </w:pPr>
            <w:r w:rsidRPr="00DE108C">
              <w:rPr>
                <w:rStyle w:val="normaltextrun"/>
                <w:rFonts w:ascii="Verdana" w:hAnsi="Verdana" w:cs="Segoe UI"/>
                <w:b/>
                <w:bCs/>
                <w:color w:val="231F20"/>
                <w:sz w:val="16"/>
                <w:szCs w:val="16"/>
              </w:rPr>
              <w:t>Largely addressed</w:t>
            </w:r>
            <w:r w:rsidRPr="00DE108C">
              <w:rPr>
                <w:rStyle w:val="eop"/>
                <w:rFonts w:ascii="Verdana" w:hAnsi="Verdana" w:cs="Segoe UI"/>
                <w:color w:val="231F20"/>
                <w:sz w:val="16"/>
                <w:szCs w:val="16"/>
              </w:rPr>
              <w:t> </w:t>
            </w:r>
          </w:p>
          <w:p w14:paraId="09B2492F" w14:textId="7BCFBDA1" w:rsidR="002D42C1" w:rsidRPr="00DE108C" w:rsidRDefault="002D42C1" w:rsidP="00ED094E">
            <w:pPr>
              <w:rPr>
                <w:sz w:val="16"/>
                <w:szCs w:val="16"/>
              </w:rPr>
            </w:pPr>
            <w:r w:rsidRPr="00DE108C">
              <w:rPr>
                <w:rStyle w:val="normaltextrun"/>
                <w:rFonts w:ascii="Verdana" w:hAnsi="Verdana" w:cs="Segoe UI"/>
                <w:color w:val="231F20"/>
                <w:sz w:val="16"/>
                <w:szCs w:val="16"/>
              </w:rPr>
              <w:t xml:space="preserve">We are proposing to introduce a water quality GSL consistent with YVW’s request. Our proposed payment matches </w:t>
            </w:r>
            <w:r w:rsidR="00FB646F" w:rsidRPr="00FB646F">
              <w:rPr>
                <w:rStyle w:val="normaltextrun"/>
                <w:rFonts w:ascii="Verdana" w:hAnsi="Verdana" w:cs="Segoe UI"/>
                <w:sz w:val="16"/>
                <w:szCs w:val="16"/>
              </w:rPr>
              <w:t>metropolitan water corporation</w:t>
            </w:r>
            <w:r w:rsidR="00FB646F" w:rsidRPr="66247AEA">
              <w:rPr>
                <w:rStyle w:val="normaltextrun"/>
                <w:rFonts w:ascii="Verdana" w:hAnsi="Verdana" w:cs="Segoe UI"/>
                <w:sz w:val="16"/>
                <w:szCs w:val="16"/>
              </w:rPr>
              <w:t xml:space="preserve"> </w:t>
            </w:r>
            <w:r w:rsidRPr="00DE108C">
              <w:rPr>
                <w:rStyle w:val="normaltextrun"/>
                <w:rFonts w:ascii="Verdana" w:hAnsi="Verdana" w:cs="Segoe UI"/>
                <w:color w:val="231F20"/>
                <w:sz w:val="16"/>
                <w:szCs w:val="16"/>
              </w:rPr>
              <w:t>GSLs up to $75 (lower than the amount YVW proposed), but balances concerns around our commitment to safe and reliable drinking water with the potential financial liability that may be incurred during a large incident over which we have limited control.</w:t>
            </w:r>
            <w:r w:rsidRPr="00DE108C">
              <w:rPr>
                <w:rStyle w:val="eop"/>
                <w:rFonts w:ascii="Verdana" w:hAnsi="Verdana" w:cs="Segoe UI"/>
                <w:color w:val="231F20"/>
                <w:sz w:val="16"/>
                <w:szCs w:val="16"/>
              </w:rPr>
              <w:t> </w:t>
            </w:r>
          </w:p>
        </w:tc>
      </w:tr>
      <w:tr w:rsidR="00A043F7" w:rsidRPr="00DE108C" w14:paraId="76D9C451" w14:textId="77777777" w:rsidTr="00C05BDA">
        <w:trPr>
          <w:cnfStyle w:val="000000010000" w:firstRow="0" w:lastRow="0" w:firstColumn="0" w:lastColumn="0" w:oddVBand="0" w:evenVBand="0" w:oddHBand="0" w:evenHBand="1" w:firstRowFirstColumn="0" w:firstRowLastColumn="0" w:lastRowFirstColumn="0" w:lastRowLastColumn="0"/>
        </w:trPr>
        <w:tc>
          <w:tcPr>
            <w:tcW w:w="1555" w:type="dxa"/>
            <w:vMerge/>
            <w:shd w:val="clear" w:color="auto" w:fill="00428B" w:themeFill="text2"/>
          </w:tcPr>
          <w:p w14:paraId="1517363D" w14:textId="77777777" w:rsidR="002D42C1" w:rsidRPr="00DE108C" w:rsidRDefault="002D42C1" w:rsidP="00ED094E">
            <w:pPr>
              <w:rPr>
                <w:b/>
                <w:bCs/>
                <w:color w:val="FFFFFF" w:themeColor="background1"/>
                <w:sz w:val="16"/>
                <w:szCs w:val="16"/>
              </w:rPr>
            </w:pPr>
          </w:p>
        </w:tc>
        <w:tc>
          <w:tcPr>
            <w:tcW w:w="10064" w:type="dxa"/>
          </w:tcPr>
          <w:p w14:paraId="36888EF6" w14:textId="15C78EAC" w:rsidR="002D42C1" w:rsidRPr="00DE108C" w:rsidRDefault="002D42C1" w:rsidP="00ED094E">
            <w:pPr>
              <w:rPr>
                <w:sz w:val="16"/>
                <w:szCs w:val="16"/>
              </w:rPr>
            </w:pPr>
            <w:r w:rsidRPr="2E5490A3">
              <w:rPr>
                <w:rStyle w:val="normaltextrun"/>
                <w:rFonts w:ascii="Verdana" w:hAnsi="Verdana" w:cs="Segoe UI"/>
                <w:sz w:val="16"/>
                <w:szCs w:val="16"/>
              </w:rPr>
              <w:t xml:space="preserve">Item #4: Concern about delivery risk of large capital program including considering financial compensation if </w:t>
            </w:r>
            <w:r w:rsidRPr="68A6AB3D">
              <w:rPr>
                <w:rStyle w:val="normaltextrun"/>
                <w:rFonts w:ascii="Verdana" w:hAnsi="Verdana" w:cs="Segoe UI"/>
                <w:sz w:val="16"/>
                <w:szCs w:val="16"/>
              </w:rPr>
              <w:t>M</w:t>
            </w:r>
            <w:r w:rsidR="30466CB0" w:rsidRPr="68A6AB3D">
              <w:rPr>
                <w:rStyle w:val="normaltextrun"/>
                <w:rFonts w:ascii="Verdana" w:hAnsi="Verdana" w:cs="Segoe UI"/>
                <w:sz w:val="16"/>
                <w:szCs w:val="16"/>
              </w:rPr>
              <w:t xml:space="preserve">elbourne </w:t>
            </w:r>
            <w:r w:rsidRPr="68A6AB3D">
              <w:rPr>
                <w:rStyle w:val="normaltextrun"/>
                <w:rFonts w:ascii="Verdana" w:hAnsi="Verdana" w:cs="Segoe UI"/>
                <w:sz w:val="16"/>
                <w:szCs w:val="16"/>
              </w:rPr>
              <w:t>W</w:t>
            </w:r>
            <w:r w:rsidR="10C3F924" w:rsidRPr="68A6AB3D">
              <w:rPr>
                <w:rStyle w:val="normaltextrun"/>
                <w:rFonts w:ascii="Verdana" w:hAnsi="Verdana" w:cs="Segoe UI"/>
                <w:sz w:val="16"/>
                <w:szCs w:val="16"/>
              </w:rPr>
              <w:t>ater</w:t>
            </w:r>
            <w:r w:rsidRPr="2E5490A3">
              <w:rPr>
                <w:rStyle w:val="normaltextrun"/>
                <w:rFonts w:ascii="Verdana" w:hAnsi="Verdana" w:cs="Segoe UI"/>
                <w:sz w:val="16"/>
                <w:szCs w:val="16"/>
              </w:rPr>
              <w:t xml:space="preserve"> assets are not completed on time, particularly if a supply/redundancy risk is being held by YVW in the interim</w:t>
            </w:r>
            <w:r w:rsidR="0E38706D" w:rsidRPr="2E5490A3">
              <w:rPr>
                <w:rStyle w:val="normaltextrun"/>
                <w:rFonts w:ascii="Verdana" w:hAnsi="Verdana" w:cs="Segoe UI"/>
                <w:sz w:val="16"/>
                <w:szCs w:val="16"/>
              </w:rPr>
              <w:t>.</w:t>
            </w:r>
            <w:r w:rsidR="008C46DF">
              <w:rPr>
                <w:rStyle w:val="normaltextrun"/>
                <w:rFonts w:ascii="Verdana" w:hAnsi="Verdana" w:cs="Segoe UI"/>
                <w:sz w:val="16"/>
                <w:szCs w:val="16"/>
              </w:rPr>
              <w:t xml:space="preserve"> </w:t>
            </w:r>
            <w:r w:rsidRPr="2E5490A3">
              <w:rPr>
                <w:rStyle w:val="eop"/>
                <w:rFonts w:ascii="Verdana" w:hAnsi="Verdana" w:cs="Segoe UI"/>
                <w:sz w:val="16"/>
                <w:szCs w:val="16"/>
              </w:rPr>
              <w:t> </w:t>
            </w:r>
          </w:p>
        </w:tc>
        <w:tc>
          <w:tcPr>
            <w:tcW w:w="10742" w:type="dxa"/>
          </w:tcPr>
          <w:p w14:paraId="2FE1542D" w14:textId="77777777" w:rsidR="002D42C1" w:rsidRPr="00DE108C" w:rsidRDefault="002D42C1" w:rsidP="00ED094E">
            <w:pPr>
              <w:pStyle w:val="paragraph"/>
              <w:spacing w:before="0" w:beforeAutospacing="0" w:after="0" w:afterAutospacing="0"/>
              <w:textAlignment w:val="baseline"/>
              <w:divId w:val="494345171"/>
              <w:rPr>
                <w:rFonts w:ascii="Segoe UI" w:hAnsi="Segoe UI" w:cs="Segoe UI"/>
                <w:color w:val="231F20"/>
                <w:sz w:val="16"/>
                <w:szCs w:val="16"/>
              </w:rPr>
            </w:pPr>
            <w:r w:rsidRPr="00DE108C">
              <w:rPr>
                <w:rStyle w:val="normaltextrun"/>
                <w:rFonts w:ascii="Verdana" w:hAnsi="Verdana" w:cs="Segoe UI"/>
                <w:b/>
                <w:bCs/>
                <w:color w:val="231F20"/>
                <w:sz w:val="16"/>
                <w:szCs w:val="16"/>
              </w:rPr>
              <w:t>Partially addressed</w:t>
            </w:r>
            <w:r w:rsidRPr="00DE108C">
              <w:rPr>
                <w:rStyle w:val="eop"/>
                <w:rFonts w:ascii="Verdana" w:hAnsi="Verdana" w:cs="Segoe UI"/>
                <w:color w:val="231F20"/>
                <w:sz w:val="16"/>
                <w:szCs w:val="16"/>
              </w:rPr>
              <w:t> </w:t>
            </w:r>
          </w:p>
          <w:p w14:paraId="72670FE5" w14:textId="1387BF7B" w:rsidR="002D42C1" w:rsidRPr="00DE108C" w:rsidRDefault="002D42C1" w:rsidP="00ED094E">
            <w:pPr>
              <w:rPr>
                <w:sz w:val="16"/>
                <w:szCs w:val="16"/>
              </w:rPr>
            </w:pPr>
            <w:r w:rsidRPr="2A785755">
              <w:rPr>
                <w:rStyle w:val="normaltextrun"/>
                <w:rFonts w:ascii="Verdana" w:hAnsi="Verdana" w:cs="Segoe UI"/>
                <w:sz w:val="16"/>
                <w:szCs w:val="16"/>
              </w:rPr>
              <w:t>We heard that YVW is concerned about M</w:t>
            </w:r>
            <w:r w:rsidR="52FF8309" w:rsidRPr="2A785755">
              <w:rPr>
                <w:rStyle w:val="normaltextrun"/>
                <w:rFonts w:ascii="Verdana" w:hAnsi="Verdana" w:cs="Segoe UI"/>
                <w:sz w:val="16"/>
                <w:szCs w:val="16"/>
              </w:rPr>
              <w:t>elbourne</w:t>
            </w:r>
            <w:r w:rsidR="008A1A30">
              <w:rPr>
                <w:rStyle w:val="normaltextrun"/>
                <w:rFonts w:ascii="Verdana" w:hAnsi="Verdana" w:cs="Segoe UI"/>
                <w:sz w:val="16"/>
                <w:szCs w:val="16"/>
              </w:rPr>
              <w:t xml:space="preserve"> </w:t>
            </w:r>
            <w:r w:rsidRPr="2A785755">
              <w:rPr>
                <w:rStyle w:val="normaltextrun"/>
                <w:rFonts w:ascii="Verdana" w:hAnsi="Verdana" w:cs="Segoe UI"/>
                <w:sz w:val="16"/>
                <w:szCs w:val="16"/>
              </w:rPr>
              <w:t>W</w:t>
            </w:r>
            <w:r w:rsidR="047B9550" w:rsidRPr="2A785755">
              <w:rPr>
                <w:rStyle w:val="normaltextrun"/>
                <w:rFonts w:ascii="Verdana" w:hAnsi="Verdana" w:cs="Segoe UI"/>
                <w:sz w:val="16"/>
                <w:szCs w:val="16"/>
              </w:rPr>
              <w:t>ater</w:t>
            </w:r>
            <w:r w:rsidRPr="2A785755">
              <w:rPr>
                <w:rStyle w:val="normaltextrun"/>
                <w:rFonts w:ascii="Verdana" w:hAnsi="Verdana" w:cs="Segoe UI"/>
                <w:sz w:val="16"/>
                <w:szCs w:val="16"/>
              </w:rPr>
              <w:t>’s delivery track record and that its customers are exposed to price increases associated with M</w:t>
            </w:r>
            <w:r w:rsidR="4A422857" w:rsidRPr="2A785755">
              <w:rPr>
                <w:rStyle w:val="normaltextrun"/>
                <w:rFonts w:ascii="Verdana" w:hAnsi="Verdana" w:cs="Segoe UI"/>
                <w:sz w:val="16"/>
                <w:szCs w:val="16"/>
              </w:rPr>
              <w:t xml:space="preserve">elbourne </w:t>
            </w:r>
            <w:r w:rsidRPr="258C7D38">
              <w:rPr>
                <w:rStyle w:val="normaltextrun"/>
                <w:rFonts w:ascii="Verdana" w:hAnsi="Verdana" w:cs="Segoe UI"/>
                <w:sz w:val="16"/>
                <w:szCs w:val="16"/>
              </w:rPr>
              <w:t>W</w:t>
            </w:r>
            <w:r w:rsidR="4DE550C4" w:rsidRPr="258C7D38">
              <w:rPr>
                <w:rStyle w:val="normaltextrun"/>
                <w:rFonts w:ascii="Verdana" w:hAnsi="Verdana" w:cs="Segoe UI"/>
                <w:sz w:val="16"/>
                <w:szCs w:val="16"/>
              </w:rPr>
              <w:t>ater</w:t>
            </w:r>
            <w:r w:rsidRPr="258C7D38">
              <w:rPr>
                <w:rStyle w:val="normaltextrun"/>
                <w:rFonts w:ascii="Verdana" w:hAnsi="Verdana" w:cs="Segoe UI"/>
                <w:sz w:val="16"/>
                <w:szCs w:val="16"/>
              </w:rPr>
              <w:t>’s</w:t>
            </w:r>
            <w:r w:rsidRPr="2A785755">
              <w:rPr>
                <w:rStyle w:val="normaltextrun"/>
                <w:rFonts w:ascii="Verdana" w:hAnsi="Verdana" w:cs="Segoe UI"/>
                <w:sz w:val="16"/>
                <w:szCs w:val="16"/>
              </w:rPr>
              <w:t xml:space="preserve"> larger 2026-31 capital program - even if </w:t>
            </w:r>
            <w:r w:rsidRPr="258C7D38">
              <w:rPr>
                <w:rStyle w:val="normaltextrun"/>
                <w:rFonts w:ascii="Verdana" w:hAnsi="Verdana" w:cs="Segoe UI"/>
                <w:sz w:val="16"/>
                <w:szCs w:val="16"/>
              </w:rPr>
              <w:t>M</w:t>
            </w:r>
            <w:r w:rsidR="56270239" w:rsidRPr="258C7D38">
              <w:rPr>
                <w:rStyle w:val="normaltextrun"/>
                <w:rFonts w:ascii="Verdana" w:hAnsi="Verdana" w:cs="Segoe UI"/>
                <w:sz w:val="16"/>
                <w:szCs w:val="16"/>
              </w:rPr>
              <w:t xml:space="preserve">elbourne </w:t>
            </w:r>
            <w:r w:rsidRPr="258C7D38">
              <w:rPr>
                <w:rStyle w:val="normaltextrun"/>
                <w:rFonts w:ascii="Verdana" w:hAnsi="Verdana" w:cs="Segoe UI"/>
                <w:sz w:val="16"/>
                <w:szCs w:val="16"/>
              </w:rPr>
              <w:t>W</w:t>
            </w:r>
            <w:r w:rsidR="42C1B72D" w:rsidRPr="258C7D38">
              <w:rPr>
                <w:rStyle w:val="normaltextrun"/>
                <w:rFonts w:ascii="Verdana" w:hAnsi="Verdana" w:cs="Segoe UI"/>
                <w:sz w:val="16"/>
                <w:szCs w:val="16"/>
              </w:rPr>
              <w:t>ater</w:t>
            </w:r>
            <w:r w:rsidRPr="2A785755">
              <w:rPr>
                <w:rStyle w:val="normaltextrun"/>
                <w:rFonts w:ascii="Verdana" w:hAnsi="Verdana" w:cs="Segoe UI"/>
                <w:sz w:val="16"/>
                <w:szCs w:val="16"/>
              </w:rPr>
              <w:t xml:space="preserve"> cannot deliver the capital uplift. Addressing this, we have only included expenditure we have assessed as prudent, efficient, deliverable and certain. We have also phased expenditure for a smooth delivery ramp. Where projects have some remaining questions about deliverability or certainty, we have deferred these into the following period for pricing purposes. We have included project development expenditure only for these projects</w:t>
            </w:r>
            <w:r w:rsidR="47DD8E4B" w:rsidRPr="4683E6F9">
              <w:rPr>
                <w:rStyle w:val="normaltextrun"/>
                <w:rFonts w:ascii="Verdana" w:hAnsi="Verdana" w:cs="Segoe UI"/>
                <w:sz w:val="16"/>
                <w:szCs w:val="16"/>
              </w:rPr>
              <w:t>,</w:t>
            </w:r>
            <w:r w:rsidRPr="2A785755">
              <w:rPr>
                <w:rStyle w:val="normaltextrun"/>
                <w:rFonts w:ascii="Verdana" w:hAnsi="Verdana" w:cs="Segoe UI"/>
                <w:sz w:val="16"/>
                <w:szCs w:val="16"/>
              </w:rPr>
              <w:t xml:space="preserve"> keeping out options open to fast-track delivery if capacity becomes available. </w:t>
            </w:r>
            <w:r w:rsidR="2407885F" w:rsidRPr="4683E6F9">
              <w:rPr>
                <w:rStyle w:val="normaltextrun"/>
                <w:rFonts w:ascii="Verdana" w:hAnsi="Verdana" w:cs="Segoe UI"/>
                <w:sz w:val="16"/>
                <w:szCs w:val="16"/>
              </w:rPr>
              <w:t>Therefore</w:t>
            </w:r>
            <w:r w:rsidRPr="2A785755">
              <w:rPr>
                <w:rStyle w:val="normaltextrun"/>
                <w:rFonts w:ascii="Verdana" w:hAnsi="Verdana" w:cs="Segoe UI"/>
                <w:sz w:val="16"/>
                <w:szCs w:val="16"/>
              </w:rPr>
              <w:t xml:space="preserve">, our </w:t>
            </w:r>
            <w:r w:rsidRPr="2A785755">
              <w:rPr>
                <w:rStyle w:val="normaltextrun"/>
                <w:rFonts w:ascii="Verdana" w:hAnsi="Verdana" w:cs="Segoe UI"/>
                <w:sz w:val="16"/>
                <w:szCs w:val="16"/>
              </w:rPr>
              <w:lastRenderedPageBreak/>
              <w:t>benchmark is the absolute minimum program we would deliver in recognition there is a further increased requirement for capital expenditure in the 2031-36 period. We will take on the risk of ESC post-prudency and efficiency review for above benchmark expenditure.</w:t>
            </w:r>
            <w:r w:rsidR="008C46DF">
              <w:rPr>
                <w:rStyle w:val="normaltextrun"/>
                <w:rFonts w:ascii="Verdana" w:hAnsi="Verdana" w:cs="Segoe UI"/>
                <w:sz w:val="16"/>
                <w:szCs w:val="16"/>
              </w:rPr>
              <w:t xml:space="preserve"> </w:t>
            </w:r>
          </w:p>
        </w:tc>
      </w:tr>
      <w:tr w:rsidR="002D42C1" w:rsidRPr="00DE108C" w14:paraId="3B046E49" w14:textId="77777777" w:rsidTr="00C05BDA">
        <w:tc>
          <w:tcPr>
            <w:tcW w:w="1555" w:type="dxa"/>
            <w:vMerge/>
            <w:shd w:val="clear" w:color="auto" w:fill="00428B" w:themeFill="text2"/>
          </w:tcPr>
          <w:p w14:paraId="1B4D48A5" w14:textId="77777777" w:rsidR="002D42C1" w:rsidRPr="00DE108C" w:rsidRDefault="002D42C1" w:rsidP="00ED094E">
            <w:pPr>
              <w:rPr>
                <w:b/>
                <w:bCs/>
                <w:color w:val="FFFFFF" w:themeColor="background1"/>
                <w:sz w:val="16"/>
                <w:szCs w:val="16"/>
              </w:rPr>
            </w:pPr>
          </w:p>
        </w:tc>
        <w:tc>
          <w:tcPr>
            <w:tcW w:w="10064" w:type="dxa"/>
          </w:tcPr>
          <w:p w14:paraId="7EE8A719" w14:textId="2628437D" w:rsidR="002D42C1" w:rsidRPr="00DE108C" w:rsidRDefault="002D42C1" w:rsidP="00ED094E">
            <w:pPr>
              <w:rPr>
                <w:sz w:val="16"/>
                <w:szCs w:val="16"/>
              </w:rPr>
            </w:pPr>
            <w:r w:rsidRPr="2E5490A3">
              <w:rPr>
                <w:rStyle w:val="normaltextrun"/>
                <w:rFonts w:ascii="Verdana" w:hAnsi="Verdana" w:cs="Segoe UI"/>
                <w:sz w:val="16"/>
                <w:szCs w:val="16"/>
              </w:rPr>
              <w:t>Item #5: That YVW’s unique customer base be considered and involvement in our engagement processes</w:t>
            </w:r>
            <w:r w:rsidR="20876872" w:rsidRPr="2E5490A3">
              <w:rPr>
                <w:rStyle w:val="normaltextrun"/>
                <w:rFonts w:ascii="Verdana" w:hAnsi="Verdana" w:cs="Segoe UI"/>
                <w:sz w:val="16"/>
                <w:szCs w:val="16"/>
              </w:rPr>
              <w:t>.</w:t>
            </w:r>
            <w:r w:rsidR="008C46DF">
              <w:rPr>
                <w:rStyle w:val="normaltextrun"/>
                <w:rFonts w:ascii="Verdana" w:hAnsi="Verdana" w:cs="Segoe UI"/>
                <w:sz w:val="16"/>
                <w:szCs w:val="16"/>
              </w:rPr>
              <w:t xml:space="preserve"> </w:t>
            </w:r>
            <w:r w:rsidRPr="2E5490A3">
              <w:rPr>
                <w:rStyle w:val="eop"/>
                <w:rFonts w:ascii="Verdana" w:hAnsi="Verdana" w:cs="Segoe UI"/>
                <w:sz w:val="16"/>
                <w:szCs w:val="16"/>
              </w:rPr>
              <w:t> </w:t>
            </w:r>
          </w:p>
        </w:tc>
        <w:tc>
          <w:tcPr>
            <w:tcW w:w="10742" w:type="dxa"/>
          </w:tcPr>
          <w:p w14:paraId="3E5F5D06" w14:textId="77777777" w:rsidR="002D42C1" w:rsidRPr="00DE108C" w:rsidRDefault="002D42C1" w:rsidP="00ED094E">
            <w:pPr>
              <w:pStyle w:val="paragraph"/>
              <w:spacing w:before="0" w:beforeAutospacing="0" w:after="0" w:afterAutospacing="0"/>
              <w:textAlignment w:val="baseline"/>
              <w:divId w:val="1308778756"/>
              <w:rPr>
                <w:rFonts w:ascii="Segoe UI" w:hAnsi="Segoe UI" w:cs="Segoe UI"/>
                <w:color w:val="231F20"/>
                <w:sz w:val="16"/>
                <w:szCs w:val="16"/>
              </w:rPr>
            </w:pPr>
            <w:r w:rsidRPr="00DE108C">
              <w:rPr>
                <w:rStyle w:val="normaltextrun"/>
                <w:rFonts w:ascii="Verdana" w:hAnsi="Verdana" w:cs="Segoe UI"/>
                <w:b/>
                <w:bCs/>
                <w:color w:val="231F20"/>
                <w:sz w:val="16"/>
                <w:szCs w:val="16"/>
              </w:rPr>
              <w:t>Largely addressed</w:t>
            </w:r>
            <w:r w:rsidRPr="00DE108C">
              <w:rPr>
                <w:rStyle w:val="eop"/>
                <w:rFonts w:ascii="Verdana" w:hAnsi="Verdana" w:cs="Segoe UI"/>
                <w:color w:val="231F20"/>
                <w:sz w:val="16"/>
                <w:szCs w:val="16"/>
              </w:rPr>
              <w:t> </w:t>
            </w:r>
          </w:p>
          <w:p w14:paraId="6B807B3B" w14:textId="4D0A22BB" w:rsidR="002D42C1" w:rsidRPr="00DE108C" w:rsidRDefault="002D42C1" w:rsidP="00ED094E">
            <w:pPr>
              <w:rPr>
                <w:sz w:val="16"/>
                <w:szCs w:val="16"/>
              </w:rPr>
            </w:pPr>
            <w:r w:rsidRPr="64A8DBD1">
              <w:rPr>
                <w:rStyle w:val="normaltextrun"/>
                <w:rFonts w:ascii="Verdana" w:hAnsi="Verdana" w:cs="Segoe UI"/>
                <w:sz w:val="16"/>
                <w:szCs w:val="16"/>
              </w:rPr>
              <w:t xml:space="preserve">We have actively sought to balance the number of participants in engagements with end-use customers across water corporations, had a good sample size for each water corporation across our social research, completed a YVW-specific focus group as part of our Playback process, had a community pop-up in the YVW service region, and we have engaged with YVW </w:t>
            </w:r>
            <w:r w:rsidR="3C155226" w:rsidRPr="64A8DBD1">
              <w:rPr>
                <w:rStyle w:val="normaltextrun"/>
                <w:rFonts w:ascii="Verdana" w:hAnsi="Verdana" w:cs="Segoe UI"/>
                <w:sz w:val="16"/>
                <w:szCs w:val="16"/>
              </w:rPr>
              <w:t>one-to-one</w:t>
            </w:r>
            <w:r w:rsidRPr="64A8DBD1">
              <w:rPr>
                <w:rStyle w:val="normaltextrun"/>
                <w:rFonts w:ascii="Verdana" w:hAnsi="Verdana" w:cs="Segoe UI"/>
                <w:sz w:val="16"/>
                <w:szCs w:val="16"/>
              </w:rPr>
              <w:t xml:space="preserve"> with regulatory, planning and operational representatives and in various forums in preparing the </w:t>
            </w:r>
            <w:r w:rsidR="59C0FC3D" w:rsidRPr="64A8DBD1">
              <w:rPr>
                <w:rStyle w:val="normaltextrun"/>
                <w:rFonts w:ascii="Verdana" w:hAnsi="Verdana" w:cs="Segoe UI"/>
                <w:sz w:val="16"/>
                <w:szCs w:val="16"/>
              </w:rPr>
              <w:t>P</w:t>
            </w:r>
            <w:r w:rsidRPr="64A8DBD1">
              <w:rPr>
                <w:rStyle w:val="normaltextrun"/>
                <w:rFonts w:ascii="Verdana" w:hAnsi="Verdana" w:cs="Segoe UI"/>
                <w:sz w:val="16"/>
                <w:szCs w:val="16"/>
              </w:rPr>
              <w:t xml:space="preserve">rice </w:t>
            </w:r>
            <w:r w:rsidR="3CD0B07D" w:rsidRPr="64A8DBD1">
              <w:rPr>
                <w:rStyle w:val="normaltextrun"/>
                <w:rFonts w:ascii="Verdana" w:hAnsi="Verdana" w:cs="Segoe UI"/>
                <w:sz w:val="16"/>
                <w:szCs w:val="16"/>
              </w:rPr>
              <w:t>S</w:t>
            </w:r>
            <w:r w:rsidRPr="64A8DBD1">
              <w:rPr>
                <w:rStyle w:val="normaltextrun"/>
                <w:rFonts w:ascii="Verdana" w:hAnsi="Verdana" w:cs="Segoe UI"/>
                <w:sz w:val="16"/>
                <w:szCs w:val="16"/>
              </w:rPr>
              <w:t>ubmission. We are keen to build from our engagement experience to support YVW and other connected water corporations where collective engagement is needed for co</w:t>
            </w:r>
            <w:r w:rsidR="160043A9" w:rsidRPr="5FD00C3F">
              <w:rPr>
                <w:rStyle w:val="normaltextrun"/>
                <w:rFonts w:ascii="Verdana" w:hAnsi="Verdana" w:cs="Segoe UI"/>
                <w:sz w:val="16"/>
                <w:szCs w:val="16"/>
              </w:rPr>
              <w:t>-</w:t>
            </w:r>
            <w:r w:rsidRPr="64A8DBD1">
              <w:rPr>
                <w:rStyle w:val="normaltextrun"/>
                <w:rFonts w:ascii="Verdana" w:hAnsi="Verdana" w:cs="Segoe UI"/>
                <w:sz w:val="16"/>
                <w:szCs w:val="16"/>
              </w:rPr>
              <w:t xml:space="preserve">submissions and looking forward to Melbourne Water’s 2031 submission. </w:t>
            </w:r>
            <w:r w:rsidR="008C46DF">
              <w:rPr>
                <w:rStyle w:val="normaltextrun"/>
                <w:rFonts w:ascii="Verdana" w:hAnsi="Verdana" w:cs="Segoe UI"/>
                <w:sz w:val="16"/>
                <w:szCs w:val="16"/>
              </w:rPr>
              <w:t xml:space="preserve"> </w:t>
            </w:r>
          </w:p>
        </w:tc>
      </w:tr>
      <w:tr w:rsidR="00A043F7" w:rsidRPr="00DE108C" w14:paraId="5CA50C0D" w14:textId="77777777" w:rsidTr="00C05BDA">
        <w:trPr>
          <w:cnfStyle w:val="000000010000" w:firstRow="0" w:lastRow="0" w:firstColumn="0" w:lastColumn="0" w:oddVBand="0" w:evenVBand="0" w:oddHBand="0" w:evenHBand="1" w:firstRowFirstColumn="0" w:firstRowLastColumn="0" w:lastRowFirstColumn="0" w:lastRowLastColumn="0"/>
        </w:trPr>
        <w:tc>
          <w:tcPr>
            <w:tcW w:w="1555" w:type="dxa"/>
            <w:vMerge/>
            <w:shd w:val="clear" w:color="auto" w:fill="00428B" w:themeFill="text2"/>
          </w:tcPr>
          <w:p w14:paraId="3407B712" w14:textId="77777777" w:rsidR="002D42C1" w:rsidRPr="00DE108C" w:rsidRDefault="002D42C1" w:rsidP="00ED094E">
            <w:pPr>
              <w:rPr>
                <w:b/>
                <w:bCs/>
                <w:color w:val="FFFFFF" w:themeColor="background1"/>
                <w:sz w:val="16"/>
                <w:szCs w:val="16"/>
              </w:rPr>
            </w:pPr>
          </w:p>
        </w:tc>
        <w:tc>
          <w:tcPr>
            <w:tcW w:w="10064" w:type="dxa"/>
          </w:tcPr>
          <w:p w14:paraId="2706EB22" w14:textId="46DD4AD1" w:rsidR="002D42C1" w:rsidRPr="00821A05" w:rsidRDefault="002D42C1" w:rsidP="00ED094E">
            <w:pPr>
              <w:rPr>
                <w:sz w:val="16"/>
                <w:szCs w:val="16"/>
              </w:rPr>
            </w:pPr>
            <w:r w:rsidRPr="00821A05">
              <w:rPr>
                <w:rStyle w:val="normaltextrun"/>
                <w:rFonts w:ascii="Verdana" w:hAnsi="Verdana" w:cs="Segoe UI"/>
                <w:sz w:val="16"/>
                <w:szCs w:val="16"/>
              </w:rPr>
              <w:t>Item #6: Co-design of measures and targets, including measure</w:t>
            </w:r>
            <w:r w:rsidR="00A77F73" w:rsidRPr="00821A05">
              <w:rPr>
                <w:rStyle w:val="normaltextrun"/>
                <w:rFonts w:ascii="Verdana" w:hAnsi="Verdana" w:cs="Segoe UI"/>
                <w:sz w:val="16"/>
                <w:szCs w:val="16"/>
              </w:rPr>
              <w:t>s</w:t>
            </w:r>
            <w:r w:rsidRPr="00821A05">
              <w:rPr>
                <w:rStyle w:val="normaltextrun"/>
                <w:rFonts w:ascii="Verdana" w:hAnsi="Verdana" w:cs="Segoe UI"/>
                <w:sz w:val="16"/>
                <w:szCs w:val="16"/>
              </w:rPr>
              <w:t xml:space="preserve"> on water security and a customer satisfaction measure that reflects the relationship between Melbourne Water and connected water corporations, including delivery on commitments made</w:t>
            </w:r>
            <w:r w:rsidR="4F436804" w:rsidRPr="00821A05">
              <w:rPr>
                <w:rStyle w:val="normaltextrun"/>
                <w:rFonts w:ascii="Verdana" w:hAnsi="Verdana" w:cs="Segoe UI"/>
                <w:sz w:val="16"/>
                <w:szCs w:val="16"/>
              </w:rPr>
              <w:t>.</w:t>
            </w:r>
            <w:r w:rsidRPr="00821A05">
              <w:rPr>
                <w:rStyle w:val="eop"/>
                <w:rFonts w:ascii="Verdana" w:hAnsi="Verdana" w:cs="Segoe UI"/>
                <w:sz w:val="16"/>
                <w:szCs w:val="16"/>
              </w:rPr>
              <w:t> </w:t>
            </w:r>
          </w:p>
        </w:tc>
        <w:tc>
          <w:tcPr>
            <w:tcW w:w="10742" w:type="dxa"/>
          </w:tcPr>
          <w:p w14:paraId="4F7736AA" w14:textId="2E1CFDAC" w:rsidR="002D42C1" w:rsidRPr="00821A05" w:rsidRDefault="005C43F4" w:rsidP="00ED094E">
            <w:pPr>
              <w:pStyle w:val="paragraph"/>
              <w:spacing w:before="0" w:beforeAutospacing="0" w:after="0" w:afterAutospacing="0"/>
              <w:textAlignment w:val="baseline"/>
              <w:divId w:val="332999949"/>
              <w:rPr>
                <w:rFonts w:ascii="Segoe UI" w:hAnsi="Segoe UI" w:cs="Segoe UI"/>
                <w:color w:val="231F20"/>
                <w:sz w:val="16"/>
                <w:szCs w:val="16"/>
              </w:rPr>
            </w:pPr>
            <w:r w:rsidRPr="00821A05">
              <w:rPr>
                <w:rStyle w:val="normaltextrun"/>
                <w:rFonts w:ascii="Verdana" w:hAnsi="Verdana" w:cs="Segoe UI"/>
                <w:b/>
                <w:bCs/>
                <w:color w:val="231F20"/>
                <w:sz w:val="16"/>
                <w:szCs w:val="16"/>
              </w:rPr>
              <w:t xml:space="preserve">Largely </w:t>
            </w:r>
            <w:r w:rsidRPr="00821A05">
              <w:rPr>
                <w:rStyle w:val="normaltextrun"/>
                <w:rFonts w:ascii="Verdana" w:hAnsi="Verdana" w:cs="Segoe UI"/>
                <w:b/>
                <w:color w:val="231F20"/>
                <w:sz w:val="16"/>
                <w:szCs w:val="16"/>
              </w:rPr>
              <w:t>a</w:t>
            </w:r>
            <w:r w:rsidRPr="00821A05">
              <w:rPr>
                <w:rStyle w:val="normaltextrun"/>
                <w:rFonts w:ascii="Verdana" w:hAnsi="Verdana" w:cs="Segoe UI"/>
                <w:b/>
                <w:bCs/>
                <w:color w:val="231F20"/>
                <w:sz w:val="16"/>
                <w:szCs w:val="16"/>
              </w:rPr>
              <w:t>ddressed</w:t>
            </w:r>
            <w:r w:rsidRPr="00821A05">
              <w:rPr>
                <w:rStyle w:val="eop"/>
                <w:rFonts w:ascii="Verdana" w:hAnsi="Verdana" w:cs="Segoe UI"/>
                <w:color w:val="231F20"/>
                <w:sz w:val="16"/>
                <w:szCs w:val="16"/>
              </w:rPr>
              <w:t> </w:t>
            </w:r>
          </w:p>
          <w:p w14:paraId="2B790441" w14:textId="5E718684" w:rsidR="002D42C1" w:rsidRPr="00821A05" w:rsidRDefault="002D42C1" w:rsidP="00ED094E">
            <w:pPr>
              <w:rPr>
                <w:sz w:val="16"/>
                <w:szCs w:val="16"/>
              </w:rPr>
            </w:pPr>
            <w:r w:rsidRPr="00821A05">
              <w:rPr>
                <w:rStyle w:val="normaltextrun"/>
                <w:rFonts w:ascii="Verdana" w:hAnsi="Verdana" w:cs="Segoe UI"/>
                <w:sz w:val="16"/>
                <w:szCs w:val="16"/>
              </w:rPr>
              <w:t>We have updated Outcomes and measures based on feedback from customers and community, including introducing a new measure around the health of the relationship between M</w:t>
            </w:r>
            <w:r w:rsidR="425C323A" w:rsidRPr="00821A05">
              <w:rPr>
                <w:rStyle w:val="normaltextrun"/>
                <w:rFonts w:ascii="Verdana" w:hAnsi="Verdana" w:cs="Segoe UI"/>
                <w:sz w:val="16"/>
                <w:szCs w:val="16"/>
              </w:rPr>
              <w:t xml:space="preserve">elbourne </w:t>
            </w:r>
            <w:r w:rsidRPr="00821A05">
              <w:rPr>
                <w:rStyle w:val="normaltextrun"/>
                <w:rFonts w:ascii="Verdana" w:hAnsi="Verdana" w:cs="Segoe UI"/>
                <w:sz w:val="16"/>
                <w:szCs w:val="16"/>
              </w:rPr>
              <w:t>W</w:t>
            </w:r>
            <w:r w:rsidR="72F2D0CC" w:rsidRPr="00821A05">
              <w:rPr>
                <w:rStyle w:val="normaltextrun"/>
                <w:rFonts w:ascii="Verdana" w:hAnsi="Verdana" w:cs="Segoe UI"/>
                <w:sz w:val="16"/>
                <w:szCs w:val="16"/>
              </w:rPr>
              <w:t>ater</w:t>
            </w:r>
            <w:r w:rsidRPr="00821A05">
              <w:rPr>
                <w:rStyle w:val="normaltextrun"/>
                <w:rFonts w:ascii="Verdana" w:hAnsi="Verdana" w:cs="Segoe UI"/>
                <w:sz w:val="16"/>
                <w:szCs w:val="16"/>
              </w:rPr>
              <w:t xml:space="preserve"> and bulk customers and a new measure on water security.</w:t>
            </w:r>
            <w:r w:rsidR="00A54115" w:rsidRPr="00821A05">
              <w:rPr>
                <w:rStyle w:val="normaltextrun"/>
                <w:rFonts w:ascii="Verdana" w:hAnsi="Verdana" w:cs="Segoe UI"/>
                <w:sz w:val="16"/>
                <w:szCs w:val="16"/>
              </w:rPr>
              <w:t xml:space="preserve"> We </w:t>
            </w:r>
            <w:r w:rsidR="003255CB" w:rsidRPr="00821A05">
              <w:rPr>
                <w:rStyle w:val="normaltextrun"/>
                <w:rFonts w:ascii="Verdana" w:hAnsi="Verdana" w:cs="Segoe UI"/>
                <w:sz w:val="16"/>
                <w:szCs w:val="16"/>
              </w:rPr>
              <w:t>heard</w:t>
            </w:r>
            <w:r w:rsidR="00A54115" w:rsidRPr="00821A05">
              <w:rPr>
                <w:rStyle w:val="normaltextrun"/>
                <w:rFonts w:ascii="Verdana" w:hAnsi="Verdana" w:cs="Segoe UI"/>
                <w:sz w:val="16"/>
                <w:szCs w:val="16"/>
              </w:rPr>
              <w:t xml:space="preserve"> that Yarra Valley Water has a </w:t>
            </w:r>
            <w:r w:rsidR="00DD38B9" w:rsidRPr="00821A05">
              <w:rPr>
                <w:rStyle w:val="normaltextrun"/>
                <w:rFonts w:ascii="Verdana" w:hAnsi="Verdana" w:cs="Segoe UI"/>
                <w:sz w:val="16"/>
                <w:szCs w:val="16"/>
              </w:rPr>
              <w:t>desire to introduce additional measures that focus on short and longer term water security</w:t>
            </w:r>
            <w:r w:rsidR="00E84F44" w:rsidRPr="00821A05">
              <w:rPr>
                <w:rStyle w:val="normaltextrun"/>
                <w:rFonts w:ascii="Verdana" w:hAnsi="Verdana" w:cs="Segoe UI"/>
                <w:sz w:val="16"/>
                <w:szCs w:val="16"/>
              </w:rPr>
              <w:t>, and we commit to exploring this further as part of our collaborative planning with water corporations</w:t>
            </w:r>
            <w:r w:rsidR="00D47EC5" w:rsidRPr="00821A05">
              <w:rPr>
                <w:rStyle w:val="normaltextrun"/>
                <w:rFonts w:ascii="Verdana" w:hAnsi="Verdana" w:cs="Segoe UI"/>
                <w:sz w:val="16"/>
                <w:szCs w:val="16"/>
              </w:rPr>
              <w:t>, as well as providing additional information in our annual performance reporting.</w:t>
            </w:r>
            <w:r w:rsidR="008C46DF" w:rsidRPr="00821A05">
              <w:rPr>
                <w:rStyle w:val="normaltextrun"/>
                <w:rFonts w:ascii="Verdana" w:hAnsi="Verdana" w:cs="Segoe UI"/>
              </w:rPr>
              <w:t xml:space="preserve"> </w:t>
            </w:r>
          </w:p>
        </w:tc>
      </w:tr>
      <w:tr w:rsidR="002D42C1" w:rsidRPr="00DE108C" w14:paraId="569AD6A5" w14:textId="77777777" w:rsidTr="00C05BDA">
        <w:tc>
          <w:tcPr>
            <w:tcW w:w="1555" w:type="dxa"/>
            <w:vMerge/>
            <w:shd w:val="clear" w:color="auto" w:fill="00428B" w:themeFill="text2"/>
          </w:tcPr>
          <w:p w14:paraId="42CC31C7" w14:textId="77777777" w:rsidR="002D42C1" w:rsidRPr="00DE108C" w:rsidRDefault="002D42C1" w:rsidP="00ED094E">
            <w:pPr>
              <w:rPr>
                <w:b/>
                <w:bCs/>
                <w:color w:val="FFFFFF" w:themeColor="background1"/>
                <w:sz w:val="16"/>
                <w:szCs w:val="16"/>
              </w:rPr>
            </w:pPr>
          </w:p>
        </w:tc>
        <w:tc>
          <w:tcPr>
            <w:tcW w:w="10064" w:type="dxa"/>
          </w:tcPr>
          <w:p w14:paraId="2E9E7E14" w14:textId="4209CD3E" w:rsidR="002D42C1" w:rsidRPr="00DE108C" w:rsidRDefault="002D42C1" w:rsidP="00ED094E">
            <w:pPr>
              <w:rPr>
                <w:sz w:val="16"/>
                <w:szCs w:val="16"/>
              </w:rPr>
            </w:pPr>
            <w:r w:rsidRPr="2E5490A3">
              <w:rPr>
                <w:rStyle w:val="normaltextrun"/>
                <w:rFonts w:ascii="Verdana" w:hAnsi="Verdana" w:cs="Segoe UI"/>
                <w:sz w:val="16"/>
                <w:szCs w:val="16"/>
              </w:rPr>
              <w:t xml:space="preserve">Item #7: Formal input from all water corporations individually on </w:t>
            </w:r>
            <w:r w:rsidRPr="58A59795">
              <w:rPr>
                <w:rStyle w:val="normaltextrun"/>
                <w:rFonts w:ascii="Verdana" w:hAnsi="Verdana" w:cs="Segoe UI"/>
                <w:sz w:val="16"/>
                <w:szCs w:val="16"/>
              </w:rPr>
              <w:t>M</w:t>
            </w:r>
            <w:r w:rsidR="02B0CE2D" w:rsidRPr="58A59795">
              <w:rPr>
                <w:rStyle w:val="normaltextrun"/>
                <w:rFonts w:ascii="Verdana" w:hAnsi="Verdana" w:cs="Segoe UI"/>
                <w:sz w:val="16"/>
                <w:szCs w:val="16"/>
              </w:rPr>
              <w:t xml:space="preserve">elbourne </w:t>
            </w:r>
            <w:r w:rsidRPr="58A59795">
              <w:rPr>
                <w:rStyle w:val="normaltextrun"/>
                <w:rFonts w:ascii="Verdana" w:hAnsi="Verdana" w:cs="Segoe UI"/>
                <w:sz w:val="16"/>
                <w:szCs w:val="16"/>
              </w:rPr>
              <w:t>W</w:t>
            </w:r>
            <w:r w:rsidR="276F9226" w:rsidRPr="58A59795">
              <w:rPr>
                <w:rStyle w:val="normaltextrun"/>
                <w:rFonts w:ascii="Verdana" w:hAnsi="Verdana" w:cs="Segoe UI"/>
                <w:sz w:val="16"/>
                <w:szCs w:val="16"/>
              </w:rPr>
              <w:t>ater</w:t>
            </w:r>
            <w:r w:rsidRPr="58A59795">
              <w:rPr>
                <w:rStyle w:val="normaltextrun"/>
                <w:rFonts w:ascii="Verdana" w:hAnsi="Verdana" w:cs="Segoe UI"/>
                <w:sz w:val="16"/>
                <w:szCs w:val="16"/>
              </w:rPr>
              <w:t>’s</w:t>
            </w:r>
            <w:r w:rsidRPr="2E5490A3">
              <w:rPr>
                <w:rStyle w:val="normaltextrun"/>
                <w:rFonts w:ascii="Verdana" w:hAnsi="Verdana" w:cs="Segoe UI"/>
                <w:sz w:val="16"/>
                <w:szCs w:val="16"/>
              </w:rPr>
              <w:t xml:space="preserve"> submission and proposed PREMO self-assessment</w:t>
            </w:r>
            <w:r w:rsidR="2D738BE9" w:rsidRPr="2E5490A3">
              <w:rPr>
                <w:rStyle w:val="normaltextrun"/>
                <w:rFonts w:ascii="Verdana" w:hAnsi="Verdana" w:cs="Segoe UI"/>
                <w:sz w:val="16"/>
                <w:szCs w:val="16"/>
              </w:rPr>
              <w:t>.</w:t>
            </w:r>
            <w:r w:rsidR="008C46DF">
              <w:rPr>
                <w:rStyle w:val="normaltextrun"/>
                <w:rFonts w:ascii="Verdana" w:hAnsi="Verdana" w:cs="Segoe UI"/>
                <w:sz w:val="16"/>
                <w:szCs w:val="16"/>
              </w:rPr>
              <w:t xml:space="preserve"> </w:t>
            </w:r>
            <w:r w:rsidRPr="2E5490A3">
              <w:rPr>
                <w:rStyle w:val="eop"/>
                <w:rFonts w:ascii="Verdana" w:hAnsi="Verdana" w:cs="Segoe UI"/>
                <w:sz w:val="16"/>
                <w:szCs w:val="16"/>
              </w:rPr>
              <w:t> </w:t>
            </w:r>
          </w:p>
        </w:tc>
        <w:tc>
          <w:tcPr>
            <w:tcW w:w="10742" w:type="dxa"/>
          </w:tcPr>
          <w:p w14:paraId="1157967E" w14:textId="77777777" w:rsidR="002D42C1" w:rsidRPr="00DE108C" w:rsidRDefault="002D42C1" w:rsidP="00ED094E">
            <w:pPr>
              <w:pStyle w:val="paragraph"/>
              <w:spacing w:before="0" w:beforeAutospacing="0" w:after="0" w:afterAutospacing="0"/>
              <w:textAlignment w:val="baseline"/>
              <w:divId w:val="349255753"/>
              <w:rPr>
                <w:rFonts w:ascii="Segoe UI" w:hAnsi="Segoe UI" w:cs="Segoe UI"/>
                <w:color w:val="231F20"/>
                <w:sz w:val="16"/>
                <w:szCs w:val="16"/>
              </w:rPr>
            </w:pPr>
            <w:r w:rsidRPr="00DE108C">
              <w:rPr>
                <w:rStyle w:val="normaltextrun"/>
                <w:rFonts w:ascii="Verdana" w:hAnsi="Verdana" w:cs="Segoe UI"/>
                <w:b/>
                <w:bCs/>
                <w:color w:val="231F20"/>
                <w:sz w:val="16"/>
                <w:szCs w:val="16"/>
              </w:rPr>
              <w:t>Addressed</w:t>
            </w:r>
            <w:r w:rsidRPr="00DE108C">
              <w:rPr>
                <w:rStyle w:val="eop"/>
                <w:rFonts w:ascii="Verdana" w:hAnsi="Verdana" w:cs="Segoe UI"/>
                <w:color w:val="231F20"/>
                <w:sz w:val="16"/>
                <w:szCs w:val="16"/>
              </w:rPr>
              <w:t> </w:t>
            </w:r>
          </w:p>
          <w:p w14:paraId="68350F5A" w14:textId="7A7DC09A" w:rsidR="002D42C1" w:rsidRPr="00DE108C" w:rsidRDefault="002D42C1" w:rsidP="00ED094E">
            <w:pPr>
              <w:rPr>
                <w:sz w:val="16"/>
                <w:szCs w:val="16"/>
              </w:rPr>
            </w:pPr>
            <w:r w:rsidRPr="49E803A1">
              <w:rPr>
                <w:rStyle w:val="normaltextrun"/>
                <w:rFonts w:ascii="Verdana" w:hAnsi="Verdana" w:cs="Segoe UI"/>
                <w:sz w:val="16"/>
                <w:szCs w:val="16"/>
              </w:rPr>
              <w:t>We have requested feedback verbally and in writing on the key components of our submission and our proposed PREMO self-assessment.</w:t>
            </w:r>
            <w:r w:rsidRPr="49E803A1">
              <w:rPr>
                <w:rStyle w:val="eop"/>
                <w:rFonts w:ascii="Verdana" w:hAnsi="Verdana" w:cs="Segoe UI"/>
                <w:sz w:val="16"/>
                <w:szCs w:val="16"/>
              </w:rPr>
              <w:t> </w:t>
            </w:r>
          </w:p>
        </w:tc>
      </w:tr>
      <w:tr w:rsidR="00A043F7" w:rsidRPr="00DE108C" w14:paraId="78AEE176" w14:textId="77777777" w:rsidTr="00C05BDA">
        <w:trPr>
          <w:cnfStyle w:val="000000010000" w:firstRow="0" w:lastRow="0" w:firstColumn="0" w:lastColumn="0" w:oddVBand="0" w:evenVBand="0" w:oddHBand="0" w:evenHBand="1" w:firstRowFirstColumn="0" w:firstRowLastColumn="0" w:lastRowFirstColumn="0" w:lastRowLastColumn="0"/>
        </w:trPr>
        <w:tc>
          <w:tcPr>
            <w:tcW w:w="1555" w:type="dxa"/>
            <w:vMerge/>
            <w:shd w:val="clear" w:color="auto" w:fill="00428B" w:themeFill="text2"/>
          </w:tcPr>
          <w:p w14:paraId="0D2967D0" w14:textId="77777777" w:rsidR="002D42C1" w:rsidRPr="00DE108C" w:rsidRDefault="002D42C1" w:rsidP="00ED094E">
            <w:pPr>
              <w:rPr>
                <w:b/>
                <w:bCs/>
                <w:color w:val="FFFFFF" w:themeColor="background1"/>
                <w:sz w:val="16"/>
                <w:szCs w:val="16"/>
              </w:rPr>
            </w:pPr>
          </w:p>
        </w:tc>
        <w:tc>
          <w:tcPr>
            <w:tcW w:w="10064" w:type="dxa"/>
          </w:tcPr>
          <w:p w14:paraId="0880514F" w14:textId="0E314DF3" w:rsidR="002D42C1" w:rsidRPr="00DE108C" w:rsidRDefault="002D42C1" w:rsidP="00ED094E">
            <w:pPr>
              <w:rPr>
                <w:sz w:val="16"/>
                <w:szCs w:val="16"/>
              </w:rPr>
            </w:pPr>
            <w:r w:rsidRPr="2E5490A3">
              <w:rPr>
                <w:rStyle w:val="normaltextrun"/>
                <w:rFonts w:ascii="Verdana" w:hAnsi="Verdana" w:cs="Segoe UI"/>
                <w:sz w:val="16"/>
                <w:szCs w:val="16"/>
              </w:rPr>
              <w:t>Item #8: Price path smoothed considering forecast retail increases in 2028</w:t>
            </w:r>
            <w:r w:rsidR="5CB30CC2" w:rsidRPr="2E5490A3">
              <w:rPr>
                <w:rStyle w:val="normaltextrun"/>
                <w:rFonts w:ascii="Verdana" w:hAnsi="Verdana" w:cs="Segoe UI"/>
                <w:sz w:val="16"/>
                <w:szCs w:val="16"/>
              </w:rPr>
              <w:t>.</w:t>
            </w:r>
            <w:r w:rsidRPr="2E5490A3">
              <w:rPr>
                <w:rStyle w:val="eop"/>
                <w:rFonts w:ascii="Verdana" w:hAnsi="Verdana" w:cs="Segoe UI"/>
                <w:sz w:val="16"/>
                <w:szCs w:val="16"/>
              </w:rPr>
              <w:t> </w:t>
            </w:r>
          </w:p>
        </w:tc>
        <w:tc>
          <w:tcPr>
            <w:tcW w:w="10742" w:type="dxa"/>
          </w:tcPr>
          <w:p w14:paraId="3DBC06C3" w14:textId="77777777" w:rsidR="002D42C1" w:rsidRPr="00DE108C" w:rsidRDefault="002D42C1" w:rsidP="00ED094E">
            <w:pPr>
              <w:pStyle w:val="paragraph"/>
              <w:spacing w:before="0" w:beforeAutospacing="0" w:after="0" w:afterAutospacing="0"/>
              <w:textAlignment w:val="baseline"/>
              <w:divId w:val="680395294"/>
              <w:rPr>
                <w:rFonts w:ascii="Segoe UI" w:hAnsi="Segoe UI" w:cs="Segoe UI"/>
                <w:color w:val="231F20"/>
                <w:sz w:val="16"/>
                <w:szCs w:val="16"/>
              </w:rPr>
            </w:pPr>
            <w:r w:rsidRPr="00DE108C">
              <w:rPr>
                <w:rStyle w:val="normaltextrun"/>
                <w:rFonts w:ascii="Verdana" w:hAnsi="Verdana" w:cs="Segoe UI"/>
                <w:b/>
                <w:bCs/>
                <w:color w:val="231F20" w:themeColor="text1"/>
                <w:sz w:val="16"/>
                <w:szCs w:val="16"/>
              </w:rPr>
              <w:t>Addressed</w:t>
            </w:r>
            <w:r w:rsidRPr="00DE108C">
              <w:rPr>
                <w:rStyle w:val="eop"/>
                <w:rFonts w:ascii="Verdana" w:hAnsi="Verdana" w:cs="Segoe UI"/>
                <w:color w:val="231F20" w:themeColor="text1"/>
                <w:sz w:val="16"/>
                <w:szCs w:val="16"/>
              </w:rPr>
              <w:t> </w:t>
            </w:r>
          </w:p>
          <w:p w14:paraId="715C301E" w14:textId="7D1CDA3E" w:rsidR="002D42C1" w:rsidRPr="00DE108C" w:rsidRDefault="002D42C1" w:rsidP="00ED094E">
            <w:pPr>
              <w:rPr>
                <w:rStyle w:val="eop"/>
                <w:rFonts w:ascii="Verdana" w:hAnsi="Verdana" w:cs="Segoe UI"/>
                <w:sz w:val="16"/>
                <w:szCs w:val="16"/>
              </w:rPr>
            </w:pPr>
            <w:r w:rsidRPr="00DE108C">
              <w:rPr>
                <w:rStyle w:val="normaltextrun"/>
                <w:rFonts w:ascii="Verdana" w:hAnsi="Verdana" w:cs="Segoe UI"/>
                <w:color w:val="221F20"/>
                <w:sz w:val="16"/>
                <w:szCs w:val="16"/>
              </w:rPr>
              <w:t xml:space="preserve">In response to feedback and in order reduce end impacts on households and businesses for any subsequent price movements with water corporation 2028 submissions, we </w:t>
            </w:r>
            <w:r w:rsidRPr="00DE108C">
              <w:rPr>
                <w:rFonts w:ascii="Verdana" w:hAnsi="Verdana" w:cs="Segoe UI"/>
                <w:color w:val="221F20"/>
                <w:sz w:val="16"/>
                <w:szCs w:val="16"/>
              </w:rPr>
              <w:t>have proposed to profile the price path in a manner that has a higher increase in 2027-28 followed by lower increases from 2028-31</w:t>
            </w:r>
            <w:r w:rsidRPr="00DE108C">
              <w:rPr>
                <w:rStyle w:val="normaltextrun"/>
                <w:rFonts w:ascii="Verdana" w:hAnsi="Verdana" w:cs="Segoe UI"/>
                <w:color w:val="221F20"/>
                <w:sz w:val="16"/>
                <w:szCs w:val="16"/>
              </w:rPr>
              <w:t>.</w:t>
            </w:r>
            <w:r w:rsidRPr="00DE108C">
              <w:rPr>
                <w:rStyle w:val="eop"/>
                <w:rFonts w:ascii="Verdana" w:hAnsi="Verdana" w:cs="Segoe UI"/>
                <w:color w:val="221F20"/>
                <w:sz w:val="16"/>
                <w:szCs w:val="16"/>
              </w:rPr>
              <w:t> </w:t>
            </w:r>
          </w:p>
        </w:tc>
      </w:tr>
      <w:tr w:rsidR="002D42C1" w:rsidRPr="00DE108C" w14:paraId="5F2E85D8" w14:textId="77777777" w:rsidTr="00C05BDA">
        <w:trPr>
          <w:trHeight w:val="555"/>
        </w:trPr>
        <w:tc>
          <w:tcPr>
            <w:tcW w:w="1555" w:type="dxa"/>
            <w:vMerge w:val="restart"/>
            <w:shd w:val="clear" w:color="auto" w:fill="00428B" w:themeFill="text2"/>
          </w:tcPr>
          <w:p w14:paraId="680C61BA"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t xml:space="preserve">Key projects, actions and commitments </w:t>
            </w:r>
          </w:p>
        </w:tc>
        <w:tc>
          <w:tcPr>
            <w:tcW w:w="20806" w:type="dxa"/>
            <w:gridSpan w:val="2"/>
          </w:tcPr>
          <w:p w14:paraId="3E0E1222" w14:textId="77777777" w:rsidR="002D42C1" w:rsidRPr="00DE108C" w:rsidRDefault="002D42C1" w:rsidP="00ED094E">
            <w:pPr>
              <w:rPr>
                <w:sz w:val="16"/>
                <w:szCs w:val="16"/>
              </w:rPr>
            </w:pPr>
            <w:r w:rsidRPr="00DE108C">
              <w:rPr>
                <w:sz w:val="16"/>
                <w:szCs w:val="16"/>
              </w:rPr>
              <w:t>In PS26, we are committing to:</w:t>
            </w:r>
          </w:p>
          <w:tbl>
            <w:tblPr>
              <w:tblpPr w:leftFromText="180" w:rightFromText="180" w:vertAnchor="text" w:tblpY="1"/>
              <w:tblW w:w="0" w:type="auto"/>
              <w:tblLook w:val="04A0" w:firstRow="1" w:lastRow="0" w:firstColumn="1" w:lastColumn="0" w:noHBand="0" w:noVBand="1"/>
            </w:tblPr>
            <w:tblGrid>
              <w:gridCol w:w="6733"/>
              <w:gridCol w:w="6733"/>
              <w:gridCol w:w="6733"/>
            </w:tblGrid>
            <w:tr w:rsidR="002D42C1" w:rsidRPr="00DE108C" w14:paraId="4247B891" w14:textId="77777777" w:rsidTr="006413FE">
              <w:tc>
                <w:tcPr>
                  <w:tcW w:w="6733" w:type="dxa"/>
                </w:tcPr>
                <w:p w14:paraId="3CDA7BF7" w14:textId="77777777" w:rsidR="002D42C1" w:rsidRPr="00DE108C" w:rsidRDefault="002D42C1" w:rsidP="00C05BDA">
                  <w:pPr>
                    <w:pStyle w:val="Tablebullet"/>
                  </w:pPr>
                  <w:r w:rsidRPr="00DE108C">
                    <w:t xml:space="preserve">Collaborative planning, including working through the lowest community cost solution for the Darebin Catchment </w:t>
                  </w:r>
                </w:p>
                <w:p w14:paraId="24D295DD" w14:textId="77777777" w:rsidR="002D42C1" w:rsidRPr="00DE108C" w:rsidRDefault="002D42C1" w:rsidP="00C05BDA">
                  <w:pPr>
                    <w:pStyle w:val="Tablebullet"/>
                  </w:pPr>
                  <w:r w:rsidRPr="00DE108C">
                    <w:t>Updating and modernising our Bulk Supply Agreements</w:t>
                  </w:r>
                </w:p>
              </w:tc>
              <w:tc>
                <w:tcPr>
                  <w:tcW w:w="6733" w:type="dxa"/>
                </w:tcPr>
                <w:p w14:paraId="3DCBFEAD" w14:textId="4552DAE5" w:rsidR="002D42C1" w:rsidRPr="00DE108C" w:rsidRDefault="002D42C1" w:rsidP="00C05BDA">
                  <w:pPr>
                    <w:pStyle w:val="Tablebullet"/>
                  </w:pPr>
                  <w:r w:rsidRPr="00DE108C">
                    <w:t xml:space="preserve">Implementing a water quality </w:t>
                  </w:r>
                  <w:r w:rsidR="7FEEFB60" w:rsidRPr="2233EF04">
                    <w:t>GSL</w:t>
                  </w:r>
                </w:p>
                <w:p w14:paraId="55F5FFF3" w14:textId="77777777" w:rsidR="002D42C1" w:rsidRPr="00DE108C" w:rsidRDefault="002D42C1" w:rsidP="00C05BDA">
                  <w:pPr>
                    <w:pStyle w:val="Tablebullet"/>
                  </w:pPr>
                  <w:r w:rsidRPr="00DE108C">
                    <w:t>Tracking our performance against a new water security measure</w:t>
                  </w:r>
                </w:p>
              </w:tc>
              <w:tc>
                <w:tcPr>
                  <w:tcW w:w="6733" w:type="dxa"/>
                </w:tcPr>
                <w:p w14:paraId="5968E398" w14:textId="77777777" w:rsidR="002D42C1" w:rsidRPr="00DE108C" w:rsidRDefault="002D42C1" w:rsidP="00C05BDA">
                  <w:pPr>
                    <w:pStyle w:val="Tablebullet"/>
                  </w:pPr>
                  <w:r w:rsidRPr="00DE108C">
                    <w:t>Price smoothing</w:t>
                  </w:r>
                </w:p>
                <w:p w14:paraId="27F021A6" w14:textId="77777777" w:rsidR="002D42C1" w:rsidRPr="00DE108C" w:rsidRDefault="002D42C1" w:rsidP="00C05BDA">
                  <w:pPr>
                    <w:pStyle w:val="Tablebullet"/>
                  </w:pPr>
                  <w:r w:rsidRPr="00DE108C">
                    <w:t>Fair tariff reforms</w:t>
                  </w:r>
                </w:p>
              </w:tc>
            </w:tr>
          </w:tbl>
          <w:p w14:paraId="548075A8" w14:textId="77777777" w:rsidR="002D42C1" w:rsidRPr="00DE108C" w:rsidRDefault="002D42C1" w:rsidP="00ED094E">
            <w:pPr>
              <w:rPr>
                <w:b/>
                <w:bCs/>
                <w:sz w:val="16"/>
                <w:szCs w:val="16"/>
              </w:rPr>
            </w:pPr>
          </w:p>
        </w:tc>
      </w:tr>
      <w:tr w:rsidR="00DA7A8D" w:rsidRPr="00DE108C" w14:paraId="11289C45" w14:textId="77777777" w:rsidTr="00C05BDA">
        <w:trPr>
          <w:cnfStyle w:val="000000010000" w:firstRow="0" w:lastRow="0" w:firstColumn="0" w:lastColumn="0" w:oddVBand="0" w:evenVBand="0" w:oddHBand="0" w:evenHBand="1" w:firstRowFirstColumn="0" w:firstRowLastColumn="0" w:lastRowFirstColumn="0" w:lastRowLastColumn="0"/>
          <w:trHeight w:val="555"/>
        </w:trPr>
        <w:tc>
          <w:tcPr>
            <w:tcW w:w="1555" w:type="dxa"/>
            <w:vMerge/>
            <w:shd w:val="clear" w:color="auto" w:fill="00428B" w:themeFill="text2"/>
          </w:tcPr>
          <w:p w14:paraId="16D1AB2E" w14:textId="77777777" w:rsidR="002D42C1" w:rsidRPr="00DE108C" w:rsidRDefault="002D42C1" w:rsidP="00ED094E">
            <w:pPr>
              <w:rPr>
                <w:b/>
                <w:bCs/>
                <w:color w:val="FFFFFF" w:themeColor="background1"/>
                <w:sz w:val="16"/>
                <w:szCs w:val="16"/>
              </w:rPr>
            </w:pPr>
          </w:p>
        </w:tc>
        <w:tc>
          <w:tcPr>
            <w:tcW w:w="20806" w:type="dxa"/>
            <w:gridSpan w:val="2"/>
          </w:tcPr>
          <w:p w14:paraId="04A0B2EB" w14:textId="77777777" w:rsidR="002D42C1" w:rsidRPr="00DE108C" w:rsidRDefault="002D42C1" w:rsidP="00ED094E">
            <w:pPr>
              <w:rPr>
                <w:sz w:val="16"/>
                <w:szCs w:val="16"/>
              </w:rPr>
            </w:pPr>
            <w:r w:rsidRPr="00DE108C">
              <w:rPr>
                <w:sz w:val="16"/>
                <w:szCs w:val="16"/>
              </w:rPr>
              <w:t>Key projects:* </w:t>
            </w:r>
          </w:p>
          <w:p w14:paraId="23FCA57C" w14:textId="433599B8" w:rsidR="002D42C1" w:rsidRPr="00DE108C" w:rsidRDefault="002D42C1" w:rsidP="00C05BDA">
            <w:pPr>
              <w:pStyle w:val="Tablebullet"/>
            </w:pPr>
            <w:r w:rsidRPr="00DE108C">
              <w:t xml:space="preserve">We have heard </w:t>
            </w:r>
            <w:r w:rsidR="7F55158D" w:rsidRPr="62709D82">
              <w:t>YVW</w:t>
            </w:r>
            <w:r w:rsidRPr="62709D82">
              <w:t>’s</w:t>
            </w:r>
            <w:r w:rsidRPr="00DE108C">
              <w:t xml:space="preserve"> primary interests for investments relate to the sewer transfer network and water quality and supply.</w:t>
            </w:r>
            <w:r w:rsidR="008C46DF">
              <w:t xml:space="preserve"> </w:t>
            </w:r>
          </w:p>
          <w:p w14:paraId="2E653DCC" w14:textId="74F9FE7D" w:rsidR="002D42C1" w:rsidRPr="00DE108C" w:rsidRDefault="002D42C1" w:rsidP="00C05BDA">
            <w:pPr>
              <w:pStyle w:val="Tablebullet"/>
            </w:pPr>
            <w:r w:rsidRPr="00DE108C">
              <w:t xml:space="preserve">In respect to </w:t>
            </w:r>
            <w:r w:rsidRPr="00DE108C">
              <w:rPr>
                <w:b/>
                <w:bCs/>
              </w:rPr>
              <w:t>sewage transfer</w:t>
            </w:r>
            <w:r w:rsidRPr="00DE108C">
              <w:t>, we propose to spend more than $</w:t>
            </w:r>
            <w:r w:rsidRPr="62709D82">
              <w:t>740</w:t>
            </w:r>
            <w:r w:rsidR="4B5AEA65" w:rsidRPr="62709D82">
              <w:t xml:space="preserve"> </w:t>
            </w:r>
            <w:r w:rsidRPr="2EB844EC">
              <w:t>m</w:t>
            </w:r>
            <w:r w:rsidR="4B5AEA65" w:rsidRPr="2EB844EC">
              <w:t>illion</w:t>
            </w:r>
            <w:r w:rsidRPr="2EB844EC">
              <w:t>.</w:t>
            </w:r>
            <w:r w:rsidRPr="00DE108C">
              <w:t xml:space="preserve"> This includes a commitment to work with </w:t>
            </w:r>
            <w:r w:rsidR="50854152" w:rsidRPr="2EB844EC">
              <w:t>YVW</w:t>
            </w:r>
            <w:r w:rsidRPr="00DE108C">
              <w:t xml:space="preserve"> to resolve General Environmental Duty issues that the Darebin Interceptor Sewer (~$</w:t>
            </w:r>
            <w:r w:rsidRPr="2EB844EC">
              <w:t>25</w:t>
            </w:r>
            <w:r w:rsidR="522AAC47" w:rsidRPr="2EB844EC">
              <w:t xml:space="preserve"> </w:t>
            </w:r>
            <w:r w:rsidRPr="2EB844EC">
              <w:t>m</w:t>
            </w:r>
            <w:r w:rsidR="0D36BF5E" w:rsidRPr="2EB844EC">
              <w:t>illion</w:t>
            </w:r>
            <w:r w:rsidRPr="00DE108C">
              <w:t xml:space="preserve"> development costs) is proposed to address.</w:t>
            </w:r>
            <w:r w:rsidR="008C46DF">
              <w:t xml:space="preserve"> </w:t>
            </w:r>
          </w:p>
          <w:p w14:paraId="7D0073FA" w14:textId="7D1EB12D" w:rsidR="002D42C1" w:rsidRPr="00DE108C" w:rsidRDefault="002D42C1" w:rsidP="00C05BDA">
            <w:pPr>
              <w:pStyle w:val="Tablebullet"/>
            </w:pPr>
            <w:r w:rsidRPr="00DE108C">
              <w:t xml:space="preserve">In terms of </w:t>
            </w:r>
            <w:r w:rsidRPr="00DE108C">
              <w:rPr>
                <w:b/>
                <w:bCs/>
              </w:rPr>
              <w:t>water quality</w:t>
            </w:r>
            <w:r w:rsidRPr="00DE108C">
              <w:t>, we plan to invest more than $</w:t>
            </w:r>
            <w:r w:rsidRPr="2EB844EC">
              <w:t>540</w:t>
            </w:r>
            <w:r w:rsidR="690E4F0D" w:rsidRPr="2EB844EC">
              <w:t xml:space="preserve"> </w:t>
            </w:r>
            <w:r w:rsidRPr="2EB844EC">
              <w:t>m</w:t>
            </w:r>
            <w:r w:rsidR="5C6AF3E3" w:rsidRPr="2EB844EC">
              <w:t>illion</w:t>
            </w:r>
            <w:r w:rsidRPr="00DE108C">
              <w:t xml:space="preserve">, including projects that will improve water quality to </w:t>
            </w:r>
            <w:r w:rsidR="351DD43A" w:rsidRPr="1B114A33">
              <w:t>YVW</w:t>
            </w:r>
            <w:r w:rsidRPr="00DE108C">
              <w:t xml:space="preserve"> supply zones and townships. These projects include:</w:t>
            </w:r>
          </w:p>
          <w:p w14:paraId="156E38DB" w14:textId="1D80100C" w:rsidR="002D42C1" w:rsidRPr="00DE108C" w:rsidRDefault="1109AEA5" w:rsidP="00C05BDA">
            <w:pPr>
              <w:pStyle w:val="Tablebullet2"/>
              <w:rPr>
                <w:szCs w:val="20"/>
              </w:rPr>
            </w:pPr>
            <w:r w:rsidRPr="1B114A33">
              <w:t>l</w:t>
            </w:r>
            <w:r w:rsidR="002D42C1" w:rsidRPr="00DE108C">
              <w:t>ime plant renewal and preparing to implement UV disinfection at Cardinia ~$</w:t>
            </w:r>
            <w:r w:rsidR="002D42C1" w:rsidRPr="1B114A33">
              <w:t>2</w:t>
            </w:r>
            <w:r w:rsidR="216B1BC1" w:rsidRPr="1B114A33">
              <w:t>9</w:t>
            </w:r>
            <w:r w:rsidR="514EBCB6" w:rsidRPr="1B114A33">
              <w:t xml:space="preserve"> </w:t>
            </w:r>
            <w:r w:rsidR="002D42C1" w:rsidRPr="1B114A33">
              <w:t>m</w:t>
            </w:r>
            <w:r w:rsidR="514EBCB6" w:rsidRPr="1B114A33">
              <w:t>illion</w:t>
            </w:r>
            <w:r w:rsidR="002D42C1" w:rsidRPr="00DE108C">
              <w:t> </w:t>
            </w:r>
          </w:p>
          <w:p w14:paraId="4087E6ED" w14:textId="730CBB36" w:rsidR="002D42C1" w:rsidRPr="00DE108C" w:rsidRDefault="002D42C1" w:rsidP="00C05BDA">
            <w:pPr>
              <w:pStyle w:val="Tablebullet2"/>
              <w:rPr>
                <w:szCs w:val="20"/>
              </w:rPr>
            </w:pPr>
            <w:r w:rsidRPr="00DE108C">
              <w:t>Upper Yarra Catchment Debris Nets to mitigate the risk of debris flow events in the Upper Yarra Catchment and support the safe and reliable supply of drinking water following bushfire events</w:t>
            </w:r>
            <w:r w:rsidR="4B44B33B" w:rsidRPr="00EA33FC">
              <w:t xml:space="preserve"> </w:t>
            </w:r>
            <w:r w:rsidRPr="00EA33FC">
              <w:t>~$25</w:t>
            </w:r>
            <w:r w:rsidR="2A3A2A4F" w:rsidRPr="00EA33FC">
              <w:t xml:space="preserve"> </w:t>
            </w:r>
            <w:r w:rsidRPr="00EA33FC">
              <w:t>m</w:t>
            </w:r>
            <w:r w:rsidR="4C81EDBD" w:rsidRPr="00EA33FC">
              <w:t>illion</w:t>
            </w:r>
            <w:r w:rsidRPr="00DE108C">
              <w:t> </w:t>
            </w:r>
          </w:p>
          <w:p w14:paraId="38B2E2DF" w14:textId="798E8A34" w:rsidR="002D42C1" w:rsidRPr="00DE108C" w:rsidRDefault="002D42C1" w:rsidP="00C05BDA">
            <w:pPr>
              <w:pStyle w:val="Tablebullet2"/>
              <w:rPr>
                <w:szCs w:val="20"/>
              </w:rPr>
            </w:pPr>
            <w:r w:rsidRPr="00DE108C">
              <w:t>Winneke treatment plant filter refurbishment, coagulant chemical system upgrade, and switchboard renewal ~$</w:t>
            </w:r>
            <w:r w:rsidRPr="6997BBB7">
              <w:t>1</w:t>
            </w:r>
            <w:r w:rsidR="6852642D" w:rsidRPr="6997BBB7">
              <w:t>46</w:t>
            </w:r>
            <w:r w:rsidR="7B96FAE1" w:rsidRPr="6997BBB7">
              <w:t xml:space="preserve"> </w:t>
            </w:r>
            <w:r w:rsidRPr="7C41B73B">
              <w:t>m</w:t>
            </w:r>
            <w:r w:rsidR="5AF1FDEC" w:rsidRPr="7C41B73B">
              <w:t>illi</w:t>
            </w:r>
            <w:r w:rsidR="7B404F12" w:rsidRPr="7C41B73B">
              <w:t>o</w:t>
            </w:r>
            <w:r w:rsidR="5AF1FDEC" w:rsidRPr="7C41B73B">
              <w:t>n</w:t>
            </w:r>
            <w:r w:rsidRPr="00DE108C">
              <w:t> </w:t>
            </w:r>
          </w:p>
          <w:p w14:paraId="41B65782" w14:textId="54F46A35" w:rsidR="002D42C1" w:rsidRPr="00DE108C" w:rsidRDefault="4F6E3477" w:rsidP="00C05BDA">
            <w:pPr>
              <w:pStyle w:val="Tablebullet2"/>
              <w:rPr>
                <w:szCs w:val="20"/>
              </w:rPr>
            </w:pPr>
            <w:r w:rsidRPr="6997BBB7">
              <w:t>h</w:t>
            </w:r>
            <w:r w:rsidR="002D42C1" w:rsidRPr="00DE108C">
              <w:t>igh security fencing, implementing UV disinfection, and disinfection resilience (emergency dosing units) at Greenvale </w:t>
            </w:r>
            <w:r w:rsidR="002D42C1" w:rsidRPr="6997BBB7">
              <w:t>~$56</w:t>
            </w:r>
            <w:r w:rsidR="3408DB30" w:rsidRPr="6997BBB7">
              <w:t xml:space="preserve"> </w:t>
            </w:r>
            <w:r w:rsidR="002D42C1" w:rsidRPr="6997BBB7">
              <w:t>m</w:t>
            </w:r>
            <w:r w:rsidR="7DF14BDE" w:rsidRPr="6997BBB7">
              <w:t>illion</w:t>
            </w:r>
            <w:r w:rsidR="002D42C1" w:rsidRPr="00DE108C">
              <w:t> </w:t>
            </w:r>
          </w:p>
          <w:p w14:paraId="0B47EF8B" w14:textId="3F9B68E4" w:rsidR="002D42C1" w:rsidRPr="00DE108C" w:rsidRDefault="4F6E3477" w:rsidP="00C05BDA">
            <w:pPr>
              <w:pStyle w:val="Tablebullet2"/>
              <w:rPr>
                <w:szCs w:val="20"/>
              </w:rPr>
            </w:pPr>
            <w:r w:rsidRPr="6997BBB7">
              <w:t>h</w:t>
            </w:r>
            <w:r w:rsidR="002D42C1" w:rsidRPr="00DE108C">
              <w:t>igh security fencing, preparing to implement chlorine renewal and risk reduction and UV disinfection, fluoride plant renewals, and lime plant improvements at Silvan ~$</w:t>
            </w:r>
            <w:r w:rsidR="002D42C1" w:rsidRPr="6997BBB7">
              <w:t>71</w:t>
            </w:r>
            <w:r w:rsidR="16EB5C7B" w:rsidRPr="6997BBB7">
              <w:t xml:space="preserve"> </w:t>
            </w:r>
            <w:r w:rsidR="002D42C1" w:rsidRPr="6997BBB7">
              <w:t>m</w:t>
            </w:r>
            <w:r w:rsidR="703E44ED" w:rsidRPr="6997BBB7">
              <w:t>illion</w:t>
            </w:r>
            <w:r w:rsidR="002D42C1" w:rsidRPr="00DE108C">
              <w:t> </w:t>
            </w:r>
          </w:p>
          <w:p w14:paraId="61BD6EC0" w14:textId="3BA24227" w:rsidR="002D42C1" w:rsidRPr="00DE108C" w:rsidRDefault="5FA513F4" w:rsidP="00C05BDA">
            <w:pPr>
              <w:pStyle w:val="Tablebullet2"/>
              <w:rPr>
                <w:szCs w:val="20"/>
              </w:rPr>
            </w:pPr>
            <w:r w:rsidRPr="7C41B73B">
              <w:t>w</w:t>
            </w:r>
            <w:r w:rsidR="002D42C1" w:rsidRPr="00DE108C">
              <w:t>e are also planning works at a number of townships and sites important to Y</w:t>
            </w:r>
            <w:r w:rsidR="060E05AB" w:rsidRPr="7C41B73B">
              <w:t>YVW</w:t>
            </w:r>
            <w:r w:rsidR="002D42C1" w:rsidRPr="00DE108C">
              <w:t>, including Healesville township supply resilience, Monbulk and Kallista UV Disinfection, and Upper Yarra Townships pressure buffer tanks, and Yan Yean treatment upgrades and renewals. </w:t>
            </w:r>
          </w:p>
          <w:p w14:paraId="3B4EB1FD" w14:textId="7BBB8782" w:rsidR="002D42C1" w:rsidRPr="00DE108C" w:rsidRDefault="002D42C1" w:rsidP="00C05BDA">
            <w:pPr>
              <w:pStyle w:val="Tablebullet"/>
            </w:pPr>
            <w:r w:rsidRPr="00DE108C">
              <w:t xml:space="preserve">In terms of </w:t>
            </w:r>
            <w:r w:rsidRPr="00DE108C">
              <w:rPr>
                <w:b/>
                <w:bCs/>
              </w:rPr>
              <w:t>water transfer</w:t>
            </w:r>
            <w:r w:rsidR="33DF4CD3" w:rsidRPr="7C41B73B">
              <w:rPr>
                <w:b/>
                <w:bCs/>
              </w:rPr>
              <w:t>,</w:t>
            </w:r>
            <w:r w:rsidRPr="7C41B73B">
              <w:t xml:space="preserve"> we</w:t>
            </w:r>
            <w:r w:rsidR="06BA4A31" w:rsidRPr="7C41B73B">
              <w:t xml:space="preserve"> are</w:t>
            </w:r>
            <w:r w:rsidRPr="00DE108C">
              <w:t xml:space="preserve"> planning over $</w:t>
            </w:r>
            <w:r w:rsidRPr="2C381B13">
              <w:t>750</w:t>
            </w:r>
            <w:r w:rsidR="6E0B16F4" w:rsidRPr="2C381B13">
              <w:t xml:space="preserve"> million</w:t>
            </w:r>
            <w:r w:rsidRPr="7C41B73B">
              <w:t xml:space="preserve"> </w:t>
            </w:r>
            <w:r w:rsidRPr="00DE108C">
              <w:t xml:space="preserve">investment in water transfer, including specific projects that benefit </w:t>
            </w:r>
            <w:r w:rsidR="011EC3EB" w:rsidRPr="2C381B13">
              <w:t>YVW</w:t>
            </w:r>
            <w:r w:rsidRPr="2C381B13">
              <w:t>’s</w:t>
            </w:r>
            <w:r w:rsidRPr="00DE108C">
              <w:t xml:space="preserve"> service region</w:t>
            </w:r>
            <w:r w:rsidR="3C214BD6" w:rsidRPr="2C381B13">
              <w:t>,</w:t>
            </w:r>
            <w:r w:rsidRPr="00DE108C">
              <w:t xml:space="preserve"> such as</w:t>
            </w:r>
            <w:r w:rsidR="0F1817C9" w:rsidRPr="2C381B13">
              <w:t>:</w:t>
            </w:r>
            <w:r w:rsidRPr="00DE108C">
              <w:t> </w:t>
            </w:r>
          </w:p>
          <w:p w14:paraId="550F0283" w14:textId="770AC64D" w:rsidR="002D42C1" w:rsidRPr="00DE108C" w:rsidRDefault="002D42C1" w:rsidP="00C05BDA">
            <w:pPr>
              <w:pStyle w:val="Tablebullet2"/>
              <w:rPr>
                <w:szCs w:val="20"/>
              </w:rPr>
            </w:pPr>
            <w:r w:rsidRPr="00DE108C">
              <w:lastRenderedPageBreak/>
              <w:t>Yarra Glen new supply main and Kallista supply resilience ~$</w:t>
            </w:r>
            <w:r w:rsidRPr="2C381B13">
              <w:t>6</w:t>
            </w:r>
            <w:r w:rsidR="0CB0578F" w:rsidRPr="2C381B13">
              <w:t xml:space="preserve"> </w:t>
            </w:r>
            <w:r w:rsidRPr="2C381B13">
              <w:t>m</w:t>
            </w:r>
            <w:r w:rsidR="1CAF4148" w:rsidRPr="2C381B13">
              <w:t>illion</w:t>
            </w:r>
            <w:r w:rsidRPr="00DE108C">
              <w:t> </w:t>
            </w:r>
          </w:p>
          <w:p w14:paraId="3BE03FFF" w14:textId="16532FC3" w:rsidR="002D42C1" w:rsidRPr="00DE108C" w:rsidRDefault="002D42C1" w:rsidP="00C05BDA">
            <w:pPr>
              <w:pStyle w:val="Tablebullet2"/>
              <w:rPr>
                <w:szCs w:val="20"/>
              </w:rPr>
            </w:pPr>
            <w:r w:rsidRPr="00DE108C">
              <w:t>Yan Yean water treatment plant auxiliary tank and tank refurbishment and ~</w:t>
            </w:r>
            <w:r w:rsidR="00C05BDA">
              <w:t>$</w:t>
            </w:r>
            <w:r w:rsidRPr="2C381B13">
              <w:t>73</w:t>
            </w:r>
            <w:r w:rsidR="7FE2D26B" w:rsidRPr="2C381B13">
              <w:t xml:space="preserve"> </w:t>
            </w:r>
            <w:r w:rsidRPr="271C590C">
              <w:t>m</w:t>
            </w:r>
            <w:r w:rsidR="7FE2D26B" w:rsidRPr="271C590C">
              <w:t>illion</w:t>
            </w:r>
            <w:r w:rsidRPr="00DE108C">
              <w:t> </w:t>
            </w:r>
          </w:p>
          <w:p w14:paraId="2503DC66" w14:textId="132DD8F6" w:rsidR="002D42C1" w:rsidRPr="00DE108C" w:rsidRDefault="002D42C1" w:rsidP="00C05BDA">
            <w:pPr>
              <w:pStyle w:val="Tablebullet2"/>
              <w:rPr>
                <w:szCs w:val="20"/>
              </w:rPr>
            </w:pPr>
            <w:r w:rsidRPr="00DE108C">
              <w:t>Olinda Mitcham main renewal ~$</w:t>
            </w:r>
            <w:r w:rsidRPr="271C590C">
              <w:t>83</w:t>
            </w:r>
            <w:r w:rsidR="597BDB91" w:rsidRPr="271C590C">
              <w:t xml:space="preserve"> </w:t>
            </w:r>
            <w:r w:rsidRPr="271C590C">
              <w:t>m</w:t>
            </w:r>
            <w:r w:rsidR="4254E618" w:rsidRPr="271C590C">
              <w:t>illion</w:t>
            </w:r>
            <w:r w:rsidR="008C46DF">
              <w:t xml:space="preserve"> </w:t>
            </w:r>
          </w:p>
          <w:p w14:paraId="202B08D4" w14:textId="69411E67" w:rsidR="002D42C1" w:rsidRPr="00DE108C" w:rsidRDefault="002D42C1" w:rsidP="00C05BDA">
            <w:pPr>
              <w:pStyle w:val="Tablebullet2"/>
            </w:pPr>
            <w:r w:rsidRPr="00DE108C">
              <w:t>Winneke-Preston to Harris Gully Link Main Stage 1 ~$</w:t>
            </w:r>
            <w:r w:rsidRPr="271C590C">
              <w:t>163</w:t>
            </w:r>
            <w:r w:rsidR="4F9E4DDD" w:rsidRPr="271C590C">
              <w:t xml:space="preserve"> </w:t>
            </w:r>
            <w:r w:rsidRPr="5473593B">
              <w:t>m</w:t>
            </w:r>
            <w:r w:rsidR="0D5E353E" w:rsidRPr="5473593B">
              <w:t>illion,</w:t>
            </w:r>
            <w:r w:rsidRPr="00DE108C">
              <w:t xml:space="preserve"> which will increase system resilience by allowing us to move water from the Silvan to the Winneke catchments and support east-west transfer of Melbourne’s water resources and also</w:t>
            </w:r>
            <w:r w:rsidR="002D42A0">
              <w:t xml:space="preserve"> </w:t>
            </w:r>
            <w:r w:rsidRPr="00DE108C">
              <w:t xml:space="preserve">can </w:t>
            </w:r>
            <w:r w:rsidR="74ECF901" w:rsidRPr="5473593B">
              <w:t xml:space="preserve">also </w:t>
            </w:r>
            <w:r w:rsidRPr="00DE108C">
              <w:t>increase harvest by ~9GL per year.</w:t>
            </w:r>
            <w:r w:rsidR="008C46DF">
              <w:t xml:space="preserve"> </w:t>
            </w:r>
          </w:p>
          <w:p w14:paraId="2DFE6357" w14:textId="69D15B07" w:rsidR="002D42C1" w:rsidRPr="00DE108C" w:rsidRDefault="002D42C1" w:rsidP="00C05BDA">
            <w:pPr>
              <w:pStyle w:val="Tablebullet"/>
            </w:pPr>
            <w:r w:rsidRPr="00DE108C">
              <w:t xml:space="preserve">In terms of </w:t>
            </w:r>
            <w:r w:rsidRPr="00DE108C">
              <w:rPr>
                <w:b/>
                <w:bCs/>
              </w:rPr>
              <w:t>water headworks</w:t>
            </w:r>
            <w:r w:rsidR="49E6896F" w:rsidRPr="5473593B">
              <w:rPr>
                <w:b/>
                <w:bCs/>
              </w:rPr>
              <w:t>,</w:t>
            </w:r>
            <w:r w:rsidRPr="00DE108C">
              <w:t xml:space="preserve"> we propose more than $</w:t>
            </w:r>
            <w:r w:rsidRPr="5473593B">
              <w:t>630</w:t>
            </w:r>
            <w:r w:rsidR="6D87EA6C" w:rsidRPr="5473593B">
              <w:t xml:space="preserve"> </w:t>
            </w:r>
            <w:r w:rsidRPr="5473593B">
              <w:t>m</w:t>
            </w:r>
            <w:r w:rsidR="6D87EA6C" w:rsidRPr="5473593B">
              <w:t>illion</w:t>
            </w:r>
            <w:r w:rsidRPr="00DE108C">
              <w:t xml:space="preserve"> investment, including a number of projects in </w:t>
            </w:r>
            <w:r w:rsidR="46F45016" w:rsidRPr="5473593B">
              <w:t>YVW</w:t>
            </w:r>
            <w:r w:rsidRPr="5473593B">
              <w:t>’s</w:t>
            </w:r>
            <w:r w:rsidRPr="00DE108C">
              <w:t xml:space="preserve"> service area to ensure the resilience and integrity of critical headworks water supply infrastructure, including</w:t>
            </w:r>
            <w:r w:rsidR="6ABAF8AC" w:rsidRPr="5E9D913A">
              <w:t>:</w:t>
            </w:r>
            <w:r w:rsidRPr="00DE108C">
              <w:t> </w:t>
            </w:r>
          </w:p>
          <w:p w14:paraId="1335CE89" w14:textId="14F2871F" w:rsidR="002D42C1" w:rsidRPr="00DE108C" w:rsidRDefault="002D42C1" w:rsidP="00C05BDA">
            <w:pPr>
              <w:pStyle w:val="Tablebullet2"/>
            </w:pPr>
            <w:r w:rsidRPr="00DE108C">
              <w:t>Cardinia dam safety upgrade works ~$</w:t>
            </w:r>
            <w:r w:rsidRPr="5473593B">
              <w:t>191</w:t>
            </w:r>
            <w:r w:rsidR="1A889952" w:rsidRPr="5473593B">
              <w:t xml:space="preserve"> </w:t>
            </w:r>
            <w:r w:rsidRPr="47661B53">
              <w:t>m</w:t>
            </w:r>
            <w:r w:rsidR="1A889952" w:rsidRPr="47661B53">
              <w:t>illion</w:t>
            </w:r>
            <w:r w:rsidRPr="00DE108C">
              <w:t> </w:t>
            </w:r>
          </w:p>
          <w:p w14:paraId="12410DA7" w14:textId="43FD802B" w:rsidR="002D42C1" w:rsidRPr="00DE108C" w:rsidRDefault="002D42C1" w:rsidP="00C05BDA">
            <w:pPr>
              <w:pStyle w:val="Tablebullet2"/>
            </w:pPr>
            <w:r w:rsidRPr="00DE108C">
              <w:t>Cardinia pump station upgrade ~$</w:t>
            </w:r>
            <w:r w:rsidRPr="47661B53">
              <w:t>99</w:t>
            </w:r>
            <w:r w:rsidR="15B36A43" w:rsidRPr="47661B53">
              <w:t xml:space="preserve"> </w:t>
            </w:r>
            <w:r w:rsidRPr="47661B53">
              <w:t>m</w:t>
            </w:r>
            <w:r w:rsidR="15B36A43" w:rsidRPr="47661B53">
              <w:t>illion</w:t>
            </w:r>
            <w:r w:rsidR="008C46DF">
              <w:t xml:space="preserve"> </w:t>
            </w:r>
          </w:p>
          <w:p w14:paraId="64B575C4" w14:textId="4ED6FFDB" w:rsidR="002D42C1" w:rsidRPr="00DE108C" w:rsidRDefault="002D42C1" w:rsidP="00C05BDA">
            <w:pPr>
              <w:pStyle w:val="Tablebullet2"/>
            </w:pPr>
            <w:r w:rsidRPr="00DE108C">
              <w:t>Cardinia Reservoir catch drain system capacity upgrade ~</w:t>
            </w:r>
            <w:r w:rsidR="00C05BDA">
              <w:t>$</w:t>
            </w:r>
            <w:r w:rsidRPr="47661B53">
              <w:t>30</w:t>
            </w:r>
            <w:r w:rsidR="6AC75A3C" w:rsidRPr="47661B53">
              <w:t xml:space="preserve"> </w:t>
            </w:r>
            <w:r w:rsidRPr="47661B53">
              <w:t>m</w:t>
            </w:r>
            <w:r w:rsidR="00596E8B" w:rsidRPr="47661B53">
              <w:t>illion</w:t>
            </w:r>
            <w:r w:rsidRPr="00DE108C">
              <w:t> </w:t>
            </w:r>
          </w:p>
          <w:p w14:paraId="2073BF97" w14:textId="59E5DE5B" w:rsidR="002D42C1" w:rsidRPr="00DE108C" w:rsidRDefault="002D42C1" w:rsidP="00C05BDA">
            <w:pPr>
              <w:pStyle w:val="Tablebullet2"/>
            </w:pPr>
            <w:r w:rsidRPr="00DE108C">
              <w:t>Maroondah Res Outlet and Aqueduct Stage 3A and 3B ~$</w:t>
            </w:r>
            <w:r w:rsidRPr="47661B53">
              <w:t>165</w:t>
            </w:r>
            <w:r w:rsidR="5DEABF6E" w:rsidRPr="47661B53">
              <w:t xml:space="preserve"> </w:t>
            </w:r>
            <w:r w:rsidRPr="47661B53">
              <w:t>m</w:t>
            </w:r>
            <w:r w:rsidR="5DEABF6E" w:rsidRPr="47661B53">
              <w:t>illion</w:t>
            </w:r>
            <w:r w:rsidRPr="00DE108C">
              <w:t> </w:t>
            </w:r>
          </w:p>
          <w:p w14:paraId="1389C01A" w14:textId="4BB6DEA7" w:rsidR="002D42C1" w:rsidRPr="00DE108C" w:rsidRDefault="002D42C1" w:rsidP="00C05BDA">
            <w:pPr>
              <w:pStyle w:val="Tablebullet2"/>
            </w:pPr>
            <w:r w:rsidRPr="00DE108C">
              <w:t>Coranderrk-Maroondah Pipeline ~$</w:t>
            </w:r>
            <w:r w:rsidRPr="47661B53">
              <w:t>3</w:t>
            </w:r>
            <w:r w:rsidR="4811EFEC" w:rsidRPr="47661B53">
              <w:t xml:space="preserve"> </w:t>
            </w:r>
            <w:r w:rsidRPr="47661B53">
              <w:t>m</w:t>
            </w:r>
            <w:r w:rsidR="13171D16" w:rsidRPr="47661B53">
              <w:t>illion</w:t>
            </w:r>
            <w:r w:rsidRPr="00DE108C">
              <w:t> </w:t>
            </w:r>
          </w:p>
          <w:p w14:paraId="5EC4612F" w14:textId="584CDBA5" w:rsidR="5E9D913A" w:rsidRDefault="002D42C1" w:rsidP="00C05BDA">
            <w:pPr>
              <w:pStyle w:val="Tablebullet2"/>
            </w:pPr>
            <w:r w:rsidRPr="00DE108C">
              <w:t>Upper Yarra spillway and outlet upgrades Spillway Upgrade ~$</w:t>
            </w:r>
            <w:r w:rsidRPr="47661B53">
              <w:t>16</w:t>
            </w:r>
            <w:r w:rsidR="44066C42" w:rsidRPr="47661B53">
              <w:t xml:space="preserve"> </w:t>
            </w:r>
            <w:r w:rsidRPr="47661B53">
              <w:t>m</w:t>
            </w:r>
            <w:r w:rsidR="6D0C13C8" w:rsidRPr="47661B53">
              <w:t>illion</w:t>
            </w:r>
            <w:r w:rsidRPr="00DE108C">
              <w:t> </w:t>
            </w:r>
          </w:p>
          <w:p w14:paraId="30E8A4D2" w14:textId="0DB1FEC1" w:rsidR="002D42C1" w:rsidRPr="00DE108C" w:rsidRDefault="002D42C1" w:rsidP="00C05BDA">
            <w:pPr>
              <w:pStyle w:val="Tablebullet"/>
            </w:pPr>
            <w:r w:rsidRPr="00DE108C">
              <w:t>$</w:t>
            </w:r>
            <w:r w:rsidRPr="50321967">
              <w:t>250</w:t>
            </w:r>
            <w:r w:rsidR="6BF5769E" w:rsidRPr="50321967">
              <w:t xml:space="preserve"> </w:t>
            </w:r>
            <w:r w:rsidRPr="50321967">
              <w:t>m</w:t>
            </w:r>
            <w:r w:rsidR="57ADD471" w:rsidRPr="50321967">
              <w:t>illion</w:t>
            </w:r>
            <w:r w:rsidRPr="00DE108C">
              <w:t xml:space="preserve"> investment for early planning to determine a preferred combination of water supply options for the future and ‘no regrets’ development costs for water transfer and treatment projects that are required for the next large scale water supply </w:t>
            </w:r>
          </w:p>
          <w:p w14:paraId="6807DFFB" w14:textId="0F33C4B8" w:rsidR="002D42C1" w:rsidRPr="00DE108C" w:rsidRDefault="002D42C1" w:rsidP="00ED094E">
            <w:pPr>
              <w:rPr>
                <w:sz w:val="16"/>
                <w:szCs w:val="16"/>
              </w:rPr>
            </w:pPr>
            <w:r w:rsidRPr="00DE108C">
              <w:rPr>
                <w:sz w:val="16"/>
                <w:szCs w:val="16"/>
              </w:rPr>
              <w:t xml:space="preserve">*All projects listed in </w:t>
            </w:r>
            <w:r w:rsidR="3D93D9FF" w:rsidRPr="62709D82">
              <w:rPr>
                <w:sz w:val="16"/>
                <w:szCs w:val="16"/>
              </w:rPr>
              <w:t>$</w:t>
            </w:r>
            <w:r w:rsidRPr="00DE108C">
              <w:rPr>
                <w:sz w:val="16"/>
                <w:szCs w:val="16"/>
              </w:rPr>
              <w:t xml:space="preserve">real </w:t>
            </w:r>
            <w:r w:rsidRPr="62709D82">
              <w:rPr>
                <w:sz w:val="16"/>
                <w:szCs w:val="16"/>
              </w:rPr>
              <w:t>202</w:t>
            </w:r>
            <w:r w:rsidR="29B288D3" w:rsidRPr="62709D82">
              <w:rPr>
                <w:sz w:val="16"/>
                <w:szCs w:val="16"/>
              </w:rPr>
              <w:t>5-26</w:t>
            </w:r>
            <w:r w:rsidRPr="00DE108C">
              <w:rPr>
                <w:sz w:val="16"/>
                <w:szCs w:val="16"/>
              </w:rPr>
              <w:t> </w:t>
            </w:r>
          </w:p>
        </w:tc>
      </w:tr>
      <w:tr w:rsidR="002D42C1" w:rsidRPr="00DE108C" w14:paraId="1458CF3B" w14:textId="77777777" w:rsidTr="00C05BDA">
        <w:tc>
          <w:tcPr>
            <w:tcW w:w="1555" w:type="dxa"/>
            <w:vMerge w:val="restart"/>
            <w:shd w:val="clear" w:color="auto" w:fill="00428B" w:themeFill="text2"/>
          </w:tcPr>
          <w:p w14:paraId="5DFFAEC0"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lastRenderedPageBreak/>
              <w:t>Prices and bill impacts – how our prices impact you and your customers</w:t>
            </w:r>
          </w:p>
        </w:tc>
        <w:tc>
          <w:tcPr>
            <w:tcW w:w="10064" w:type="dxa"/>
            <w:shd w:val="clear" w:color="auto" w:fill="00428B" w:themeFill="text2"/>
          </w:tcPr>
          <w:p w14:paraId="34DFD19E"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t>Bulk charges impact</w:t>
            </w:r>
          </w:p>
        </w:tc>
        <w:tc>
          <w:tcPr>
            <w:tcW w:w="10742" w:type="dxa"/>
            <w:shd w:val="clear" w:color="auto" w:fill="00428B" w:themeFill="text2"/>
          </w:tcPr>
          <w:p w14:paraId="09797A63" w14:textId="44E668DA" w:rsidR="002D42C1" w:rsidRPr="00DE108C" w:rsidRDefault="002D42C1" w:rsidP="00ED094E">
            <w:pPr>
              <w:rPr>
                <w:b/>
                <w:bCs/>
                <w:color w:val="FFFFFF" w:themeColor="background1"/>
                <w:sz w:val="16"/>
                <w:szCs w:val="16"/>
              </w:rPr>
            </w:pPr>
            <w:r w:rsidRPr="00DE108C">
              <w:rPr>
                <w:b/>
                <w:bCs/>
                <w:color w:val="FFFFFF" w:themeColor="background1"/>
                <w:sz w:val="16"/>
                <w:szCs w:val="16"/>
              </w:rPr>
              <w:t>End</w:t>
            </w:r>
            <w:r w:rsidR="14FD1320" w:rsidRPr="74E540C8">
              <w:rPr>
                <w:b/>
                <w:bCs/>
                <w:color w:val="FFFFFF" w:themeColor="background1"/>
                <w:sz w:val="16"/>
                <w:szCs w:val="16"/>
              </w:rPr>
              <w:t>-</w:t>
            </w:r>
            <w:r w:rsidRPr="00DE108C">
              <w:rPr>
                <w:b/>
                <w:bCs/>
                <w:color w:val="FFFFFF" w:themeColor="background1"/>
                <w:sz w:val="16"/>
                <w:szCs w:val="16"/>
              </w:rPr>
              <w:t>use customer bill impact</w:t>
            </w:r>
          </w:p>
        </w:tc>
      </w:tr>
      <w:tr w:rsidR="00A043F7" w:rsidRPr="00DE108C" w14:paraId="1EBD3A92" w14:textId="77777777" w:rsidTr="00C05BDA">
        <w:trPr>
          <w:cnfStyle w:val="000000010000" w:firstRow="0" w:lastRow="0" w:firstColumn="0" w:lastColumn="0" w:oddVBand="0" w:evenVBand="0" w:oddHBand="0" w:evenHBand="1" w:firstRowFirstColumn="0" w:firstRowLastColumn="0" w:lastRowFirstColumn="0" w:lastRowLastColumn="0"/>
        </w:trPr>
        <w:tc>
          <w:tcPr>
            <w:tcW w:w="1555" w:type="dxa"/>
            <w:vMerge/>
            <w:shd w:val="clear" w:color="auto" w:fill="00428B" w:themeFill="text2"/>
          </w:tcPr>
          <w:p w14:paraId="2E12C4CE" w14:textId="77777777" w:rsidR="002D42C1" w:rsidRPr="00DE108C" w:rsidRDefault="002D42C1" w:rsidP="00ED094E">
            <w:pPr>
              <w:rPr>
                <w:b/>
                <w:bCs/>
                <w:color w:val="FFFFFF" w:themeColor="background1"/>
                <w:sz w:val="16"/>
                <w:szCs w:val="16"/>
              </w:rPr>
            </w:pPr>
          </w:p>
        </w:tc>
        <w:tc>
          <w:tcPr>
            <w:tcW w:w="10064" w:type="dxa"/>
          </w:tcPr>
          <w:p w14:paraId="2114D96C" w14:textId="1450EF4F" w:rsidR="002D42C1" w:rsidRPr="00DE108C" w:rsidRDefault="002D42C1" w:rsidP="00ED094E">
            <w:pPr>
              <w:rPr>
                <w:sz w:val="16"/>
                <w:szCs w:val="16"/>
              </w:rPr>
            </w:pPr>
            <w:r w:rsidRPr="00DE108C">
              <w:rPr>
                <w:sz w:val="16"/>
                <w:szCs w:val="16"/>
              </w:rPr>
              <w:t xml:space="preserve">Forecast total Melbourne Water bulk charges (excludes desalination orders), in </w:t>
            </w:r>
            <w:r w:rsidR="00054EAF">
              <w:rPr>
                <w:sz w:val="16"/>
                <w:szCs w:val="16"/>
              </w:rPr>
              <w:t xml:space="preserve">$millions, </w:t>
            </w:r>
            <w:r w:rsidR="00054EAF" w:rsidRPr="00CF6652">
              <w:rPr>
                <w:sz w:val="16"/>
                <w:szCs w:val="16"/>
              </w:rPr>
              <w:t>real 20</w:t>
            </w:r>
            <w:r w:rsidR="00054EAF">
              <w:rPr>
                <w:sz w:val="16"/>
                <w:szCs w:val="16"/>
              </w:rPr>
              <w:t>25-</w:t>
            </w:r>
            <w:r w:rsidR="00054EAF" w:rsidRPr="00CF6652">
              <w:rPr>
                <w:sz w:val="16"/>
                <w:szCs w:val="16"/>
              </w:rPr>
              <w:t>26</w:t>
            </w:r>
            <w:r w:rsidRPr="00DE108C">
              <w:rPr>
                <w:sz w:val="16"/>
                <w:szCs w:val="16"/>
              </w:rPr>
              <w:t xml:space="preserve"> (before inflation): </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1335"/>
              <w:gridCol w:w="1335"/>
              <w:gridCol w:w="1335"/>
              <w:gridCol w:w="1335"/>
              <w:gridCol w:w="1335"/>
              <w:gridCol w:w="1335"/>
            </w:tblGrid>
            <w:tr w:rsidR="002D42C1" w:rsidRPr="00DE108C" w14:paraId="29C7E32F" w14:textId="77777777" w:rsidTr="00097A90">
              <w:trPr>
                <w:trHeight w:val="300"/>
              </w:trPr>
              <w:tc>
                <w:tcPr>
                  <w:tcW w:w="1335" w:type="dxa"/>
                  <w:tcBorders>
                    <w:top w:val="single" w:sz="6" w:space="0" w:color="4EC6FF"/>
                    <w:left w:val="nil"/>
                    <w:bottom w:val="single" w:sz="6" w:space="0" w:color="4EC6FF"/>
                    <w:right w:val="nil"/>
                  </w:tcBorders>
                  <w:hideMark/>
                </w:tcPr>
                <w:p w14:paraId="37E5BBC2" w14:textId="5268F741" w:rsidR="002D42C1" w:rsidRPr="00DE108C" w:rsidRDefault="002D42C1" w:rsidP="00ED094E">
                  <w:pPr>
                    <w:spacing w:before="60" w:after="60"/>
                    <w:rPr>
                      <w:sz w:val="16"/>
                      <w:szCs w:val="16"/>
                    </w:rPr>
                  </w:pPr>
                  <w:r w:rsidRPr="00DE108C">
                    <w:rPr>
                      <w:b/>
                      <w:bCs/>
                      <w:sz w:val="16"/>
                      <w:szCs w:val="16"/>
                    </w:rPr>
                    <w:t>Rev</w:t>
                  </w:r>
                  <w:r w:rsidR="008C46DF">
                    <w:rPr>
                      <w:b/>
                      <w:bCs/>
                      <w:sz w:val="16"/>
                      <w:szCs w:val="16"/>
                    </w:rPr>
                    <w:t xml:space="preserve"> </w:t>
                  </w:r>
                </w:p>
              </w:tc>
              <w:tc>
                <w:tcPr>
                  <w:tcW w:w="1335" w:type="dxa"/>
                  <w:tcBorders>
                    <w:top w:val="single" w:sz="6" w:space="0" w:color="4EC6FF"/>
                    <w:left w:val="nil"/>
                    <w:bottom w:val="single" w:sz="6" w:space="0" w:color="4EC6FF"/>
                    <w:right w:val="nil"/>
                  </w:tcBorders>
                  <w:hideMark/>
                </w:tcPr>
                <w:p w14:paraId="0360CBCF" w14:textId="7B090338" w:rsidR="002D42C1" w:rsidRPr="00DE108C" w:rsidRDefault="002D42C1" w:rsidP="00097A90">
                  <w:pPr>
                    <w:spacing w:before="60" w:after="60"/>
                    <w:jc w:val="center"/>
                    <w:rPr>
                      <w:sz w:val="16"/>
                      <w:szCs w:val="16"/>
                    </w:rPr>
                  </w:pPr>
                  <w:r w:rsidRPr="00DE108C">
                    <w:rPr>
                      <w:b/>
                      <w:bCs/>
                      <w:sz w:val="16"/>
                      <w:szCs w:val="16"/>
                    </w:rPr>
                    <w:t>2025-26</w:t>
                  </w:r>
                </w:p>
              </w:tc>
              <w:tc>
                <w:tcPr>
                  <w:tcW w:w="1335" w:type="dxa"/>
                  <w:tcBorders>
                    <w:top w:val="single" w:sz="6" w:space="0" w:color="4EC6FF"/>
                    <w:left w:val="nil"/>
                    <w:bottom w:val="single" w:sz="6" w:space="0" w:color="4EC6FF"/>
                    <w:right w:val="nil"/>
                  </w:tcBorders>
                  <w:hideMark/>
                </w:tcPr>
                <w:p w14:paraId="33777EDF" w14:textId="1B7CCD75" w:rsidR="002D42C1" w:rsidRPr="00DE108C" w:rsidRDefault="002D42C1" w:rsidP="00097A90">
                  <w:pPr>
                    <w:spacing w:before="60" w:after="60"/>
                    <w:jc w:val="center"/>
                    <w:rPr>
                      <w:sz w:val="16"/>
                      <w:szCs w:val="16"/>
                    </w:rPr>
                  </w:pPr>
                  <w:r w:rsidRPr="00DE108C">
                    <w:rPr>
                      <w:b/>
                      <w:bCs/>
                      <w:sz w:val="16"/>
                      <w:szCs w:val="16"/>
                    </w:rPr>
                    <w:t>2026-27</w:t>
                  </w:r>
                </w:p>
              </w:tc>
              <w:tc>
                <w:tcPr>
                  <w:tcW w:w="1335" w:type="dxa"/>
                  <w:tcBorders>
                    <w:top w:val="single" w:sz="6" w:space="0" w:color="4EC6FF"/>
                    <w:left w:val="nil"/>
                    <w:bottom w:val="single" w:sz="6" w:space="0" w:color="4EC6FF"/>
                    <w:right w:val="nil"/>
                  </w:tcBorders>
                  <w:hideMark/>
                </w:tcPr>
                <w:p w14:paraId="0A4AED1C" w14:textId="1D3D333F" w:rsidR="002D42C1" w:rsidRPr="00DE108C" w:rsidRDefault="002D42C1" w:rsidP="00097A90">
                  <w:pPr>
                    <w:spacing w:before="60" w:after="60"/>
                    <w:jc w:val="center"/>
                    <w:rPr>
                      <w:sz w:val="16"/>
                      <w:szCs w:val="16"/>
                    </w:rPr>
                  </w:pPr>
                  <w:r w:rsidRPr="00DE108C">
                    <w:rPr>
                      <w:b/>
                      <w:bCs/>
                      <w:sz w:val="16"/>
                      <w:szCs w:val="16"/>
                    </w:rPr>
                    <w:t>2027-28</w:t>
                  </w:r>
                </w:p>
              </w:tc>
              <w:tc>
                <w:tcPr>
                  <w:tcW w:w="1335" w:type="dxa"/>
                  <w:tcBorders>
                    <w:top w:val="single" w:sz="6" w:space="0" w:color="4EC6FF"/>
                    <w:left w:val="nil"/>
                    <w:bottom w:val="single" w:sz="6" w:space="0" w:color="4EC6FF"/>
                    <w:right w:val="nil"/>
                  </w:tcBorders>
                  <w:hideMark/>
                </w:tcPr>
                <w:p w14:paraId="7776F235" w14:textId="6DFAEBE4" w:rsidR="002D42C1" w:rsidRPr="00DE108C" w:rsidRDefault="002D42C1" w:rsidP="00097A90">
                  <w:pPr>
                    <w:spacing w:before="60" w:after="60"/>
                    <w:jc w:val="center"/>
                    <w:rPr>
                      <w:sz w:val="16"/>
                      <w:szCs w:val="16"/>
                    </w:rPr>
                  </w:pPr>
                  <w:r w:rsidRPr="00DE108C">
                    <w:rPr>
                      <w:b/>
                      <w:bCs/>
                      <w:sz w:val="16"/>
                      <w:szCs w:val="16"/>
                    </w:rPr>
                    <w:t>2028-29</w:t>
                  </w:r>
                </w:p>
              </w:tc>
              <w:tc>
                <w:tcPr>
                  <w:tcW w:w="1335" w:type="dxa"/>
                  <w:tcBorders>
                    <w:top w:val="single" w:sz="6" w:space="0" w:color="4EC6FF"/>
                    <w:left w:val="nil"/>
                    <w:bottom w:val="single" w:sz="6" w:space="0" w:color="4EC6FF"/>
                    <w:right w:val="nil"/>
                  </w:tcBorders>
                  <w:hideMark/>
                </w:tcPr>
                <w:p w14:paraId="2936CD72" w14:textId="698D0CA7" w:rsidR="002D42C1" w:rsidRPr="00DE108C" w:rsidRDefault="002D42C1" w:rsidP="00097A90">
                  <w:pPr>
                    <w:spacing w:before="60" w:after="60"/>
                    <w:jc w:val="center"/>
                    <w:rPr>
                      <w:sz w:val="16"/>
                      <w:szCs w:val="16"/>
                    </w:rPr>
                  </w:pPr>
                  <w:r w:rsidRPr="00DE108C">
                    <w:rPr>
                      <w:b/>
                      <w:bCs/>
                      <w:sz w:val="16"/>
                      <w:szCs w:val="16"/>
                    </w:rPr>
                    <w:t>2029-30</w:t>
                  </w:r>
                </w:p>
              </w:tc>
              <w:tc>
                <w:tcPr>
                  <w:tcW w:w="1335" w:type="dxa"/>
                  <w:tcBorders>
                    <w:top w:val="single" w:sz="6" w:space="0" w:color="4EC6FF"/>
                    <w:left w:val="nil"/>
                    <w:bottom w:val="single" w:sz="6" w:space="0" w:color="4EC6FF"/>
                    <w:right w:val="nil"/>
                  </w:tcBorders>
                  <w:hideMark/>
                </w:tcPr>
                <w:p w14:paraId="3674615C" w14:textId="12B3743B" w:rsidR="002D42C1" w:rsidRPr="00DE108C" w:rsidRDefault="002D42C1" w:rsidP="00097A90">
                  <w:pPr>
                    <w:spacing w:before="60" w:after="60"/>
                    <w:jc w:val="center"/>
                    <w:rPr>
                      <w:sz w:val="16"/>
                      <w:szCs w:val="16"/>
                    </w:rPr>
                  </w:pPr>
                  <w:r w:rsidRPr="00DE108C">
                    <w:rPr>
                      <w:b/>
                      <w:bCs/>
                      <w:sz w:val="16"/>
                      <w:szCs w:val="16"/>
                    </w:rPr>
                    <w:t>2030-31</w:t>
                  </w:r>
                </w:p>
              </w:tc>
            </w:tr>
            <w:tr w:rsidR="002D42C1" w:rsidRPr="00DE108C" w14:paraId="246958AE" w14:textId="77777777" w:rsidTr="00097A90">
              <w:trPr>
                <w:trHeight w:val="300"/>
              </w:trPr>
              <w:tc>
                <w:tcPr>
                  <w:tcW w:w="1335" w:type="dxa"/>
                  <w:tcBorders>
                    <w:top w:val="single" w:sz="6" w:space="0" w:color="4EC6FF"/>
                    <w:left w:val="nil"/>
                    <w:bottom w:val="single" w:sz="6" w:space="0" w:color="4EC6FF"/>
                    <w:right w:val="nil"/>
                  </w:tcBorders>
                  <w:hideMark/>
                </w:tcPr>
                <w:p w14:paraId="746356F7" w14:textId="4B2E1F08"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220C3A38" w14:textId="633D396B" w:rsidR="002D42C1" w:rsidRPr="00DE108C" w:rsidRDefault="002D42C1" w:rsidP="00097A90">
                  <w:pPr>
                    <w:spacing w:before="60" w:after="60"/>
                    <w:jc w:val="center"/>
                    <w:rPr>
                      <w:sz w:val="16"/>
                      <w:szCs w:val="16"/>
                    </w:rPr>
                  </w:pPr>
                  <w:r w:rsidRPr="00DE108C">
                    <w:rPr>
                      <w:sz w:val="16"/>
                      <w:szCs w:val="16"/>
                    </w:rPr>
                    <w:t>394</w:t>
                  </w:r>
                </w:p>
              </w:tc>
              <w:tc>
                <w:tcPr>
                  <w:tcW w:w="1335" w:type="dxa"/>
                  <w:tcBorders>
                    <w:top w:val="single" w:sz="6" w:space="0" w:color="4EC6FF"/>
                    <w:left w:val="nil"/>
                    <w:bottom w:val="single" w:sz="6" w:space="0" w:color="4EC6FF"/>
                    <w:right w:val="nil"/>
                  </w:tcBorders>
                  <w:vAlign w:val="center"/>
                  <w:hideMark/>
                </w:tcPr>
                <w:p w14:paraId="4A222CD1" w14:textId="66F3A946" w:rsidR="002D42C1" w:rsidRPr="00DE108C" w:rsidRDefault="002D42C1" w:rsidP="00097A90">
                  <w:pPr>
                    <w:spacing w:before="60" w:after="60"/>
                    <w:jc w:val="center"/>
                    <w:rPr>
                      <w:sz w:val="16"/>
                      <w:szCs w:val="16"/>
                    </w:rPr>
                  </w:pPr>
                  <w:r w:rsidRPr="00DE108C">
                    <w:rPr>
                      <w:sz w:val="16"/>
                      <w:szCs w:val="16"/>
                    </w:rPr>
                    <w:t>405</w:t>
                  </w:r>
                </w:p>
              </w:tc>
              <w:tc>
                <w:tcPr>
                  <w:tcW w:w="1335" w:type="dxa"/>
                  <w:tcBorders>
                    <w:top w:val="single" w:sz="6" w:space="0" w:color="4EC6FF"/>
                    <w:left w:val="nil"/>
                    <w:bottom w:val="single" w:sz="6" w:space="0" w:color="4EC6FF"/>
                    <w:right w:val="nil"/>
                  </w:tcBorders>
                  <w:vAlign w:val="center"/>
                  <w:hideMark/>
                </w:tcPr>
                <w:p w14:paraId="1C1E29CA" w14:textId="3C78F33E" w:rsidR="002D42C1" w:rsidRPr="00DE108C" w:rsidRDefault="00097A90" w:rsidP="00097A90">
                  <w:pPr>
                    <w:spacing w:before="60" w:after="60"/>
                    <w:jc w:val="center"/>
                    <w:rPr>
                      <w:sz w:val="16"/>
                      <w:szCs w:val="16"/>
                    </w:rPr>
                  </w:pPr>
                  <w:r w:rsidRPr="00C92A0B">
                    <w:rPr>
                      <w:sz w:val="16"/>
                      <w:szCs w:val="16"/>
                    </w:rPr>
                    <w:t>426</w:t>
                  </w:r>
                </w:p>
              </w:tc>
              <w:tc>
                <w:tcPr>
                  <w:tcW w:w="1335" w:type="dxa"/>
                  <w:tcBorders>
                    <w:top w:val="single" w:sz="6" w:space="0" w:color="4EC6FF"/>
                    <w:left w:val="nil"/>
                    <w:bottom w:val="single" w:sz="6" w:space="0" w:color="4EC6FF"/>
                    <w:right w:val="nil"/>
                  </w:tcBorders>
                  <w:vAlign w:val="center"/>
                  <w:hideMark/>
                </w:tcPr>
                <w:p w14:paraId="4C35F862" w14:textId="4FCFF577" w:rsidR="002D42C1" w:rsidRPr="00DE108C" w:rsidRDefault="00097A90" w:rsidP="00097A90">
                  <w:pPr>
                    <w:spacing w:before="60" w:after="60"/>
                    <w:jc w:val="center"/>
                    <w:rPr>
                      <w:sz w:val="16"/>
                      <w:szCs w:val="16"/>
                    </w:rPr>
                  </w:pPr>
                  <w:r w:rsidRPr="0091606C">
                    <w:rPr>
                      <w:sz w:val="16"/>
                      <w:szCs w:val="16"/>
                    </w:rPr>
                    <w:t>444</w:t>
                  </w:r>
                </w:p>
              </w:tc>
              <w:tc>
                <w:tcPr>
                  <w:tcW w:w="1335" w:type="dxa"/>
                  <w:tcBorders>
                    <w:top w:val="single" w:sz="6" w:space="0" w:color="4EC6FF"/>
                    <w:left w:val="nil"/>
                    <w:bottom w:val="single" w:sz="6" w:space="0" w:color="4EC6FF"/>
                    <w:right w:val="nil"/>
                  </w:tcBorders>
                  <w:vAlign w:val="center"/>
                  <w:hideMark/>
                </w:tcPr>
                <w:p w14:paraId="4D86A4D0" w14:textId="7F859DA6" w:rsidR="002D42C1" w:rsidRPr="00DE108C" w:rsidRDefault="002D42C1" w:rsidP="00097A90">
                  <w:pPr>
                    <w:spacing w:before="60" w:after="60"/>
                    <w:jc w:val="center"/>
                    <w:rPr>
                      <w:sz w:val="16"/>
                      <w:szCs w:val="16"/>
                    </w:rPr>
                  </w:pPr>
                  <w:r w:rsidRPr="00DE108C">
                    <w:rPr>
                      <w:sz w:val="16"/>
                      <w:szCs w:val="16"/>
                    </w:rPr>
                    <w:t>463</w:t>
                  </w:r>
                </w:p>
              </w:tc>
              <w:tc>
                <w:tcPr>
                  <w:tcW w:w="1335" w:type="dxa"/>
                  <w:tcBorders>
                    <w:top w:val="single" w:sz="6" w:space="0" w:color="4EC6FF"/>
                    <w:left w:val="nil"/>
                    <w:bottom w:val="single" w:sz="6" w:space="0" w:color="4EC6FF"/>
                    <w:right w:val="nil"/>
                  </w:tcBorders>
                  <w:vAlign w:val="center"/>
                  <w:hideMark/>
                </w:tcPr>
                <w:p w14:paraId="416D97E7" w14:textId="7DFCBD18" w:rsidR="002D42C1" w:rsidRPr="00DE108C" w:rsidRDefault="00097A90" w:rsidP="00097A90">
                  <w:pPr>
                    <w:spacing w:before="60" w:after="60"/>
                    <w:jc w:val="center"/>
                    <w:rPr>
                      <w:sz w:val="16"/>
                      <w:szCs w:val="16"/>
                    </w:rPr>
                  </w:pPr>
                  <w:r w:rsidRPr="0091606C">
                    <w:rPr>
                      <w:sz w:val="16"/>
                      <w:szCs w:val="16"/>
                    </w:rPr>
                    <w:t>481</w:t>
                  </w:r>
                </w:p>
              </w:tc>
            </w:tr>
            <w:tr w:rsidR="002D42C1" w:rsidRPr="00DE108C" w14:paraId="7A386A75" w14:textId="77777777" w:rsidTr="00097A90">
              <w:trPr>
                <w:trHeight w:val="300"/>
              </w:trPr>
              <w:tc>
                <w:tcPr>
                  <w:tcW w:w="1335" w:type="dxa"/>
                  <w:tcBorders>
                    <w:top w:val="single" w:sz="6" w:space="0" w:color="4EC6FF"/>
                    <w:left w:val="nil"/>
                    <w:bottom w:val="single" w:sz="6" w:space="0" w:color="4EC6FF"/>
                    <w:right w:val="nil"/>
                  </w:tcBorders>
                  <w:hideMark/>
                </w:tcPr>
                <w:p w14:paraId="787BC3EE" w14:textId="3C920820"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3F186E8F" w14:textId="6959D397" w:rsidR="002D42C1" w:rsidRPr="00DE108C" w:rsidRDefault="002D42C1" w:rsidP="00097A90">
                  <w:pPr>
                    <w:spacing w:before="60" w:after="60"/>
                    <w:jc w:val="center"/>
                    <w:rPr>
                      <w:sz w:val="16"/>
                      <w:szCs w:val="16"/>
                    </w:rPr>
                  </w:pPr>
                  <w:r w:rsidRPr="00DE108C">
                    <w:rPr>
                      <w:sz w:val="16"/>
                      <w:szCs w:val="16"/>
                    </w:rPr>
                    <w:t>572</w:t>
                  </w:r>
                </w:p>
              </w:tc>
              <w:tc>
                <w:tcPr>
                  <w:tcW w:w="1335" w:type="dxa"/>
                  <w:tcBorders>
                    <w:top w:val="single" w:sz="6" w:space="0" w:color="4EC6FF"/>
                    <w:left w:val="nil"/>
                    <w:bottom w:val="single" w:sz="6" w:space="0" w:color="4EC6FF"/>
                    <w:right w:val="nil"/>
                  </w:tcBorders>
                  <w:vAlign w:val="center"/>
                  <w:hideMark/>
                </w:tcPr>
                <w:p w14:paraId="27562969" w14:textId="338AF7C6" w:rsidR="002D42C1" w:rsidRPr="00DE108C" w:rsidRDefault="002D42C1" w:rsidP="00097A90">
                  <w:pPr>
                    <w:spacing w:before="60" w:after="60"/>
                    <w:jc w:val="center"/>
                    <w:rPr>
                      <w:sz w:val="16"/>
                      <w:szCs w:val="16"/>
                    </w:rPr>
                  </w:pPr>
                  <w:r w:rsidRPr="00DE108C">
                    <w:rPr>
                      <w:sz w:val="16"/>
                      <w:szCs w:val="16"/>
                    </w:rPr>
                    <w:t>581</w:t>
                  </w:r>
                </w:p>
              </w:tc>
              <w:tc>
                <w:tcPr>
                  <w:tcW w:w="1335" w:type="dxa"/>
                  <w:tcBorders>
                    <w:top w:val="single" w:sz="6" w:space="0" w:color="4EC6FF"/>
                    <w:left w:val="nil"/>
                    <w:bottom w:val="single" w:sz="6" w:space="0" w:color="4EC6FF"/>
                    <w:right w:val="nil"/>
                  </w:tcBorders>
                  <w:vAlign w:val="center"/>
                  <w:hideMark/>
                </w:tcPr>
                <w:p w14:paraId="2F7F633C" w14:textId="1FA41BD7" w:rsidR="002D42C1" w:rsidRPr="00DE108C" w:rsidRDefault="00097A90" w:rsidP="00097A90">
                  <w:pPr>
                    <w:spacing w:before="60" w:after="60"/>
                    <w:jc w:val="center"/>
                    <w:rPr>
                      <w:sz w:val="16"/>
                      <w:szCs w:val="16"/>
                    </w:rPr>
                  </w:pPr>
                  <w:r w:rsidRPr="00C92A0B">
                    <w:rPr>
                      <w:sz w:val="16"/>
                      <w:szCs w:val="16"/>
                    </w:rPr>
                    <w:t>605</w:t>
                  </w:r>
                </w:p>
              </w:tc>
              <w:tc>
                <w:tcPr>
                  <w:tcW w:w="1335" w:type="dxa"/>
                  <w:tcBorders>
                    <w:top w:val="single" w:sz="6" w:space="0" w:color="4EC6FF"/>
                    <w:left w:val="nil"/>
                    <w:bottom w:val="single" w:sz="6" w:space="0" w:color="4EC6FF"/>
                    <w:right w:val="nil"/>
                  </w:tcBorders>
                  <w:vAlign w:val="center"/>
                  <w:hideMark/>
                </w:tcPr>
                <w:p w14:paraId="450EB037" w14:textId="4C5D9DEF" w:rsidR="002D42C1" w:rsidRPr="00DE108C" w:rsidRDefault="00097A90" w:rsidP="00097A90">
                  <w:pPr>
                    <w:spacing w:before="60" w:after="60"/>
                    <w:jc w:val="center"/>
                    <w:rPr>
                      <w:sz w:val="16"/>
                      <w:szCs w:val="16"/>
                    </w:rPr>
                  </w:pPr>
                  <w:r w:rsidRPr="0091606C">
                    <w:rPr>
                      <w:sz w:val="16"/>
                      <w:szCs w:val="16"/>
                    </w:rPr>
                    <w:t>615</w:t>
                  </w:r>
                </w:p>
              </w:tc>
              <w:tc>
                <w:tcPr>
                  <w:tcW w:w="1335" w:type="dxa"/>
                  <w:tcBorders>
                    <w:top w:val="single" w:sz="6" w:space="0" w:color="4EC6FF"/>
                    <w:left w:val="nil"/>
                    <w:bottom w:val="single" w:sz="6" w:space="0" w:color="4EC6FF"/>
                    <w:right w:val="nil"/>
                  </w:tcBorders>
                  <w:vAlign w:val="center"/>
                  <w:hideMark/>
                </w:tcPr>
                <w:p w14:paraId="5F8B0964" w14:textId="6D64B0CD" w:rsidR="002D42C1" w:rsidRPr="00DE108C" w:rsidRDefault="002D42C1" w:rsidP="00097A90">
                  <w:pPr>
                    <w:spacing w:before="60" w:after="60"/>
                    <w:jc w:val="center"/>
                    <w:rPr>
                      <w:sz w:val="16"/>
                      <w:szCs w:val="16"/>
                    </w:rPr>
                  </w:pPr>
                  <w:r w:rsidRPr="00DE108C">
                    <w:rPr>
                      <w:sz w:val="16"/>
                      <w:szCs w:val="16"/>
                    </w:rPr>
                    <w:t>626</w:t>
                  </w:r>
                </w:p>
              </w:tc>
              <w:tc>
                <w:tcPr>
                  <w:tcW w:w="1335" w:type="dxa"/>
                  <w:tcBorders>
                    <w:top w:val="single" w:sz="6" w:space="0" w:color="4EC6FF"/>
                    <w:left w:val="nil"/>
                    <w:bottom w:val="single" w:sz="6" w:space="0" w:color="4EC6FF"/>
                    <w:right w:val="nil"/>
                  </w:tcBorders>
                  <w:vAlign w:val="center"/>
                  <w:hideMark/>
                </w:tcPr>
                <w:p w14:paraId="73F4323E" w14:textId="01AD02B8" w:rsidR="002D42C1" w:rsidRPr="00DE108C" w:rsidRDefault="00097A90" w:rsidP="00097A90">
                  <w:pPr>
                    <w:spacing w:before="60" w:after="60"/>
                    <w:jc w:val="center"/>
                    <w:rPr>
                      <w:sz w:val="16"/>
                      <w:szCs w:val="16"/>
                    </w:rPr>
                  </w:pPr>
                  <w:r w:rsidRPr="00C92A0B">
                    <w:rPr>
                      <w:sz w:val="16"/>
                      <w:szCs w:val="16"/>
                    </w:rPr>
                    <w:t>637</w:t>
                  </w:r>
                </w:p>
              </w:tc>
            </w:tr>
            <w:tr w:rsidR="002D42C1" w:rsidRPr="00DE108C" w14:paraId="10303D1A" w14:textId="77777777" w:rsidTr="00097A90">
              <w:trPr>
                <w:trHeight w:val="300"/>
              </w:trPr>
              <w:tc>
                <w:tcPr>
                  <w:tcW w:w="1335" w:type="dxa"/>
                  <w:tcBorders>
                    <w:top w:val="single" w:sz="6" w:space="0" w:color="4EC6FF"/>
                    <w:left w:val="nil"/>
                    <w:bottom w:val="single" w:sz="6" w:space="0" w:color="4EC6FF"/>
                    <w:right w:val="nil"/>
                  </w:tcBorders>
                  <w:shd w:val="clear" w:color="auto" w:fill="46C2D7"/>
                  <w:hideMark/>
                </w:tcPr>
                <w:p w14:paraId="6159071C"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35" w:type="dxa"/>
                  <w:tcBorders>
                    <w:top w:val="single" w:sz="6" w:space="0" w:color="4EC6FF"/>
                    <w:left w:val="nil"/>
                    <w:bottom w:val="single" w:sz="6" w:space="0" w:color="4EC6FF"/>
                    <w:right w:val="nil"/>
                  </w:tcBorders>
                  <w:shd w:val="clear" w:color="auto" w:fill="46C2D7"/>
                  <w:vAlign w:val="center"/>
                  <w:hideMark/>
                </w:tcPr>
                <w:p w14:paraId="2F7299B6" w14:textId="7C217EF4" w:rsidR="002D42C1" w:rsidRPr="00DE108C" w:rsidRDefault="002D42C1" w:rsidP="00097A90">
                  <w:pPr>
                    <w:spacing w:before="60" w:after="60"/>
                    <w:jc w:val="center"/>
                    <w:rPr>
                      <w:sz w:val="16"/>
                      <w:szCs w:val="16"/>
                    </w:rPr>
                  </w:pPr>
                  <w:r w:rsidRPr="00DE108C">
                    <w:rPr>
                      <w:sz w:val="16"/>
                      <w:szCs w:val="16"/>
                    </w:rPr>
                    <w:t>570</w:t>
                  </w:r>
                </w:p>
              </w:tc>
              <w:tc>
                <w:tcPr>
                  <w:tcW w:w="1335" w:type="dxa"/>
                  <w:tcBorders>
                    <w:top w:val="single" w:sz="6" w:space="0" w:color="4EC6FF"/>
                    <w:left w:val="nil"/>
                    <w:bottom w:val="single" w:sz="6" w:space="0" w:color="4EC6FF"/>
                    <w:right w:val="nil"/>
                  </w:tcBorders>
                  <w:shd w:val="clear" w:color="auto" w:fill="46C2D7"/>
                  <w:vAlign w:val="center"/>
                  <w:hideMark/>
                </w:tcPr>
                <w:p w14:paraId="5A7F9B1B" w14:textId="06EF501A" w:rsidR="002D42C1" w:rsidRPr="00DE108C" w:rsidRDefault="002D42C1" w:rsidP="00097A90">
                  <w:pPr>
                    <w:spacing w:before="60" w:after="60"/>
                    <w:jc w:val="center"/>
                    <w:rPr>
                      <w:sz w:val="16"/>
                      <w:szCs w:val="16"/>
                    </w:rPr>
                  </w:pPr>
                  <w:r w:rsidRPr="00DE108C">
                    <w:rPr>
                      <w:sz w:val="16"/>
                      <w:szCs w:val="16"/>
                    </w:rPr>
                    <w:t>579</w:t>
                  </w:r>
                </w:p>
              </w:tc>
              <w:tc>
                <w:tcPr>
                  <w:tcW w:w="1335" w:type="dxa"/>
                  <w:tcBorders>
                    <w:top w:val="single" w:sz="6" w:space="0" w:color="4EC6FF"/>
                    <w:left w:val="nil"/>
                    <w:bottom w:val="single" w:sz="6" w:space="0" w:color="4EC6FF"/>
                    <w:right w:val="nil"/>
                  </w:tcBorders>
                  <w:shd w:val="clear" w:color="auto" w:fill="46C2D7"/>
                  <w:vAlign w:val="center"/>
                  <w:hideMark/>
                </w:tcPr>
                <w:p w14:paraId="6C6E394A" w14:textId="388C0296" w:rsidR="002D42C1" w:rsidRPr="00DE108C" w:rsidRDefault="002D42C1" w:rsidP="00097A90">
                  <w:pPr>
                    <w:spacing w:before="60" w:after="60"/>
                    <w:jc w:val="center"/>
                    <w:rPr>
                      <w:sz w:val="16"/>
                      <w:szCs w:val="16"/>
                    </w:rPr>
                  </w:pPr>
                  <w:r w:rsidRPr="00DE108C">
                    <w:rPr>
                      <w:sz w:val="16"/>
                      <w:szCs w:val="16"/>
                    </w:rPr>
                    <w:t>605</w:t>
                  </w:r>
                </w:p>
              </w:tc>
              <w:tc>
                <w:tcPr>
                  <w:tcW w:w="1335" w:type="dxa"/>
                  <w:tcBorders>
                    <w:top w:val="single" w:sz="6" w:space="0" w:color="4EC6FF"/>
                    <w:left w:val="nil"/>
                    <w:bottom w:val="single" w:sz="6" w:space="0" w:color="4EC6FF"/>
                    <w:right w:val="nil"/>
                  </w:tcBorders>
                  <w:shd w:val="clear" w:color="auto" w:fill="46C2D7"/>
                  <w:vAlign w:val="center"/>
                  <w:hideMark/>
                </w:tcPr>
                <w:p w14:paraId="5B98CDF5" w14:textId="750B58DA" w:rsidR="002D42C1" w:rsidRPr="00DE108C" w:rsidRDefault="002D42C1" w:rsidP="00097A90">
                  <w:pPr>
                    <w:spacing w:before="60" w:after="60"/>
                    <w:jc w:val="center"/>
                    <w:rPr>
                      <w:sz w:val="16"/>
                      <w:szCs w:val="16"/>
                    </w:rPr>
                  </w:pPr>
                  <w:r w:rsidRPr="00DE108C">
                    <w:rPr>
                      <w:sz w:val="16"/>
                      <w:szCs w:val="16"/>
                    </w:rPr>
                    <w:t>608</w:t>
                  </w:r>
                </w:p>
              </w:tc>
              <w:tc>
                <w:tcPr>
                  <w:tcW w:w="1335" w:type="dxa"/>
                  <w:tcBorders>
                    <w:top w:val="single" w:sz="6" w:space="0" w:color="4EC6FF"/>
                    <w:left w:val="nil"/>
                    <w:bottom w:val="single" w:sz="6" w:space="0" w:color="4EC6FF"/>
                    <w:right w:val="nil"/>
                  </w:tcBorders>
                  <w:shd w:val="clear" w:color="auto" w:fill="46C2D7"/>
                  <w:vAlign w:val="center"/>
                  <w:hideMark/>
                </w:tcPr>
                <w:p w14:paraId="1022166F" w14:textId="2F209B5F" w:rsidR="002D42C1" w:rsidRPr="00DE108C" w:rsidRDefault="00097A90" w:rsidP="00097A90">
                  <w:pPr>
                    <w:spacing w:before="60" w:after="60"/>
                    <w:jc w:val="center"/>
                    <w:rPr>
                      <w:sz w:val="16"/>
                      <w:szCs w:val="16"/>
                    </w:rPr>
                  </w:pPr>
                  <w:r w:rsidRPr="0091606C">
                    <w:rPr>
                      <w:sz w:val="16"/>
                      <w:szCs w:val="16"/>
                    </w:rPr>
                    <w:t>610</w:t>
                  </w:r>
                </w:p>
              </w:tc>
              <w:tc>
                <w:tcPr>
                  <w:tcW w:w="1335" w:type="dxa"/>
                  <w:tcBorders>
                    <w:top w:val="single" w:sz="6" w:space="0" w:color="4EC6FF"/>
                    <w:left w:val="nil"/>
                    <w:bottom w:val="single" w:sz="6" w:space="0" w:color="4EC6FF"/>
                    <w:right w:val="nil"/>
                  </w:tcBorders>
                  <w:shd w:val="clear" w:color="auto" w:fill="46C2D7"/>
                  <w:vAlign w:val="center"/>
                  <w:hideMark/>
                </w:tcPr>
                <w:p w14:paraId="06C35F6B" w14:textId="31ED577B" w:rsidR="002D42C1" w:rsidRPr="00DE108C" w:rsidRDefault="00097A90" w:rsidP="00097A90">
                  <w:pPr>
                    <w:spacing w:before="60" w:after="60"/>
                    <w:jc w:val="center"/>
                    <w:rPr>
                      <w:sz w:val="16"/>
                      <w:szCs w:val="16"/>
                    </w:rPr>
                  </w:pPr>
                  <w:r w:rsidRPr="00C92A0B">
                    <w:rPr>
                      <w:sz w:val="16"/>
                      <w:szCs w:val="16"/>
                    </w:rPr>
                    <w:t>612</w:t>
                  </w:r>
                </w:p>
              </w:tc>
            </w:tr>
            <w:tr w:rsidR="002D42C1" w:rsidRPr="00DE108C" w14:paraId="43E6A555" w14:textId="77777777" w:rsidTr="00097A90">
              <w:trPr>
                <w:trHeight w:val="300"/>
              </w:trPr>
              <w:tc>
                <w:tcPr>
                  <w:tcW w:w="1335" w:type="dxa"/>
                  <w:tcBorders>
                    <w:top w:val="single" w:sz="6" w:space="0" w:color="4EC6FF"/>
                    <w:left w:val="nil"/>
                    <w:bottom w:val="single" w:sz="6" w:space="0" w:color="4EC6FF"/>
                    <w:right w:val="nil"/>
                  </w:tcBorders>
                  <w:hideMark/>
                </w:tcPr>
                <w:p w14:paraId="25A4CEE3" w14:textId="6459AE20"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3EA19609" w14:textId="6C83A2B9" w:rsidR="002D42C1" w:rsidRPr="00DE108C" w:rsidRDefault="002D42C1" w:rsidP="00097A90">
                  <w:pPr>
                    <w:spacing w:before="60" w:after="60"/>
                    <w:jc w:val="center"/>
                    <w:rPr>
                      <w:sz w:val="16"/>
                      <w:szCs w:val="16"/>
                    </w:rPr>
                  </w:pPr>
                  <w:r w:rsidRPr="00DE108C">
                    <w:rPr>
                      <w:sz w:val="16"/>
                      <w:szCs w:val="16"/>
                    </w:rPr>
                    <w:t>12.0</w:t>
                  </w:r>
                </w:p>
              </w:tc>
              <w:tc>
                <w:tcPr>
                  <w:tcW w:w="1335" w:type="dxa"/>
                  <w:tcBorders>
                    <w:top w:val="single" w:sz="6" w:space="0" w:color="4EC6FF"/>
                    <w:left w:val="nil"/>
                    <w:bottom w:val="single" w:sz="6" w:space="0" w:color="4EC6FF"/>
                    <w:right w:val="nil"/>
                  </w:tcBorders>
                  <w:vAlign w:val="center"/>
                  <w:hideMark/>
                </w:tcPr>
                <w:p w14:paraId="58059A41" w14:textId="4485B290" w:rsidR="002D42C1" w:rsidRPr="00DE108C" w:rsidRDefault="002D42C1" w:rsidP="00097A90">
                  <w:pPr>
                    <w:spacing w:before="60" w:after="60"/>
                    <w:jc w:val="center"/>
                    <w:rPr>
                      <w:sz w:val="16"/>
                      <w:szCs w:val="16"/>
                    </w:rPr>
                  </w:pPr>
                  <w:r w:rsidRPr="00DE108C">
                    <w:rPr>
                      <w:sz w:val="16"/>
                      <w:szCs w:val="16"/>
                    </w:rPr>
                    <w:t>10.7</w:t>
                  </w:r>
                </w:p>
              </w:tc>
              <w:tc>
                <w:tcPr>
                  <w:tcW w:w="1335" w:type="dxa"/>
                  <w:tcBorders>
                    <w:top w:val="single" w:sz="6" w:space="0" w:color="4EC6FF"/>
                    <w:left w:val="nil"/>
                    <w:bottom w:val="single" w:sz="6" w:space="0" w:color="4EC6FF"/>
                    <w:right w:val="nil"/>
                  </w:tcBorders>
                  <w:vAlign w:val="center"/>
                  <w:hideMark/>
                </w:tcPr>
                <w:p w14:paraId="69FB9849" w14:textId="63A73231"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740E1F34" w14:textId="6CE314E5"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5CD0034D" w14:textId="0EA694CB"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331B9317" w14:textId="48EEED4D" w:rsidR="002D42C1" w:rsidRPr="00DE108C" w:rsidRDefault="002D42C1" w:rsidP="00097A90">
                  <w:pPr>
                    <w:spacing w:before="60" w:after="60"/>
                    <w:jc w:val="center"/>
                    <w:rPr>
                      <w:sz w:val="16"/>
                      <w:szCs w:val="16"/>
                    </w:rPr>
                  </w:pPr>
                  <w:r w:rsidRPr="00DE108C">
                    <w:rPr>
                      <w:sz w:val="16"/>
                      <w:szCs w:val="16"/>
                    </w:rPr>
                    <w:t>7.5</w:t>
                  </w:r>
                </w:p>
              </w:tc>
            </w:tr>
            <w:tr w:rsidR="002D42C1" w:rsidRPr="00DE108C" w14:paraId="7B75DCB3" w14:textId="77777777" w:rsidTr="00097A90">
              <w:trPr>
                <w:trHeight w:val="300"/>
              </w:trPr>
              <w:tc>
                <w:tcPr>
                  <w:tcW w:w="1335" w:type="dxa"/>
                  <w:tcBorders>
                    <w:top w:val="single" w:sz="6" w:space="0" w:color="4EC6FF"/>
                    <w:left w:val="nil"/>
                    <w:bottom w:val="single" w:sz="6" w:space="0" w:color="4EC6FF"/>
                    <w:right w:val="nil"/>
                  </w:tcBorders>
                  <w:hideMark/>
                </w:tcPr>
                <w:p w14:paraId="02618EC4" w14:textId="6585809E"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73AEA35B" w14:textId="0CF1ED3F"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0DBDD612" w14:textId="563E7560" w:rsidR="002D42C1" w:rsidRPr="00DE108C" w:rsidRDefault="002D42C1" w:rsidP="00097A90">
                  <w:pPr>
                    <w:spacing w:before="60" w:after="60"/>
                    <w:jc w:val="center"/>
                    <w:rPr>
                      <w:sz w:val="16"/>
                      <w:szCs w:val="16"/>
                    </w:rPr>
                  </w:pPr>
                  <w:r w:rsidRPr="00DE108C">
                    <w:rPr>
                      <w:sz w:val="16"/>
                      <w:szCs w:val="16"/>
                    </w:rPr>
                    <w:t>1.2</w:t>
                  </w:r>
                </w:p>
              </w:tc>
              <w:tc>
                <w:tcPr>
                  <w:tcW w:w="1335" w:type="dxa"/>
                  <w:tcBorders>
                    <w:top w:val="single" w:sz="6" w:space="0" w:color="4EC6FF"/>
                    <w:left w:val="nil"/>
                    <w:bottom w:val="single" w:sz="6" w:space="0" w:color="4EC6FF"/>
                    <w:right w:val="nil"/>
                  </w:tcBorders>
                  <w:vAlign w:val="center"/>
                  <w:hideMark/>
                </w:tcPr>
                <w:p w14:paraId="46CA2C42" w14:textId="20202778" w:rsidR="002D42C1" w:rsidRPr="00DE108C" w:rsidRDefault="002D42C1" w:rsidP="00097A90">
                  <w:pPr>
                    <w:spacing w:before="60" w:after="60"/>
                    <w:jc w:val="center"/>
                    <w:rPr>
                      <w:sz w:val="16"/>
                      <w:szCs w:val="16"/>
                    </w:rPr>
                  </w:pPr>
                  <w:r w:rsidRPr="00DE108C">
                    <w:rPr>
                      <w:sz w:val="16"/>
                      <w:szCs w:val="16"/>
                    </w:rPr>
                    <w:t>1.4</w:t>
                  </w:r>
                </w:p>
              </w:tc>
              <w:tc>
                <w:tcPr>
                  <w:tcW w:w="1335" w:type="dxa"/>
                  <w:tcBorders>
                    <w:top w:val="single" w:sz="6" w:space="0" w:color="4EC6FF"/>
                    <w:left w:val="nil"/>
                    <w:bottom w:val="single" w:sz="6" w:space="0" w:color="4EC6FF"/>
                    <w:right w:val="nil"/>
                  </w:tcBorders>
                  <w:vAlign w:val="center"/>
                  <w:hideMark/>
                </w:tcPr>
                <w:p w14:paraId="5510B0E6" w14:textId="1612A9DB" w:rsidR="002D42C1" w:rsidRPr="00DE108C" w:rsidRDefault="002D42C1" w:rsidP="00097A90">
                  <w:pPr>
                    <w:spacing w:before="60" w:after="60"/>
                    <w:jc w:val="center"/>
                    <w:rPr>
                      <w:sz w:val="16"/>
                      <w:szCs w:val="16"/>
                    </w:rPr>
                  </w:pPr>
                  <w:r w:rsidRPr="00DE108C">
                    <w:rPr>
                      <w:sz w:val="16"/>
                      <w:szCs w:val="16"/>
                    </w:rPr>
                    <w:t>1.6</w:t>
                  </w:r>
                </w:p>
              </w:tc>
              <w:tc>
                <w:tcPr>
                  <w:tcW w:w="1335" w:type="dxa"/>
                  <w:tcBorders>
                    <w:top w:val="single" w:sz="6" w:space="0" w:color="4EC6FF"/>
                    <w:left w:val="nil"/>
                    <w:bottom w:val="single" w:sz="6" w:space="0" w:color="4EC6FF"/>
                    <w:right w:val="nil"/>
                  </w:tcBorders>
                  <w:vAlign w:val="center"/>
                  <w:hideMark/>
                </w:tcPr>
                <w:p w14:paraId="7C5F47FC" w14:textId="6F93037F" w:rsidR="002D42C1" w:rsidRPr="00DE108C" w:rsidRDefault="002D42C1" w:rsidP="00097A90">
                  <w:pPr>
                    <w:spacing w:before="60" w:after="60"/>
                    <w:jc w:val="center"/>
                    <w:rPr>
                      <w:sz w:val="16"/>
                      <w:szCs w:val="16"/>
                    </w:rPr>
                  </w:pPr>
                  <w:r w:rsidRPr="00DE108C">
                    <w:rPr>
                      <w:sz w:val="16"/>
                      <w:szCs w:val="16"/>
                    </w:rPr>
                    <w:t>1.9</w:t>
                  </w:r>
                </w:p>
              </w:tc>
              <w:tc>
                <w:tcPr>
                  <w:tcW w:w="1335" w:type="dxa"/>
                  <w:tcBorders>
                    <w:top w:val="single" w:sz="6" w:space="0" w:color="4EC6FF"/>
                    <w:left w:val="nil"/>
                    <w:bottom w:val="single" w:sz="6" w:space="0" w:color="4EC6FF"/>
                    <w:right w:val="nil"/>
                  </w:tcBorders>
                  <w:vAlign w:val="center"/>
                  <w:hideMark/>
                </w:tcPr>
                <w:p w14:paraId="6E5985FB" w14:textId="1868B4BB" w:rsidR="002D42C1" w:rsidRPr="00DE108C" w:rsidRDefault="002D42C1" w:rsidP="00097A90">
                  <w:pPr>
                    <w:spacing w:before="60" w:after="60"/>
                    <w:jc w:val="center"/>
                    <w:rPr>
                      <w:sz w:val="16"/>
                      <w:szCs w:val="16"/>
                    </w:rPr>
                  </w:pPr>
                  <w:r w:rsidRPr="00DE108C">
                    <w:rPr>
                      <w:sz w:val="16"/>
                      <w:szCs w:val="16"/>
                    </w:rPr>
                    <w:t>2.2</w:t>
                  </w:r>
                </w:p>
              </w:tc>
            </w:tr>
            <w:tr w:rsidR="002D42C1" w:rsidRPr="00DE108C" w14:paraId="6DD8BB88" w14:textId="77777777" w:rsidTr="00097A90">
              <w:trPr>
                <w:trHeight w:val="300"/>
              </w:trPr>
              <w:tc>
                <w:tcPr>
                  <w:tcW w:w="1335" w:type="dxa"/>
                  <w:tcBorders>
                    <w:top w:val="single" w:sz="6" w:space="0" w:color="4EC6FF"/>
                    <w:left w:val="nil"/>
                    <w:bottom w:val="single" w:sz="6" w:space="0" w:color="4EC6FF"/>
                    <w:right w:val="nil"/>
                  </w:tcBorders>
                  <w:hideMark/>
                </w:tcPr>
                <w:p w14:paraId="73A0BC3B"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7862115A" w14:textId="492C0329"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65409584" w14:textId="6F947578"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79B4D17A" w14:textId="0DC80512"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28D51E12" w14:textId="704D1438"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12EF6FFC" w14:textId="1D4A4894"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left w:val="nil"/>
                    <w:bottom w:val="single" w:sz="6" w:space="0" w:color="4EC6FF"/>
                    <w:right w:val="nil"/>
                  </w:tcBorders>
                  <w:vAlign w:val="center"/>
                  <w:hideMark/>
                </w:tcPr>
                <w:p w14:paraId="06A7C90D" w14:textId="364E56E8" w:rsidR="002D42C1" w:rsidRPr="00DE108C" w:rsidRDefault="002D42C1" w:rsidP="00097A90">
                  <w:pPr>
                    <w:spacing w:before="60" w:after="60"/>
                    <w:jc w:val="center"/>
                    <w:rPr>
                      <w:sz w:val="16"/>
                      <w:szCs w:val="16"/>
                    </w:rPr>
                  </w:pPr>
                  <w:r w:rsidRPr="00DE108C">
                    <w:rPr>
                      <w:sz w:val="16"/>
                      <w:szCs w:val="16"/>
                    </w:rPr>
                    <w:t>0.8</w:t>
                  </w:r>
                </w:p>
              </w:tc>
            </w:tr>
            <w:tr w:rsidR="002D42C1" w:rsidRPr="00DE108C" w14:paraId="4498276D" w14:textId="77777777" w:rsidTr="00097A90">
              <w:trPr>
                <w:trHeight w:val="300"/>
              </w:trPr>
              <w:tc>
                <w:tcPr>
                  <w:tcW w:w="1335" w:type="dxa"/>
                  <w:tcBorders>
                    <w:top w:val="single" w:sz="6" w:space="0" w:color="4EC6FF"/>
                    <w:left w:val="nil"/>
                    <w:bottom w:val="single" w:sz="6" w:space="0" w:color="4EC6FF"/>
                    <w:right w:val="nil"/>
                  </w:tcBorders>
                  <w:hideMark/>
                </w:tcPr>
                <w:p w14:paraId="2E9F3902" w14:textId="77777777"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2D5ACB15" w14:textId="2F054C1E" w:rsidR="002D42C1" w:rsidRPr="00DE108C" w:rsidRDefault="002D42C1" w:rsidP="00097A90">
                  <w:pPr>
                    <w:spacing w:before="60" w:after="60"/>
                    <w:jc w:val="center"/>
                    <w:rPr>
                      <w:sz w:val="16"/>
                      <w:szCs w:val="16"/>
                    </w:rPr>
                  </w:pPr>
                  <w:r w:rsidRPr="00DE108C">
                    <w:rPr>
                      <w:sz w:val="16"/>
                      <w:szCs w:val="16"/>
                    </w:rPr>
                    <w:t>1.5</w:t>
                  </w:r>
                </w:p>
              </w:tc>
              <w:tc>
                <w:tcPr>
                  <w:tcW w:w="1335" w:type="dxa"/>
                  <w:tcBorders>
                    <w:top w:val="single" w:sz="6" w:space="0" w:color="4EC6FF"/>
                    <w:left w:val="nil"/>
                    <w:bottom w:val="single" w:sz="6" w:space="0" w:color="4EC6FF"/>
                    <w:right w:val="nil"/>
                  </w:tcBorders>
                  <w:vAlign w:val="center"/>
                  <w:hideMark/>
                </w:tcPr>
                <w:p w14:paraId="0F2DB7CD" w14:textId="099761AF"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67F0FEC6" w14:textId="691E034A"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236AE0D3" w14:textId="709DBAB8"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563FD1E6" w14:textId="1F7FB4DF"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left w:val="nil"/>
                    <w:bottom w:val="single" w:sz="6" w:space="0" w:color="4EC6FF"/>
                    <w:right w:val="nil"/>
                  </w:tcBorders>
                  <w:vAlign w:val="center"/>
                  <w:hideMark/>
                </w:tcPr>
                <w:p w14:paraId="696436D3" w14:textId="25962364" w:rsidR="002D42C1" w:rsidRPr="00DE108C" w:rsidRDefault="002D42C1" w:rsidP="00097A90">
                  <w:pPr>
                    <w:spacing w:before="60" w:after="60"/>
                    <w:jc w:val="center"/>
                    <w:rPr>
                      <w:sz w:val="16"/>
                      <w:szCs w:val="16"/>
                    </w:rPr>
                  </w:pPr>
                  <w:r w:rsidRPr="00DE108C">
                    <w:rPr>
                      <w:sz w:val="16"/>
                      <w:szCs w:val="16"/>
                    </w:rPr>
                    <w:t>0.8</w:t>
                  </w:r>
                </w:p>
              </w:tc>
            </w:tr>
          </w:tbl>
          <w:p w14:paraId="1C2D5438" w14:textId="77777777" w:rsidR="002D42C1" w:rsidRPr="00DE108C" w:rsidRDefault="002D42C1" w:rsidP="00ED094E">
            <w:pPr>
              <w:rPr>
                <w:sz w:val="16"/>
                <w:szCs w:val="16"/>
              </w:rPr>
            </w:pPr>
          </w:p>
        </w:tc>
        <w:tc>
          <w:tcPr>
            <w:tcW w:w="10742" w:type="dxa"/>
          </w:tcPr>
          <w:p w14:paraId="1204B719" w14:textId="77777777" w:rsidR="002D42C1" w:rsidRPr="00DE108C" w:rsidRDefault="002D42C1" w:rsidP="00ED094E">
            <w:pPr>
              <w:rPr>
                <w:sz w:val="16"/>
                <w:szCs w:val="16"/>
              </w:rPr>
            </w:pPr>
            <w:r w:rsidRPr="00DE108C">
              <w:rPr>
                <w:sz w:val="16"/>
                <w:szCs w:val="16"/>
              </w:rPr>
              <w:t>Typical year-on-year household bill impacts relative to inflation, as a result of Melbourne Water’s proposal are summarised below: </w:t>
            </w:r>
          </w:p>
          <w:tbl>
            <w:tblPr>
              <w:tblW w:w="9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1365"/>
              <w:gridCol w:w="1365"/>
              <w:gridCol w:w="1365"/>
              <w:gridCol w:w="1365"/>
              <w:gridCol w:w="1365"/>
              <w:gridCol w:w="1365"/>
            </w:tblGrid>
            <w:tr w:rsidR="002D42C1" w:rsidRPr="00DE108C" w14:paraId="6482B1E7" w14:textId="77777777" w:rsidTr="00ED094E">
              <w:trPr>
                <w:trHeight w:val="300"/>
              </w:trPr>
              <w:tc>
                <w:tcPr>
                  <w:tcW w:w="1365" w:type="dxa"/>
                  <w:tcBorders>
                    <w:top w:val="single" w:sz="6" w:space="0" w:color="4EC6FF"/>
                    <w:left w:val="nil"/>
                    <w:bottom w:val="single" w:sz="6" w:space="0" w:color="4EC6FF"/>
                    <w:right w:val="nil"/>
                  </w:tcBorders>
                  <w:hideMark/>
                </w:tcPr>
                <w:p w14:paraId="59F0E9E3" w14:textId="77777777" w:rsidR="002D42C1" w:rsidRPr="00DE108C" w:rsidRDefault="002D42C1" w:rsidP="00ED094E">
                  <w:pPr>
                    <w:spacing w:before="60" w:after="60"/>
                    <w:rPr>
                      <w:sz w:val="16"/>
                      <w:szCs w:val="16"/>
                    </w:rPr>
                  </w:pPr>
                  <w:r w:rsidRPr="00DE108C">
                    <w:rPr>
                      <w:b/>
                      <w:bCs/>
                      <w:sz w:val="16"/>
                      <w:szCs w:val="16"/>
                    </w:rPr>
                    <w:t>Bills</w:t>
                  </w:r>
                  <w:r w:rsidRPr="00DE108C">
                    <w:rPr>
                      <w:sz w:val="16"/>
                      <w:szCs w:val="16"/>
                    </w:rPr>
                    <w:t> </w:t>
                  </w:r>
                </w:p>
              </w:tc>
              <w:tc>
                <w:tcPr>
                  <w:tcW w:w="1365" w:type="dxa"/>
                  <w:tcBorders>
                    <w:top w:val="single" w:sz="6" w:space="0" w:color="4EC6FF"/>
                    <w:left w:val="nil"/>
                    <w:bottom w:val="single" w:sz="6" w:space="0" w:color="4EC6FF"/>
                    <w:right w:val="nil"/>
                  </w:tcBorders>
                  <w:hideMark/>
                </w:tcPr>
                <w:p w14:paraId="0A497EF6" w14:textId="5097AA06" w:rsidR="002D42C1" w:rsidRPr="00DE108C" w:rsidRDefault="002D42C1" w:rsidP="008A11C9">
                  <w:pPr>
                    <w:spacing w:before="60" w:after="60"/>
                    <w:jc w:val="center"/>
                    <w:rPr>
                      <w:sz w:val="16"/>
                      <w:szCs w:val="16"/>
                    </w:rPr>
                  </w:pPr>
                  <w:r w:rsidRPr="00DE108C">
                    <w:rPr>
                      <w:b/>
                      <w:bCs/>
                      <w:sz w:val="16"/>
                      <w:szCs w:val="16"/>
                    </w:rPr>
                    <w:t>2025-26</w:t>
                  </w:r>
                </w:p>
              </w:tc>
              <w:tc>
                <w:tcPr>
                  <w:tcW w:w="1365" w:type="dxa"/>
                  <w:tcBorders>
                    <w:top w:val="single" w:sz="6" w:space="0" w:color="4EC6FF"/>
                    <w:left w:val="nil"/>
                    <w:bottom w:val="single" w:sz="6" w:space="0" w:color="4EC6FF"/>
                    <w:right w:val="nil"/>
                  </w:tcBorders>
                  <w:hideMark/>
                </w:tcPr>
                <w:p w14:paraId="40986082" w14:textId="0E8D5237" w:rsidR="002D42C1" w:rsidRPr="00DE108C" w:rsidRDefault="002D42C1" w:rsidP="008A11C9">
                  <w:pPr>
                    <w:spacing w:before="60" w:after="60"/>
                    <w:jc w:val="center"/>
                    <w:rPr>
                      <w:sz w:val="16"/>
                      <w:szCs w:val="16"/>
                    </w:rPr>
                  </w:pPr>
                  <w:r w:rsidRPr="00DE108C">
                    <w:rPr>
                      <w:b/>
                      <w:bCs/>
                      <w:sz w:val="16"/>
                      <w:szCs w:val="16"/>
                    </w:rPr>
                    <w:t>2026-27</w:t>
                  </w:r>
                </w:p>
              </w:tc>
              <w:tc>
                <w:tcPr>
                  <w:tcW w:w="1365" w:type="dxa"/>
                  <w:tcBorders>
                    <w:top w:val="single" w:sz="6" w:space="0" w:color="4EC6FF"/>
                    <w:left w:val="nil"/>
                    <w:bottom w:val="single" w:sz="6" w:space="0" w:color="4EC6FF"/>
                    <w:right w:val="nil"/>
                  </w:tcBorders>
                  <w:hideMark/>
                </w:tcPr>
                <w:p w14:paraId="30BB3D75" w14:textId="014C6328" w:rsidR="002D42C1" w:rsidRPr="00DE108C" w:rsidRDefault="002D42C1" w:rsidP="008A11C9">
                  <w:pPr>
                    <w:spacing w:before="60" w:after="60"/>
                    <w:jc w:val="center"/>
                    <w:rPr>
                      <w:sz w:val="16"/>
                      <w:szCs w:val="16"/>
                    </w:rPr>
                  </w:pPr>
                  <w:r w:rsidRPr="00DE108C">
                    <w:rPr>
                      <w:b/>
                      <w:bCs/>
                      <w:sz w:val="16"/>
                      <w:szCs w:val="16"/>
                    </w:rPr>
                    <w:t>2027-28</w:t>
                  </w:r>
                </w:p>
              </w:tc>
              <w:tc>
                <w:tcPr>
                  <w:tcW w:w="1365" w:type="dxa"/>
                  <w:tcBorders>
                    <w:top w:val="single" w:sz="6" w:space="0" w:color="4EC6FF"/>
                    <w:left w:val="nil"/>
                    <w:bottom w:val="single" w:sz="6" w:space="0" w:color="4EC6FF"/>
                    <w:right w:val="nil"/>
                  </w:tcBorders>
                  <w:hideMark/>
                </w:tcPr>
                <w:p w14:paraId="1A31905E" w14:textId="00AA6881" w:rsidR="002D42C1" w:rsidRPr="00DE108C" w:rsidRDefault="002D42C1" w:rsidP="008A11C9">
                  <w:pPr>
                    <w:spacing w:before="60" w:after="60"/>
                    <w:jc w:val="center"/>
                    <w:rPr>
                      <w:sz w:val="16"/>
                      <w:szCs w:val="16"/>
                    </w:rPr>
                  </w:pPr>
                  <w:r w:rsidRPr="00DE108C">
                    <w:rPr>
                      <w:b/>
                      <w:bCs/>
                      <w:sz w:val="16"/>
                      <w:szCs w:val="16"/>
                    </w:rPr>
                    <w:t>2028-29</w:t>
                  </w:r>
                </w:p>
              </w:tc>
              <w:tc>
                <w:tcPr>
                  <w:tcW w:w="1365" w:type="dxa"/>
                  <w:tcBorders>
                    <w:top w:val="single" w:sz="6" w:space="0" w:color="4EC6FF"/>
                    <w:left w:val="nil"/>
                    <w:bottom w:val="single" w:sz="6" w:space="0" w:color="4EC6FF"/>
                    <w:right w:val="nil"/>
                  </w:tcBorders>
                  <w:hideMark/>
                </w:tcPr>
                <w:p w14:paraId="7A7C17F9" w14:textId="232D0F08" w:rsidR="002D42C1" w:rsidRPr="00DE108C" w:rsidRDefault="002D42C1" w:rsidP="008A11C9">
                  <w:pPr>
                    <w:spacing w:before="60" w:after="60"/>
                    <w:jc w:val="center"/>
                    <w:rPr>
                      <w:sz w:val="16"/>
                      <w:szCs w:val="16"/>
                    </w:rPr>
                  </w:pPr>
                  <w:r w:rsidRPr="00DE108C">
                    <w:rPr>
                      <w:b/>
                      <w:bCs/>
                      <w:sz w:val="16"/>
                      <w:szCs w:val="16"/>
                    </w:rPr>
                    <w:t>2029-30</w:t>
                  </w:r>
                </w:p>
              </w:tc>
              <w:tc>
                <w:tcPr>
                  <w:tcW w:w="1365" w:type="dxa"/>
                  <w:tcBorders>
                    <w:top w:val="single" w:sz="6" w:space="0" w:color="4EC6FF"/>
                    <w:left w:val="nil"/>
                    <w:bottom w:val="single" w:sz="6" w:space="0" w:color="4EC6FF"/>
                    <w:right w:val="nil"/>
                  </w:tcBorders>
                  <w:hideMark/>
                </w:tcPr>
                <w:p w14:paraId="05B0A3A5" w14:textId="15116B92" w:rsidR="002D42C1" w:rsidRPr="00DE108C" w:rsidRDefault="002D42C1" w:rsidP="008A11C9">
                  <w:pPr>
                    <w:spacing w:before="60" w:after="60"/>
                    <w:jc w:val="center"/>
                    <w:rPr>
                      <w:sz w:val="16"/>
                      <w:szCs w:val="16"/>
                    </w:rPr>
                  </w:pPr>
                  <w:r w:rsidRPr="00DE108C">
                    <w:rPr>
                      <w:b/>
                      <w:bCs/>
                      <w:sz w:val="16"/>
                      <w:szCs w:val="16"/>
                    </w:rPr>
                    <w:t>2030-31</w:t>
                  </w:r>
                </w:p>
              </w:tc>
            </w:tr>
            <w:tr w:rsidR="002D42C1" w:rsidRPr="00DE108C" w14:paraId="17AF2E43" w14:textId="77777777" w:rsidTr="00ED094E">
              <w:trPr>
                <w:trHeight w:val="300"/>
              </w:trPr>
              <w:tc>
                <w:tcPr>
                  <w:tcW w:w="1365" w:type="dxa"/>
                  <w:tcBorders>
                    <w:top w:val="single" w:sz="6" w:space="0" w:color="4EC6FF"/>
                    <w:left w:val="nil"/>
                    <w:bottom w:val="single" w:sz="6" w:space="0" w:color="4EC6FF"/>
                    <w:right w:val="nil"/>
                  </w:tcBorders>
                  <w:hideMark/>
                </w:tcPr>
                <w:p w14:paraId="04EFD745" w14:textId="2CE99077"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00221836" w14:textId="77777777" w:rsidR="002D42C1" w:rsidRPr="00DE108C" w:rsidRDefault="002D42C1" w:rsidP="008A11C9">
                  <w:pPr>
                    <w:spacing w:before="60" w:after="60"/>
                    <w:jc w:val="right"/>
                    <w:rPr>
                      <w:sz w:val="16"/>
                      <w:szCs w:val="16"/>
                    </w:rPr>
                  </w:pPr>
                  <w:r w:rsidRPr="00DE108C">
                    <w:rPr>
                      <w:sz w:val="16"/>
                      <w:szCs w:val="16"/>
                    </w:rPr>
                    <w:t>$1,110 </w:t>
                  </w:r>
                </w:p>
              </w:tc>
              <w:tc>
                <w:tcPr>
                  <w:tcW w:w="1365" w:type="dxa"/>
                  <w:tcBorders>
                    <w:top w:val="single" w:sz="6" w:space="0" w:color="4EC6FF"/>
                    <w:left w:val="nil"/>
                    <w:bottom w:val="single" w:sz="6" w:space="0" w:color="4EC6FF"/>
                    <w:right w:val="nil"/>
                  </w:tcBorders>
                  <w:vAlign w:val="center"/>
                  <w:hideMark/>
                </w:tcPr>
                <w:p w14:paraId="37076E30" w14:textId="541B14D8"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331B057A" w14:textId="27F5E52B"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2EADD99C" w14:textId="121FBB28" w:rsidR="002D42C1" w:rsidRPr="00DE108C" w:rsidRDefault="008A11C9" w:rsidP="008A11C9">
                  <w:pPr>
                    <w:spacing w:before="60" w:after="60"/>
                    <w:jc w:val="right"/>
                    <w:rPr>
                      <w:sz w:val="16"/>
                      <w:szCs w:val="16"/>
                    </w:rPr>
                  </w:pPr>
                  <w:r w:rsidRPr="0091606C">
                    <w:rPr>
                      <w:rFonts w:eastAsiaTheme="minorEastAsia"/>
                      <w:sz w:val="16"/>
                      <w:szCs w:val="16"/>
                    </w:rPr>
                    <w:t>0</w:t>
                  </w:r>
                  <w:r w:rsidRPr="0091606C">
                    <w:rPr>
                      <w:color w:val="auto"/>
                      <w:sz w:val="16"/>
                      <w:szCs w:val="16"/>
                    </w:rPr>
                    <w:t>.9</w:t>
                  </w:r>
                  <w:r w:rsidRPr="0091606C">
                    <w:rPr>
                      <w:rFonts w:eastAsiaTheme="minorEastAsia"/>
                      <w:sz w:val="16"/>
                      <w:szCs w:val="16"/>
                    </w:rPr>
                    <w:t>%</w:t>
                  </w:r>
                </w:p>
              </w:tc>
              <w:tc>
                <w:tcPr>
                  <w:tcW w:w="1365" w:type="dxa"/>
                  <w:tcBorders>
                    <w:top w:val="single" w:sz="6" w:space="0" w:color="4EC6FF"/>
                    <w:left w:val="nil"/>
                    <w:bottom w:val="single" w:sz="6" w:space="0" w:color="4EC6FF"/>
                    <w:right w:val="nil"/>
                  </w:tcBorders>
                  <w:vAlign w:val="center"/>
                  <w:hideMark/>
                </w:tcPr>
                <w:p w14:paraId="5E8209AA" w14:textId="64F772FE" w:rsidR="002D42C1" w:rsidRPr="00DE108C" w:rsidRDefault="002D42C1" w:rsidP="008A11C9">
                  <w:pPr>
                    <w:spacing w:before="60" w:after="60"/>
                    <w:jc w:val="right"/>
                    <w:rPr>
                      <w:sz w:val="16"/>
                      <w:szCs w:val="16"/>
                    </w:rPr>
                  </w:pPr>
                  <w:r w:rsidRPr="00DE108C">
                    <w:rPr>
                      <w:sz w:val="16"/>
                      <w:szCs w:val="16"/>
                    </w:rPr>
                    <w:t>0.9%</w:t>
                  </w:r>
                </w:p>
              </w:tc>
              <w:tc>
                <w:tcPr>
                  <w:tcW w:w="1365" w:type="dxa"/>
                  <w:tcBorders>
                    <w:top w:val="single" w:sz="6" w:space="0" w:color="4EC6FF"/>
                    <w:left w:val="nil"/>
                    <w:bottom w:val="single" w:sz="6" w:space="0" w:color="4EC6FF"/>
                    <w:right w:val="nil"/>
                  </w:tcBorders>
                  <w:vAlign w:val="center"/>
                  <w:hideMark/>
                </w:tcPr>
                <w:p w14:paraId="3DB9B059" w14:textId="0EC74DD3" w:rsidR="002D42C1" w:rsidRPr="00DE108C" w:rsidRDefault="002D42C1" w:rsidP="008A11C9">
                  <w:pPr>
                    <w:spacing w:before="60" w:after="60"/>
                    <w:jc w:val="right"/>
                    <w:rPr>
                      <w:sz w:val="16"/>
                      <w:szCs w:val="16"/>
                    </w:rPr>
                  </w:pPr>
                  <w:r w:rsidRPr="0091606C">
                    <w:rPr>
                      <w:rFonts w:eastAsiaTheme="minorEastAsia"/>
                      <w:sz w:val="16"/>
                      <w:szCs w:val="16"/>
                    </w:rPr>
                    <w:t>0.</w:t>
                  </w:r>
                  <w:r w:rsidR="008A11C9" w:rsidRPr="0091606C">
                    <w:rPr>
                      <w:color w:val="auto"/>
                      <w:sz w:val="16"/>
                      <w:szCs w:val="16"/>
                    </w:rPr>
                    <w:t>8</w:t>
                  </w:r>
                  <w:r w:rsidR="008A11C9" w:rsidRPr="0091606C">
                    <w:rPr>
                      <w:rFonts w:eastAsiaTheme="minorEastAsia"/>
                      <w:sz w:val="16"/>
                      <w:szCs w:val="16"/>
                    </w:rPr>
                    <w:t>%</w:t>
                  </w:r>
                </w:p>
              </w:tc>
            </w:tr>
            <w:tr w:rsidR="002D42C1" w:rsidRPr="00DE108C" w14:paraId="7DD7E216" w14:textId="77777777" w:rsidTr="00ED094E">
              <w:trPr>
                <w:trHeight w:val="300"/>
              </w:trPr>
              <w:tc>
                <w:tcPr>
                  <w:tcW w:w="1365" w:type="dxa"/>
                  <w:tcBorders>
                    <w:top w:val="single" w:sz="6" w:space="0" w:color="4EC6FF"/>
                    <w:left w:val="nil"/>
                    <w:bottom w:val="single" w:sz="6" w:space="0" w:color="4EC6FF"/>
                    <w:right w:val="nil"/>
                  </w:tcBorders>
                  <w:hideMark/>
                </w:tcPr>
                <w:p w14:paraId="368E7158" w14:textId="24CD33A1"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119F0EDE" w14:textId="77777777" w:rsidR="002D42C1" w:rsidRPr="00DE108C" w:rsidRDefault="002D42C1" w:rsidP="008A11C9">
                  <w:pPr>
                    <w:spacing w:before="60" w:after="60"/>
                    <w:jc w:val="right"/>
                    <w:rPr>
                      <w:sz w:val="16"/>
                      <w:szCs w:val="16"/>
                    </w:rPr>
                  </w:pPr>
                  <w:r w:rsidRPr="00DE108C">
                    <w:rPr>
                      <w:sz w:val="16"/>
                      <w:szCs w:val="16"/>
                    </w:rPr>
                    <w:t>$1,057 </w:t>
                  </w:r>
                </w:p>
              </w:tc>
              <w:tc>
                <w:tcPr>
                  <w:tcW w:w="1365" w:type="dxa"/>
                  <w:tcBorders>
                    <w:top w:val="single" w:sz="6" w:space="0" w:color="4EC6FF"/>
                    <w:left w:val="nil"/>
                    <w:bottom w:val="single" w:sz="6" w:space="0" w:color="4EC6FF"/>
                    <w:right w:val="nil"/>
                  </w:tcBorders>
                  <w:vAlign w:val="center"/>
                  <w:hideMark/>
                </w:tcPr>
                <w:p w14:paraId="1E0A2295" w14:textId="681EE892"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05DD6FFF" w14:textId="49DA0D8E"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1B1E3027" w14:textId="31420443" w:rsidR="002D42C1" w:rsidRPr="00DE108C" w:rsidRDefault="002D42C1" w:rsidP="008A11C9">
                  <w:pPr>
                    <w:spacing w:before="60" w:after="60"/>
                    <w:jc w:val="right"/>
                    <w:rPr>
                      <w:sz w:val="16"/>
                      <w:szCs w:val="16"/>
                    </w:rPr>
                  </w:pPr>
                  <w:r w:rsidRPr="00DE108C">
                    <w:rPr>
                      <w:sz w:val="16"/>
                      <w:szCs w:val="16"/>
                    </w:rPr>
                    <w:t>0.</w:t>
                  </w:r>
                  <w:r w:rsidR="001471D2" w:rsidRPr="00510FDD">
                    <w:rPr>
                      <w:color w:val="auto"/>
                      <w:sz w:val="16"/>
                      <w:szCs w:val="16"/>
                    </w:rPr>
                    <w:t>1</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702A0994" w14:textId="3EB5067F"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17BE6290" w14:textId="097E00DF" w:rsidR="002D42C1" w:rsidRPr="00DE108C" w:rsidRDefault="002D42C1" w:rsidP="008A11C9">
                  <w:pPr>
                    <w:spacing w:before="60" w:after="60"/>
                    <w:jc w:val="right"/>
                    <w:rPr>
                      <w:sz w:val="16"/>
                      <w:szCs w:val="16"/>
                    </w:rPr>
                  </w:pPr>
                  <w:r w:rsidRPr="00DE108C">
                    <w:rPr>
                      <w:sz w:val="16"/>
                      <w:szCs w:val="16"/>
                    </w:rPr>
                    <w:t>0.1%</w:t>
                  </w:r>
                </w:p>
              </w:tc>
            </w:tr>
            <w:tr w:rsidR="002D42C1" w:rsidRPr="00DE108C" w14:paraId="06294BF8" w14:textId="77777777" w:rsidTr="00ED094E">
              <w:trPr>
                <w:trHeight w:val="300"/>
              </w:trPr>
              <w:tc>
                <w:tcPr>
                  <w:tcW w:w="1365" w:type="dxa"/>
                  <w:tcBorders>
                    <w:top w:val="single" w:sz="6" w:space="0" w:color="4EC6FF"/>
                    <w:left w:val="nil"/>
                    <w:bottom w:val="single" w:sz="6" w:space="0" w:color="4EC6FF"/>
                    <w:right w:val="nil"/>
                  </w:tcBorders>
                  <w:shd w:val="clear" w:color="auto" w:fill="46C2D7"/>
                  <w:hideMark/>
                </w:tcPr>
                <w:p w14:paraId="5E095389"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65" w:type="dxa"/>
                  <w:tcBorders>
                    <w:top w:val="single" w:sz="6" w:space="0" w:color="4EC6FF"/>
                    <w:left w:val="nil"/>
                    <w:bottom w:val="single" w:sz="6" w:space="0" w:color="4EC6FF"/>
                    <w:right w:val="nil"/>
                  </w:tcBorders>
                  <w:shd w:val="clear" w:color="auto" w:fill="46C2D7"/>
                  <w:vAlign w:val="center"/>
                  <w:hideMark/>
                </w:tcPr>
                <w:p w14:paraId="26D69E31" w14:textId="77777777" w:rsidR="002D42C1" w:rsidRPr="00DE108C" w:rsidRDefault="002D42C1" w:rsidP="008A11C9">
                  <w:pPr>
                    <w:spacing w:before="60" w:after="60"/>
                    <w:jc w:val="right"/>
                    <w:rPr>
                      <w:sz w:val="16"/>
                      <w:szCs w:val="16"/>
                    </w:rPr>
                  </w:pPr>
                  <w:r w:rsidRPr="00DE108C">
                    <w:rPr>
                      <w:sz w:val="16"/>
                      <w:szCs w:val="16"/>
                    </w:rPr>
                    <w:t>$1,114 </w:t>
                  </w:r>
                </w:p>
              </w:tc>
              <w:tc>
                <w:tcPr>
                  <w:tcW w:w="1365" w:type="dxa"/>
                  <w:tcBorders>
                    <w:top w:val="single" w:sz="6" w:space="0" w:color="4EC6FF"/>
                    <w:left w:val="nil"/>
                    <w:bottom w:val="single" w:sz="6" w:space="0" w:color="4EC6FF"/>
                    <w:right w:val="nil"/>
                  </w:tcBorders>
                  <w:shd w:val="clear" w:color="auto" w:fill="46C2D7"/>
                  <w:vAlign w:val="center"/>
                  <w:hideMark/>
                </w:tcPr>
                <w:p w14:paraId="127F751A" w14:textId="0CDBCF7E"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shd w:val="clear" w:color="auto" w:fill="46C2D7"/>
                  <w:vAlign w:val="center"/>
                  <w:hideMark/>
                </w:tcPr>
                <w:p w14:paraId="3EBC1BDF" w14:textId="77806C22"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shd w:val="clear" w:color="auto" w:fill="46C2D7"/>
                  <w:vAlign w:val="center"/>
                  <w:hideMark/>
                </w:tcPr>
                <w:p w14:paraId="5186010B" w14:textId="57E9BC80" w:rsidR="002D42C1" w:rsidRPr="00DE108C" w:rsidRDefault="002D42C1" w:rsidP="008A11C9">
                  <w:pPr>
                    <w:spacing w:before="60" w:after="60"/>
                    <w:jc w:val="right"/>
                    <w:rPr>
                      <w:sz w:val="16"/>
                      <w:szCs w:val="16"/>
                    </w:rPr>
                  </w:pPr>
                  <w:r w:rsidRPr="0091606C">
                    <w:rPr>
                      <w:rFonts w:eastAsiaTheme="minorEastAsia"/>
                      <w:sz w:val="16"/>
                      <w:szCs w:val="16"/>
                    </w:rPr>
                    <w:t>-0.</w:t>
                  </w:r>
                  <w:r w:rsidR="008A11C9" w:rsidRPr="0091606C">
                    <w:rPr>
                      <w:color w:val="auto"/>
                      <w:sz w:val="16"/>
                      <w:szCs w:val="16"/>
                    </w:rPr>
                    <w:t>7</w:t>
                  </w:r>
                  <w:r w:rsidR="008A11C9" w:rsidRPr="0091606C">
                    <w:rPr>
                      <w:rFonts w:eastAsiaTheme="minorEastAsia"/>
                      <w:sz w:val="16"/>
                      <w:szCs w:val="16"/>
                    </w:rPr>
                    <w:t>%</w:t>
                  </w:r>
                </w:p>
              </w:tc>
              <w:tc>
                <w:tcPr>
                  <w:tcW w:w="1365" w:type="dxa"/>
                  <w:tcBorders>
                    <w:top w:val="single" w:sz="6" w:space="0" w:color="4EC6FF"/>
                    <w:left w:val="nil"/>
                    <w:bottom w:val="single" w:sz="6" w:space="0" w:color="4EC6FF"/>
                    <w:right w:val="nil"/>
                  </w:tcBorders>
                  <w:shd w:val="clear" w:color="auto" w:fill="46C2D7"/>
                  <w:vAlign w:val="center"/>
                  <w:hideMark/>
                </w:tcPr>
                <w:p w14:paraId="1CE2E455" w14:textId="14AFD794"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7</w:t>
                  </w:r>
                  <w:r w:rsidRPr="00DE108C">
                    <w:rPr>
                      <w:sz w:val="16"/>
                      <w:szCs w:val="16"/>
                    </w:rPr>
                    <w:t>%</w:t>
                  </w:r>
                </w:p>
              </w:tc>
              <w:tc>
                <w:tcPr>
                  <w:tcW w:w="1365" w:type="dxa"/>
                  <w:tcBorders>
                    <w:top w:val="single" w:sz="6" w:space="0" w:color="4EC6FF"/>
                    <w:left w:val="nil"/>
                    <w:bottom w:val="single" w:sz="6" w:space="0" w:color="4EC6FF"/>
                    <w:right w:val="nil"/>
                  </w:tcBorders>
                  <w:shd w:val="clear" w:color="auto" w:fill="46C2D7"/>
                  <w:vAlign w:val="center"/>
                  <w:hideMark/>
                </w:tcPr>
                <w:p w14:paraId="475E427B" w14:textId="1D01078D"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8</w:t>
                  </w:r>
                  <w:r w:rsidRPr="00DE108C">
                    <w:rPr>
                      <w:sz w:val="16"/>
                      <w:szCs w:val="16"/>
                    </w:rPr>
                    <w:t>%</w:t>
                  </w:r>
                </w:p>
              </w:tc>
            </w:tr>
            <w:tr w:rsidR="002D42C1" w:rsidRPr="00DE108C" w14:paraId="456CA889" w14:textId="77777777" w:rsidTr="00ED094E">
              <w:trPr>
                <w:trHeight w:val="300"/>
              </w:trPr>
              <w:tc>
                <w:tcPr>
                  <w:tcW w:w="1365" w:type="dxa"/>
                  <w:tcBorders>
                    <w:top w:val="single" w:sz="6" w:space="0" w:color="4EC6FF"/>
                    <w:left w:val="nil"/>
                    <w:bottom w:val="single" w:sz="6" w:space="0" w:color="4EC6FF"/>
                    <w:right w:val="nil"/>
                  </w:tcBorders>
                  <w:hideMark/>
                </w:tcPr>
                <w:p w14:paraId="7954100E" w14:textId="6163337C"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28F8D44F" w14:textId="77777777" w:rsidR="002D42C1" w:rsidRPr="00DE108C" w:rsidRDefault="002D42C1" w:rsidP="008A11C9">
                  <w:pPr>
                    <w:spacing w:before="60" w:after="60"/>
                    <w:jc w:val="right"/>
                    <w:rPr>
                      <w:sz w:val="16"/>
                      <w:szCs w:val="16"/>
                    </w:rPr>
                  </w:pPr>
                  <w:r w:rsidRPr="00DE108C">
                    <w:rPr>
                      <w:sz w:val="16"/>
                      <w:szCs w:val="16"/>
                    </w:rPr>
                    <w:t>$1,183 </w:t>
                  </w:r>
                </w:p>
              </w:tc>
              <w:tc>
                <w:tcPr>
                  <w:tcW w:w="1365" w:type="dxa"/>
                  <w:tcBorders>
                    <w:top w:val="single" w:sz="6" w:space="0" w:color="4EC6FF"/>
                    <w:left w:val="nil"/>
                    <w:bottom w:val="single" w:sz="6" w:space="0" w:color="4EC6FF"/>
                    <w:right w:val="nil"/>
                  </w:tcBorders>
                  <w:vAlign w:val="center"/>
                  <w:hideMark/>
                </w:tcPr>
                <w:p w14:paraId="6CF5B1D7" w14:textId="710F50EF" w:rsidR="002D42C1" w:rsidRPr="00DE108C" w:rsidRDefault="002D42C1" w:rsidP="008A11C9">
                  <w:pPr>
                    <w:spacing w:before="60" w:after="60"/>
                    <w:jc w:val="right"/>
                    <w:rPr>
                      <w:sz w:val="16"/>
                      <w:szCs w:val="16"/>
                    </w:rPr>
                  </w:pPr>
                  <w:r w:rsidRPr="00DE108C">
                    <w:rPr>
                      <w:sz w:val="16"/>
                      <w:szCs w:val="16"/>
                    </w:rPr>
                    <w:t>-0.3%</w:t>
                  </w:r>
                </w:p>
              </w:tc>
              <w:tc>
                <w:tcPr>
                  <w:tcW w:w="1365" w:type="dxa"/>
                  <w:tcBorders>
                    <w:top w:val="single" w:sz="6" w:space="0" w:color="4EC6FF"/>
                    <w:left w:val="nil"/>
                    <w:bottom w:val="single" w:sz="6" w:space="0" w:color="4EC6FF"/>
                    <w:right w:val="nil"/>
                  </w:tcBorders>
                  <w:vAlign w:val="center"/>
                  <w:hideMark/>
                </w:tcPr>
                <w:p w14:paraId="28B46876" w14:textId="7A9E410D"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2C184B50" w14:textId="4021E75E"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3B0E0ABD" w14:textId="2BDEAD45"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24BEC3DD" w14:textId="4A5148BC" w:rsidR="002D42C1" w:rsidRPr="00DE108C" w:rsidRDefault="002D42C1" w:rsidP="008A11C9">
                  <w:pPr>
                    <w:spacing w:before="60" w:after="60"/>
                    <w:jc w:val="right"/>
                    <w:rPr>
                      <w:sz w:val="16"/>
                      <w:szCs w:val="16"/>
                    </w:rPr>
                  </w:pPr>
                  <w:r w:rsidRPr="00DE108C">
                    <w:rPr>
                      <w:sz w:val="16"/>
                      <w:szCs w:val="16"/>
                    </w:rPr>
                    <w:t>0.4%</w:t>
                  </w:r>
                </w:p>
              </w:tc>
            </w:tr>
            <w:tr w:rsidR="002D42C1" w:rsidRPr="00DE108C" w14:paraId="5CE71AD9" w14:textId="77777777" w:rsidTr="00ED094E">
              <w:trPr>
                <w:trHeight w:val="300"/>
              </w:trPr>
              <w:tc>
                <w:tcPr>
                  <w:tcW w:w="1365" w:type="dxa"/>
                  <w:tcBorders>
                    <w:top w:val="single" w:sz="6" w:space="0" w:color="4EC6FF"/>
                    <w:left w:val="nil"/>
                    <w:bottom w:val="single" w:sz="6" w:space="0" w:color="4EC6FF"/>
                    <w:right w:val="nil"/>
                  </w:tcBorders>
                  <w:hideMark/>
                </w:tcPr>
                <w:p w14:paraId="748A72E6" w14:textId="630739A6"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7E66C74E" w14:textId="77777777" w:rsidR="002D42C1" w:rsidRPr="00DE108C" w:rsidRDefault="002D42C1" w:rsidP="008A11C9">
                  <w:pPr>
                    <w:spacing w:before="60" w:after="60"/>
                    <w:jc w:val="right"/>
                    <w:rPr>
                      <w:sz w:val="16"/>
                      <w:szCs w:val="16"/>
                    </w:rPr>
                  </w:pPr>
                  <w:r w:rsidRPr="00DE108C">
                    <w:rPr>
                      <w:sz w:val="16"/>
                      <w:szCs w:val="16"/>
                    </w:rPr>
                    <w:t>$1,405 </w:t>
                  </w:r>
                </w:p>
              </w:tc>
              <w:tc>
                <w:tcPr>
                  <w:tcW w:w="1365" w:type="dxa"/>
                  <w:tcBorders>
                    <w:top w:val="single" w:sz="6" w:space="0" w:color="4EC6FF"/>
                    <w:left w:val="nil"/>
                    <w:bottom w:val="single" w:sz="6" w:space="0" w:color="4EC6FF"/>
                    <w:right w:val="nil"/>
                  </w:tcBorders>
                  <w:vAlign w:val="center"/>
                  <w:hideMark/>
                </w:tcPr>
                <w:p w14:paraId="47F8EEF3" w14:textId="1854FBE9" w:rsidR="002D42C1" w:rsidRPr="00DE108C" w:rsidRDefault="002D42C1" w:rsidP="008A11C9">
                  <w:pPr>
                    <w:spacing w:before="60" w:after="60"/>
                    <w:jc w:val="right"/>
                    <w:rPr>
                      <w:sz w:val="16"/>
                      <w:szCs w:val="16"/>
                    </w:rPr>
                  </w:pPr>
                  <w:r w:rsidRPr="00DE108C">
                    <w:rPr>
                      <w:sz w:val="16"/>
                      <w:szCs w:val="16"/>
                    </w:rPr>
                    <w:t>1.6%</w:t>
                  </w:r>
                </w:p>
              </w:tc>
              <w:tc>
                <w:tcPr>
                  <w:tcW w:w="1365" w:type="dxa"/>
                  <w:tcBorders>
                    <w:top w:val="single" w:sz="6" w:space="0" w:color="4EC6FF"/>
                    <w:left w:val="nil"/>
                    <w:bottom w:val="single" w:sz="6" w:space="0" w:color="4EC6FF"/>
                    <w:right w:val="nil"/>
                  </w:tcBorders>
                  <w:vAlign w:val="center"/>
                  <w:hideMark/>
                </w:tcPr>
                <w:p w14:paraId="33F3C49B" w14:textId="294476A9" w:rsidR="002D42C1" w:rsidRPr="00DE108C" w:rsidRDefault="002D42C1" w:rsidP="008A11C9">
                  <w:pPr>
                    <w:spacing w:before="60" w:after="60"/>
                    <w:jc w:val="right"/>
                    <w:rPr>
                      <w:sz w:val="16"/>
                      <w:szCs w:val="16"/>
                    </w:rPr>
                  </w:pPr>
                  <w:r w:rsidRPr="00DE108C">
                    <w:rPr>
                      <w:sz w:val="16"/>
                      <w:szCs w:val="16"/>
                    </w:rPr>
                    <w:t>0.6%</w:t>
                  </w:r>
                </w:p>
              </w:tc>
              <w:tc>
                <w:tcPr>
                  <w:tcW w:w="1365" w:type="dxa"/>
                  <w:tcBorders>
                    <w:top w:val="single" w:sz="6" w:space="0" w:color="4EC6FF"/>
                    <w:left w:val="nil"/>
                    <w:bottom w:val="single" w:sz="6" w:space="0" w:color="4EC6FF"/>
                    <w:right w:val="nil"/>
                  </w:tcBorders>
                  <w:vAlign w:val="center"/>
                  <w:hideMark/>
                </w:tcPr>
                <w:p w14:paraId="29CA5077" w14:textId="1C0E2AAA" w:rsidR="002D42C1" w:rsidRPr="00DE108C" w:rsidRDefault="002D42C1" w:rsidP="008A11C9">
                  <w:pPr>
                    <w:spacing w:before="60" w:after="60"/>
                    <w:jc w:val="right"/>
                    <w:rPr>
                      <w:sz w:val="16"/>
                      <w:szCs w:val="16"/>
                    </w:rPr>
                  </w:pPr>
                  <w:r w:rsidRPr="00DE108C">
                    <w:rPr>
                      <w:sz w:val="16"/>
                      <w:szCs w:val="16"/>
                    </w:rPr>
                    <w:t>0.7%</w:t>
                  </w:r>
                </w:p>
              </w:tc>
              <w:tc>
                <w:tcPr>
                  <w:tcW w:w="1365" w:type="dxa"/>
                  <w:tcBorders>
                    <w:top w:val="single" w:sz="6" w:space="0" w:color="4EC6FF"/>
                    <w:left w:val="nil"/>
                    <w:bottom w:val="single" w:sz="6" w:space="0" w:color="4EC6FF"/>
                    <w:right w:val="nil"/>
                  </w:tcBorders>
                  <w:vAlign w:val="center"/>
                  <w:hideMark/>
                </w:tcPr>
                <w:p w14:paraId="517DBD1F" w14:textId="77190791" w:rsidR="002D42C1" w:rsidRPr="00DE108C" w:rsidRDefault="002D42C1" w:rsidP="008A11C9">
                  <w:pPr>
                    <w:spacing w:before="60" w:after="60"/>
                    <w:jc w:val="right"/>
                    <w:rPr>
                      <w:sz w:val="16"/>
                      <w:szCs w:val="16"/>
                    </w:rPr>
                  </w:pPr>
                  <w:r w:rsidRPr="00DE108C">
                    <w:rPr>
                      <w:sz w:val="16"/>
                      <w:szCs w:val="16"/>
                    </w:rPr>
                    <w:t>0.9%</w:t>
                  </w:r>
                </w:p>
              </w:tc>
              <w:tc>
                <w:tcPr>
                  <w:tcW w:w="1365" w:type="dxa"/>
                  <w:tcBorders>
                    <w:top w:val="single" w:sz="6" w:space="0" w:color="4EC6FF"/>
                    <w:left w:val="nil"/>
                    <w:bottom w:val="single" w:sz="6" w:space="0" w:color="4EC6FF"/>
                    <w:right w:val="nil"/>
                  </w:tcBorders>
                  <w:vAlign w:val="center"/>
                  <w:hideMark/>
                </w:tcPr>
                <w:p w14:paraId="5FCD2A92" w14:textId="522E7206" w:rsidR="002D42C1" w:rsidRPr="00DE108C" w:rsidRDefault="002D42C1" w:rsidP="008A11C9">
                  <w:pPr>
                    <w:spacing w:before="60" w:after="60"/>
                    <w:jc w:val="right"/>
                    <w:rPr>
                      <w:sz w:val="16"/>
                      <w:szCs w:val="16"/>
                    </w:rPr>
                  </w:pPr>
                  <w:r w:rsidRPr="00DE108C">
                    <w:rPr>
                      <w:sz w:val="16"/>
                      <w:szCs w:val="16"/>
                    </w:rPr>
                    <w:t>1.1%</w:t>
                  </w:r>
                </w:p>
              </w:tc>
            </w:tr>
            <w:tr w:rsidR="002D42C1" w:rsidRPr="00DE108C" w14:paraId="7B0DB50E" w14:textId="77777777" w:rsidTr="00ED094E">
              <w:trPr>
                <w:trHeight w:val="300"/>
              </w:trPr>
              <w:tc>
                <w:tcPr>
                  <w:tcW w:w="1365" w:type="dxa"/>
                  <w:tcBorders>
                    <w:top w:val="single" w:sz="6" w:space="0" w:color="4EC6FF"/>
                    <w:left w:val="nil"/>
                    <w:bottom w:val="single" w:sz="6" w:space="0" w:color="4EC6FF"/>
                    <w:right w:val="nil"/>
                  </w:tcBorders>
                  <w:hideMark/>
                </w:tcPr>
                <w:p w14:paraId="28FDE1AE"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2EC7AACD" w14:textId="77777777" w:rsidR="002D42C1" w:rsidRPr="00DE108C" w:rsidRDefault="002D42C1" w:rsidP="008A11C9">
                  <w:pPr>
                    <w:spacing w:before="60" w:after="60"/>
                    <w:jc w:val="right"/>
                    <w:rPr>
                      <w:sz w:val="16"/>
                      <w:szCs w:val="16"/>
                    </w:rPr>
                  </w:pPr>
                  <w:r w:rsidRPr="00DE108C">
                    <w:rPr>
                      <w:sz w:val="16"/>
                      <w:szCs w:val="16"/>
                    </w:rPr>
                    <w:t>$1,394 </w:t>
                  </w:r>
                </w:p>
              </w:tc>
              <w:tc>
                <w:tcPr>
                  <w:tcW w:w="1365" w:type="dxa"/>
                  <w:tcBorders>
                    <w:top w:val="single" w:sz="6" w:space="0" w:color="4EC6FF"/>
                    <w:left w:val="nil"/>
                    <w:bottom w:val="single" w:sz="6" w:space="0" w:color="4EC6FF"/>
                    <w:right w:val="nil"/>
                  </w:tcBorders>
                  <w:vAlign w:val="center"/>
                  <w:hideMark/>
                </w:tcPr>
                <w:p w14:paraId="3CF0451A" w14:textId="4BBD28B4" w:rsidR="002D42C1" w:rsidRPr="00DE108C" w:rsidRDefault="002D42C1" w:rsidP="008A11C9">
                  <w:pPr>
                    <w:spacing w:before="60" w:after="60"/>
                    <w:jc w:val="right"/>
                    <w:rPr>
                      <w:sz w:val="16"/>
                      <w:szCs w:val="16"/>
                    </w:rPr>
                  </w:pP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6897CCFC" w14:textId="568A2803"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229FD7E2" w14:textId="337692D0"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6929C800" w14:textId="624A9922" w:rsidR="002D42C1" w:rsidRPr="00DE108C" w:rsidRDefault="002D42C1" w:rsidP="008A11C9">
                  <w:pPr>
                    <w:spacing w:before="60" w:after="60"/>
                    <w:jc w:val="right"/>
                    <w:rPr>
                      <w:sz w:val="16"/>
                      <w:szCs w:val="16"/>
                    </w:rPr>
                  </w:pPr>
                  <w:r w:rsidRPr="00DE108C">
                    <w:rPr>
                      <w:sz w:val="16"/>
                      <w:szCs w:val="16"/>
                    </w:rPr>
                    <w:t>0.2%</w:t>
                  </w:r>
                </w:p>
              </w:tc>
              <w:tc>
                <w:tcPr>
                  <w:tcW w:w="1365" w:type="dxa"/>
                  <w:tcBorders>
                    <w:top w:val="single" w:sz="6" w:space="0" w:color="4EC6FF"/>
                    <w:left w:val="nil"/>
                    <w:bottom w:val="single" w:sz="6" w:space="0" w:color="4EC6FF"/>
                    <w:right w:val="nil"/>
                  </w:tcBorders>
                  <w:vAlign w:val="center"/>
                  <w:hideMark/>
                </w:tcPr>
                <w:p w14:paraId="02EA8C1C" w14:textId="0211C8B5" w:rsidR="002D42C1" w:rsidRPr="00DE108C" w:rsidRDefault="002D42C1" w:rsidP="008A11C9">
                  <w:pPr>
                    <w:spacing w:before="60" w:after="60"/>
                    <w:jc w:val="right"/>
                    <w:rPr>
                      <w:sz w:val="16"/>
                      <w:szCs w:val="16"/>
                    </w:rPr>
                  </w:pPr>
                  <w:r w:rsidRPr="00DE108C">
                    <w:rPr>
                      <w:sz w:val="16"/>
                      <w:szCs w:val="16"/>
                    </w:rPr>
                    <w:t>0.2%</w:t>
                  </w:r>
                </w:p>
              </w:tc>
            </w:tr>
            <w:tr w:rsidR="002D42C1" w:rsidRPr="00DE108C" w14:paraId="71CBFF5C" w14:textId="77777777" w:rsidTr="00ED094E">
              <w:trPr>
                <w:trHeight w:val="300"/>
              </w:trPr>
              <w:tc>
                <w:tcPr>
                  <w:tcW w:w="1365" w:type="dxa"/>
                  <w:tcBorders>
                    <w:top w:val="single" w:sz="6" w:space="0" w:color="4EC6FF"/>
                    <w:left w:val="nil"/>
                    <w:bottom w:val="single" w:sz="6" w:space="0" w:color="4EC6FF"/>
                    <w:right w:val="nil"/>
                  </w:tcBorders>
                  <w:hideMark/>
                </w:tcPr>
                <w:p w14:paraId="57E7E4B4" w14:textId="77777777"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763DBFA7" w14:textId="77777777" w:rsidR="002D42C1" w:rsidRPr="00DE108C" w:rsidRDefault="002D42C1" w:rsidP="008A11C9">
                  <w:pPr>
                    <w:spacing w:before="60" w:after="60"/>
                    <w:jc w:val="right"/>
                    <w:rPr>
                      <w:sz w:val="16"/>
                      <w:szCs w:val="16"/>
                    </w:rPr>
                  </w:pPr>
                  <w:r w:rsidRPr="00DE108C">
                    <w:rPr>
                      <w:sz w:val="16"/>
                      <w:szCs w:val="16"/>
                    </w:rPr>
                    <w:t>$1,492 </w:t>
                  </w:r>
                </w:p>
              </w:tc>
              <w:tc>
                <w:tcPr>
                  <w:tcW w:w="1365" w:type="dxa"/>
                  <w:tcBorders>
                    <w:top w:val="single" w:sz="6" w:space="0" w:color="4EC6FF"/>
                    <w:left w:val="nil"/>
                    <w:bottom w:val="single" w:sz="6" w:space="0" w:color="4EC6FF"/>
                    <w:right w:val="nil"/>
                  </w:tcBorders>
                  <w:vAlign w:val="center"/>
                  <w:hideMark/>
                </w:tcPr>
                <w:p w14:paraId="39EE69F2" w14:textId="1B885A27" w:rsidR="002D42C1" w:rsidRPr="00DE108C" w:rsidRDefault="002D42C1" w:rsidP="008A11C9">
                  <w:pPr>
                    <w:spacing w:before="60" w:after="60"/>
                    <w:jc w:val="right"/>
                    <w:rPr>
                      <w:sz w:val="16"/>
                      <w:szCs w:val="16"/>
                    </w:rPr>
                  </w:pPr>
                  <w:r w:rsidRPr="00510FDD">
                    <w:rPr>
                      <w:color w:val="auto"/>
                      <w:sz w:val="16"/>
                      <w:szCs w:val="16"/>
                    </w:rPr>
                    <w:t>-</w:t>
                  </w:r>
                  <w:r w:rsidRPr="00DE108C">
                    <w:rPr>
                      <w:sz w:val="16"/>
                      <w:szCs w:val="16"/>
                    </w:rPr>
                    <w:t>0.</w:t>
                  </w:r>
                  <w:r w:rsidRPr="00510FDD">
                    <w:rPr>
                      <w:color w:val="auto"/>
                      <w:sz w:val="16"/>
                      <w:szCs w:val="16"/>
                    </w:rPr>
                    <w:t>8</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0A63418F" w14:textId="23BF09AE" w:rsidR="002D42C1" w:rsidRPr="00DE108C" w:rsidRDefault="002D42C1" w:rsidP="008A11C9">
                  <w:pPr>
                    <w:spacing w:before="60" w:after="60"/>
                    <w:jc w:val="right"/>
                    <w:rPr>
                      <w:sz w:val="16"/>
                      <w:szCs w:val="16"/>
                    </w:rPr>
                  </w:pPr>
                  <w:r w:rsidRPr="00DE108C">
                    <w:rPr>
                      <w:sz w:val="16"/>
                      <w:szCs w:val="16"/>
                    </w:rPr>
                    <w:t>0.0%</w:t>
                  </w:r>
                </w:p>
              </w:tc>
              <w:tc>
                <w:tcPr>
                  <w:tcW w:w="1365" w:type="dxa"/>
                  <w:tcBorders>
                    <w:top w:val="single" w:sz="6" w:space="0" w:color="4EC6FF"/>
                    <w:left w:val="nil"/>
                    <w:bottom w:val="single" w:sz="6" w:space="0" w:color="4EC6FF"/>
                    <w:right w:val="nil"/>
                  </w:tcBorders>
                  <w:vAlign w:val="center"/>
                  <w:hideMark/>
                </w:tcPr>
                <w:p w14:paraId="1CD6B9DB" w14:textId="0D215B25"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1</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74A4D528" w14:textId="7B49F7B2" w:rsidR="002D42C1" w:rsidRPr="00DE108C" w:rsidRDefault="002D42C1" w:rsidP="008A11C9">
                  <w:pPr>
                    <w:spacing w:before="60" w:after="60"/>
                    <w:jc w:val="right"/>
                    <w:rPr>
                      <w:sz w:val="16"/>
                      <w:szCs w:val="16"/>
                    </w:rPr>
                  </w:pPr>
                  <w:r w:rsidRPr="00DE108C">
                    <w:rPr>
                      <w:sz w:val="16"/>
                      <w:szCs w:val="16"/>
                    </w:rPr>
                    <w:t>0.0%</w:t>
                  </w:r>
                </w:p>
              </w:tc>
              <w:tc>
                <w:tcPr>
                  <w:tcW w:w="1365" w:type="dxa"/>
                  <w:tcBorders>
                    <w:top w:val="single" w:sz="6" w:space="0" w:color="4EC6FF"/>
                    <w:left w:val="nil"/>
                    <w:bottom w:val="single" w:sz="6" w:space="0" w:color="4EC6FF"/>
                    <w:right w:val="nil"/>
                  </w:tcBorders>
                  <w:vAlign w:val="center"/>
                  <w:hideMark/>
                </w:tcPr>
                <w:p w14:paraId="72924E1F" w14:textId="0A12697D" w:rsidR="002D42C1" w:rsidRPr="00DE108C" w:rsidRDefault="002D42C1" w:rsidP="008A11C9">
                  <w:pPr>
                    <w:spacing w:before="60" w:after="60"/>
                    <w:jc w:val="right"/>
                    <w:rPr>
                      <w:sz w:val="16"/>
                      <w:szCs w:val="16"/>
                    </w:rPr>
                  </w:pPr>
                  <w:r w:rsidRPr="00DE108C">
                    <w:rPr>
                      <w:sz w:val="16"/>
                      <w:szCs w:val="16"/>
                    </w:rPr>
                    <w:t>0.0%</w:t>
                  </w:r>
                </w:p>
              </w:tc>
            </w:tr>
          </w:tbl>
          <w:p w14:paraId="4E869B3E" w14:textId="74030638" w:rsidR="002D42C1" w:rsidRPr="00DE108C" w:rsidRDefault="002D42C1" w:rsidP="6404F3B4">
            <w:pPr>
              <w:rPr>
                <w:sz w:val="16"/>
                <w:szCs w:val="16"/>
              </w:rPr>
            </w:pPr>
            <w:r w:rsidRPr="00DE108C">
              <w:rPr>
                <w:sz w:val="16"/>
                <w:szCs w:val="16"/>
              </w:rPr>
              <w:t>Customer impacts are indicative only and exclude inflation, water corporation 2028 submission impacts and annual pass-throughs</w:t>
            </w:r>
            <w:r w:rsidR="0DE2F720" w:rsidRPr="6404F3B4">
              <w:rPr>
                <w:sz w:val="16"/>
                <w:szCs w:val="16"/>
              </w:rPr>
              <w:t>,</w:t>
            </w:r>
            <w:r w:rsidRPr="00DE108C">
              <w:rPr>
                <w:sz w:val="16"/>
                <w:szCs w:val="16"/>
              </w:rPr>
              <w:t xml:space="preserve"> including desalinated water orders. Forecast customer bill impacts are estimated on the change in total Melbourne Water bulk costs, it is up to each individual water corporation on how this is passed onto households and businesses.</w:t>
            </w:r>
          </w:p>
          <w:p w14:paraId="3A104F41" w14:textId="0B53248A" w:rsidR="002D42C1" w:rsidRPr="00DE108C" w:rsidRDefault="002D42C1" w:rsidP="00ED094E">
            <w:pPr>
              <w:rPr>
                <w:sz w:val="16"/>
                <w:szCs w:val="16"/>
              </w:rPr>
            </w:pPr>
          </w:p>
        </w:tc>
      </w:tr>
    </w:tbl>
    <w:p w14:paraId="5C7CB13A" w14:textId="77777777" w:rsidR="002D42C1" w:rsidRPr="00DE108C" w:rsidRDefault="002D42C1" w:rsidP="00ED094E">
      <w:r w:rsidRPr="00DE108C">
        <w:br w:type="page"/>
      </w:r>
    </w:p>
    <w:p w14:paraId="36A7F522" w14:textId="77777777" w:rsidR="002D42C1" w:rsidRPr="00DE108C" w:rsidRDefault="002D42C1" w:rsidP="00ED094E">
      <w:pPr>
        <w:pStyle w:val="Heading2"/>
      </w:pPr>
      <w:bookmarkStart w:id="1262" w:name="_Toc207892035"/>
      <w:bookmarkStart w:id="1263" w:name="_Toc207892947"/>
      <w:bookmarkStart w:id="1264" w:name="_Toc207853440"/>
      <w:r w:rsidRPr="00DE108C">
        <w:lastRenderedPageBreak/>
        <w:t>A.4 Barwon Water</w:t>
      </w:r>
      <w:bookmarkEnd w:id="1262"/>
      <w:bookmarkEnd w:id="1263"/>
      <w:bookmarkEnd w:id="1264"/>
    </w:p>
    <w:tbl>
      <w:tblPr>
        <w:tblStyle w:val="MWTableGrid"/>
        <w:tblW w:w="22361" w:type="dxa"/>
        <w:tblLook w:val="0480" w:firstRow="0" w:lastRow="0" w:firstColumn="1" w:lastColumn="0" w:noHBand="0" w:noVBand="1"/>
      </w:tblPr>
      <w:tblGrid>
        <w:gridCol w:w="1583"/>
        <w:gridCol w:w="10036"/>
        <w:gridCol w:w="10742"/>
      </w:tblGrid>
      <w:tr w:rsidR="002D42C1" w:rsidRPr="00DE108C" w14:paraId="6F6FAA3A" w14:textId="77777777" w:rsidTr="00F43FAD">
        <w:tc>
          <w:tcPr>
            <w:tcW w:w="1583" w:type="dxa"/>
            <w:shd w:val="clear" w:color="auto" w:fill="00428B" w:themeFill="text2"/>
          </w:tcPr>
          <w:p w14:paraId="6473E4E1" w14:textId="5E548559" w:rsidR="002D42C1" w:rsidRPr="00DE108C" w:rsidRDefault="002D42C1">
            <w:pPr>
              <w:rPr>
                <w:b/>
                <w:bCs/>
                <w:color w:val="FFFFFF" w:themeColor="background1"/>
                <w:sz w:val="16"/>
                <w:szCs w:val="16"/>
              </w:rPr>
            </w:pPr>
            <w:r w:rsidRPr="00DE108C">
              <w:rPr>
                <w:b/>
                <w:bCs/>
                <w:color w:val="FFFFFF" w:themeColor="background1"/>
                <w:sz w:val="16"/>
                <w:szCs w:val="16"/>
              </w:rPr>
              <w:t xml:space="preserve">How </w:t>
            </w:r>
            <w:r w:rsidRPr="6404F3B4">
              <w:rPr>
                <w:b/>
                <w:bCs/>
                <w:color w:val="FFFFFF" w:themeColor="background1"/>
                <w:sz w:val="16"/>
                <w:szCs w:val="16"/>
              </w:rPr>
              <w:t>we</w:t>
            </w:r>
            <w:r w:rsidR="002D42A0">
              <w:rPr>
                <w:b/>
                <w:bCs/>
                <w:color w:val="FFFFFF" w:themeColor="background1"/>
                <w:sz w:val="16"/>
                <w:szCs w:val="16"/>
              </w:rPr>
              <w:t xml:space="preserve"> </w:t>
            </w:r>
            <w:r w:rsidR="443EE507" w:rsidRPr="6404F3B4">
              <w:rPr>
                <w:b/>
                <w:bCs/>
                <w:color w:val="FFFFFF" w:themeColor="background1"/>
                <w:sz w:val="16"/>
                <w:szCs w:val="16"/>
              </w:rPr>
              <w:t>have</w:t>
            </w:r>
            <w:r w:rsidRPr="00DE108C">
              <w:rPr>
                <w:b/>
                <w:bCs/>
                <w:color w:val="FFFFFF" w:themeColor="background1"/>
                <w:sz w:val="16"/>
                <w:szCs w:val="16"/>
              </w:rPr>
              <w:t xml:space="preserve"> worked with you</w:t>
            </w:r>
          </w:p>
        </w:tc>
        <w:tc>
          <w:tcPr>
            <w:tcW w:w="20778" w:type="dxa"/>
            <w:gridSpan w:val="2"/>
          </w:tcPr>
          <w:p w14:paraId="4D20692C" w14:textId="4048D858" w:rsidR="002D42C1" w:rsidRPr="00DE108C" w:rsidRDefault="002D42C1">
            <w:pPr>
              <w:rPr>
                <w:sz w:val="16"/>
                <w:szCs w:val="16"/>
              </w:rPr>
            </w:pPr>
            <w:r w:rsidRPr="00DE108C">
              <w:rPr>
                <w:sz w:val="16"/>
                <w:szCs w:val="16"/>
              </w:rPr>
              <w:t xml:space="preserve">We have been working closely with Barwon Water (BW) throughout the development of the </w:t>
            </w:r>
            <w:r w:rsidR="01A3A8AB" w:rsidRPr="06176BCB">
              <w:rPr>
                <w:sz w:val="16"/>
                <w:szCs w:val="16"/>
              </w:rPr>
              <w:t>P</w:t>
            </w:r>
            <w:r w:rsidRPr="06176BCB">
              <w:rPr>
                <w:sz w:val="16"/>
                <w:szCs w:val="16"/>
              </w:rPr>
              <w:t xml:space="preserve">rice </w:t>
            </w:r>
            <w:r w:rsidR="00CFE946" w:rsidRPr="06176BCB">
              <w:rPr>
                <w:sz w:val="16"/>
                <w:szCs w:val="16"/>
              </w:rPr>
              <w:t>S</w:t>
            </w:r>
            <w:r w:rsidRPr="00DE108C">
              <w:rPr>
                <w:sz w:val="16"/>
                <w:szCs w:val="16"/>
              </w:rPr>
              <w:t xml:space="preserve">ubmission. BW feedback was gathered through over 40 meetings of the Water Corporation Forums, </w:t>
            </w:r>
            <w:r w:rsidR="00AF7AC2">
              <w:rPr>
                <w:sz w:val="16"/>
                <w:szCs w:val="16"/>
              </w:rPr>
              <w:t>Regulatory and Tariff</w:t>
            </w:r>
            <w:r w:rsidRPr="00DE108C">
              <w:rPr>
                <w:sz w:val="16"/>
                <w:szCs w:val="16"/>
              </w:rPr>
              <w:t xml:space="preserve"> Forums, the Accord working groups and one-to-one meetings. We also ensured BW end-use customers were heard directly through our community engagement program and BW customers </w:t>
            </w:r>
            <w:r w:rsidRPr="2389B03D">
              <w:rPr>
                <w:sz w:val="16"/>
                <w:szCs w:val="16"/>
              </w:rPr>
              <w:t>participatin</w:t>
            </w:r>
            <w:r w:rsidR="002D42A0">
              <w:rPr>
                <w:sz w:val="16"/>
                <w:szCs w:val="16"/>
              </w:rPr>
              <w:t xml:space="preserve">g </w:t>
            </w:r>
            <w:r w:rsidR="00660D04">
              <w:rPr>
                <w:sz w:val="16"/>
                <w:szCs w:val="16"/>
              </w:rPr>
              <w:t xml:space="preserve">in </w:t>
            </w:r>
            <w:r w:rsidRPr="00DE108C">
              <w:rPr>
                <w:sz w:val="16"/>
                <w:szCs w:val="16"/>
              </w:rPr>
              <w:t>our surveys. We have reflected the expectations of BW as much as possible in our submission. </w:t>
            </w:r>
          </w:p>
        </w:tc>
      </w:tr>
      <w:tr w:rsidR="002D42C1" w:rsidRPr="00DE108C" w14:paraId="2EFDA46C"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val="restart"/>
            <w:shd w:val="clear" w:color="auto" w:fill="00428B" w:themeFill="text2"/>
          </w:tcPr>
          <w:p w14:paraId="29E26CD5" w14:textId="79ECFC76" w:rsidR="002D42C1" w:rsidRPr="00DE108C" w:rsidRDefault="002D42C1">
            <w:pPr>
              <w:rPr>
                <w:b/>
                <w:bCs/>
                <w:color w:val="FFFFFF" w:themeColor="background1"/>
                <w:sz w:val="16"/>
                <w:szCs w:val="16"/>
              </w:rPr>
            </w:pPr>
            <w:r w:rsidRPr="00DE108C">
              <w:rPr>
                <w:b/>
                <w:bCs/>
                <w:color w:val="FFFFFF" w:themeColor="background1"/>
                <w:sz w:val="16"/>
                <w:szCs w:val="16"/>
              </w:rPr>
              <w:t xml:space="preserve">Outcomes – how </w:t>
            </w:r>
            <w:r w:rsidRPr="06176BCB">
              <w:rPr>
                <w:b/>
                <w:bCs/>
                <w:color w:val="FFFFFF" w:themeColor="background1"/>
                <w:sz w:val="16"/>
                <w:szCs w:val="16"/>
              </w:rPr>
              <w:t>we</w:t>
            </w:r>
            <w:r w:rsidR="64910124" w:rsidRPr="06176BCB">
              <w:rPr>
                <w:b/>
                <w:bCs/>
                <w:color w:val="FFFFFF" w:themeColor="background1"/>
                <w:sz w:val="16"/>
                <w:szCs w:val="16"/>
              </w:rPr>
              <w:t xml:space="preserve"> are</w:t>
            </w:r>
            <w:r w:rsidRPr="00DE108C">
              <w:rPr>
                <w:b/>
                <w:bCs/>
                <w:color w:val="FFFFFF" w:themeColor="background1"/>
                <w:sz w:val="16"/>
                <w:szCs w:val="16"/>
              </w:rPr>
              <w:t xml:space="preserve"> supporting you</w:t>
            </w:r>
          </w:p>
        </w:tc>
        <w:tc>
          <w:tcPr>
            <w:tcW w:w="10036" w:type="dxa"/>
            <w:shd w:val="clear" w:color="auto" w:fill="00428B" w:themeFill="text2"/>
          </w:tcPr>
          <w:p w14:paraId="6E75E14C" w14:textId="77777777" w:rsidR="002D42C1" w:rsidRPr="00DE108C" w:rsidRDefault="002D42C1">
            <w:pPr>
              <w:rPr>
                <w:b/>
                <w:bCs/>
                <w:color w:val="FFFFFF" w:themeColor="background1"/>
                <w:sz w:val="16"/>
                <w:szCs w:val="16"/>
              </w:rPr>
            </w:pPr>
            <w:r w:rsidRPr="00DE108C">
              <w:rPr>
                <w:b/>
                <w:bCs/>
                <w:color w:val="FFFFFF" w:themeColor="background1"/>
                <w:sz w:val="16"/>
                <w:szCs w:val="16"/>
              </w:rPr>
              <w:t>MW Outcome</w:t>
            </w:r>
          </w:p>
        </w:tc>
        <w:tc>
          <w:tcPr>
            <w:tcW w:w="10742" w:type="dxa"/>
            <w:shd w:val="clear" w:color="auto" w:fill="00428B" w:themeFill="text2"/>
          </w:tcPr>
          <w:p w14:paraId="3B510A1C" w14:textId="77777777" w:rsidR="002D42C1" w:rsidRPr="00DE108C" w:rsidRDefault="002D42C1">
            <w:pPr>
              <w:rPr>
                <w:b/>
                <w:bCs/>
                <w:color w:val="FFFFFF" w:themeColor="background1"/>
                <w:sz w:val="16"/>
                <w:szCs w:val="16"/>
              </w:rPr>
            </w:pPr>
            <w:r w:rsidRPr="00DE108C">
              <w:rPr>
                <w:b/>
                <w:bCs/>
                <w:color w:val="FFFFFF" w:themeColor="background1"/>
                <w:sz w:val="16"/>
                <w:szCs w:val="16"/>
              </w:rPr>
              <w:t>Related BW Outcomes</w:t>
            </w:r>
          </w:p>
        </w:tc>
      </w:tr>
      <w:tr w:rsidR="002D42C1" w:rsidRPr="00DE108C" w14:paraId="7FE8CDC1" w14:textId="77777777" w:rsidTr="00C05BDA">
        <w:tc>
          <w:tcPr>
            <w:tcW w:w="1583" w:type="dxa"/>
            <w:vMerge/>
            <w:shd w:val="clear" w:color="auto" w:fill="00428B" w:themeFill="text2"/>
          </w:tcPr>
          <w:p w14:paraId="53998B51" w14:textId="77777777" w:rsidR="002D42C1" w:rsidRPr="00DE108C" w:rsidRDefault="002D42C1">
            <w:pPr>
              <w:rPr>
                <w:b/>
                <w:bCs/>
                <w:color w:val="FFFFFF" w:themeColor="background1"/>
                <w:sz w:val="16"/>
                <w:szCs w:val="16"/>
              </w:rPr>
            </w:pPr>
          </w:p>
        </w:tc>
        <w:tc>
          <w:tcPr>
            <w:tcW w:w="10036" w:type="dxa"/>
          </w:tcPr>
          <w:p w14:paraId="44827239" w14:textId="77777777" w:rsidR="002D42C1" w:rsidRPr="00DE108C" w:rsidRDefault="002D42C1">
            <w:pPr>
              <w:rPr>
                <w:sz w:val="16"/>
                <w:szCs w:val="16"/>
              </w:rPr>
            </w:pPr>
            <w:r w:rsidRPr="00DE108C">
              <w:rPr>
                <w:sz w:val="16"/>
                <w:szCs w:val="16"/>
              </w:rPr>
              <w:t>Outcome 1: Safe and reliable bulk water supplies for now and the long term</w:t>
            </w:r>
          </w:p>
        </w:tc>
        <w:tc>
          <w:tcPr>
            <w:tcW w:w="10742" w:type="dxa"/>
          </w:tcPr>
          <w:p w14:paraId="5B64DFB4" w14:textId="77777777" w:rsidR="002D42C1" w:rsidRPr="00DE108C" w:rsidRDefault="002D42C1" w:rsidP="00ED094E">
            <w:pPr>
              <w:rPr>
                <w:sz w:val="16"/>
                <w:szCs w:val="16"/>
              </w:rPr>
            </w:pPr>
            <w:r w:rsidRPr="00DE108C">
              <w:rPr>
                <w:sz w:val="16"/>
                <w:szCs w:val="16"/>
              </w:rPr>
              <w:t>Outcome 1: Safe, secure, sustainable water</w:t>
            </w:r>
          </w:p>
          <w:p w14:paraId="47E6E4EA" w14:textId="77777777" w:rsidR="002D42C1" w:rsidRPr="00DE108C" w:rsidRDefault="002D42C1" w:rsidP="00ED094E">
            <w:pPr>
              <w:rPr>
                <w:sz w:val="16"/>
                <w:szCs w:val="16"/>
              </w:rPr>
            </w:pPr>
            <w:r w:rsidRPr="00DE108C">
              <w:rPr>
                <w:sz w:val="16"/>
                <w:szCs w:val="16"/>
              </w:rPr>
              <w:t>Outcome 2: Innovative, reliable services</w:t>
            </w:r>
          </w:p>
        </w:tc>
      </w:tr>
      <w:tr w:rsidR="00A043F7" w:rsidRPr="00DE108C" w14:paraId="670F412D"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212A62C5" w14:textId="77777777" w:rsidR="002D42C1" w:rsidRPr="00DE108C" w:rsidRDefault="002D42C1">
            <w:pPr>
              <w:rPr>
                <w:b/>
                <w:bCs/>
                <w:color w:val="FFFFFF" w:themeColor="background1"/>
                <w:sz w:val="16"/>
                <w:szCs w:val="16"/>
              </w:rPr>
            </w:pPr>
          </w:p>
        </w:tc>
        <w:tc>
          <w:tcPr>
            <w:tcW w:w="10036" w:type="dxa"/>
          </w:tcPr>
          <w:p w14:paraId="721BEA91" w14:textId="77777777" w:rsidR="002D42C1" w:rsidRPr="00DE108C" w:rsidRDefault="002D42C1">
            <w:pPr>
              <w:rPr>
                <w:sz w:val="16"/>
                <w:szCs w:val="16"/>
              </w:rPr>
            </w:pPr>
            <w:r w:rsidRPr="00DE108C">
              <w:rPr>
                <w:sz w:val="16"/>
                <w:szCs w:val="16"/>
              </w:rPr>
              <w:t>Outcome 2: Environmentally sustainable and reliable bulk sewerage services</w:t>
            </w:r>
          </w:p>
        </w:tc>
        <w:tc>
          <w:tcPr>
            <w:tcW w:w="10742" w:type="dxa"/>
          </w:tcPr>
          <w:p w14:paraId="3402B610" w14:textId="77777777" w:rsidR="002D42C1" w:rsidRPr="00DE108C" w:rsidRDefault="002D42C1">
            <w:pPr>
              <w:rPr>
                <w:sz w:val="16"/>
                <w:szCs w:val="16"/>
              </w:rPr>
            </w:pPr>
            <w:r w:rsidRPr="00DE108C">
              <w:rPr>
                <w:sz w:val="16"/>
                <w:szCs w:val="16"/>
              </w:rPr>
              <w:t>Outcome 3: Healthier environment</w:t>
            </w:r>
          </w:p>
        </w:tc>
      </w:tr>
      <w:tr w:rsidR="002D42C1" w:rsidRPr="00DE108C" w14:paraId="4C2E44D2" w14:textId="77777777" w:rsidTr="00C05BDA">
        <w:tc>
          <w:tcPr>
            <w:tcW w:w="1583" w:type="dxa"/>
            <w:vMerge/>
            <w:shd w:val="clear" w:color="auto" w:fill="00428B" w:themeFill="text2"/>
          </w:tcPr>
          <w:p w14:paraId="4F44527C" w14:textId="77777777" w:rsidR="002D42C1" w:rsidRPr="00DE108C" w:rsidRDefault="002D42C1">
            <w:pPr>
              <w:rPr>
                <w:b/>
                <w:bCs/>
                <w:color w:val="FFFFFF" w:themeColor="background1"/>
                <w:sz w:val="16"/>
                <w:szCs w:val="16"/>
              </w:rPr>
            </w:pPr>
          </w:p>
        </w:tc>
        <w:tc>
          <w:tcPr>
            <w:tcW w:w="10036" w:type="dxa"/>
          </w:tcPr>
          <w:p w14:paraId="0B1D318C" w14:textId="77777777" w:rsidR="002D42C1" w:rsidRPr="00DE108C" w:rsidRDefault="002D42C1">
            <w:pPr>
              <w:rPr>
                <w:sz w:val="16"/>
                <w:szCs w:val="16"/>
              </w:rPr>
            </w:pPr>
            <w:r w:rsidRPr="00DE108C">
              <w:rPr>
                <w:sz w:val="16"/>
                <w:szCs w:val="16"/>
              </w:rPr>
              <w:t>Outcome 3: Healthy, resilient waterways</w:t>
            </w:r>
          </w:p>
        </w:tc>
        <w:tc>
          <w:tcPr>
            <w:tcW w:w="10742" w:type="dxa"/>
          </w:tcPr>
          <w:p w14:paraId="7A027ACF" w14:textId="77777777" w:rsidR="002D42C1" w:rsidRPr="00DE108C" w:rsidRDefault="002D42C1">
            <w:pPr>
              <w:rPr>
                <w:sz w:val="16"/>
                <w:szCs w:val="16"/>
              </w:rPr>
            </w:pPr>
            <w:r w:rsidRPr="00DE108C">
              <w:rPr>
                <w:sz w:val="16"/>
                <w:szCs w:val="16"/>
              </w:rPr>
              <w:t>Outcome 3: Healthier environment</w:t>
            </w:r>
          </w:p>
        </w:tc>
      </w:tr>
      <w:tr w:rsidR="00A043F7" w:rsidRPr="00DE108C" w14:paraId="572FC77A"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2612FC3D" w14:textId="77777777" w:rsidR="002D42C1" w:rsidRPr="00DE108C" w:rsidRDefault="002D42C1">
            <w:pPr>
              <w:rPr>
                <w:b/>
                <w:bCs/>
                <w:color w:val="FFFFFF" w:themeColor="background1"/>
                <w:sz w:val="16"/>
                <w:szCs w:val="16"/>
              </w:rPr>
            </w:pPr>
          </w:p>
        </w:tc>
        <w:tc>
          <w:tcPr>
            <w:tcW w:w="10036" w:type="dxa"/>
          </w:tcPr>
          <w:p w14:paraId="416382BB" w14:textId="77777777" w:rsidR="002D42C1" w:rsidRPr="00DE108C" w:rsidRDefault="002D42C1">
            <w:pPr>
              <w:rPr>
                <w:sz w:val="16"/>
                <w:szCs w:val="16"/>
              </w:rPr>
            </w:pPr>
            <w:r w:rsidRPr="00DE108C">
              <w:rPr>
                <w:sz w:val="16"/>
                <w:szCs w:val="16"/>
              </w:rPr>
              <w:t>Outcome 4: Urban drainage and flood resilience</w:t>
            </w:r>
          </w:p>
        </w:tc>
        <w:tc>
          <w:tcPr>
            <w:tcW w:w="10742" w:type="dxa"/>
          </w:tcPr>
          <w:p w14:paraId="219B2038" w14:textId="77777777" w:rsidR="002D42C1" w:rsidRPr="00DE108C" w:rsidRDefault="002D42C1">
            <w:pPr>
              <w:rPr>
                <w:sz w:val="16"/>
                <w:szCs w:val="16"/>
              </w:rPr>
            </w:pPr>
            <w:r w:rsidRPr="00DE108C">
              <w:rPr>
                <w:sz w:val="16"/>
                <w:szCs w:val="16"/>
              </w:rPr>
              <w:t>N/A</w:t>
            </w:r>
          </w:p>
        </w:tc>
      </w:tr>
      <w:tr w:rsidR="002D42C1" w:rsidRPr="00DE108C" w14:paraId="7DCEB343" w14:textId="77777777" w:rsidTr="00C05BDA">
        <w:tc>
          <w:tcPr>
            <w:tcW w:w="1583" w:type="dxa"/>
            <w:vMerge/>
            <w:shd w:val="clear" w:color="auto" w:fill="00428B" w:themeFill="text2"/>
          </w:tcPr>
          <w:p w14:paraId="5F0489EE" w14:textId="77777777" w:rsidR="002D42C1" w:rsidRPr="00DE108C" w:rsidRDefault="002D42C1">
            <w:pPr>
              <w:rPr>
                <w:b/>
                <w:bCs/>
                <w:color w:val="FFFFFF" w:themeColor="background1"/>
                <w:sz w:val="16"/>
                <w:szCs w:val="16"/>
              </w:rPr>
            </w:pPr>
          </w:p>
        </w:tc>
        <w:tc>
          <w:tcPr>
            <w:tcW w:w="10036" w:type="dxa"/>
          </w:tcPr>
          <w:p w14:paraId="4C2C5DE8" w14:textId="77777777" w:rsidR="002D42C1" w:rsidRPr="00DE108C" w:rsidRDefault="002D42C1">
            <w:pPr>
              <w:rPr>
                <w:sz w:val="16"/>
                <w:szCs w:val="16"/>
              </w:rPr>
            </w:pPr>
            <w:r w:rsidRPr="00DE108C">
              <w:rPr>
                <w:sz w:val="16"/>
                <w:szCs w:val="16"/>
              </w:rPr>
              <w:t>Outcome 5: A valued partner in water cycle services</w:t>
            </w:r>
          </w:p>
        </w:tc>
        <w:tc>
          <w:tcPr>
            <w:tcW w:w="10742" w:type="dxa"/>
          </w:tcPr>
          <w:p w14:paraId="5D1B5D14" w14:textId="77777777" w:rsidR="002D42C1" w:rsidRPr="00DE108C" w:rsidRDefault="002D42C1">
            <w:pPr>
              <w:rPr>
                <w:sz w:val="16"/>
                <w:szCs w:val="16"/>
              </w:rPr>
            </w:pPr>
            <w:r w:rsidRPr="00DE108C">
              <w:rPr>
                <w:sz w:val="16"/>
                <w:szCs w:val="16"/>
              </w:rPr>
              <w:t>Outcome 4: Trust, affordability and value</w:t>
            </w:r>
          </w:p>
        </w:tc>
      </w:tr>
      <w:tr w:rsidR="002D42C1" w:rsidRPr="00DE108C" w14:paraId="2E497501"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val="restart"/>
            <w:shd w:val="clear" w:color="auto" w:fill="00428B" w:themeFill="text2"/>
          </w:tcPr>
          <w:p w14:paraId="7DBFF9DD" w14:textId="77777777" w:rsidR="002D42C1" w:rsidRPr="00DE108C" w:rsidRDefault="002D42C1">
            <w:pPr>
              <w:rPr>
                <w:b/>
                <w:bCs/>
                <w:color w:val="FFFFFF" w:themeColor="background1"/>
                <w:sz w:val="16"/>
                <w:szCs w:val="16"/>
              </w:rPr>
            </w:pPr>
            <w:r w:rsidRPr="00DE108C">
              <w:rPr>
                <w:b/>
                <w:bCs/>
                <w:color w:val="FFFFFF" w:themeColor="background1"/>
                <w:sz w:val="16"/>
                <w:szCs w:val="16"/>
              </w:rPr>
              <w:t>Addressing your key areas</w:t>
            </w:r>
          </w:p>
        </w:tc>
        <w:tc>
          <w:tcPr>
            <w:tcW w:w="10036" w:type="dxa"/>
            <w:shd w:val="clear" w:color="auto" w:fill="00428B" w:themeFill="text2"/>
          </w:tcPr>
          <w:p w14:paraId="48E17C1C" w14:textId="77777777" w:rsidR="002D42C1" w:rsidRPr="00DE108C" w:rsidRDefault="002D42C1">
            <w:pPr>
              <w:rPr>
                <w:b/>
                <w:bCs/>
                <w:color w:val="FFFFFF" w:themeColor="background1"/>
                <w:sz w:val="16"/>
                <w:szCs w:val="16"/>
              </w:rPr>
            </w:pPr>
            <w:r w:rsidRPr="00DE108C">
              <w:rPr>
                <w:b/>
                <w:bCs/>
                <w:color w:val="FFFFFF" w:themeColor="background1"/>
                <w:sz w:val="16"/>
                <w:szCs w:val="16"/>
              </w:rPr>
              <w:t>What we heard</w:t>
            </w:r>
          </w:p>
        </w:tc>
        <w:tc>
          <w:tcPr>
            <w:tcW w:w="10742" w:type="dxa"/>
            <w:shd w:val="clear" w:color="auto" w:fill="00428B" w:themeFill="text2"/>
          </w:tcPr>
          <w:p w14:paraId="0D631C83" w14:textId="77777777" w:rsidR="002D42C1" w:rsidRPr="00DE108C" w:rsidRDefault="002D42C1">
            <w:pPr>
              <w:rPr>
                <w:b/>
                <w:bCs/>
                <w:color w:val="FFFFFF" w:themeColor="background1"/>
                <w:sz w:val="16"/>
                <w:szCs w:val="16"/>
              </w:rPr>
            </w:pPr>
            <w:r w:rsidRPr="00DE108C">
              <w:rPr>
                <w:b/>
                <w:bCs/>
                <w:color w:val="FFFFFF" w:themeColor="background1"/>
                <w:sz w:val="16"/>
                <w:szCs w:val="16"/>
              </w:rPr>
              <w:t>How we’re responding</w:t>
            </w:r>
          </w:p>
        </w:tc>
      </w:tr>
      <w:tr w:rsidR="002D42C1" w:rsidRPr="00DE108C" w14:paraId="1BA69A0A" w14:textId="77777777" w:rsidTr="00C05BDA">
        <w:tc>
          <w:tcPr>
            <w:tcW w:w="1583" w:type="dxa"/>
            <w:vMerge/>
            <w:shd w:val="clear" w:color="auto" w:fill="00428B" w:themeFill="text2"/>
          </w:tcPr>
          <w:p w14:paraId="531A6FAB" w14:textId="77777777" w:rsidR="002D42C1" w:rsidRPr="00DE108C" w:rsidRDefault="002D42C1" w:rsidP="00ED094E">
            <w:pPr>
              <w:rPr>
                <w:b/>
                <w:bCs/>
                <w:color w:val="FFFFFF" w:themeColor="background1"/>
                <w:sz w:val="16"/>
                <w:szCs w:val="16"/>
              </w:rPr>
            </w:pPr>
          </w:p>
        </w:tc>
        <w:tc>
          <w:tcPr>
            <w:tcW w:w="10036" w:type="dxa"/>
          </w:tcPr>
          <w:p w14:paraId="383AD7D3" w14:textId="139E3813" w:rsidR="002D42C1" w:rsidRPr="00DE108C" w:rsidRDefault="002D42C1" w:rsidP="00ED094E">
            <w:pPr>
              <w:rPr>
                <w:sz w:val="16"/>
                <w:szCs w:val="16"/>
              </w:rPr>
            </w:pPr>
            <w:r w:rsidRPr="2389B03D">
              <w:rPr>
                <w:rStyle w:val="normaltextrun"/>
                <w:rFonts w:ascii="Verdana" w:hAnsi="Verdana" w:cs="Segoe UI"/>
                <w:sz w:val="16"/>
                <w:szCs w:val="16"/>
              </w:rPr>
              <w:t>Item #1: Reliability of supply through the Melbourne-Geelong Pipeline including</w:t>
            </w:r>
            <w:r w:rsidR="00A5C839" w:rsidRPr="359A038F">
              <w:rPr>
                <w:rStyle w:val="normaltextrun"/>
                <w:rFonts w:ascii="Verdana" w:hAnsi="Verdana" w:cs="Segoe UI"/>
                <w:sz w:val="16"/>
                <w:szCs w:val="16"/>
              </w:rPr>
              <w:t>,</w:t>
            </w:r>
            <w:r w:rsidRPr="2389B03D">
              <w:rPr>
                <w:rStyle w:val="normaltextrun"/>
                <w:rFonts w:ascii="Verdana" w:hAnsi="Verdana" w:cs="Segoe UI"/>
                <w:sz w:val="16"/>
                <w:szCs w:val="16"/>
              </w:rPr>
              <w:t xml:space="preserve"> how a least community-cost solution to supply on peak days is fairly funded, and whether a lower price could apply to drinking water supplied</w:t>
            </w:r>
            <w:r w:rsidR="7E761E0D" w:rsidRPr="2389B03D">
              <w:rPr>
                <w:rStyle w:val="normaltextrun"/>
                <w:rFonts w:ascii="Verdana" w:hAnsi="Verdana" w:cs="Segoe UI"/>
                <w:sz w:val="16"/>
                <w:szCs w:val="16"/>
              </w:rPr>
              <w:t>.</w:t>
            </w:r>
            <w:r w:rsidRPr="2389B03D">
              <w:rPr>
                <w:rStyle w:val="eop"/>
                <w:rFonts w:ascii="Verdana" w:hAnsi="Verdana" w:cs="Segoe UI"/>
                <w:sz w:val="16"/>
                <w:szCs w:val="16"/>
              </w:rPr>
              <w:t> </w:t>
            </w:r>
          </w:p>
        </w:tc>
        <w:tc>
          <w:tcPr>
            <w:tcW w:w="10742" w:type="dxa"/>
          </w:tcPr>
          <w:p w14:paraId="44769849" w14:textId="77777777" w:rsidR="002D42C1" w:rsidRPr="00DE108C" w:rsidRDefault="002D42C1" w:rsidP="00ED094E">
            <w:pPr>
              <w:pStyle w:val="paragraph"/>
              <w:spacing w:before="0" w:beforeAutospacing="0" w:after="0" w:afterAutospacing="0"/>
              <w:textAlignment w:val="baseline"/>
              <w:divId w:val="1764719023"/>
              <w:rPr>
                <w:rFonts w:ascii="Segoe UI" w:hAnsi="Segoe UI" w:cs="Segoe UI"/>
                <w:color w:val="231F20"/>
                <w:sz w:val="16"/>
                <w:szCs w:val="16"/>
              </w:rPr>
            </w:pPr>
            <w:r w:rsidRPr="00DE108C">
              <w:rPr>
                <w:rStyle w:val="normaltextrun"/>
                <w:rFonts w:ascii="Verdana" w:hAnsi="Verdana" w:cs="Segoe UI"/>
                <w:b/>
                <w:bCs/>
                <w:color w:val="231F20"/>
                <w:sz w:val="16"/>
                <w:szCs w:val="16"/>
              </w:rPr>
              <w:t>Partially addressed</w:t>
            </w:r>
            <w:r w:rsidRPr="00DE108C">
              <w:rPr>
                <w:rStyle w:val="eop"/>
                <w:rFonts w:ascii="Verdana" w:hAnsi="Verdana" w:cs="Segoe UI"/>
                <w:color w:val="231F20"/>
                <w:sz w:val="16"/>
                <w:szCs w:val="16"/>
              </w:rPr>
              <w:t> </w:t>
            </w:r>
          </w:p>
          <w:p w14:paraId="14BD122C" w14:textId="30FDCF44" w:rsidR="002D42C1" w:rsidRPr="00DE108C" w:rsidRDefault="002D42C1" w:rsidP="00ED094E">
            <w:pPr>
              <w:pStyle w:val="paragraph"/>
              <w:spacing w:before="0" w:beforeAutospacing="0" w:after="0" w:afterAutospacing="0"/>
              <w:textAlignment w:val="baseline"/>
              <w:divId w:val="1429039262"/>
              <w:rPr>
                <w:rFonts w:ascii="Segoe UI" w:hAnsi="Segoe UI" w:cs="Segoe UI"/>
                <w:color w:val="231F20"/>
                <w:sz w:val="16"/>
                <w:szCs w:val="16"/>
              </w:rPr>
            </w:pPr>
            <w:r w:rsidRPr="4F79850E">
              <w:rPr>
                <w:rStyle w:val="normaltextrun"/>
                <w:rFonts w:ascii="Verdana" w:hAnsi="Verdana" w:cs="Segoe UI"/>
                <w:color w:val="231F20" w:themeColor="text1"/>
                <w:sz w:val="16"/>
                <w:szCs w:val="16"/>
              </w:rPr>
              <w:t>We recognise that the Melbourne-Geelong Pipeline (MGP) currently plays a vital role in supplementing the Geelong region’s water supply and that Barwon Water’s modelling shows that demand growth and variability in local water supplies means that current capacity provided by the MGP alone will not meet the region’s future water needs. Barwon Water is collaborating with the Accord corporations on a range of water security measures</w:t>
            </w:r>
            <w:r w:rsidR="4DFC03B0" w:rsidRPr="4F79850E">
              <w:rPr>
                <w:rStyle w:val="normaltextrun"/>
                <w:rFonts w:ascii="Verdana" w:hAnsi="Verdana" w:cs="Segoe UI"/>
                <w:color w:val="231F20" w:themeColor="text1"/>
                <w:sz w:val="16"/>
                <w:szCs w:val="16"/>
              </w:rPr>
              <w:t>,</w:t>
            </w:r>
            <w:r w:rsidRPr="4F79850E">
              <w:rPr>
                <w:rStyle w:val="normaltextrun"/>
                <w:rFonts w:ascii="Verdana" w:hAnsi="Verdana" w:cs="Segoe UI"/>
                <w:color w:val="231F20" w:themeColor="text1"/>
                <w:sz w:val="16"/>
                <w:szCs w:val="16"/>
              </w:rPr>
              <w:t xml:space="preserve"> as well as undertaking transformational local projects </w:t>
            </w:r>
            <w:r w:rsidR="30D42E5E" w:rsidRPr="4F79850E">
              <w:rPr>
                <w:rStyle w:val="normaltextrun"/>
                <w:rFonts w:ascii="Verdana" w:hAnsi="Verdana" w:cs="Segoe UI"/>
                <w:color w:val="231F20" w:themeColor="text1"/>
                <w:sz w:val="16"/>
                <w:szCs w:val="16"/>
              </w:rPr>
              <w:t>such as</w:t>
            </w:r>
            <w:r w:rsidRPr="4F79850E">
              <w:rPr>
                <w:rStyle w:val="normaltextrun"/>
                <w:rFonts w:ascii="Verdana" w:hAnsi="Verdana" w:cs="Segoe UI"/>
                <w:color w:val="231F20" w:themeColor="text1"/>
                <w:sz w:val="16"/>
                <w:szCs w:val="16"/>
              </w:rPr>
              <w:t xml:space="preserve"> upgrading the Wurdee Boluc Treatment Plant.</w:t>
            </w:r>
            <w:r w:rsidR="008C46DF">
              <w:rPr>
                <w:rStyle w:val="normaltextrun"/>
                <w:rFonts w:ascii="Verdana" w:hAnsi="Verdana" w:cs="Segoe UI"/>
                <w:color w:val="231F20" w:themeColor="text1"/>
                <w:sz w:val="16"/>
                <w:szCs w:val="16"/>
              </w:rPr>
              <w:t xml:space="preserve"> </w:t>
            </w:r>
          </w:p>
          <w:p w14:paraId="346ED9CF" w14:textId="099C9CAE" w:rsidR="002D42C1" w:rsidRPr="00DE108C" w:rsidRDefault="002D42C1" w:rsidP="00ED094E">
            <w:pPr>
              <w:rPr>
                <w:sz w:val="16"/>
                <w:szCs w:val="16"/>
              </w:rPr>
            </w:pPr>
            <w:r w:rsidRPr="468039C7">
              <w:rPr>
                <w:rStyle w:val="normaltextrun"/>
                <w:rFonts w:ascii="Verdana" w:hAnsi="Verdana" w:cs="Segoe UI"/>
                <w:sz w:val="16"/>
                <w:szCs w:val="16"/>
              </w:rPr>
              <w:t>We have explored Barwon Water’s suggestions for differential pricing through the MGP extensively and co-funded an independent review of this concept. We propose to maintain a common drinking water usage charge</w:t>
            </w:r>
            <w:r w:rsidR="1700C2DC" w:rsidRPr="468039C7">
              <w:rPr>
                <w:rStyle w:val="normaltextrun"/>
                <w:rFonts w:ascii="Verdana" w:hAnsi="Verdana" w:cs="Segoe UI"/>
                <w:sz w:val="16"/>
                <w:szCs w:val="16"/>
              </w:rPr>
              <w:t>,</w:t>
            </w:r>
            <w:r w:rsidRPr="468039C7">
              <w:rPr>
                <w:rStyle w:val="normaltextrun"/>
                <w:rFonts w:ascii="Verdana" w:hAnsi="Verdana" w:cs="Segoe UI"/>
                <w:sz w:val="16"/>
                <w:szCs w:val="16"/>
              </w:rPr>
              <w:t xml:space="preserve"> which we think better reflects our drivers of cost and meets the Water Industry Regulatory Order. Barwon Water and Melbourne Water reached consensus on this proposal.</w:t>
            </w:r>
            <w:r w:rsidRPr="468039C7">
              <w:rPr>
                <w:rStyle w:val="eop"/>
                <w:rFonts w:ascii="Verdana" w:hAnsi="Verdana" w:cs="Segoe UI"/>
                <w:sz w:val="16"/>
                <w:szCs w:val="16"/>
              </w:rPr>
              <w:t> </w:t>
            </w:r>
          </w:p>
        </w:tc>
      </w:tr>
      <w:tr w:rsidR="00A043F7" w:rsidRPr="00DE108C" w14:paraId="291749BB"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6170422E" w14:textId="77777777" w:rsidR="002D42C1" w:rsidRPr="00DE108C" w:rsidRDefault="002D42C1" w:rsidP="00ED094E">
            <w:pPr>
              <w:rPr>
                <w:b/>
                <w:bCs/>
                <w:color w:val="FFFFFF" w:themeColor="background1"/>
                <w:sz w:val="16"/>
                <w:szCs w:val="16"/>
              </w:rPr>
            </w:pPr>
          </w:p>
        </w:tc>
        <w:tc>
          <w:tcPr>
            <w:tcW w:w="10036" w:type="dxa"/>
          </w:tcPr>
          <w:p w14:paraId="2AA7C2AB" w14:textId="4A4242CF" w:rsidR="002D42C1" w:rsidRPr="00DE108C" w:rsidRDefault="002D42C1" w:rsidP="00ED094E">
            <w:pPr>
              <w:rPr>
                <w:sz w:val="16"/>
                <w:szCs w:val="16"/>
              </w:rPr>
            </w:pPr>
            <w:r w:rsidRPr="2389B03D">
              <w:rPr>
                <w:rStyle w:val="normaltextrun"/>
                <w:rFonts w:ascii="Verdana" w:hAnsi="Verdana" w:cs="Segoe UI"/>
                <w:sz w:val="16"/>
                <w:szCs w:val="16"/>
              </w:rPr>
              <w:t>Item #2: Fair tariff reforms, including consideration of the variability in BW demands and desire to protect end customers from volatility in pricing</w:t>
            </w:r>
            <w:r w:rsidR="259A2667" w:rsidRPr="2389B03D">
              <w:rPr>
                <w:rStyle w:val="normaltextrun"/>
                <w:rFonts w:ascii="Verdana" w:hAnsi="Verdana" w:cs="Segoe UI"/>
                <w:sz w:val="16"/>
                <w:szCs w:val="16"/>
              </w:rPr>
              <w:t>.</w:t>
            </w:r>
            <w:r w:rsidRPr="2389B03D">
              <w:rPr>
                <w:rStyle w:val="eop"/>
                <w:rFonts w:ascii="Verdana" w:hAnsi="Verdana" w:cs="Segoe UI"/>
                <w:sz w:val="16"/>
                <w:szCs w:val="16"/>
              </w:rPr>
              <w:t> </w:t>
            </w:r>
          </w:p>
        </w:tc>
        <w:tc>
          <w:tcPr>
            <w:tcW w:w="10742" w:type="dxa"/>
          </w:tcPr>
          <w:p w14:paraId="00E3D971" w14:textId="77777777" w:rsidR="002D42C1" w:rsidRPr="00DE108C" w:rsidRDefault="002D42C1" w:rsidP="00ED094E">
            <w:pPr>
              <w:pStyle w:val="paragraph"/>
              <w:spacing w:before="0" w:beforeAutospacing="0" w:after="0" w:afterAutospacing="0"/>
              <w:textAlignment w:val="baseline"/>
              <w:divId w:val="910237832"/>
              <w:rPr>
                <w:rFonts w:ascii="Segoe UI" w:hAnsi="Segoe UI" w:cs="Segoe UI"/>
                <w:color w:val="231F20"/>
                <w:sz w:val="16"/>
                <w:szCs w:val="16"/>
              </w:rPr>
            </w:pPr>
            <w:r w:rsidRPr="00DE108C">
              <w:rPr>
                <w:rStyle w:val="normaltextrun"/>
                <w:rFonts w:ascii="Verdana" w:hAnsi="Verdana" w:cs="Segoe UI"/>
                <w:b/>
                <w:bCs/>
                <w:color w:val="231F20"/>
                <w:sz w:val="16"/>
                <w:szCs w:val="16"/>
              </w:rPr>
              <w:t>Partially addressed</w:t>
            </w:r>
            <w:r w:rsidRPr="00DE108C">
              <w:rPr>
                <w:rStyle w:val="eop"/>
                <w:rFonts w:ascii="Verdana" w:hAnsi="Verdana" w:cs="Segoe UI"/>
                <w:color w:val="231F20"/>
                <w:sz w:val="16"/>
                <w:szCs w:val="16"/>
              </w:rPr>
              <w:t> </w:t>
            </w:r>
          </w:p>
          <w:p w14:paraId="401963D2" w14:textId="16DBAD64" w:rsidR="002D42C1" w:rsidRPr="00DE108C" w:rsidRDefault="002D42C1" w:rsidP="00ED094E">
            <w:pPr>
              <w:rPr>
                <w:sz w:val="16"/>
                <w:szCs w:val="16"/>
              </w:rPr>
            </w:pPr>
            <w:r w:rsidRPr="5A890BED">
              <w:rPr>
                <w:rStyle w:val="normaltextrun"/>
                <w:rFonts w:ascii="Verdana" w:hAnsi="Verdana" w:cs="Segoe UI"/>
                <w:sz w:val="16"/>
                <w:szCs w:val="16"/>
              </w:rPr>
              <w:t>Following extensive analysis and consultation, we believe we have arrived at a fair compromise position for a higher volumetric bulk water charge that provides an efficient signal about the true cost of water security underpinned by desalination</w:t>
            </w:r>
            <w:r w:rsidR="3AEEE8D8" w:rsidRPr="5A890BED">
              <w:rPr>
                <w:rStyle w:val="normaltextrun"/>
                <w:rFonts w:ascii="Verdana" w:hAnsi="Verdana" w:cs="Segoe UI"/>
                <w:sz w:val="16"/>
                <w:szCs w:val="16"/>
              </w:rPr>
              <w:t>,</w:t>
            </w:r>
            <w:r w:rsidRPr="5A890BED">
              <w:rPr>
                <w:rStyle w:val="normaltextrun"/>
                <w:rFonts w:ascii="Verdana" w:hAnsi="Verdana" w:cs="Segoe UI"/>
                <w:sz w:val="16"/>
                <w:szCs w:val="16"/>
              </w:rPr>
              <w:t xml:space="preserve"> while </w:t>
            </w:r>
            <w:r w:rsidR="32EF0CF1" w:rsidRPr="46972B13">
              <w:rPr>
                <w:rStyle w:val="normaltextrun"/>
                <w:rFonts w:ascii="Verdana" w:hAnsi="Verdana" w:cs="Segoe UI"/>
                <w:sz w:val="16"/>
                <w:szCs w:val="16"/>
              </w:rPr>
              <w:t>also</w:t>
            </w:r>
            <w:r w:rsidRPr="46972B13">
              <w:rPr>
                <w:rStyle w:val="normaltextrun"/>
                <w:rFonts w:ascii="Verdana" w:hAnsi="Verdana" w:cs="Segoe UI"/>
                <w:sz w:val="16"/>
                <w:szCs w:val="16"/>
              </w:rPr>
              <w:t xml:space="preserve"> </w:t>
            </w:r>
            <w:r w:rsidRPr="5A890BED">
              <w:rPr>
                <w:rStyle w:val="normaltextrun"/>
                <w:rFonts w:ascii="Verdana" w:hAnsi="Verdana" w:cs="Segoe UI"/>
                <w:sz w:val="16"/>
                <w:szCs w:val="16"/>
              </w:rPr>
              <w:t>minimises variability for customers with demands that increase and decrease like Barwon Water’s. We have adopted the 10-year average utilisation for fixed water shares, which smooths entrance into the South-Central Pool for the connected regional water corporations, including Barwon Water. Based on Barwon Water’s forecast demands, its bulk charges will be lower during the regulatory period than in 2025-26. We believe that Barwon Water’s variability in bulk charges is manageable under the regulatory framework</w:t>
            </w:r>
            <w:r w:rsidR="07F67888" w:rsidRPr="46972B13">
              <w:rPr>
                <w:rStyle w:val="normaltextrun"/>
                <w:rFonts w:ascii="Verdana" w:hAnsi="Verdana" w:cs="Segoe UI"/>
                <w:sz w:val="16"/>
                <w:szCs w:val="16"/>
              </w:rPr>
              <w:t>,</w:t>
            </w:r>
            <w:r w:rsidRPr="5A890BED">
              <w:rPr>
                <w:rStyle w:val="normaltextrun"/>
                <w:rFonts w:ascii="Verdana" w:hAnsi="Verdana" w:cs="Segoe UI"/>
                <w:sz w:val="16"/>
                <w:szCs w:val="16"/>
              </w:rPr>
              <w:t xml:space="preserve"> and this could be part of Barwon Water’s 2028 submission.</w:t>
            </w:r>
            <w:r w:rsidRPr="5A890BED">
              <w:rPr>
                <w:rStyle w:val="eop"/>
                <w:rFonts w:ascii="Verdana" w:hAnsi="Verdana" w:cs="Segoe UI"/>
                <w:sz w:val="16"/>
                <w:szCs w:val="16"/>
              </w:rPr>
              <w:t> </w:t>
            </w:r>
          </w:p>
        </w:tc>
      </w:tr>
      <w:tr w:rsidR="002D42C1" w:rsidRPr="00DE108C" w14:paraId="2CEF66EB" w14:textId="77777777" w:rsidTr="00C05BDA">
        <w:tc>
          <w:tcPr>
            <w:tcW w:w="1583" w:type="dxa"/>
            <w:vMerge/>
            <w:shd w:val="clear" w:color="auto" w:fill="00428B" w:themeFill="text2"/>
          </w:tcPr>
          <w:p w14:paraId="7D745316" w14:textId="77777777" w:rsidR="002D42C1" w:rsidRPr="00DE108C" w:rsidRDefault="002D42C1" w:rsidP="00ED094E">
            <w:pPr>
              <w:rPr>
                <w:b/>
                <w:bCs/>
                <w:color w:val="FFFFFF" w:themeColor="background1"/>
                <w:sz w:val="16"/>
                <w:szCs w:val="16"/>
              </w:rPr>
            </w:pPr>
          </w:p>
        </w:tc>
        <w:tc>
          <w:tcPr>
            <w:tcW w:w="10036" w:type="dxa"/>
          </w:tcPr>
          <w:p w14:paraId="72A4701F" w14:textId="626CF054" w:rsidR="002D42C1" w:rsidRPr="00DE108C" w:rsidRDefault="002D42C1" w:rsidP="00ED094E">
            <w:pPr>
              <w:rPr>
                <w:sz w:val="16"/>
                <w:szCs w:val="16"/>
              </w:rPr>
            </w:pPr>
            <w:r w:rsidRPr="2389B03D">
              <w:rPr>
                <w:rStyle w:val="normaltextrun"/>
                <w:rFonts w:ascii="Verdana" w:hAnsi="Verdana" w:cs="Segoe UI"/>
                <w:sz w:val="16"/>
                <w:szCs w:val="16"/>
              </w:rPr>
              <w:t>Item #3: Increased collaboration on whole of water cycle service planning</w:t>
            </w:r>
            <w:r w:rsidR="2B94F487" w:rsidRPr="359A038F">
              <w:rPr>
                <w:rStyle w:val="normaltextrun"/>
                <w:rFonts w:ascii="Verdana" w:hAnsi="Verdana" w:cs="Segoe UI"/>
                <w:sz w:val="16"/>
                <w:szCs w:val="16"/>
              </w:rPr>
              <w:t>,</w:t>
            </w:r>
            <w:r w:rsidRPr="2389B03D">
              <w:rPr>
                <w:rStyle w:val="normaltextrun"/>
                <w:rFonts w:ascii="Verdana" w:hAnsi="Verdana" w:cs="Segoe UI"/>
                <w:sz w:val="16"/>
                <w:szCs w:val="16"/>
              </w:rPr>
              <w:t xml:space="preserve"> which doesn’t stop at the Urban Growth Boundary and considers BW an equal partner</w:t>
            </w:r>
            <w:r w:rsidR="6495A2B0" w:rsidRPr="2389B03D">
              <w:rPr>
                <w:rStyle w:val="normaltextrun"/>
                <w:rFonts w:ascii="Verdana" w:hAnsi="Verdana" w:cs="Segoe UI"/>
                <w:sz w:val="16"/>
                <w:szCs w:val="16"/>
              </w:rPr>
              <w:t>.</w:t>
            </w:r>
            <w:r w:rsidRPr="2389B03D">
              <w:rPr>
                <w:rStyle w:val="eop"/>
                <w:rFonts w:ascii="Verdana" w:hAnsi="Verdana" w:cs="Segoe UI"/>
                <w:sz w:val="16"/>
                <w:szCs w:val="16"/>
              </w:rPr>
              <w:t> </w:t>
            </w:r>
          </w:p>
        </w:tc>
        <w:tc>
          <w:tcPr>
            <w:tcW w:w="10742" w:type="dxa"/>
          </w:tcPr>
          <w:p w14:paraId="296E3C4A" w14:textId="77777777" w:rsidR="002D42C1" w:rsidRPr="00DE108C" w:rsidRDefault="002D42C1" w:rsidP="00ED094E">
            <w:pPr>
              <w:pStyle w:val="paragraph"/>
              <w:spacing w:before="0" w:beforeAutospacing="0" w:after="0" w:afterAutospacing="0"/>
              <w:textAlignment w:val="baseline"/>
              <w:divId w:val="2083521384"/>
              <w:rPr>
                <w:rFonts w:ascii="Segoe UI" w:hAnsi="Segoe UI" w:cs="Segoe UI"/>
                <w:color w:val="231F20"/>
                <w:sz w:val="16"/>
                <w:szCs w:val="16"/>
              </w:rPr>
            </w:pPr>
            <w:r w:rsidRPr="00DE108C">
              <w:rPr>
                <w:rStyle w:val="normaltextrun"/>
                <w:rFonts w:ascii="Verdana" w:hAnsi="Verdana" w:cs="Segoe UI"/>
                <w:b/>
                <w:bCs/>
                <w:color w:val="231F20"/>
                <w:sz w:val="16"/>
                <w:szCs w:val="16"/>
              </w:rPr>
              <w:t>Addressed</w:t>
            </w:r>
            <w:r w:rsidRPr="00DE108C">
              <w:rPr>
                <w:rStyle w:val="eop"/>
                <w:rFonts w:ascii="Verdana" w:hAnsi="Verdana" w:cs="Segoe UI"/>
                <w:color w:val="231F20"/>
                <w:sz w:val="16"/>
                <w:szCs w:val="16"/>
              </w:rPr>
              <w:t> </w:t>
            </w:r>
          </w:p>
          <w:p w14:paraId="050BB36F" w14:textId="291C3FC8" w:rsidR="002D42C1" w:rsidRPr="00DE108C" w:rsidRDefault="002D42C1" w:rsidP="00ED094E">
            <w:pPr>
              <w:rPr>
                <w:sz w:val="16"/>
                <w:szCs w:val="16"/>
              </w:rPr>
            </w:pPr>
            <w:r w:rsidRPr="09EFE9A6">
              <w:rPr>
                <w:rStyle w:val="normaltextrun"/>
                <w:rFonts w:ascii="Verdana" w:hAnsi="Verdana" w:cs="Segoe UI"/>
                <w:sz w:val="16"/>
                <w:szCs w:val="16"/>
              </w:rPr>
              <w:t xml:space="preserve">Under Outcome 5, we are committing to collaborating and co-creating plans with the water sector and playing a key role in delivering water solutions that address challenges in future planning across Melbourne and climate change. We are committed to working with other businesses to complete a collaborative long-term capital and operating plan to support Urban Water and System Strategies and future water corporation and Melbourne Water </w:t>
            </w:r>
            <w:r w:rsidR="6F370DAC" w:rsidRPr="68F30518">
              <w:rPr>
                <w:rStyle w:val="normaltextrun"/>
                <w:rFonts w:ascii="Verdana" w:hAnsi="Verdana" w:cs="Segoe UI"/>
                <w:sz w:val="16"/>
                <w:szCs w:val="16"/>
              </w:rPr>
              <w:t>P</w:t>
            </w:r>
            <w:r w:rsidRPr="68F30518">
              <w:rPr>
                <w:rStyle w:val="normaltextrun"/>
                <w:rFonts w:ascii="Verdana" w:hAnsi="Verdana" w:cs="Segoe UI"/>
                <w:sz w:val="16"/>
                <w:szCs w:val="16"/>
              </w:rPr>
              <w:t xml:space="preserve">rice </w:t>
            </w:r>
            <w:r w:rsidR="55D00E8D" w:rsidRPr="68F30518">
              <w:rPr>
                <w:rStyle w:val="normaltextrun"/>
                <w:rFonts w:ascii="Verdana" w:hAnsi="Verdana" w:cs="Segoe UI"/>
                <w:sz w:val="16"/>
                <w:szCs w:val="16"/>
              </w:rPr>
              <w:t>S</w:t>
            </w:r>
            <w:r w:rsidRPr="68F30518">
              <w:rPr>
                <w:rStyle w:val="normaltextrun"/>
                <w:rFonts w:ascii="Verdana" w:hAnsi="Verdana" w:cs="Segoe UI"/>
                <w:sz w:val="16"/>
                <w:szCs w:val="16"/>
              </w:rPr>
              <w:t>ubmissions</w:t>
            </w:r>
            <w:r w:rsidRPr="09EFE9A6">
              <w:rPr>
                <w:rStyle w:val="normaltextrun"/>
                <w:rFonts w:ascii="Verdana" w:hAnsi="Verdana" w:cs="Segoe UI"/>
                <w:sz w:val="16"/>
                <w:szCs w:val="16"/>
              </w:rPr>
              <w:t>, as well as Integrated Water Management Forums.</w:t>
            </w:r>
            <w:r w:rsidRPr="09EFE9A6">
              <w:rPr>
                <w:rStyle w:val="eop"/>
                <w:rFonts w:ascii="Verdana" w:hAnsi="Verdana" w:cs="Segoe UI"/>
                <w:sz w:val="16"/>
                <w:szCs w:val="16"/>
              </w:rPr>
              <w:t> </w:t>
            </w:r>
          </w:p>
        </w:tc>
      </w:tr>
      <w:tr w:rsidR="00A043F7" w:rsidRPr="00DE108C" w14:paraId="0D5EB32A"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774C04AF" w14:textId="77777777" w:rsidR="002D42C1" w:rsidRPr="00DE108C" w:rsidRDefault="002D42C1" w:rsidP="00ED094E">
            <w:pPr>
              <w:rPr>
                <w:b/>
                <w:bCs/>
                <w:color w:val="FFFFFF" w:themeColor="background1"/>
                <w:sz w:val="16"/>
                <w:szCs w:val="16"/>
              </w:rPr>
            </w:pPr>
          </w:p>
        </w:tc>
        <w:tc>
          <w:tcPr>
            <w:tcW w:w="10036" w:type="dxa"/>
          </w:tcPr>
          <w:p w14:paraId="3A5C9A12" w14:textId="0EA33305" w:rsidR="002D42C1" w:rsidRPr="00DE108C" w:rsidRDefault="002D42C1" w:rsidP="00ED094E">
            <w:pPr>
              <w:rPr>
                <w:sz w:val="16"/>
                <w:szCs w:val="16"/>
              </w:rPr>
            </w:pPr>
            <w:r w:rsidRPr="2389B03D">
              <w:rPr>
                <w:rStyle w:val="normaltextrun"/>
                <w:rFonts w:ascii="Verdana" w:hAnsi="Verdana" w:cs="Segoe UI"/>
                <w:sz w:val="16"/>
                <w:szCs w:val="16"/>
              </w:rPr>
              <w:t xml:space="preserve">Item #4: A review of asset ownership and interface principles which </w:t>
            </w:r>
            <w:r w:rsidRPr="5B596EAA">
              <w:rPr>
                <w:rStyle w:val="normaltextrun"/>
                <w:rFonts w:ascii="Verdana" w:hAnsi="Verdana" w:cs="Segoe UI"/>
                <w:sz w:val="16"/>
                <w:szCs w:val="16"/>
              </w:rPr>
              <w:t>does</w:t>
            </w:r>
            <w:r w:rsidR="29AF9167" w:rsidRPr="5B596EAA">
              <w:rPr>
                <w:rStyle w:val="normaltextrun"/>
                <w:rFonts w:ascii="Verdana" w:hAnsi="Verdana" w:cs="Segoe UI"/>
                <w:sz w:val="16"/>
                <w:szCs w:val="16"/>
              </w:rPr>
              <w:t xml:space="preserve"> not</w:t>
            </w:r>
            <w:r w:rsidRPr="2389B03D">
              <w:rPr>
                <w:rStyle w:val="normaltextrun"/>
                <w:rFonts w:ascii="Verdana" w:hAnsi="Verdana" w:cs="Segoe UI"/>
                <w:sz w:val="16"/>
                <w:szCs w:val="16"/>
              </w:rPr>
              <w:t xml:space="preserve"> stop at the Urban Growth Boundary and considers BW an equal partner</w:t>
            </w:r>
            <w:r w:rsidR="7EA19360" w:rsidRPr="2389B03D">
              <w:rPr>
                <w:rStyle w:val="normaltextrun"/>
                <w:rFonts w:ascii="Verdana" w:hAnsi="Verdana" w:cs="Segoe UI"/>
                <w:sz w:val="16"/>
                <w:szCs w:val="16"/>
              </w:rPr>
              <w:t>.</w:t>
            </w:r>
            <w:r w:rsidRPr="2389B03D">
              <w:rPr>
                <w:rStyle w:val="eop"/>
                <w:rFonts w:ascii="Verdana" w:hAnsi="Verdana" w:cs="Segoe UI"/>
                <w:sz w:val="16"/>
                <w:szCs w:val="16"/>
              </w:rPr>
              <w:t> </w:t>
            </w:r>
          </w:p>
        </w:tc>
        <w:tc>
          <w:tcPr>
            <w:tcW w:w="10742" w:type="dxa"/>
          </w:tcPr>
          <w:p w14:paraId="0D8F7EFB" w14:textId="77777777" w:rsidR="002D42C1" w:rsidRPr="00DE108C" w:rsidRDefault="002D42C1" w:rsidP="00ED094E">
            <w:pPr>
              <w:pStyle w:val="paragraph"/>
              <w:spacing w:before="0" w:beforeAutospacing="0" w:after="0" w:afterAutospacing="0"/>
              <w:textAlignment w:val="baseline"/>
              <w:divId w:val="1787696668"/>
              <w:rPr>
                <w:rFonts w:ascii="Segoe UI" w:hAnsi="Segoe UI" w:cs="Segoe UI"/>
                <w:color w:val="231F20"/>
                <w:sz w:val="16"/>
                <w:szCs w:val="16"/>
              </w:rPr>
            </w:pPr>
            <w:r w:rsidRPr="00DE108C">
              <w:rPr>
                <w:rStyle w:val="normaltextrun"/>
                <w:rFonts w:ascii="Verdana" w:hAnsi="Verdana" w:cs="Segoe UI"/>
                <w:b/>
                <w:bCs/>
                <w:color w:val="231F20"/>
                <w:sz w:val="16"/>
                <w:szCs w:val="16"/>
              </w:rPr>
              <w:t>Largely addressed</w:t>
            </w:r>
            <w:r w:rsidRPr="00DE108C">
              <w:rPr>
                <w:rStyle w:val="eop"/>
                <w:rFonts w:ascii="Verdana" w:hAnsi="Verdana" w:cs="Segoe UI"/>
                <w:color w:val="231F20"/>
                <w:sz w:val="16"/>
                <w:szCs w:val="16"/>
              </w:rPr>
              <w:t> </w:t>
            </w:r>
          </w:p>
          <w:p w14:paraId="55071FE0" w14:textId="7774CE4B" w:rsidR="002D42C1" w:rsidRPr="00DE108C" w:rsidRDefault="002D42C1" w:rsidP="00ED094E">
            <w:pPr>
              <w:rPr>
                <w:sz w:val="16"/>
                <w:szCs w:val="16"/>
              </w:rPr>
            </w:pPr>
            <w:r w:rsidRPr="68F30518">
              <w:rPr>
                <w:rStyle w:val="normaltextrun"/>
                <w:rFonts w:ascii="Verdana" w:hAnsi="Verdana" w:cs="Segoe UI"/>
                <w:sz w:val="16"/>
                <w:szCs w:val="16"/>
              </w:rPr>
              <w:t xml:space="preserve">We are committed to development costs of transfer infrastructure to service the future needs of the Greater Geelong region. We are committed to the Bulk Supply Agreement Modernisation Project, which includes a workstream on Collaborative Planning and Asset Ownership criteria, to be resolved in time for 2028 </w:t>
            </w:r>
            <w:r w:rsidR="24C001FF" w:rsidRPr="68F30518">
              <w:rPr>
                <w:rStyle w:val="normaltextrun"/>
                <w:rFonts w:ascii="Verdana" w:hAnsi="Verdana" w:cs="Segoe UI"/>
                <w:sz w:val="16"/>
                <w:szCs w:val="16"/>
              </w:rPr>
              <w:t>P</w:t>
            </w:r>
            <w:r w:rsidRPr="68F30518">
              <w:rPr>
                <w:rStyle w:val="normaltextrun"/>
                <w:rFonts w:ascii="Verdana" w:hAnsi="Verdana" w:cs="Segoe UI"/>
                <w:sz w:val="16"/>
                <w:szCs w:val="16"/>
              </w:rPr>
              <w:t xml:space="preserve">rice </w:t>
            </w:r>
            <w:r w:rsidR="42128715" w:rsidRPr="68F30518">
              <w:rPr>
                <w:rStyle w:val="normaltextrun"/>
                <w:rFonts w:ascii="Verdana" w:hAnsi="Verdana" w:cs="Segoe UI"/>
                <w:sz w:val="16"/>
                <w:szCs w:val="16"/>
              </w:rPr>
              <w:t>S</w:t>
            </w:r>
            <w:r w:rsidRPr="68F30518">
              <w:rPr>
                <w:rStyle w:val="normaltextrun"/>
                <w:rFonts w:ascii="Verdana" w:hAnsi="Verdana" w:cs="Segoe UI"/>
                <w:sz w:val="16"/>
                <w:szCs w:val="16"/>
              </w:rPr>
              <w:t>ubmissions.</w:t>
            </w:r>
            <w:r w:rsidRPr="68F30518">
              <w:rPr>
                <w:rStyle w:val="eop"/>
                <w:rFonts w:ascii="Verdana" w:hAnsi="Verdana" w:cs="Segoe UI"/>
                <w:sz w:val="16"/>
                <w:szCs w:val="16"/>
              </w:rPr>
              <w:t> </w:t>
            </w:r>
          </w:p>
        </w:tc>
      </w:tr>
      <w:tr w:rsidR="002D42C1" w:rsidRPr="00DE108C" w14:paraId="50B2E1BF" w14:textId="77777777" w:rsidTr="00C05BDA">
        <w:tc>
          <w:tcPr>
            <w:tcW w:w="1583" w:type="dxa"/>
            <w:vMerge/>
            <w:shd w:val="clear" w:color="auto" w:fill="00428B" w:themeFill="text2"/>
          </w:tcPr>
          <w:p w14:paraId="050BFD1F" w14:textId="77777777" w:rsidR="002D42C1" w:rsidRPr="00DE108C" w:rsidRDefault="002D42C1" w:rsidP="00ED094E">
            <w:pPr>
              <w:rPr>
                <w:b/>
                <w:bCs/>
                <w:color w:val="FFFFFF" w:themeColor="background1"/>
                <w:sz w:val="16"/>
                <w:szCs w:val="16"/>
              </w:rPr>
            </w:pPr>
          </w:p>
        </w:tc>
        <w:tc>
          <w:tcPr>
            <w:tcW w:w="10036" w:type="dxa"/>
          </w:tcPr>
          <w:p w14:paraId="37FA3DD8" w14:textId="571B0104" w:rsidR="002D42C1" w:rsidRPr="00DE108C" w:rsidRDefault="002D42C1" w:rsidP="00ED094E">
            <w:pPr>
              <w:rPr>
                <w:rStyle w:val="eop"/>
                <w:rFonts w:ascii="Verdana" w:hAnsi="Verdana" w:cs="Segoe UI"/>
                <w:sz w:val="16"/>
                <w:szCs w:val="16"/>
              </w:rPr>
            </w:pPr>
            <w:r w:rsidRPr="00DE108C">
              <w:rPr>
                <w:rStyle w:val="normaltextrun"/>
                <w:rFonts w:ascii="Verdana" w:hAnsi="Verdana" w:cs="Segoe UI"/>
                <w:sz w:val="16"/>
                <w:szCs w:val="16"/>
              </w:rPr>
              <w:t>Item #5: Investing in ‘readiness’ for the next large</w:t>
            </w:r>
            <w:r w:rsidR="107439AF" w:rsidRPr="5B596EAA">
              <w:rPr>
                <w:rStyle w:val="normaltextrun"/>
                <w:rFonts w:ascii="Verdana" w:hAnsi="Verdana" w:cs="Segoe UI"/>
                <w:sz w:val="16"/>
                <w:szCs w:val="16"/>
              </w:rPr>
              <w:t>-</w:t>
            </w:r>
            <w:r w:rsidRPr="00DE108C">
              <w:rPr>
                <w:rStyle w:val="normaltextrun"/>
                <w:rFonts w:ascii="Verdana" w:hAnsi="Verdana" w:cs="Segoe UI"/>
                <w:sz w:val="16"/>
                <w:szCs w:val="16"/>
              </w:rPr>
              <w:t>scale water supply</w:t>
            </w:r>
            <w:r w:rsidR="292F5913" w:rsidRPr="5B596EAA">
              <w:rPr>
                <w:rStyle w:val="normaltextrun"/>
                <w:rFonts w:ascii="Verdana" w:hAnsi="Verdana" w:cs="Segoe UI"/>
                <w:sz w:val="16"/>
                <w:szCs w:val="16"/>
              </w:rPr>
              <w:t>.</w:t>
            </w:r>
          </w:p>
        </w:tc>
        <w:tc>
          <w:tcPr>
            <w:tcW w:w="10742" w:type="dxa"/>
          </w:tcPr>
          <w:p w14:paraId="1623480F" w14:textId="77777777" w:rsidR="002D42C1" w:rsidRPr="00DE108C" w:rsidRDefault="002D42C1" w:rsidP="00ED094E">
            <w:pPr>
              <w:pStyle w:val="paragraph"/>
              <w:spacing w:before="0" w:beforeAutospacing="0" w:after="0" w:afterAutospacing="0"/>
              <w:textAlignment w:val="baseline"/>
              <w:divId w:val="1714694775"/>
              <w:rPr>
                <w:rFonts w:ascii="Segoe UI" w:hAnsi="Segoe UI" w:cs="Segoe UI"/>
                <w:color w:val="231F20"/>
                <w:sz w:val="16"/>
                <w:szCs w:val="16"/>
              </w:rPr>
            </w:pPr>
            <w:r w:rsidRPr="00DE108C">
              <w:rPr>
                <w:rStyle w:val="normaltextrun"/>
                <w:rFonts w:ascii="Verdana" w:hAnsi="Verdana" w:cs="Segoe UI"/>
                <w:b/>
                <w:color w:val="231F20" w:themeColor="text1"/>
                <w:sz w:val="16"/>
                <w:szCs w:val="16"/>
              </w:rPr>
              <w:t>Addressed</w:t>
            </w:r>
            <w:r w:rsidRPr="00DE108C">
              <w:rPr>
                <w:rStyle w:val="eop"/>
                <w:rFonts w:ascii="Verdana" w:hAnsi="Verdana" w:cs="Segoe UI"/>
                <w:color w:val="231F20" w:themeColor="text1"/>
                <w:sz w:val="16"/>
                <w:szCs w:val="16"/>
              </w:rPr>
              <w:t> </w:t>
            </w:r>
          </w:p>
          <w:p w14:paraId="629030F4" w14:textId="4202D457" w:rsidR="002D42C1" w:rsidRPr="00DE108C" w:rsidRDefault="002D42C1" w:rsidP="00ED094E">
            <w:pPr>
              <w:rPr>
                <w:sz w:val="16"/>
                <w:szCs w:val="16"/>
              </w:rPr>
            </w:pPr>
            <w:r w:rsidRPr="00DE108C">
              <w:rPr>
                <w:rStyle w:val="eop"/>
                <w:rFonts w:ascii="Verdana" w:hAnsi="Verdana" w:cs="Segoe UI"/>
                <w:sz w:val="16"/>
                <w:szCs w:val="16"/>
              </w:rPr>
              <w:t>We have included $</w:t>
            </w:r>
            <w:r w:rsidRPr="68F30518">
              <w:rPr>
                <w:rStyle w:val="eop"/>
                <w:rFonts w:ascii="Verdana" w:hAnsi="Verdana" w:cs="Segoe UI"/>
                <w:sz w:val="16"/>
                <w:szCs w:val="16"/>
              </w:rPr>
              <w:t>250</w:t>
            </w:r>
            <w:r w:rsidR="0F2544AD" w:rsidRPr="68F30518">
              <w:rPr>
                <w:rStyle w:val="eop"/>
                <w:rFonts w:ascii="Verdana" w:hAnsi="Verdana" w:cs="Segoe UI"/>
                <w:sz w:val="16"/>
                <w:szCs w:val="16"/>
              </w:rPr>
              <w:t xml:space="preserve"> </w:t>
            </w:r>
            <w:r w:rsidRPr="68F30518">
              <w:rPr>
                <w:rStyle w:val="eop"/>
                <w:rFonts w:ascii="Verdana" w:hAnsi="Verdana" w:cs="Segoe UI"/>
                <w:sz w:val="16"/>
                <w:szCs w:val="16"/>
              </w:rPr>
              <w:t>m</w:t>
            </w:r>
            <w:r w:rsidR="0F2544AD" w:rsidRPr="68F30518">
              <w:rPr>
                <w:rStyle w:val="eop"/>
                <w:rFonts w:ascii="Verdana" w:hAnsi="Verdana" w:cs="Segoe UI"/>
                <w:sz w:val="16"/>
                <w:szCs w:val="16"/>
              </w:rPr>
              <w:t>illion</w:t>
            </w:r>
            <w:r w:rsidRPr="00DE108C">
              <w:rPr>
                <w:rStyle w:val="eop"/>
                <w:rFonts w:ascii="Verdana" w:hAnsi="Verdana" w:cs="Segoe UI"/>
                <w:sz w:val="16"/>
                <w:szCs w:val="16"/>
              </w:rPr>
              <w:t xml:space="preserve"> of early planning to determine a preferred combination of water supply options for the future and ‘no regrets’ development costs for water transfer and treatment projects that are required for the next large</w:t>
            </w:r>
            <w:r w:rsidR="0793A330" w:rsidRPr="7AAA7B22">
              <w:rPr>
                <w:rStyle w:val="eop"/>
                <w:rFonts w:ascii="Verdana" w:hAnsi="Verdana" w:cs="Segoe UI"/>
                <w:sz w:val="16"/>
                <w:szCs w:val="16"/>
              </w:rPr>
              <w:t>-</w:t>
            </w:r>
            <w:r w:rsidRPr="00DE108C">
              <w:rPr>
                <w:rStyle w:val="eop"/>
                <w:rFonts w:ascii="Verdana" w:hAnsi="Verdana" w:cs="Segoe UI"/>
                <w:sz w:val="16"/>
                <w:szCs w:val="16"/>
              </w:rPr>
              <w:t>scale water supply.</w:t>
            </w:r>
          </w:p>
        </w:tc>
      </w:tr>
      <w:tr w:rsidR="00A043F7" w:rsidRPr="00DE108C" w14:paraId="101784BA" w14:textId="77777777" w:rsidTr="00C05BDA">
        <w:trPr>
          <w:cnfStyle w:val="000000010000" w:firstRow="0" w:lastRow="0" w:firstColumn="0" w:lastColumn="0" w:oddVBand="0" w:evenVBand="0" w:oddHBand="0" w:evenHBand="1" w:firstRowFirstColumn="0" w:firstRowLastColumn="0" w:lastRowFirstColumn="0" w:lastRowLastColumn="0"/>
          <w:trHeight w:val="892"/>
        </w:trPr>
        <w:tc>
          <w:tcPr>
            <w:tcW w:w="1583" w:type="dxa"/>
            <w:vMerge/>
            <w:shd w:val="clear" w:color="auto" w:fill="00428B" w:themeFill="text2"/>
          </w:tcPr>
          <w:p w14:paraId="798B45CF" w14:textId="77777777" w:rsidR="002D42C1" w:rsidRPr="00DE108C" w:rsidRDefault="002D42C1" w:rsidP="00ED094E">
            <w:pPr>
              <w:rPr>
                <w:b/>
                <w:bCs/>
                <w:color w:val="FFFFFF" w:themeColor="background1"/>
                <w:sz w:val="16"/>
                <w:szCs w:val="16"/>
              </w:rPr>
            </w:pPr>
          </w:p>
        </w:tc>
        <w:tc>
          <w:tcPr>
            <w:tcW w:w="10036" w:type="dxa"/>
          </w:tcPr>
          <w:p w14:paraId="6F0205D7" w14:textId="1878F411" w:rsidR="002D42C1" w:rsidRPr="00DE108C" w:rsidRDefault="002D42C1" w:rsidP="00ED094E">
            <w:pPr>
              <w:rPr>
                <w:sz w:val="16"/>
                <w:szCs w:val="16"/>
              </w:rPr>
            </w:pPr>
            <w:r w:rsidRPr="5B596EAA">
              <w:rPr>
                <w:rStyle w:val="normaltextrun"/>
                <w:rFonts w:ascii="Verdana" w:hAnsi="Verdana" w:cs="Segoe UI"/>
                <w:sz w:val="16"/>
                <w:szCs w:val="16"/>
              </w:rPr>
              <w:t xml:space="preserve">Item #6: Simplify customer Outcomes, and make it clear which </w:t>
            </w:r>
            <w:r w:rsidR="40773414" w:rsidRPr="5B596EAA">
              <w:rPr>
                <w:rStyle w:val="normaltextrun"/>
                <w:rFonts w:ascii="Verdana" w:hAnsi="Verdana" w:cs="Segoe UI"/>
                <w:sz w:val="16"/>
                <w:szCs w:val="16"/>
              </w:rPr>
              <w:t>O</w:t>
            </w:r>
            <w:r w:rsidRPr="5B596EAA">
              <w:rPr>
                <w:rStyle w:val="normaltextrun"/>
                <w:rFonts w:ascii="Verdana" w:hAnsi="Verdana" w:cs="Segoe UI"/>
                <w:sz w:val="16"/>
                <w:szCs w:val="16"/>
              </w:rPr>
              <w:t>utcome</w:t>
            </w:r>
            <w:r w:rsidR="00885AAE">
              <w:rPr>
                <w:rStyle w:val="normaltextrun"/>
                <w:rFonts w:ascii="Verdana" w:hAnsi="Verdana" w:cs="Segoe UI"/>
                <w:sz w:val="16"/>
                <w:szCs w:val="16"/>
              </w:rPr>
              <w:t>s</w:t>
            </w:r>
            <w:r w:rsidRPr="5B596EAA">
              <w:rPr>
                <w:rStyle w:val="normaltextrun"/>
                <w:rFonts w:ascii="Verdana" w:hAnsi="Verdana" w:cs="Segoe UI"/>
                <w:sz w:val="16"/>
                <w:szCs w:val="16"/>
              </w:rPr>
              <w:t xml:space="preserve"> relates to which customer cohort</w:t>
            </w:r>
            <w:r w:rsidR="165D8965" w:rsidRPr="5B596EAA">
              <w:rPr>
                <w:rStyle w:val="normaltextrun"/>
                <w:rFonts w:ascii="Verdana" w:hAnsi="Verdana" w:cs="Segoe UI"/>
                <w:sz w:val="16"/>
                <w:szCs w:val="16"/>
              </w:rPr>
              <w:t>.</w:t>
            </w:r>
            <w:r w:rsidRPr="5B596EAA">
              <w:rPr>
                <w:rStyle w:val="eop"/>
                <w:rFonts w:ascii="Verdana" w:hAnsi="Verdana" w:cs="Segoe UI"/>
                <w:sz w:val="16"/>
                <w:szCs w:val="16"/>
              </w:rPr>
              <w:t> </w:t>
            </w:r>
          </w:p>
        </w:tc>
        <w:tc>
          <w:tcPr>
            <w:tcW w:w="10742" w:type="dxa"/>
          </w:tcPr>
          <w:p w14:paraId="3BA6FBD2" w14:textId="77777777" w:rsidR="002D42C1" w:rsidRPr="00DE108C" w:rsidRDefault="002D42C1" w:rsidP="00ED094E">
            <w:pPr>
              <w:pStyle w:val="paragraph"/>
              <w:textAlignment w:val="baseline"/>
              <w:rPr>
                <w:rFonts w:ascii="Verdana" w:hAnsi="Verdana" w:cs="Segoe UI"/>
                <w:b/>
                <w:bCs/>
                <w:color w:val="231F20"/>
                <w:sz w:val="16"/>
                <w:szCs w:val="16"/>
              </w:rPr>
            </w:pPr>
            <w:r w:rsidRPr="00DE108C">
              <w:rPr>
                <w:rStyle w:val="normaltextrun"/>
                <w:rFonts w:ascii="Verdana" w:hAnsi="Verdana" w:cs="Segoe UI"/>
                <w:b/>
                <w:bCs/>
                <w:color w:val="231F20"/>
                <w:sz w:val="16"/>
                <w:szCs w:val="16"/>
              </w:rPr>
              <w:t xml:space="preserve">Addressed </w:t>
            </w:r>
            <w:r w:rsidRPr="00DE108C">
              <w:rPr>
                <w:rStyle w:val="normaltextrun"/>
                <w:rFonts w:ascii="Verdana" w:hAnsi="Verdana" w:cs="Segoe UI"/>
                <w:b/>
                <w:bCs/>
                <w:color w:val="231F20"/>
                <w:sz w:val="16"/>
                <w:szCs w:val="16"/>
              </w:rPr>
              <w:br/>
            </w:r>
            <w:r w:rsidRPr="00DE108C">
              <w:rPr>
                <w:rStyle w:val="normaltextrun"/>
                <w:rFonts w:ascii="Verdana" w:hAnsi="Verdana" w:cs="Segoe UI"/>
                <w:color w:val="231F20"/>
                <w:sz w:val="16"/>
                <w:szCs w:val="16"/>
              </w:rPr>
              <w:t>Our new Outcomes reflect our core business activities, customer cohorts and key costs and investments. Barwon Water will be covered by Outcomes 1 and 5 and asked for feedback when Melbourne Water is assessing its performance against these Outcomes during the regulatory period.</w:t>
            </w:r>
          </w:p>
        </w:tc>
      </w:tr>
      <w:tr w:rsidR="002D42C1" w:rsidRPr="00DE108C" w14:paraId="554DB212" w14:textId="77777777" w:rsidTr="00F43FAD">
        <w:tc>
          <w:tcPr>
            <w:tcW w:w="1583" w:type="dxa"/>
            <w:vMerge w:val="restart"/>
            <w:shd w:val="clear" w:color="auto" w:fill="00428B" w:themeFill="text2"/>
          </w:tcPr>
          <w:p w14:paraId="714B9A73" w14:textId="77777777" w:rsidR="002D42C1" w:rsidRPr="00DE108C" w:rsidRDefault="002D42C1">
            <w:pPr>
              <w:rPr>
                <w:b/>
                <w:bCs/>
                <w:color w:val="FFFFFF" w:themeColor="background1"/>
                <w:sz w:val="16"/>
                <w:szCs w:val="16"/>
              </w:rPr>
            </w:pPr>
            <w:r w:rsidRPr="00DE108C">
              <w:rPr>
                <w:b/>
                <w:bCs/>
                <w:color w:val="FFFFFF" w:themeColor="background1"/>
                <w:sz w:val="16"/>
                <w:szCs w:val="16"/>
              </w:rPr>
              <w:t xml:space="preserve">Key projects, actions and commitments </w:t>
            </w:r>
          </w:p>
        </w:tc>
        <w:tc>
          <w:tcPr>
            <w:tcW w:w="20778" w:type="dxa"/>
            <w:gridSpan w:val="2"/>
          </w:tcPr>
          <w:p w14:paraId="7C712788" w14:textId="77777777" w:rsidR="002D42C1" w:rsidRPr="00DE108C" w:rsidRDefault="002D42C1">
            <w:pPr>
              <w:rPr>
                <w:sz w:val="16"/>
                <w:szCs w:val="16"/>
              </w:rPr>
            </w:pPr>
            <w:r w:rsidRPr="00DE108C">
              <w:rPr>
                <w:sz w:val="16"/>
                <w:szCs w:val="16"/>
              </w:rPr>
              <w:t>In PS26, we are committing to:</w:t>
            </w:r>
          </w:p>
          <w:tbl>
            <w:tblPr>
              <w:tblpPr w:leftFromText="180" w:rightFromText="180" w:vertAnchor="text" w:tblpY="1"/>
              <w:tblW w:w="0" w:type="auto"/>
              <w:tblLook w:val="04A0" w:firstRow="1" w:lastRow="0" w:firstColumn="1" w:lastColumn="0" w:noHBand="0" w:noVBand="1"/>
            </w:tblPr>
            <w:tblGrid>
              <w:gridCol w:w="6733"/>
              <w:gridCol w:w="6733"/>
              <w:gridCol w:w="6733"/>
            </w:tblGrid>
            <w:tr w:rsidR="002D42C1" w:rsidRPr="00DE108C" w14:paraId="392053AC" w14:textId="77777777" w:rsidTr="00341795">
              <w:tc>
                <w:tcPr>
                  <w:tcW w:w="6733" w:type="dxa"/>
                </w:tcPr>
                <w:p w14:paraId="1C06930E" w14:textId="77777777" w:rsidR="002D42C1" w:rsidRPr="00DE108C" w:rsidRDefault="002D42C1" w:rsidP="00C05BDA">
                  <w:pPr>
                    <w:pStyle w:val="Tablebullet"/>
                  </w:pPr>
                  <w:r w:rsidRPr="00DE108C">
                    <w:t>Collaborative planning</w:t>
                  </w:r>
                </w:p>
                <w:p w14:paraId="4344434C" w14:textId="77777777" w:rsidR="002D42C1" w:rsidRPr="00DE108C" w:rsidRDefault="002D42C1" w:rsidP="00C05BDA">
                  <w:pPr>
                    <w:pStyle w:val="Tablebullet"/>
                  </w:pPr>
                  <w:r w:rsidRPr="00DE108C">
                    <w:t>Updating and modernising our Bulk Supply Agreements</w:t>
                  </w:r>
                </w:p>
              </w:tc>
              <w:tc>
                <w:tcPr>
                  <w:tcW w:w="6733" w:type="dxa"/>
                </w:tcPr>
                <w:p w14:paraId="2CD691D4" w14:textId="77777777" w:rsidR="002D42C1" w:rsidRPr="00DE108C" w:rsidRDefault="002D42C1" w:rsidP="00C05BDA">
                  <w:pPr>
                    <w:pStyle w:val="Tablebullet"/>
                  </w:pPr>
                  <w:r w:rsidRPr="00DE108C">
                    <w:t>Tracking our performance against a new water security measure</w:t>
                  </w:r>
                </w:p>
              </w:tc>
              <w:tc>
                <w:tcPr>
                  <w:tcW w:w="6733" w:type="dxa"/>
                </w:tcPr>
                <w:p w14:paraId="3EA535FA" w14:textId="77777777" w:rsidR="002D42C1" w:rsidRPr="00DE108C" w:rsidRDefault="002D42C1" w:rsidP="00C05BDA">
                  <w:pPr>
                    <w:pStyle w:val="Tablebullet"/>
                  </w:pPr>
                  <w:r w:rsidRPr="00DE108C">
                    <w:t>Price smoothing</w:t>
                  </w:r>
                </w:p>
                <w:p w14:paraId="25B202C0" w14:textId="5F724816" w:rsidR="002D42C1" w:rsidRPr="00DE108C" w:rsidRDefault="002D42C1" w:rsidP="00C05BDA">
                  <w:pPr>
                    <w:pStyle w:val="Tablebullet"/>
                  </w:pPr>
                  <w:r w:rsidRPr="00DE108C">
                    <w:t>Fair tariff reforms</w:t>
                  </w:r>
                </w:p>
              </w:tc>
            </w:tr>
          </w:tbl>
          <w:p w14:paraId="2836B1BF" w14:textId="77777777" w:rsidR="002D42C1" w:rsidRPr="00DE108C" w:rsidRDefault="002D42C1">
            <w:pPr>
              <w:rPr>
                <w:b/>
                <w:bCs/>
                <w:sz w:val="16"/>
                <w:szCs w:val="16"/>
              </w:rPr>
            </w:pPr>
          </w:p>
        </w:tc>
      </w:tr>
      <w:tr w:rsidR="00DA7A8D" w:rsidRPr="00DE108C" w14:paraId="011478BA" w14:textId="77777777" w:rsidTr="00F43FAD">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20B53388" w14:textId="77777777" w:rsidR="002D42C1" w:rsidRPr="00DE108C" w:rsidRDefault="002D42C1">
            <w:pPr>
              <w:rPr>
                <w:b/>
                <w:bCs/>
                <w:color w:val="FFFFFF" w:themeColor="background1"/>
                <w:sz w:val="16"/>
                <w:szCs w:val="16"/>
              </w:rPr>
            </w:pPr>
          </w:p>
        </w:tc>
        <w:tc>
          <w:tcPr>
            <w:tcW w:w="20778" w:type="dxa"/>
            <w:gridSpan w:val="2"/>
          </w:tcPr>
          <w:p w14:paraId="6286BDD3" w14:textId="77777777" w:rsidR="002D42C1" w:rsidRPr="00DE108C" w:rsidRDefault="002D42C1" w:rsidP="00ED094E">
            <w:pPr>
              <w:rPr>
                <w:sz w:val="16"/>
                <w:szCs w:val="16"/>
              </w:rPr>
            </w:pPr>
            <w:r w:rsidRPr="00DE108C">
              <w:rPr>
                <w:sz w:val="16"/>
                <w:szCs w:val="16"/>
              </w:rPr>
              <w:t>Key projects* </w:t>
            </w:r>
          </w:p>
          <w:p w14:paraId="662D2430" w14:textId="7337FEEC" w:rsidR="002D42C1" w:rsidRPr="00DE108C" w:rsidRDefault="002D42C1" w:rsidP="00C05BDA">
            <w:pPr>
              <w:pStyle w:val="Tablebullet"/>
            </w:pPr>
            <w:r w:rsidRPr="00DE108C">
              <w:t>More than $</w:t>
            </w:r>
            <w:r w:rsidRPr="62BDFB83">
              <w:t>630</w:t>
            </w:r>
            <w:r w:rsidR="2A793DAA" w:rsidRPr="62BDFB83">
              <w:t xml:space="preserve"> million</w:t>
            </w:r>
            <w:r w:rsidRPr="00DE108C">
              <w:t xml:space="preserve"> investment in </w:t>
            </w:r>
            <w:r w:rsidRPr="00DE108C">
              <w:rPr>
                <w:b/>
                <w:bCs/>
              </w:rPr>
              <w:t>water headworks</w:t>
            </w:r>
            <w:r w:rsidRPr="00DE108C">
              <w:t xml:space="preserve"> is proposed, including restoring full operating capacity through the Cardinia Dam Safety Upgrade Works ~$</w:t>
            </w:r>
            <w:r w:rsidRPr="0216E8FE">
              <w:t>191</w:t>
            </w:r>
            <w:r w:rsidR="4BF5E3F7" w:rsidRPr="0216E8FE">
              <w:t xml:space="preserve"> </w:t>
            </w:r>
            <w:r w:rsidRPr="0216E8FE">
              <w:t>m</w:t>
            </w:r>
            <w:r w:rsidR="4BF5E3F7" w:rsidRPr="0216E8FE">
              <w:t>illion</w:t>
            </w:r>
            <w:r w:rsidRPr="00DE108C">
              <w:t xml:space="preserve"> and Cardinia pump station upgrade ~$</w:t>
            </w:r>
            <w:r w:rsidRPr="0216E8FE">
              <w:t>99</w:t>
            </w:r>
            <w:r w:rsidR="71072AEC" w:rsidRPr="0216E8FE">
              <w:t xml:space="preserve"> </w:t>
            </w:r>
            <w:r w:rsidRPr="0216E8FE">
              <w:t>m</w:t>
            </w:r>
            <w:r w:rsidR="35753F82" w:rsidRPr="0216E8FE">
              <w:t>illion</w:t>
            </w:r>
            <w:r w:rsidRPr="00DE108C">
              <w:t>, to support transfer of water resources in the east to support growth and resilience in the west. </w:t>
            </w:r>
          </w:p>
          <w:p w14:paraId="6CD22BCA" w14:textId="463BA044" w:rsidR="002D42C1" w:rsidRPr="00DE108C" w:rsidRDefault="002D42C1" w:rsidP="00C05BDA">
            <w:pPr>
              <w:pStyle w:val="Tablebullet"/>
            </w:pPr>
            <w:r w:rsidRPr="00DE108C">
              <w:t>$250</w:t>
            </w:r>
            <w:r w:rsidR="686F1B56" w:rsidRPr="00DE108C">
              <w:t xml:space="preserve"> </w:t>
            </w:r>
            <w:r w:rsidRPr="00DE108C">
              <w:t>m</w:t>
            </w:r>
            <w:r w:rsidR="77B3F590" w:rsidRPr="00DE108C">
              <w:t>illion</w:t>
            </w:r>
            <w:r w:rsidRPr="00DE108C">
              <w:t xml:space="preserve"> investment for early planning to determine a preferred combination of water supply options for the future and ‘no regrets’ development costs for water transfer and treatment projects that are required for the next large</w:t>
            </w:r>
            <w:r w:rsidR="28F29BE3" w:rsidRPr="00DE108C">
              <w:t>-</w:t>
            </w:r>
            <w:r w:rsidRPr="00DE108C">
              <w:t>scale water supply</w:t>
            </w:r>
            <w:r w:rsidR="5466103F" w:rsidRPr="00DE108C">
              <w:t>.</w:t>
            </w:r>
            <w:r w:rsidRPr="00DE108C">
              <w:t> </w:t>
            </w:r>
          </w:p>
          <w:p w14:paraId="55E6C2DE" w14:textId="43DC6F23" w:rsidR="002D42C1" w:rsidRPr="00DE108C" w:rsidRDefault="002D42C1" w:rsidP="00C05BDA">
            <w:pPr>
              <w:pStyle w:val="Tablebullet"/>
            </w:pPr>
            <w:r w:rsidRPr="00DE108C">
              <w:t>More than $</w:t>
            </w:r>
            <w:r w:rsidRPr="786A1C69">
              <w:t>750</w:t>
            </w:r>
            <w:r w:rsidR="3D5EDC15" w:rsidRPr="786A1C69">
              <w:t xml:space="preserve"> </w:t>
            </w:r>
            <w:r w:rsidRPr="786A1C69">
              <w:t>m</w:t>
            </w:r>
            <w:r w:rsidR="3D5EDC15" w:rsidRPr="786A1C69">
              <w:t>illion</w:t>
            </w:r>
            <w:r w:rsidRPr="00DE108C">
              <w:t xml:space="preserve"> investment in </w:t>
            </w:r>
            <w:r w:rsidRPr="00DE108C">
              <w:rPr>
                <w:b/>
                <w:bCs/>
              </w:rPr>
              <w:t>water transfer</w:t>
            </w:r>
            <w:r w:rsidRPr="00DE108C">
              <w:t>, which supports transfer of water resources in the east to support growth and resilience in the west along with the water headworks investments:</w:t>
            </w:r>
          </w:p>
          <w:p w14:paraId="10CE9A70" w14:textId="2661E2D4" w:rsidR="002D42C1" w:rsidRPr="00C05BDA" w:rsidRDefault="002D42C1" w:rsidP="00C05BDA">
            <w:pPr>
              <w:pStyle w:val="Tablebullet2"/>
            </w:pPr>
            <w:r w:rsidRPr="00C05BDA">
              <w:t>Winneke-Preston to Harris Gully Link Main Stage 1 ~$163</w:t>
            </w:r>
            <w:r w:rsidR="70F64227" w:rsidRPr="00C05BDA">
              <w:t xml:space="preserve"> </w:t>
            </w:r>
            <w:r w:rsidRPr="00C05BDA">
              <w:t>m</w:t>
            </w:r>
            <w:r w:rsidR="35B7AD75" w:rsidRPr="00C05BDA">
              <w:t>illion,</w:t>
            </w:r>
            <w:r w:rsidRPr="00C05BDA">
              <w:t xml:space="preserve"> which will increase system resilience by allowing us to move water from the Silvan to the Winneke catchments and support east-west transfer of Melbourne’s water resources and </w:t>
            </w:r>
            <w:r w:rsidR="32537665" w:rsidRPr="00C05BDA">
              <w:t xml:space="preserve">can also </w:t>
            </w:r>
            <w:r w:rsidRPr="00C05BDA">
              <w:t>increase harvest by ~9GL per year</w:t>
            </w:r>
            <w:r w:rsidR="008C46DF" w:rsidRPr="00C05BDA">
              <w:t xml:space="preserve"> </w:t>
            </w:r>
          </w:p>
          <w:p w14:paraId="610781B8" w14:textId="672C6948" w:rsidR="002D42C1" w:rsidRPr="00C05BDA" w:rsidRDefault="002D42C1" w:rsidP="00C05BDA">
            <w:pPr>
              <w:pStyle w:val="Tablebullet2"/>
            </w:pPr>
            <w:r w:rsidRPr="00C05BDA">
              <w:t>Sydenham Pump Station, St Albans to Sydenham Pipeline Duplication, and Greenvale Pump Station Capacity projects to provide resilience in servicing growing demand in the west ~$2</w:t>
            </w:r>
            <w:r w:rsidR="00B50594" w:rsidRPr="00C05BDA">
              <w:t>13</w:t>
            </w:r>
            <w:r w:rsidR="0D4CD755" w:rsidRPr="00C05BDA">
              <w:t xml:space="preserve"> </w:t>
            </w:r>
            <w:r w:rsidRPr="00C05BDA">
              <w:t>m</w:t>
            </w:r>
            <w:r w:rsidR="0D4CD755" w:rsidRPr="00C05BDA">
              <w:t>illion.</w:t>
            </w:r>
            <w:r w:rsidRPr="00C05BDA">
              <w:t> </w:t>
            </w:r>
          </w:p>
          <w:p w14:paraId="7808512C" w14:textId="4D180B31" w:rsidR="002D42C1" w:rsidRPr="00DE108C" w:rsidRDefault="002D42C1" w:rsidP="00C05BDA">
            <w:pPr>
              <w:pStyle w:val="Tablebullet"/>
            </w:pPr>
            <w:r w:rsidRPr="00DE108C">
              <w:t>We’re planning more than $</w:t>
            </w:r>
            <w:r w:rsidRPr="620687EB">
              <w:t>540</w:t>
            </w:r>
            <w:r w:rsidR="220B4749" w:rsidRPr="620687EB">
              <w:t xml:space="preserve"> </w:t>
            </w:r>
            <w:r w:rsidRPr="70093D4C">
              <w:t>m</w:t>
            </w:r>
            <w:r w:rsidR="220B4749" w:rsidRPr="70093D4C">
              <w:t>illion</w:t>
            </w:r>
            <w:r w:rsidRPr="00DE108C">
              <w:t xml:space="preserve"> investment in </w:t>
            </w:r>
            <w:r w:rsidRPr="00DE108C">
              <w:rPr>
                <w:b/>
                <w:bCs/>
              </w:rPr>
              <w:t>water quality</w:t>
            </w:r>
            <w:r w:rsidRPr="00DE108C">
              <w:t>, including works at Greenvale Reservoir to provide resilience in servicing growing demand in the west: </w:t>
            </w:r>
          </w:p>
          <w:p w14:paraId="721F0350" w14:textId="2DCFDCB4" w:rsidR="002D42C1" w:rsidRPr="00DE108C" w:rsidRDefault="00AB4127" w:rsidP="00C05BDA">
            <w:pPr>
              <w:pStyle w:val="Tablebullet2"/>
              <w:rPr>
                <w:szCs w:val="20"/>
              </w:rPr>
            </w:pPr>
            <w:r w:rsidRPr="70093D4C">
              <w:t>r</w:t>
            </w:r>
            <w:r w:rsidR="002D42C1" w:rsidRPr="00DE108C">
              <w:t>eservoir oxygenation to address water quality issues ~$</w:t>
            </w:r>
            <w:r w:rsidR="002D42C1" w:rsidRPr="70093D4C">
              <w:t>5</w:t>
            </w:r>
            <w:r w:rsidR="77AC7D71" w:rsidRPr="70093D4C">
              <w:t xml:space="preserve"> </w:t>
            </w:r>
            <w:r w:rsidR="002D42C1" w:rsidRPr="70093D4C">
              <w:t>m</w:t>
            </w:r>
            <w:r w:rsidR="01DD90F2" w:rsidRPr="70093D4C">
              <w:t>illion</w:t>
            </w:r>
            <w:r w:rsidR="002D42C1" w:rsidRPr="00DE108C">
              <w:t> </w:t>
            </w:r>
          </w:p>
          <w:p w14:paraId="2ACEF77E" w14:textId="1A52AE4C" w:rsidR="002D42C1" w:rsidRPr="00DE108C" w:rsidRDefault="41D04E5A" w:rsidP="00C05BDA">
            <w:pPr>
              <w:pStyle w:val="Tablebullet2"/>
              <w:rPr>
                <w:szCs w:val="20"/>
              </w:rPr>
            </w:pPr>
            <w:r w:rsidRPr="70093D4C">
              <w:t>i</w:t>
            </w:r>
            <w:r w:rsidR="002D42C1" w:rsidRPr="00DE108C">
              <w:t>mplementation of multiple barrier treatment (UV disinfection) ~$</w:t>
            </w:r>
            <w:r w:rsidR="002D42C1" w:rsidRPr="57E31969">
              <w:t>21</w:t>
            </w:r>
            <w:r w:rsidR="1883C2F4" w:rsidRPr="57E31969">
              <w:t xml:space="preserve"> </w:t>
            </w:r>
            <w:r w:rsidR="002D42C1" w:rsidRPr="57E31969">
              <w:t>m</w:t>
            </w:r>
            <w:r w:rsidR="1883C2F4" w:rsidRPr="57E31969">
              <w:t>illion</w:t>
            </w:r>
            <w:r w:rsidR="002D42C1" w:rsidRPr="00DE108C">
              <w:t> </w:t>
            </w:r>
          </w:p>
          <w:p w14:paraId="60F9781C" w14:textId="11D6C5E9" w:rsidR="002D42C1" w:rsidRPr="00DE108C" w:rsidRDefault="1BEF916C" w:rsidP="00C05BDA">
            <w:pPr>
              <w:pStyle w:val="Tablebullet2"/>
              <w:rPr>
                <w:szCs w:val="20"/>
              </w:rPr>
            </w:pPr>
            <w:r w:rsidRPr="70093D4C">
              <w:t>h</w:t>
            </w:r>
            <w:r w:rsidR="002D42C1" w:rsidRPr="70093D4C">
              <w:t>igh</w:t>
            </w:r>
            <w:r w:rsidR="002D42C1" w:rsidRPr="00DE108C">
              <w:t xml:space="preserve"> security fencing to protect the catchment ~$</w:t>
            </w:r>
            <w:r w:rsidR="002D42C1" w:rsidRPr="57E31969">
              <w:t>29</w:t>
            </w:r>
            <w:r w:rsidR="1114D0DE" w:rsidRPr="57E31969">
              <w:t xml:space="preserve"> </w:t>
            </w:r>
            <w:r w:rsidR="002D42C1" w:rsidRPr="57E31969">
              <w:t>m</w:t>
            </w:r>
            <w:r w:rsidR="1114D0DE" w:rsidRPr="57E31969">
              <w:t>illion</w:t>
            </w:r>
          </w:p>
          <w:p w14:paraId="5D81B41E" w14:textId="77734200" w:rsidR="002D42C1" w:rsidRPr="00DE108C" w:rsidRDefault="780D411A" w:rsidP="00C05BDA">
            <w:pPr>
              <w:pStyle w:val="Tablebullet2"/>
              <w:rPr>
                <w:szCs w:val="20"/>
              </w:rPr>
            </w:pPr>
            <w:r w:rsidRPr="70093D4C">
              <w:t>d</w:t>
            </w:r>
            <w:r w:rsidR="002D42C1" w:rsidRPr="00DE108C">
              <w:t>isinfection resilience through emergency chlorine dosing units ~$</w:t>
            </w:r>
            <w:r w:rsidR="002D42C1" w:rsidRPr="57E31969">
              <w:t>6</w:t>
            </w:r>
            <w:r w:rsidR="2599E216" w:rsidRPr="57E31969">
              <w:t xml:space="preserve"> </w:t>
            </w:r>
            <w:r w:rsidR="002D42C1" w:rsidRPr="57E31969">
              <w:t>m</w:t>
            </w:r>
            <w:r w:rsidR="2599E216" w:rsidRPr="57E31969">
              <w:t>illion.</w:t>
            </w:r>
            <w:r w:rsidR="002D42C1" w:rsidRPr="00DE108C">
              <w:t> </w:t>
            </w:r>
          </w:p>
          <w:p w14:paraId="53E7DCF5" w14:textId="77777777" w:rsidR="002D42C1" w:rsidRPr="00DE108C" w:rsidRDefault="002D42C1" w:rsidP="00ED094E">
            <w:pPr>
              <w:rPr>
                <w:sz w:val="16"/>
                <w:szCs w:val="16"/>
              </w:rPr>
            </w:pPr>
            <w:r w:rsidRPr="00DE108C">
              <w:rPr>
                <w:sz w:val="16"/>
                <w:szCs w:val="16"/>
              </w:rPr>
              <w:t> *All projects listed in real $2026 </w:t>
            </w:r>
          </w:p>
        </w:tc>
      </w:tr>
      <w:tr w:rsidR="002D42C1" w:rsidRPr="00DE108C" w14:paraId="1C741A03" w14:textId="77777777" w:rsidTr="00C05BDA">
        <w:tc>
          <w:tcPr>
            <w:tcW w:w="1583" w:type="dxa"/>
            <w:vMerge w:val="restart"/>
            <w:shd w:val="clear" w:color="auto" w:fill="00428B" w:themeFill="text2"/>
          </w:tcPr>
          <w:p w14:paraId="09682342" w14:textId="77777777" w:rsidR="002D42C1" w:rsidRPr="00DE108C" w:rsidRDefault="002D42C1">
            <w:pPr>
              <w:rPr>
                <w:b/>
                <w:bCs/>
                <w:color w:val="FFFFFF" w:themeColor="background1"/>
                <w:sz w:val="16"/>
                <w:szCs w:val="16"/>
              </w:rPr>
            </w:pPr>
            <w:r w:rsidRPr="00DE108C">
              <w:rPr>
                <w:b/>
                <w:bCs/>
                <w:color w:val="FFFFFF" w:themeColor="background1"/>
                <w:sz w:val="16"/>
                <w:szCs w:val="16"/>
              </w:rPr>
              <w:t>Prices and bill impacts – how our prices impact you and your customers</w:t>
            </w:r>
          </w:p>
        </w:tc>
        <w:tc>
          <w:tcPr>
            <w:tcW w:w="10036" w:type="dxa"/>
            <w:shd w:val="clear" w:color="auto" w:fill="00428B" w:themeFill="text2"/>
          </w:tcPr>
          <w:p w14:paraId="7B1D4A7B" w14:textId="77777777" w:rsidR="002D42C1" w:rsidRPr="00DE108C" w:rsidRDefault="002D42C1">
            <w:pPr>
              <w:rPr>
                <w:b/>
                <w:bCs/>
                <w:color w:val="FFFFFF" w:themeColor="background1"/>
                <w:sz w:val="16"/>
                <w:szCs w:val="16"/>
              </w:rPr>
            </w:pPr>
            <w:r w:rsidRPr="00DE108C">
              <w:rPr>
                <w:b/>
                <w:bCs/>
                <w:color w:val="FFFFFF" w:themeColor="background1"/>
                <w:sz w:val="16"/>
                <w:szCs w:val="16"/>
              </w:rPr>
              <w:t>Bulk charges impact</w:t>
            </w:r>
          </w:p>
        </w:tc>
        <w:tc>
          <w:tcPr>
            <w:tcW w:w="10742" w:type="dxa"/>
            <w:shd w:val="clear" w:color="auto" w:fill="00428B" w:themeFill="text2"/>
          </w:tcPr>
          <w:p w14:paraId="2DBF3C2B" w14:textId="329C2DBC" w:rsidR="002D42C1" w:rsidRPr="00DE108C" w:rsidRDefault="002D42C1">
            <w:pPr>
              <w:rPr>
                <w:b/>
                <w:bCs/>
                <w:color w:val="FFFFFF" w:themeColor="background1"/>
                <w:sz w:val="16"/>
                <w:szCs w:val="16"/>
              </w:rPr>
            </w:pPr>
            <w:r w:rsidRPr="00DE108C">
              <w:rPr>
                <w:b/>
                <w:bCs/>
                <w:color w:val="FFFFFF" w:themeColor="background1"/>
                <w:sz w:val="16"/>
                <w:szCs w:val="16"/>
              </w:rPr>
              <w:t>End</w:t>
            </w:r>
            <w:r w:rsidR="4127F2AF" w:rsidRPr="57E31969">
              <w:rPr>
                <w:b/>
                <w:bCs/>
                <w:color w:val="FFFFFF" w:themeColor="background1"/>
                <w:sz w:val="16"/>
                <w:szCs w:val="16"/>
              </w:rPr>
              <w:t>-</w:t>
            </w:r>
            <w:r w:rsidRPr="00DE108C">
              <w:rPr>
                <w:b/>
                <w:bCs/>
                <w:color w:val="FFFFFF" w:themeColor="background1"/>
                <w:sz w:val="16"/>
                <w:szCs w:val="16"/>
              </w:rPr>
              <w:t>use customer bill impact</w:t>
            </w:r>
          </w:p>
        </w:tc>
      </w:tr>
      <w:tr w:rsidR="00A043F7" w:rsidRPr="00DE108C" w14:paraId="46C602EF"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2D169725" w14:textId="77777777" w:rsidR="002D42C1" w:rsidRPr="00DE108C" w:rsidRDefault="002D42C1">
            <w:pPr>
              <w:rPr>
                <w:b/>
                <w:bCs/>
                <w:color w:val="FFFFFF" w:themeColor="background1"/>
                <w:sz w:val="16"/>
                <w:szCs w:val="16"/>
              </w:rPr>
            </w:pPr>
          </w:p>
        </w:tc>
        <w:tc>
          <w:tcPr>
            <w:tcW w:w="10036" w:type="dxa"/>
          </w:tcPr>
          <w:p w14:paraId="56B126CE" w14:textId="1A9D687F" w:rsidR="002D42C1" w:rsidRPr="00DE108C" w:rsidRDefault="002D42C1" w:rsidP="00ED094E">
            <w:pPr>
              <w:rPr>
                <w:sz w:val="16"/>
                <w:szCs w:val="16"/>
              </w:rPr>
            </w:pPr>
            <w:r w:rsidRPr="00DE108C">
              <w:rPr>
                <w:sz w:val="16"/>
                <w:szCs w:val="16"/>
              </w:rPr>
              <w:t xml:space="preserve">Forecast total Melbourne Water bulk charges (excludes desalination orders), in </w:t>
            </w:r>
            <w:r w:rsidR="00054EAF">
              <w:rPr>
                <w:sz w:val="16"/>
                <w:szCs w:val="16"/>
              </w:rPr>
              <w:t xml:space="preserve">$millions, </w:t>
            </w:r>
            <w:r w:rsidR="00054EAF" w:rsidRPr="00CF6652">
              <w:rPr>
                <w:sz w:val="16"/>
                <w:szCs w:val="16"/>
              </w:rPr>
              <w:t>real 20</w:t>
            </w:r>
            <w:r w:rsidR="00054EAF">
              <w:rPr>
                <w:sz w:val="16"/>
                <w:szCs w:val="16"/>
              </w:rPr>
              <w:t>25-</w:t>
            </w:r>
            <w:r w:rsidR="00054EAF" w:rsidRPr="00CF6652">
              <w:rPr>
                <w:sz w:val="16"/>
                <w:szCs w:val="16"/>
              </w:rPr>
              <w:t>26</w:t>
            </w:r>
            <w:r w:rsidRPr="00DE108C">
              <w:rPr>
                <w:sz w:val="16"/>
                <w:szCs w:val="16"/>
              </w:rPr>
              <w:t xml:space="preserve"> (before inflation):</w:t>
            </w:r>
            <w:r w:rsidR="008C46DF">
              <w:rPr>
                <w:sz w:val="16"/>
                <w:szCs w:val="16"/>
              </w:rPr>
              <w:t xml:space="preserve"> </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1335"/>
              <w:gridCol w:w="1335"/>
              <w:gridCol w:w="1335"/>
              <w:gridCol w:w="1335"/>
              <w:gridCol w:w="1335"/>
              <w:gridCol w:w="1335"/>
            </w:tblGrid>
            <w:tr w:rsidR="002D42C1" w:rsidRPr="00DE108C" w14:paraId="3AB40EB9" w14:textId="77777777" w:rsidTr="00097A90">
              <w:trPr>
                <w:trHeight w:val="300"/>
              </w:trPr>
              <w:tc>
                <w:tcPr>
                  <w:tcW w:w="1335" w:type="dxa"/>
                  <w:tcBorders>
                    <w:top w:val="single" w:sz="6" w:space="0" w:color="4EC6FF"/>
                    <w:left w:val="nil"/>
                    <w:bottom w:val="single" w:sz="6" w:space="0" w:color="4EC6FF"/>
                    <w:right w:val="nil"/>
                  </w:tcBorders>
                  <w:hideMark/>
                </w:tcPr>
                <w:p w14:paraId="652A87CC" w14:textId="622A48E8" w:rsidR="002D42C1" w:rsidRPr="00DE108C" w:rsidRDefault="002D42C1" w:rsidP="00ED094E">
                  <w:pPr>
                    <w:spacing w:before="60" w:after="60"/>
                    <w:rPr>
                      <w:sz w:val="16"/>
                      <w:szCs w:val="16"/>
                    </w:rPr>
                  </w:pPr>
                  <w:r w:rsidRPr="00DE108C">
                    <w:rPr>
                      <w:b/>
                      <w:bCs/>
                      <w:sz w:val="16"/>
                      <w:szCs w:val="16"/>
                    </w:rPr>
                    <w:t>Rev</w:t>
                  </w:r>
                  <w:r w:rsidR="008C46DF">
                    <w:rPr>
                      <w:b/>
                      <w:bCs/>
                      <w:sz w:val="16"/>
                      <w:szCs w:val="16"/>
                    </w:rPr>
                    <w:t xml:space="preserve"> </w:t>
                  </w:r>
                </w:p>
              </w:tc>
              <w:tc>
                <w:tcPr>
                  <w:tcW w:w="1335" w:type="dxa"/>
                  <w:tcBorders>
                    <w:top w:val="single" w:sz="6" w:space="0" w:color="4EC6FF"/>
                    <w:left w:val="nil"/>
                    <w:bottom w:val="single" w:sz="6" w:space="0" w:color="4EC6FF"/>
                    <w:right w:val="nil"/>
                  </w:tcBorders>
                  <w:hideMark/>
                </w:tcPr>
                <w:p w14:paraId="2BA88A95" w14:textId="094DF19B" w:rsidR="002D42C1" w:rsidRPr="00DE108C" w:rsidRDefault="002D42C1" w:rsidP="00097A90">
                  <w:pPr>
                    <w:spacing w:before="60" w:after="60"/>
                    <w:jc w:val="center"/>
                    <w:rPr>
                      <w:sz w:val="16"/>
                      <w:szCs w:val="16"/>
                    </w:rPr>
                  </w:pPr>
                  <w:r w:rsidRPr="00DE108C">
                    <w:rPr>
                      <w:b/>
                      <w:bCs/>
                      <w:sz w:val="16"/>
                      <w:szCs w:val="16"/>
                    </w:rPr>
                    <w:t>2025-26</w:t>
                  </w:r>
                </w:p>
              </w:tc>
              <w:tc>
                <w:tcPr>
                  <w:tcW w:w="1335" w:type="dxa"/>
                  <w:tcBorders>
                    <w:top w:val="single" w:sz="6" w:space="0" w:color="4EC6FF"/>
                    <w:left w:val="nil"/>
                    <w:bottom w:val="single" w:sz="6" w:space="0" w:color="4EC6FF"/>
                    <w:right w:val="nil"/>
                  </w:tcBorders>
                  <w:hideMark/>
                </w:tcPr>
                <w:p w14:paraId="7BD93810" w14:textId="752BFB30" w:rsidR="002D42C1" w:rsidRPr="00DE108C" w:rsidRDefault="002D42C1" w:rsidP="00097A90">
                  <w:pPr>
                    <w:spacing w:before="60" w:after="60"/>
                    <w:jc w:val="center"/>
                    <w:rPr>
                      <w:sz w:val="16"/>
                      <w:szCs w:val="16"/>
                    </w:rPr>
                  </w:pPr>
                  <w:r w:rsidRPr="00DE108C">
                    <w:rPr>
                      <w:b/>
                      <w:bCs/>
                      <w:sz w:val="16"/>
                      <w:szCs w:val="16"/>
                    </w:rPr>
                    <w:t>2026-27</w:t>
                  </w:r>
                </w:p>
              </w:tc>
              <w:tc>
                <w:tcPr>
                  <w:tcW w:w="1335" w:type="dxa"/>
                  <w:tcBorders>
                    <w:top w:val="single" w:sz="6" w:space="0" w:color="4EC6FF"/>
                    <w:left w:val="nil"/>
                    <w:bottom w:val="single" w:sz="6" w:space="0" w:color="4EC6FF"/>
                    <w:right w:val="nil"/>
                  </w:tcBorders>
                  <w:hideMark/>
                </w:tcPr>
                <w:p w14:paraId="5748B805" w14:textId="2C33D55D" w:rsidR="002D42C1" w:rsidRPr="00DE108C" w:rsidRDefault="002D42C1" w:rsidP="00097A90">
                  <w:pPr>
                    <w:spacing w:before="60" w:after="60"/>
                    <w:jc w:val="center"/>
                    <w:rPr>
                      <w:sz w:val="16"/>
                      <w:szCs w:val="16"/>
                    </w:rPr>
                  </w:pPr>
                  <w:r w:rsidRPr="00DE108C">
                    <w:rPr>
                      <w:b/>
                      <w:bCs/>
                      <w:sz w:val="16"/>
                      <w:szCs w:val="16"/>
                    </w:rPr>
                    <w:t>2027-28</w:t>
                  </w:r>
                </w:p>
              </w:tc>
              <w:tc>
                <w:tcPr>
                  <w:tcW w:w="1335" w:type="dxa"/>
                  <w:tcBorders>
                    <w:top w:val="single" w:sz="6" w:space="0" w:color="4EC6FF"/>
                    <w:left w:val="nil"/>
                    <w:bottom w:val="single" w:sz="6" w:space="0" w:color="4EC6FF"/>
                    <w:right w:val="nil"/>
                  </w:tcBorders>
                  <w:hideMark/>
                </w:tcPr>
                <w:p w14:paraId="1BC87B8C" w14:textId="4EBACF8D" w:rsidR="002D42C1" w:rsidRPr="00DE108C" w:rsidRDefault="002D42C1" w:rsidP="00097A90">
                  <w:pPr>
                    <w:spacing w:before="60" w:after="60"/>
                    <w:jc w:val="center"/>
                    <w:rPr>
                      <w:sz w:val="16"/>
                      <w:szCs w:val="16"/>
                    </w:rPr>
                  </w:pPr>
                  <w:r w:rsidRPr="00DE108C">
                    <w:rPr>
                      <w:b/>
                      <w:bCs/>
                      <w:sz w:val="16"/>
                      <w:szCs w:val="16"/>
                    </w:rPr>
                    <w:t>2028-29</w:t>
                  </w:r>
                </w:p>
              </w:tc>
              <w:tc>
                <w:tcPr>
                  <w:tcW w:w="1335" w:type="dxa"/>
                  <w:tcBorders>
                    <w:top w:val="single" w:sz="6" w:space="0" w:color="4EC6FF"/>
                    <w:left w:val="nil"/>
                    <w:bottom w:val="single" w:sz="6" w:space="0" w:color="4EC6FF"/>
                    <w:right w:val="nil"/>
                  </w:tcBorders>
                  <w:hideMark/>
                </w:tcPr>
                <w:p w14:paraId="75387AA1" w14:textId="2E4E4BCE" w:rsidR="002D42C1" w:rsidRPr="00DE108C" w:rsidRDefault="002D42C1" w:rsidP="00097A90">
                  <w:pPr>
                    <w:spacing w:before="60" w:after="60"/>
                    <w:jc w:val="center"/>
                    <w:rPr>
                      <w:sz w:val="16"/>
                      <w:szCs w:val="16"/>
                    </w:rPr>
                  </w:pPr>
                  <w:r w:rsidRPr="00DE108C">
                    <w:rPr>
                      <w:b/>
                      <w:bCs/>
                      <w:sz w:val="16"/>
                      <w:szCs w:val="16"/>
                    </w:rPr>
                    <w:t>2029-30</w:t>
                  </w:r>
                </w:p>
              </w:tc>
              <w:tc>
                <w:tcPr>
                  <w:tcW w:w="1335" w:type="dxa"/>
                  <w:tcBorders>
                    <w:top w:val="single" w:sz="6" w:space="0" w:color="4EC6FF"/>
                    <w:left w:val="nil"/>
                    <w:bottom w:val="single" w:sz="6" w:space="0" w:color="4EC6FF"/>
                    <w:right w:val="nil"/>
                  </w:tcBorders>
                  <w:hideMark/>
                </w:tcPr>
                <w:p w14:paraId="12C56B5A" w14:textId="12DA946C" w:rsidR="002D42C1" w:rsidRPr="00DE108C" w:rsidRDefault="002D42C1" w:rsidP="00097A90">
                  <w:pPr>
                    <w:spacing w:before="60" w:after="60"/>
                    <w:jc w:val="center"/>
                    <w:rPr>
                      <w:sz w:val="16"/>
                      <w:szCs w:val="16"/>
                    </w:rPr>
                  </w:pPr>
                  <w:r w:rsidRPr="00DE108C">
                    <w:rPr>
                      <w:b/>
                      <w:bCs/>
                      <w:sz w:val="16"/>
                      <w:szCs w:val="16"/>
                    </w:rPr>
                    <w:t>2030-31</w:t>
                  </w:r>
                </w:p>
              </w:tc>
            </w:tr>
            <w:tr w:rsidR="002D42C1" w:rsidRPr="00DE108C" w14:paraId="38028ED4" w14:textId="77777777" w:rsidTr="00097A90">
              <w:trPr>
                <w:trHeight w:val="300"/>
              </w:trPr>
              <w:tc>
                <w:tcPr>
                  <w:tcW w:w="1335" w:type="dxa"/>
                  <w:tcBorders>
                    <w:top w:val="single" w:sz="6" w:space="0" w:color="4EC6FF"/>
                    <w:left w:val="nil"/>
                    <w:bottom w:val="single" w:sz="6" w:space="0" w:color="4EC6FF"/>
                    <w:right w:val="nil"/>
                  </w:tcBorders>
                  <w:hideMark/>
                </w:tcPr>
                <w:p w14:paraId="28A59D6F" w14:textId="138D7280"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74957713" w14:textId="0EA407DD" w:rsidR="002D42C1" w:rsidRPr="00DE108C" w:rsidRDefault="002D42C1" w:rsidP="00097A90">
                  <w:pPr>
                    <w:spacing w:before="60" w:after="60"/>
                    <w:jc w:val="center"/>
                    <w:rPr>
                      <w:sz w:val="16"/>
                      <w:szCs w:val="16"/>
                    </w:rPr>
                  </w:pPr>
                  <w:r w:rsidRPr="00DE108C">
                    <w:rPr>
                      <w:sz w:val="16"/>
                      <w:szCs w:val="16"/>
                    </w:rPr>
                    <w:t>394</w:t>
                  </w:r>
                </w:p>
              </w:tc>
              <w:tc>
                <w:tcPr>
                  <w:tcW w:w="1335" w:type="dxa"/>
                  <w:tcBorders>
                    <w:top w:val="single" w:sz="6" w:space="0" w:color="4EC6FF"/>
                    <w:left w:val="nil"/>
                    <w:bottom w:val="single" w:sz="6" w:space="0" w:color="4EC6FF"/>
                    <w:right w:val="nil"/>
                  </w:tcBorders>
                  <w:vAlign w:val="center"/>
                  <w:hideMark/>
                </w:tcPr>
                <w:p w14:paraId="2506063F" w14:textId="16D26D26" w:rsidR="002D42C1" w:rsidRPr="00DE108C" w:rsidRDefault="002D42C1" w:rsidP="00097A90">
                  <w:pPr>
                    <w:spacing w:before="60" w:after="60"/>
                    <w:jc w:val="center"/>
                    <w:rPr>
                      <w:sz w:val="16"/>
                      <w:szCs w:val="16"/>
                    </w:rPr>
                  </w:pPr>
                  <w:r w:rsidRPr="00DE108C">
                    <w:rPr>
                      <w:sz w:val="16"/>
                      <w:szCs w:val="16"/>
                    </w:rPr>
                    <w:t>405</w:t>
                  </w:r>
                </w:p>
              </w:tc>
              <w:tc>
                <w:tcPr>
                  <w:tcW w:w="1335" w:type="dxa"/>
                  <w:tcBorders>
                    <w:top w:val="single" w:sz="6" w:space="0" w:color="4EC6FF"/>
                    <w:left w:val="nil"/>
                    <w:bottom w:val="single" w:sz="6" w:space="0" w:color="4EC6FF"/>
                    <w:right w:val="nil"/>
                  </w:tcBorders>
                  <w:vAlign w:val="center"/>
                  <w:hideMark/>
                </w:tcPr>
                <w:p w14:paraId="732A598E" w14:textId="433B8FED" w:rsidR="002D42C1" w:rsidRPr="00DE108C" w:rsidRDefault="00097A90" w:rsidP="00097A90">
                  <w:pPr>
                    <w:spacing w:before="60" w:after="60"/>
                    <w:jc w:val="center"/>
                    <w:rPr>
                      <w:sz w:val="16"/>
                      <w:szCs w:val="16"/>
                    </w:rPr>
                  </w:pPr>
                  <w:r w:rsidRPr="00C92A0B">
                    <w:rPr>
                      <w:sz w:val="16"/>
                      <w:szCs w:val="16"/>
                    </w:rPr>
                    <w:t>426</w:t>
                  </w:r>
                </w:p>
              </w:tc>
              <w:tc>
                <w:tcPr>
                  <w:tcW w:w="1335" w:type="dxa"/>
                  <w:tcBorders>
                    <w:top w:val="single" w:sz="6" w:space="0" w:color="4EC6FF"/>
                    <w:left w:val="nil"/>
                    <w:bottom w:val="single" w:sz="6" w:space="0" w:color="4EC6FF"/>
                    <w:right w:val="nil"/>
                  </w:tcBorders>
                  <w:vAlign w:val="center"/>
                  <w:hideMark/>
                </w:tcPr>
                <w:p w14:paraId="3ABA7F0B" w14:textId="1B294CE8" w:rsidR="002D42C1" w:rsidRPr="00DE108C" w:rsidRDefault="00097A90" w:rsidP="00097A90">
                  <w:pPr>
                    <w:spacing w:before="60" w:after="60"/>
                    <w:jc w:val="center"/>
                    <w:rPr>
                      <w:sz w:val="16"/>
                      <w:szCs w:val="16"/>
                    </w:rPr>
                  </w:pPr>
                  <w:r w:rsidRPr="0091606C">
                    <w:rPr>
                      <w:sz w:val="16"/>
                      <w:szCs w:val="16"/>
                    </w:rPr>
                    <w:t>444</w:t>
                  </w:r>
                </w:p>
              </w:tc>
              <w:tc>
                <w:tcPr>
                  <w:tcW w:w="1335" w:type="dxa"/>
                  <w:tcBorders>
                    <w:top w:val="single" w:sz="6" w:space="0" w:color="4EC6FF"/>
                    <w:left w:val="nil"/>
                    <w:bottom w:val="single" w:sz="6" w:space="0" w:color="4EC6FF"/>
                    <w:right w:val="nil"/>
                  </w:tcBorders>
                  <w:vAlign w:val="center"/>
                  <w:hideMark/>
                </w:tcPr>
                <w:p w14:paraId="1FA8968D" w14:textId="0F46C0DD" w:rsidR="002D42C1" w:rsidRPr="00DE108C" w:rsidRDefault="002D42C1" w:rsidP="00097A90">
                  <w:pPr>
                    <w:spacing w:before="60" w:after="60"/>
                    <w:jc w:val="center"/>
                    <w:rPr>
                      <w:sz w:val="16"/>
                      <w:szCs w:val="16"/>
                    </w:rPr>
                  </w:pPr>
                  <w:r w:rsidRPr="00DE108C">
                    <w:rPr>
                      <w:sz w:val="16"/>
                      <w:szCs w:val="16"/>
                    </w:rPr>
                    <w:t>463</w:t>
                  </w:r>
                </w:p>
              </w:tc>
              <w:tc>
                <w:tcPr>
                  <w:tcW w:w="1335" w:type="dxa"/>
                  <w:tcBorders>
                    <w:top w:val="single" w:sz="6" w:space="0" w:color="4EC6FF"/>
                    <w:left w:val="nil"/>
                    <w:bottom w:val="single" w:sz="6" w:space="0" w:color="4EC6FF"/>
                    <w:right w:val="nil"/>
                  </w:tcBorders>
                  <w:vAlign w:val="center"/>
                  <w:hideMark/>
                </w:tcPr>
                <w:p w14:paraId="21A452A0" w14:textId="4155A0B2" w:rsidR="002D42C1" w:rsidRPr="00DE108C" w:rsidRDefault="00097A90" w:rsidP="00097A90">
                  <w:pPr>
                    <w:spacing w:before="60" w:after="60"/>
                    <w:jc w:val="center"/>
                    <w:rPr>
                      <w:sz w:val="16"/>
                      <w:szCs w:val="16"/>
                    </w:rPr>
                  </w:pPr>
                  <w:r w:rsidRPr="0091606C">
                    <w:rPr>
                      <w:sz w:val="16"/>
                      <w:szCs w:val="16"/>
                    </w:rPr>
                    <w:t>481</w:t>
                  </w:r>
                </w:p>
              </w:tc>
            </w:tr>
            <w:tr w:rsidR="002D42C1" w:rsidRPr="00DE108C" w14:paraId="778A319A" w14:textId="77777777" w:rsidTr="00097A90">
              <w:trPr>
                <w:trHeight w:val="300"/>
              </w:trPr>
              <w:tc>
                <w:tcPr>
                  <w:tcW w:w="1335" w:type="dxa"/>
                  <w:tcBorders>
                    <w:top w:val="single" w:sz="6" w:space="0" w:color="4EC6FF"/>
                    <w:left w:val="nil"/>
                    <w:bottom w:val="single" w:sz="6" w:space="0" w:color="4EC6FF"/>
                    <w:right w:val="nil"/>
                  </w:tcBorders>
                  <w:hideMark/>
                </w:tcPr>
                <w:p w14:paraId="552E3886" w14:textId="06EF814A"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693B60E4" w14:textId="37842E03" w:rsidR="002D42C1" w:rsidRPr="00DE108C" w:rsidRDefault="002D42C1" w:rsidP="00097A90">
                  <w:pPr>
                    <w:spacing w:before="60" w:after="60"/>
                    <w:jc w:val="center"/>
                    <w:rPr>
                      <w:sz w:val="16"/>
                      <w:szCs w:val="16"/>
                    </w:rPr>
                  </w:pPr>
                  <w:r w:rsidRPr="00DE108C">
                    <w:rPr>
                      <w:sz w:val="16"/>
                      <w:szCs w:val="16"/>
                    </w:rPr>
                    <w:t>572</w:t>
                  </w:r>
                </w:p>
              </w:tc>
              <w:tc>
                <w:tcPr>
                  <w:tcW w:w="1335" w:type="dxa"/>
                  <w:tcBorders>
                    <w:top w:val="single" w:sz="6" w:space="0" w:color="4EC6FF"/>
                    <w:left w:val="nil"/>
                    <w:bottom w:val="single" w:sz="6" w:space="0" w:color="4EC6FF"/>
                    <w:right w:val="nil"/>
                  </w:tcBorders>
                  <w:vAlign w:val="center"/>
                  <w:hideMark/>
                </w:tcPr>
                <w:p w14:paraId="26010078" w14:textId="67E88C2C" w:rsidR="002D42C1" w:rsidRPr="00DE108C" w:rsidRDefault="002D42C1" w:rsidP="00097A90">
                  <w:pPr>
                    <w:spacing w:before="60" w:after="60"/>
                    <w:jc w:val="center"/>
                    <w:rPr>
                      <w:sz w:val="16"/>
                      <w:szCs w:val="16"/>
                    </w:rPr>
                  </w:pPr>
                  <w:r w:rsidRPr="00DE108C">
                    <w:rPr>
                      <w:sz w:val="16"/>
                      <w:szCs w:val="16"/>
                    </w:rPr>
                    <w:t>581</w:t>
                  </w:r>
                </w:p>
              </w:tc>
              <w:tc>
                <w:tcPr>
                  <w:tcW w:w="1335" w:type="dxa"/>
                  <w:tcBorders>
                    <w:top w:val="single" w:sz="6" w:space="0" w:color="4EC6FF"/>
                    <w:left w:val="nil"/>
                    <w:bottom w:val="single" w:sz="6" w:space="0" w:color="4EC6FF"/>
                    <w:right w:val="nil"/>
                  </w:tcBorders>
                  <w:vAlign w:val="center"/>
                  <w:hideMark/>
                </w:tcPr>
                <w:p w14:paraId="0F7BB5D1" w14:textId="111359DD" w:rsidR="002D42C1" w:rsidRPr="00DE108C" w:rsidRDefault="00097A90" w:rsidP="00097A90">
                  <w:pPr>
                    <w:spacing w:before="60" w:after="60"/>
                    <w:jc w:val="center"/>
                    <w:rPr>
                      <w:sz w:val="16"/>
                      <w:szCs w:val="16"/>
                    </w:rPr>
                  </w:pPr>
                  <w:r w:rsidRPr="00C92A0B">
                    <w:rPr>
                      <w:sz w:val="16"/>
                      <w:szCs w:val="16"/>
                    </w:rPr>
                    <w:t>605</w:t>
                  </w:r>
                </w:p>
              </w:tc>
              <w:tc>
                <w:tcPr>
                  <w:tcW w:w="1335" w:type="dxa"/>
                  <w:tcBorders>
                    <w:top w:val="single" w:sz="6" w:space="0" w:color="4EC6FF"/>
                    <w:left w:val="nil"/>
                    <w:bottom w:val="single" w:sz="6" w:space="0" w:color="4EC6FF"/>
                    <w:right w:val="nil"/>
                  </w:tcBorders>
                  <w:vAlign w:val="center"/>
                  <w:hideMark/>
                </w:tcPr>
                <w:p w14:paraId="17FACB93" w14:textId="62F99322" w:rsidR="002D42C1" w:rsidRPr="00DE108C" w:rsidRDefault="00097A90" w:rsidP="00097A90">
                  <w:pPr>
                    <w:spacing w:before="60" w:after="60"/>
                    <w:jc w:val="center"/>
                    <w:rPr>
                      <w:sz w:val="16"/>
                      <w:szCs w:val="16"/>
                    </w:rPr>
                  </w:pPr>
                  <w:r w:rsidRPr="0091606C">
                    <w:rPr>
                      <w:sz w:val="16"/>
                      <w:szCs w:val="16"/>
                    </w:rPr>
                    <w:t>615</w:t>
                  </w:r>
                </w:p>
              </w:tc>
              <w:tc>
                <w:tcPr>
                  <w:tcW w:w="1335" w:type="dxa"/>
                  <w:tcBorders>
                    <w:top w:val="single" w:sz="6" w:space="0" w:color="4EC6FF"/>
                    <w:left w:val="nil"/>
                    <w:bottom w:val="single" w:sz="6" w:space="0" w:color="4EC6FF"/>
                    <w:right w:val="nil"/>
                  </w:tcBorders>
                  <w:vAlign w:val="center"/>
                  <w:hideMark/>
                </w:tcPr>
                <w:p w14:paraId="0B60862B" w14:textId="446CE002" w:rsidR="002D42C1" w:rsidRPr="00DE108C" w:rsidRDefault="002D42C1" w:rsidP="00097A90">
                  <w:pPr>
                    <w:spacing w:before="60" w:after="60"/>
                    <w:jc w:val="center"/>
                    <w:rPr>
                      <w:sz w:val="16"/>
                      <w:szCs w:val="16"/>
                    </w:rPr>
                  </w:pPr>
                  <w:r w:rsidRPr="00DE108C">
                    <w:rPr>
                      <w:sz w:val="16"/>
                      <w:szCs w:val="16"/>
                    </w:rPr>
                    <w:t>626</w:t>
                  </w:r>
                </w:p>
              </w:tc>
              <w:tc>
                <w:tcPr>
                  <w:tcW w:w="1335" w:type="dxa"/>
                  <w:tcBorders>
                    <w:top w:val="single" w:sz="6" w:space="0" w:color="4EC6FF"/>
                    <w:left w:val="nil"/>
                    <w:bottom w:val="single" w:sz="6" w:space="0" w:color="4EC6FF"/>
                    <w:right w:val="nil"/>
                  </w:tcBorders>
                  <w:vAlign w:val="center"/>
                  <w:hideMark/>
                </w:tcPr>
                <w:p w14:paraId="1107E934" w14:textId="1E01937F" w:rsidR="002D42C1" w:rsidRPr="00DE108C" w:rsidRDefault="00097A90" w:rsidP="00097A90">
                  <w:pPr>
                    <w:spacing w:before="60" w:after="60"/>
                    <w:jc w:val="center"/>
                    <w:rPr>
                      <w:sz w:val="16"/>
                      <w:szCs w:val="16"/>
                    </w:rPr>
                  </w:pPr>
                  <w:r w:rsidRPr="00C92A0B">
                    <w:rPr>
                      <w:sz w:val="16"/>
                      <w:szCs w:val="16"/>
                    </w:rPr>
                    <w:t>637</w:t>
                  </w:r>
                </w:p>
              </w:tc>
            </w:tr>
            <w:tr w:rsidR="002D42C1" w:rsidRPr="00DE108C" w14:paraId="6C62E020" w14:textId="77777777" w:rsidTr="00097A90">
              <w:trPr>
                <w:trHeight w:val="300"/>
              </w:trPr>
              <w:tc>
                <w:tcPr>
                  <w:tcW w:w="1335" w:type="dxa"/>
                  <w:tcBorders>
                    <w:top w:val="single" w:sz="6" w:space="0" w:color="4EC6FF"/>
                    <w:left w:val="nil"/>
                    <w:bottom w:val="single" w:sz="6" w:space="0" w:color="4EC6FF"/>
                    <w:right w:val="nil"/>
                  </w:tcBorders>
                  <w:hideMark/>
                </w:tcPr>
                <w:p w14:paraId="0B9DC640"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3ECB4EE8" w14:textId="12E2BF2F" w:rsidR="002D42C1" w:rsidRPr="00DE108C" w:rsidRDefault="002D42C1" w:rsidP="00097A90">
                  <w:pPr>
                    <w:spacing w:before="60" w:after="60"/>
                    <w:jc w:val="center"/>
                    <w:rPr>
                      <w:sz w:val="16"/>
                      <w:szCs w:val="16"/>
                    </w:rPr>
                  </w:pPr>
                  <w:r w:rsidRPr="00DE108C">
                    <w:rPr>
                      <w:sz w:val="16"/>
                      <w:szCs w:val="16"/>
                    </w:rPr>
                    <w:t>570</w:t>
                  </w:r>
                </w:p>
              </w:tc>
              <w:tc>
                <w:tcPr>
                  <w:tcW w:w="1335" w:type="dxa"/>
                  <w:tcBorders>
                    <w:top w:val="single" w:sz="6" w:space="0" w:color="4EC6FF"/>
                    <w:left w:val="nil"/>
                    <w:bottom w:val="single" w:sz="6" w:space="0" w:color="4EC6FF"/>
                    <w:right w:val="nil"/>
                  </w:tcBorders>
                  <w:vAlign w:val="center"/>
                  <w:hideMark/>
                </w:tcPr>
                <w:p w14:paraId="189EE2F7" w14:textId="1A36DF49" w:rsidR="002D42C1" w:rsidRPr="00DE108C" w:rsidRDefault="002D42C1" w:rsidP="00097A90">
                  <w:pPr>
                    <w:spacing w:before="60" w:after="60"/>
                    <w:jc w:val="center"/>
                    <w:rPr>
                      <w:sz w:val="16"/>
                      <w:szCs w:val="16"/>
                    </w:rPr>
                  </w:pPr>
                  <w:r w:rsidRPr="00DE108C">
                    <w:rPr>
                      <w:sz w:val="16"/>
                      <w:szCs w:val="16"/>
                    </w:rPr>
                    <w:t>579</w:t>
                  </w:r>
                </w:p>
              </w:tc>
              <w:tc>
                <w:tcPr>
                  <w:tcW w:w="1335" w:type="dxa"/>
                  <w:tcBorders>
                    <w:top w:val="single" w:sz="6" w:space="0" w:color="4EC6FF"/>
                    <w:left w:val="nil"/>
                    <w:bottom w:val="single" w:sz="6" w:space="0" w:color="4EC6FF"/>
                    <w:right w:val="nil"/>
                  </w:tcBorders>
                  <w:vAlign w:val="center"/>
                  <w:hideMark/>
                </w:tcPr>
                <w:p w14:paraId="2275D88D" w14:textId="7222C339" w:rsidR="002D42C1" w:rsidRPr="00DE108C" w:rsidRDefault="002D42C1" w:rsidP="00097A90">
                  <w:pPr>
                    <w:spacing w:before="60" w:after="60"/>
                    <w:jc w:val="center"/>
                    <w:rPr>
                      <w:sz w:val="16"/>
                      <w:szCs w:val="16"/>
                    </w:rPr>
                  </w:pPr>
                  <w:r w:rsidRPr="00DE108C">
                    <w:rPr>
                      <w:sz w:val="16"/>
                      <w:szCs w:val="16"/>
                    </w:rPr>
                    <w:t>605</w:t>
                  </w:r>
                </w:p>
              </w:tc>
              <w:tc>
                <w:tcPr>
                  <w:tcW w:w="1335" w:type="dxa"/>
                  <w:tcBorders>
                    <w:top w:val="single" w:sz="6" w:space="0" w:color="4EC6FF"/>
                    <w:left w:val="nil"/>
                    <w:bottom w:val="single" w:sz="6" w:space="0" w:color="4EC6FF"/>
                    <w:right w:val="nil"/>
                  </w:tcBorders>
                  <w:vAlign w:val="center"/>
                  <w:hideMark/>
                </w:tcPr>
                <w:p w14:paraId="1E016341" w14:textId="663476AC" w:rsidR="002D42C1" w:rsidRPr="00DE108C" w:rsidRDefault="002D42C1" w:rsidP="00097A90">
                  <w:pPr>
                    <w:spacing w:before="60" w:after="60"/>
                    <w:jc w:val="center"/>
                    <w:rPr>
                      <w:sz w:val="16"/>
                      <w:szCs w:val="16"/>
                    </w:rPr>
                  </w:pPr>
                  <w:r w:rsidRPr="00DE108C">
                    <w:rPr>
                      <w:sz w:val="16"/>
                      <w:szCs w:val="16"/>
                    </w:rPr>
                    <w:t>608</w:t>
                  </w:r>
                </w:p>
              </w:tc>
              <w:tc>
                <w:tcPr>
                  <w:tcW w:w="1335" w:type="dxa"/>
                  <w:tcBorders>
                    <w:top w:val="single" w:sz="6" w:space="0" w:color="4EC6FF"/>
                    <w:left w:val="nil"/>
                    <w:bottom w:val="single" w:sz="6" w:space="0" w:color="4EC6FF"/>
                    <w:right w:val="nil"/>
                  </w:tcBorders>
                  <w:vAlign w:val="center"/>
                  <w:hideMark/>
                </w:tcPr>
                <w:p w14:paraId="364979C6" w14:textId="3A550F20" w:rsidR="002D42C1" w:rsidRPr="00DE108C" w:rsidRDefault="00097A90" w:rsidP="00097A90">
                  <w:pPr>
                    <w:spacing w:before="60" w:after="60"/>
                    <w:jc w:val="center"/>
                    <w:rPr>
                      <w:sz w:val="16"/>
                      <w:szCs w:val="16"/>
                    </w:rPr>
                  </w:pPr>
                  <w:r w:rsidRPr="0091606C">
                    <w:rPr>
                      <w:sz w:val="16"/>
                      <w:szCs w:val="16"/>
                    </w:rPr>
                    <w:t>610</w:t>
                  </w:r>
                </w:p>
              </w:tc>
              <w:tc>
                <w:tcPr>
                  <w:tcW w:w="1335" w:type="dxa"/>
                  <w:tcBorders>
                    <w:top w:val="single" w:sz="6" w:space="0" w:color="4EC6FF"/>
                    <w:left w:val="nil"/>
                    <w:bottom w:val="single" w:sz="6" w:space="0" w:color="4EC6FF"/>
                    <w:right w:val="nil"/>
                  </w:tcBorders>
                  <w:vAlign w:val="center"/>
                  <w:hideMark/>
                </w:tcPr>
                <w:p w14:paraId="3BD16D82" w14:textId="55D661F3" w:rsidR="002D42C1" w:rsidRPr="00DE108C" w:rsidRDefault="00097A90" w:rsidP="00097A90">
                  <w:pPr>
                    <w:spacing w:before="60" w:after="60"/>
                    <w:jc w:val="center"/>
                    <w:rPr>
                      <w:sz w:val="16"/>
                      <w:szCs w:val="16"/>
                    </w:rPr>
                  </w:pPr>
                  <w:r w:rsidRPr="00C92A0B">
                    <w:rPr>
                      <w:sz w:val="16"/>
                      <w:szCs w:val="16"/>
                    </w:rPr>
                    <w:t>612</w:t>
                  </w:r>
                </w:p>
              </w:tc>
            </w:tr>
            <w:tr w:rsidR="002D42C1" w:rsidRPr="00DE108C" w14:paraId="308ADEDF" w14:textId="77777777" w:rsidTr="00097A90">
              <w:trPr>
                <w:trHeight w:val="300"/>
              </w:trPr>
              <w:tc>
                <w:tcPr>
                  <w:tcW w:w="1335" w:type="dxa"/>
                  <w:tcBorders>
                    <w:top w:val="single" w:sz="6" w:space="0" w:color="4EC6FF"/>
                    <w:left w:val="nil"/>
                    <w:bottom w:val="single" w:sz="6" w:space="0" w:color="4EC6FF"/>
                    <w:right w:val="nil"/>
                  </w:tcBorders>
                  <w:shd w:val="clear" w:color="auto" w:fill="46C2D7"/>
                  <w:hideMark/>
                </w:tcPr>
                <w:p w14:paraId="283D2BE7" w14:textId="7D0D1136"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35" w:type="dxa"/>
                  <w:tcBorders>
                    <w:top w:val="single" w:sz="6" w:space="0" w:color="4EC6FF"/>
                    <w:left w:val="nil"/>
                    <w:bottom w:val="single" w:sz="6" w:space="0" w:color="4EC6FF"/>
                    <w:right w:val="nil"/>
                  </w:tcBorders>
                  <w:shd w:val="clear" w:color="auto" w:fill="46C2D7"/>
                  <w:vAlign w:val="center"/>
                  <w:hideMark/>
                </w:tcPr>
                <w:p w14:paraId="4DCA158F" w14:textId="5693A6D8" w:rsidR="002D42C1" w:rsidRPr="00DE108C" w:rsidRDefault="002D42C1" w:rsidP="00097A90">
                  <w:pPr>
                    <w:spacing w:before="60" w:after="60"/>
                    <w:jc w:val="center"/>
                    <w:rPr>
                      <w:sz w:val="16"/>
                      <w:szCs w:val="16"/>
                    </w:rPr>
                  </w:pPr>
                  <w:r w:rsidRPr="00DE108C">
                    <w:rPr>
                      <w:sz w:val="16"/>
                      <w:szCs w:val="16"/>
                    </w:rPr>
                    <w:t>12.0</w:t>
                  </w:r>
                </w:p>
              </w:tc>
              <w:tc>
                <w:tcPr>
                  <w:tcW w:w="1335" w:type="dxa"/>
                  <w:tcBorders>
                    <w:top w:val="single" w:sz="6" w:space="0" w:color="4EC6FF"/>
                    <w:left w:val="nil"/>
                    <w:bottom w:val="single" w:sz="6" w:space="0" w:color="4EC6FF"/>
                    <w:right w:val="nil"/>
                  </w:tcBorders>
                  <w:shd w:val="clear" w:color="auto" w:fill="46C2D7"/>
                  <w:vAlign w:val="center"/>
                  <w:hideMark/>
                </w:tcPr>
                <w:p w14:paraId="5CA9E437" w14:textId="08A17BBC" w:rsidR="002D42C1" w:rsidRPr="00DE108C" w:rsidRDefault="002D42C1" w:rsidP="00097A90">
                  <w:pPr>
                    <w:spacing w:before="60" w:after="60"/>
                    <w:jc w:val="center"/>
                    <w:rPr>
                      <w:sz w:val="16"/>
                      <w:szCs w:val="16"/>
                    </w:rPr>
                  </w:pPr>
                  <w:r w:rsidRPr="00DE108C">
                    <w:rPr>
                      <w:sz w:val="16"/>
                      <w:szCs w:val="16"/>
                    </w:rPr>
                    <w:t>10.7</w:t>
                  </w:r>
                </w:p>
              </w:tc>
              <w:tc>
                <w:tcPr>
                  <w:tcW w:w="1335" w:type="dxa"/>
                  <w:tcBorders>
                    <w:top w:val="single" w:sz="6" w:space="0" w:color="4EC6FF"/>
                    <w:left w:val="nil"/>
                    <w:bottom w:val="single" w:sz="6" w:space="0" w:color="4EC6FF"/>
                    <w:right w:val="nil"/>
                  </w:tcBorders>
                  <w:shd w:val="clear" w:color="auto" w:fill="46C2D7"/>
                  <w:vAlign w:val="center"/>
                  <w:hideMark/>
                </w:tcPr>
                <w:p w14:paraId="7CA506F1" w14:textId="4CE71CEA"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shd w:val="clear" w:color="auto" w:fill="46C2D7"/>
                  <w:vAlign w:val="center"/>
                  <w:hideMark/>
                </w:tcPr>
                <w:p w14:paraId="62083A25" w14:textId="7BDA26DD"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shd w:val="clear" w:color="auto" w:fill="46C2D7"/>
                  <w:vAlign w:val="center"/>
                  <w:hideMark/>
                </w:tcPr>
                <w:p w14:paraId="70AB7B2D" w14:textId="7B0EB91E"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shd w:val="clear" w:color="auto" w:fill="46C2D7"/>
                  <w:vAlign w:val="center"/>
                  <w:hideMark/>
                </w:tcPr>
                <w:p w14:paraId="7DA1501A" w14:textId="0C8FA506" w:rsidR="002D42C1" w:rsidRPr="00DE108C" w:rsidRDefault="002D42C1" w:rsidP="00097A90">
                  <w:pPr>
                    <w:spacing w:before="60" w:after="60"/>
                    <w:jc w:val="center"/>
                    <w:rPr>
                      <w:sz w:val="16"/>
                      <w:szCs w:val="16"/>
                    </w:rPr>
                  </w:pPr>
                  <w:r w:rsidRPr="00DE108C">
                    <w:rPr>
                      <w:sz w:val="16"/>
                      <w:szCs w:val="16"/>
                    </w:rPr>
                    <w:t>7.5</w:t>
                  </w:r>
                </w:p>
              </w:tc>
            </w:tr>
            <w:tr w:rsidR="002D42C1" w:rsidRPr="00DE108C" w14:paraId="12281C36" w14:textId="77777777" w:rsidTr="00097A90">
              <w:trPr>
                <w:trHeight w:val="300"/>
              </w:trPr>
              <w:tc>
                <w:tcPr>
                  <w:tcW w:w="1335" w:type="dxa"/>
                  <w:tcBorders>
                    <w:top w:val="single" w:sz="6" w:space="0" w:color="4EC6FF"/>
                    <w:left w:val="nil"/>
                    <w:bottom w:val="single" w:sz="6" w:space="0" w:color="4EC6FF"/>
                    <w:right w:val="nil"/>
                  </w:tcBorders>
                  <w:hideMark/>
                </w:tcPr>
                <w:p w14:paraId="5A94DA5D" w14:textId="185C6F09"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1B8A1B52" w14:textId="7A548A75"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1C46E418" w14:textId="66E8D392" w:rsidR="002D42C1" w:rsidRPr="00DE108C" w:rsidRDefault="002D42C1" w:rsidP="00097A90">
                  <w:pPr>
                    <w:spacing w:before="60" w:after="60"/>
                    <w:jc w:val="center"/>
                    <w:rPr>
                      <w:sz w:val="16"/>
                      <w:szCs w:val="16"/>
                    </w:rPr>
                  </w:pPr>
                  <w:r w:rsidRPr="00DE108C">
                    <w:rPr>
                      <w:sz w:val="16"/>
                      <w:szCs w:val="16"/>
                    </w:rPr>
                    <w:t>1.2</w:t>
                  </w:r>
                </w:p>
              </w:tc>
              <w:tc>
                <w:tcPr>
                  <w:tcW w:w="1335" w:type="dxa"/>
                  <w:tcBorders>
                    <w:top w:val="single" w:sz="6" w:space="0" w:color="4EC6FF"/>
                    <w:left w:val="nil"/>
                    <w:bottom w:val="single" w:sz="6" w:space="0" w:color="4EC6FF"/>
                    <w:right w:val="nil"/>
                  </w:tcBorders>
                  <w:vAlign w:val="center"/>
                  <w:hideMark/>
                </w:tcPr>
                <w:p w14:paraId="66A9353F" w14:textId="40A5B0BD" w:rsidR="002D42C1" w:rsidRPr="00DE108C" w:rsidRDefault="002D42C1" w:rsidP="00097A90">
                  <w:pPr>
                    <w:spacing w:before="60" w:after="60"/>
                    <w:jc w:val="center"/>
                    <w:rPr>
                      <w:sz w:val="16"/>
                      <w:szCs w:val="16"/>
                    </w:rPr>
                  </w:pPr>
                  <w:r w:rsidRPr="00DE108C">
                    <w:rPr>
                      <w:sz w:val="16"/>
                      <w:szCs w:val="16"/>
                    </w:rPr>
                    <w:t>1.4</w:t>
                  </w:r>
                </w:p>
              </w:tc>
              <w:tc>
                <w:tcPr>
                  <w:tcW w:w="1335" w:type="dxa"/>
                  <w:tcBorders>
                    <w:top w:val="single" w:sz="6" w:space="0" w:color="4EC6FF"/>
                    <w:left w:val="nil"/>
                    <w:bottom w:val="single" w:sz="6" w:space="0" w:color="4EC6FF"/>
                    <w:right w:val="nil"/>
                  </w:tcBorders>
                  <w:vAlign w:val="center"/>
                  <w:hideMark/>
                </w:tcPr>
                <w:p w14:paraId="046CAB80" w14:textId="7CFCF124" w:rsidR="002D42C1" w:rsidRPr="00DE108C" w:rsidRDefault="002D42C1" w:rsidP="00097A90">
                  <w:pPr>
                    <w:spacing w:before="60" w:after="60"/>
                    <w:jc w:val="center"/>
                    <w:rPr>
                      <w:sz w:val="16"/>
                      <w:szCs w:val="16"/>
                    </w:rPr>
                  </w:pPr>
                  <w:r w:rsidRPr="00DE108C">
                    <w:rPr>
                      <w:sz w:val="16"/>
                      <w:szCs w:val="16"/>
                    </w:rPr>
                    <w:t>1.6</w:t>
                  </w:r>
                </w:p>
              </w:tc>
              <w:tc>
                <w:tcPr>
                  <w:tcW w:w="1335" w:type="dxa"/>
                  <w:tcBorders>
                    <w:top w:val="single" w:sz="6" w:space="0" w:color="4EC6FF"/>
                    <w:left w:val="nil"/>
                    <w:bottom w:val="single" w:sz="6" w:space="0" w:color="4EC6FF"/>
                    <w:right w:val="nil"/>
                  </w:tcBorders>
                  <w:vAlign w:val="center"/>
                  <w:hideMark/>
                </w:tcPr>
                <w:p w14:paraId="57FBF968" w14:textId="58A144A1" w:rsidR="002D42C1" w:rsidRPr="00DE108C" w:rsidRDefault="002D42C1" w:rsidP="00097A90">
                  <w:pPr>
                    <w:spacing w:before="60" w:after="60"/>
                    <w:jc w:val="center"/>
                    <w:rPr>
                      <w:sz w:val="16"/>
                      <w:szCs w:val="16"/>
                    </w:rPr>
                  </w:pPr>
                  <w:r w:rsidRPr="00DE108C">
                    <w:rPr>
                      <w:sz w:val="16"/>
                      <w:szCs w:val="16"/>
                    </w:rPr>
                    <w:t>1.9</w:t>
                  </w:r>
                </w:p>
              </w:tc>
              <w:tc>
                <w:tcPr>
                  <w:tcW w:w="1335" w:type="dxa"/>
                  <w:tcBorders>
                    <w:top w:val="single" w:sz="6" w:space="0" w:color="4EC6FF"/>
                    <w:left w:val="nil"/>
                    <w:bottom w:val="single" w:sz="6" w:space="0" w:color="4EC6FF"/>
                    <w:right w:val="nil"/>
                  </w:tcBorders>
                  <w:vAlign w:val="center"/>
                  <w:hideMark/>
                </w:tcPr>
                <w:p w14:paraId="789BF58D" w14:textId="555FCABB" w:rsidR="002D42C1" w:rsidRPr="00DE108C" w:rsidRDefault="002D42C1" w:rsidP="00097A90">
                  <w:pPr>
                    <w:spacing w:before="60" w:after="60"/>
                    <w:jc w:val="center"/>
                    <w:rPr>
                      <w:sz w:val="16"/>
                      <w:szCs w:val="16"/>
                    </w:rPr>
                  </w:pPr>
                  <w:r w:rsidRPr="00DE108C">
                    <w:rPr>
                      <w:sz w:val="16"/>
                      <w:szCs w:val="16"/>
                    </w:rPr>
                    <w:t>2.2</w:t>
                  </w:r>
                </w:p>
              </w:tc>
            </w:tr>
            <w:tr w:rsidR="002D42C1" w:rsidRPr="00DE108C" w14:paraId="7B1AE1C1" w14:textId="77777777" w:rsidTr="00097A90">
              <w:trPr>
                <w:trHeight w:val="300"/>
              </w:trPr>
              <w:tc>
                <w:tcPr>
                  <w:tcW w:w="1335" w:type="dxa"/>
                  <w:tcBorders>
                    <w:top w:val="single" w:sz="6" w:space="0" w:color="4EC6FF"/>
                    <w:left w:val="nil"/>
                    <w:bottom w:val="single" w:sz="6" w:space="0" w:color="4EC6FF"/>
                    <w:right w:val="nil"/>
                  </w:tcBorders>
                  <w:hideMark/>
                </w:tcPr>
                <w:p w14:paraId="27CEEC01"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4840B888" w14:textId="02CDDF94"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75F40EE5" w14:textId="33C5AED9"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2EEC7110" w14:textId="2086590E"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3FBA2EAE" w14:textId="445707D3"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649DA811" w14:textId="380F2DFF"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left w:val="nil"/>
                    <w:bottom w:val="single" w:sz="6" w:space="0" w:color="4EC6FF"/>
                    <w:right w:val="nil"/>
                  </w:tcBorders>
                  <w:vAlign w:val="center"/>
                  <w:hideMark/>
                </w:tcPr>
                <w:p w14:paraId="0F4592BC" w14:textId="587AA9AB" w:rsidR="002D42C1" w:rsidRPr="00DE108C" w:rsidRDefault="002D42C1" w:rsidP="00097A90">
                  <w:pPr>
                    <w:spacing w:before="60" w:after="60"/>
                    <w:jc w:val="center"/>
                    <w:rPr>
                      <w:sz w:val="16"/>
                      <w:szCs w:val="16"/>
                    </w:rPr>
                  </w:pPr>
                  <w:r w:rsidRPr="00DE108C">
                    <w:rPr>
                      <w:sz w:val="16"/>
                      <w:szCs w:val="16"/>
                    </w:rPr>
                    <w:t>0.8</w:t>
                  </w:r>
                </w:p>
              </w:tc>
            </w:tr>
            <w:tr w:rsidR="002D42C1" w:rsidRPr="00DE108C" w14:paraId="1B4D8DBD" w14:textId="77777777" w:rsidTr="00097A90">
              <w:trPr>
                <w:trHeight w:val="300"/>
              </w:trPr>
              <w:tc>
                <w:tcPr>
                  <w:tcW w:w="1335" w:type="dxa"/>
                  <w:tcBorders>
                    <w:top w:val="single" w:sz="6" w:space="0" w:color="4EC6FF"/>
                    <w:left w:val="nil"/>
                    <w:bottom w:val="single" w:sz="6" w:space="0" w:color="4EC6FF"/>
                    <w:right w:val="nil"/>
                  </w:tcBorders>
                  <w:hideMark/>
                </w:tcPr>
                <w:p w14:paraId="51539070" w14:textId="77777777"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0DD9051D" w14:textId="4EB93812" w:rsidR="002D42C1" w:rsidRPr="00DE108C" w:rsidRDefault="002D42C1" w:rsidP="00097A90">
                  <w:pPr>
                    <w:spacing w:before="60" w:after="60"/>
                    <w:jc w:val="center"/>
                    <w:rPr>
                      <w:sz w:val="16"/>
                      <w:szCs w:val="16"/>
                    </w:rPr>
                  </w:pPr>
                  <w:r w:rsidRPr="00DE108C">
                    <w:rPr>
                      <w:sz w:val="16"/>
                      <w:szCs w:val="16"/>
                    </w:rPr>
                    <w:t>1.5</w:t>
                  </w:r>
                </w:p>
              </w:tc>
              <w:tc>
                <w:tcPr>
                  <w:tcW w:w="1335" w:type="dxa"/>
                  <w:tcBorders>
                    <w:top w:val="single" w:sz="6" w:space="0" w:color="4EC6FF"/>
                    <w:left w:val="nil"/>
                    <w:bottom w:val="single" w:sz="6" w:space="0" w:color="4EC6FF"/>
                    <w:right w:val="nil"/>
                  </w:tcBorders>
                  <w:vAlign w:val="center"/>
                  <w:hideMark/>
                </w:tcPr>
                <w:p w14:paraId="59A5D6A4" w14:textId="13E6B392"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4A2838C1" w14:textId="171D3233"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04162287" w14:textId="77FB362C"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6037436C" w14:textId="4B908735"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left w:val="nil"/>
                    <w:bottom w:val="single" w:sz="6" w:space="0" w:color="4EC6FF"/>
                    <w:right w:val="nil"/>
                  </w:tcBorders>
                  <w:vAlign w:val="center"/>
                  <w:hideMark/>
                </w:tcPr>
                <w:p w14:paraId="432270C8" w14:textId="477AF8AF" w:rsidR="002D42C1" w:rsidRPr="00DE108C" w:rsidRDefault="002D42C1" w:rsidP="00097A90">
                  <w:pPr>
                    <w:spacing w:before="60" w:after="60"/>
                    <w:jc w:val="center"/>
                    <w:rPr>
                      <w:sz w:val="16"/>
                      <w:szCs w:val="16"/>
                    </w:rPr>
                  </w:pPr>
                  <w:r w:rsidRPr="00DE108C">
                    <w:rPr>
                      <w:sz w:val="16"/>
                      <w:szCs w:val="16"/>
                    </w:rPr>
                    <w:t>0.8</w:t>
                  </w:r>
                </w:p>
              </w:tc>
            </w:tr>
          </w:tbl>
          <w:p w14:paraId="0943406A" w14:textId="77777777" w:rsidR="002D42C1" w:rsidRPr="00DE108C" w:rsidRDefault="002D42C1" w:rsidP="00ED094E">
            <w:pPr>
              <w:rPr>
                <w:sz w:val="16"/>
                <w:szCs w:val="16"/>
              </w:rPr>
            </w:pPr>
            <w:r w:rsidRPr="00DE108C">
              <w:rPr>
                <w:sz w:val="16"/>
                <w:szCs w:val="16"/>
              </w:rPr>
              <w:t> </w:t>
            </w:r>
          </w:p>
          <w:p w14:paraId="740AD12F" w14:textId="77777777" w:rsidR="002D42C1" w:rsidRPr="00DE108C" w:rsidRDefault="002D42C1">
            <w:pPr>
              <w:rPr>
                <w:sz w:val="16"/>
                <w:szCs w:val="16"/>
              </w:rPr>
            </w:pPr>
          </w:p>
        </w:tc>
        <w:tc>
          <w:tcPr>
            <w:tcW w:w="10742" w:type="dxa"/>
          </w:tcPr>
          <w:p w14:paraId="5E07FE7E" w14:textId="77777777" w:rsidR="002D42C1" w:rsidRPr="00DE108C" w:rsidRDefault="002D42C1" w:rsidP="00ED094E">
            <w:pPr>
              <w:rPr>
                <w:sz w:val="16"/>
                <w:szCs w:val="16"/>
              </w:rPr>
            </w:pPr>
            <w:r w:rsidRPr="00DE108C">
              <w:rPr>
                <w:sz w:val="16"/>
                <w:szCs w:val="16"/>
              </w:rPr>
              <w:lastRenderedPageBreak/>
              <w:t>Typical year-on-year household bill impacts relative to inflation, as a result of Melbourne Water’s proposal are summarised below: </w:t>
            </w:r>
          </w:p>
          <w:tbl>
            <w:tblPr>
              <w:tblW w:w="9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1365"/>
              <w:gridCol w:w="1365"/>
              <w:gridCol w:w="1365"/>
              <w:gridCol w:w="1365"/>
              <w:gridCol w:w="1365"/>
              <w:gridCol w:w="1365"/>
            </w:tblGrid>
            <w:tr w:rsidR="002D42C1" w:rsidRPr="00DE108C" w14:paraId="47E6E932" w14:textId="77777777" w:rsidTr="00ED094E">
              <w:trPr>
                <w:trHeight w:val="300"/>
              </w:trPr>
              <w:tc>
                <w:tcPr>
                  <w:tcW w:w="1365" w:type="dxa"/>
                  <w:tcBorders>
                    <w:top w:val="single" w:sz="6" w:space="0" w:color="4EC6FF"/>
                    <w:left w:val="nil"/>
                    <w:bottom w:val="single" w:sz="6" w:space="0" w:color="4EC6FF"/>
                    <w:right w:val="nil"/>
                  </w:tcBorders>
                  <w:hideMark/>
                </w:tcPr>
                <w:p w14:paraId="73BB22E1" w14:textId="77777777" w:rsidR="002D42C1" w:rsidRPr="00DE108C" w:rsidRDefault="002D42C1" w:rsidP="00ED094E">
                  <w:pPr>
                    <w:spacing w:before="60" w:after="60"/>
                    <w:rPr>
                      <w:sz w:val="16"/>
                      <w:szCs w:val="16"/>
                    </w:rPr>
                  </w:pPr>
                  <w:r w:rsidRPr="00DE108C">
                    <w:rPr>
                      <w:b/>
                      <w:bCs/>
                      <w:sz w:val="16"/>
                      <w:szCs w:val="16"/>
                    </w:rPr>
                    <w:t>Bills</w:t>
                  </w:r>
                  <w:r w:rsidRPr="00DE108C">
                    <w:rPr>
                      <w:sz w:val="16"/>
                      <w:szCs w:val="16"/>
                    </w:rPr>
                    <w:t> </w:t>
                  </w:r>
                </w:p>
              </w:tc>
              <w:tc>
                <w:tcPr>
                  <w:tcW w:w="1365" w:type="dxa"/>
                  <w:tcBorders>
                    <w:top w:val="single" w:sz="6" w:space="0" w:color="4EC6FF"/>
                    <w:left w:val="nil"/>
                    <w:bottom w:val="single" w:sz="6" w:space="0" w:color="4EC6FF"/>
                    <w:right w:val="nil"/>
                  </w:tcBorders>
                  <w:hideMark/>
                </w:tcPr>
                <w:p w14:paraId="6D35FC49" w14:textId="5673B220" w:rsidR="002D42C1" w:rsidRPr="00DE108C" w:rsidRDefault="002D42C1" w:rsidP="008A11C9">
                  <w:pPr>
                    <w:spacing w:before="60" w:after="60"/>
                    <w:jc w:val="center"/>
                    <w:rPr>
                      <w:sz w:val="16"/>
                      <w:szCs w:val="16"/>
                    </w:rPr>
                  </w:pPr>
                  <w:r w:rsidRPr="00DE108C">
                    <w:rPr>
                      <w:b/>
                      <w:bCs/>
                      <w:sz w:val="16"/>
                      <w:szCs w:val="16"/>
                    </w:rPr>
                    <w:t>2025-26</w:t>
                  </w:r>
                </w:p>
              </w:tc>
              <w:tc>
                <w:tcPr>
                  <w:tcW w:w="1365" w:type="dxa"/>
                  <w:tcBorders>
                    <w:top w:val="single" w:sz="6" w:space="0" w:color="4EC6FF"/>
                    <w:left w:val="nil"/>
                    <w:bottom w:val="single" w:sz="6" w:space="0" w:color="4EC6FF"/>
                    <w:right w:val="nil"/>
                  </w:tcBorders>
                  <w:hideMark/>
                </w:tcPr>
                <w:p w14:paraId="4B1C61BF" w14:textId="2A1AE4D3" w:rsidR="002D42C1" w:rsidRPr="00DE108C" w:rsidRDefault="002D42C1" w:rsidP="008A11C9">
                  <w:pPr>
                    <w:spacing w:before="60" w:after="60"/>
                    <w:jc w:val="center"/>
                    <w:rPr>
                      <w:sz w:val="16"/>
                      <w:szCs w:val="16"/>
                    </w:rPr>
                  </w:pPr>
                  <w:r w:rsidRPr="00DE108C">
                    <w:rPr>
                      <w:b/>
                      <w:bCs/>
                      <w:sz w:val="16"/>
                      <w:szCs w:val="16"/>
                    </w:rPr>
                    <w:t>2026-27</w:t>
                  </w:r>
                </w:p>
              </w:tc>
              <w:tc>
                <w:tcPr>
                  <w:tcW w:w="1365" w:type="dxa"/>
                  <w:tcBorders>
                    <w:top w:val="single" w:sz="6" w:space="0" w:color="4EC6FF"/>
                    <w:left w:val="nil"/>
                    <w:bottom w:val="single" w:sz="6" w:space="0" w:color="4EC6FF"/>
                    <w:right w:val="nil"/>
                  </w:tcBorders>
                  <w:hideMark/>
                </w:tcPr>
                <w:p w14:paraId="1ADEC584" w14:textId="1688D1FA" w:rsidR="002D42C1" w:rsidRPr="00DE108C" w:rsidRDefault="002D42C1" w:rsidP="008A11C9">
                  <w:pPr>
                    <w:spacing w:before="60" w:after="60"/>
                    <w:jc w:val="center"/>
                    <w:rPr>
                      <w:sz w:val="16"/>
                      <w:szCs w:val="16"/>
                    </w:rPr>
                  </w:pPr>
                  <w:r w:rsidRPr="00DE108C">
                    <w:rPr>
                      <w:b/>
                      <w:bCs/>
                      <w:sz w:val="16"/>
                      <w:szCs w:val="16"/>
                    </w:rPr>
                    <w:t>2027-28</w:t>
                  </w:r>
                </w:p>
              </w:tc>
              <w:tc>
                <w:tcPr>
                  <w:tcW w:w="1365" w:type="dxa"/>
                  <w:tcBorders>
                    <w:top w:val="single" w:sz="6" w:space="0" w:color="4EC6FF"/>
                    <w:left w:val="nil"/>
                    <w:bottom w:val="single" w:sz="6" w:space="0" w:color="4EC6FF"/>
                    <w:right w:val="nil"/>
                  </w:tcBorders>
                  <w:hideMark/>
                </w:tcPr>
                <w:p w14:paraId="6F4C065B" w14:textId="152083ED" w:rsidR="002D42C1" w:rsidRPr="00DE108C" w:rsidRDefault="002D42C1" w:rsidP="008A11C9">
                  <w:pPr>
                    <w:spacing w:before="60" w:after="60"/>
                    <w:jc w:val="center"/>
                    <w:rPr>
                      <w:sz w:val="16"/>
                      <w:szCs w:val="16"/>
                    </w:rPr>
                  </w:pPr>
                  <w:r w:rsidRPr="00DE108C">
                    <w:rPr>
                      <w:b/>
                      <w:bCs/>
                      <w:sz w:val="16"/>
                      <w:szCs w:val="16"/>
                    </w:rPr>
                    <w:t>2028-29</w:t>
                  </w:r>
                </w:p>
              </w:tc>
              <w:tc>
                <w:tcPr>
                  <w:tcW w:w="1365" w:type="dxa"/>
                  <w:tcBorders>
                    <w:top w:val="single" w:sz="6" w:space="0" w:color="4EC6FF"/>
                    <w:left w:val="nil"/>
                    <w:bottom w:val="single" w:sz="6" w:space="0" w:color="4EC6FF"/>
                    <w:right w:val="nil"/>
                  </w:tcBorders>
                  <w:hideMark/>
                </w:tcPr>
                <w:p w14:paraId="529CD41B" w14:textId="78E085A1" w:rsidR="002D42C1" w:rsidRPr="00DE108C" w:rsidRDefault="002D42C1" w:rsidP="008A11C9">
                  <w:pPr>
                    <w:spacing w:before="60" w:after="60"/>
                    <w:jc w:val="center"/>
                    <w:rPr>
                      <w:sz w:val="16"/>
                      <w:szCs w:val="16"/>
                    </w:rPr>
                  </w:pPr>
                  <w:r w:rsidRPr="00DE108C">
                    <w:rPr>
                      <w:b/>
                      <w:bCs/>
                      <w:sz w:val="16"/>
                      <w:szCs w:val="16"/>
                    </w:rPr>
                    <w:t>2029-30</w:t>
                  </w:r>
                </w:p>
              </w:tc>
              <w:tc>
                <w:tcPr>
                  <w:tcW w:w="1365" w:type="dxa"/>
                  <w:tcBorders>
                    <w:top w:val="single" w:sz="6" w:space="0" w:color="4EC6FF"/>
                    <w:left w:val="nil"/>
                    <w:bottom w:val="single" w:sz="6" w:space="0" w:color="4EC6FF"/>
                    <w:right w:val="nil"/>
                  </w:tcBorders>
                  <w:hideMark/>
                </w:tcPr>
                <w:p w14:paraId="6582042C" w14:textId="60B4FB6C" w:rsidR="002D42C1" w:rsidRPr="00DE108C" w:rsidRDefault="002D42C1" w:rsidP="008A11C9">
                  <w:pPr>
                    <w:spacing w:before="60" w:after="60"/>
                    <w:jc w:val="center"/>
                    <w:rPr>
                      <w:sz w:val="16"/>
                      <w:szCs w:val="16"/>
                    </w:rPr>
                  </w:pPr>
                  <w:r w:rsidRPr="00DE108C">
                    <w:rPr>
                      <w:b/>
                      <w:bCs/>
                      <w:sz w:val="16"/>
                      <w:szCs w:val="16"/>
                    </w:rPr>
                    <w:t>2030-31</w:t>
                  </w:r>
                </w:p>
              </w:tc>
            </w:tr>
            <w:tr w:rsidR="002D42C1" w:rsidRPr="00DE108C" w14:paraId="29FB897D" w14:textId="77777777" w:rsidTr="00ED094E">
              <w:trPr>
                <w:trHeight w:val="300"/>
              </w:trPr>
              <w:tc>
                <w:tcPr>
                  <w:tcW w:w="1365" w:type="dxa"/>
                  <w:tcBorders>
                    <w:top w:val="single" w:sz="6" w:space="0" w:color="4EC6FF"/>
                    <w:left w:val="nil"/>
                    <w:bottom w:val="single" w:sz="6" w:space="0" w:color="4EC6FF"/>
                    <w:right w:val="nil"/>
                  </w:tcBorders>
                  <w:hideMark/>
                </w:tcPr>
                <w:p w14:paraId="008CFB82" w14:textId="38A844FC"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3B99639F" w14:textId="77777777" w:rsidR="002D42C1" w:rsidRPr="00DE108C" w:rsidRDefault="002D42C1" w:rsidP="008A11C9">
                  <w:pPr>
                    <w:spacing w:before="60" w:after="60"/>
                    <w:jc w:val="right"/>
                    <w:rPr>
                      <w:sz w:val="16"/>
                      <w:szCs w:val="16"/>
                    </w:rPr>
                  </w:pPr>
                  <w:r w:rsidRPr="00DE108C">
                    <w:rPr>
                      <w:sz w:val="16"/>
                      <w:szCs w:val="16"/>
                    </w:rPr>
                    <w:t>$1,110 </w:t>
                  </w:r>
                </w:p>
              </w:tc>
              <w:tc>
                <w:tcPr>
                  <w:tcW w:w="1365" w:type="dxa"/>
                  <w:tcBorders>
                    <w:top w:val="single" w:sz="6" w:space="0" w:color="4EC6FF"/>
                    <w:left w:val="nil"/>
                    <w:bottom w:val="single" w:sz="6" w:space="0" w:color="4EC6FF"/>
                    <w:right w:val="nil"/>
                  </w:tcBorders>
                  <w:vAlign w:val="center"/>
                  <w:hideMark/>
                </w:tcPr>
                <w:p w14:paraId="068FA9DA" w14:textId="023F7A98"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5073BC07" w14:textId="60BF4978"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03013C5A" w14:textId="2FEA1BA7" w:rsidR="002D42C1" w:rsidRPr="00DE108C" w:rsidRDefault="008A11C9" w:rsidP="008A11C9">
                  <w:pPr>
                    <w:spacing w:before="60" w:after="60"/>
                    <w:jc w:val="right"/>
                    <w:rPr>
                      <w:sz w:val="16"/>
                      <w:szCs w:val="16"/>
                    </w:rPr>
                  </w:pPr>
                  <w:r w:rsidRPr="0091606C">
                    <w:rPr>
                      <w:rFonts w:eastAsiaTheme="minorEastAsia"/>
                      <w:sz w:val="16"/>
                      <w:szCs w:val="16"/>
                    </w:rPr>
                    <w:t>0</w:t>
                  </w:r>
                  <w:r w:rsidRPr="0091606C">
                    <w:rPr>
                      <w:color w:val="auto"/>
                      <w:sz w:val="16"/>
                      <w:szCs w:val="16"/>
                    </w:rPr>
                    <w:t>.9</w:t>
                  </w:r>
                  <w:r w:rsidRPr="0091606C">
                    <w:rPr>
                      <w:rFonts w:eastAsiaTheme="minorEastAsia"/>
                      <w:sz w:val="16"/>
                      <w:szCs w:val="16"/>
                    </w:rPr>
                    <w:t>%</w:t>
                  </w:r>
                </w:p>
              </w:tc>
              <w:tc>
                <w:tcPr>
                  <w:tcW w:w="1365" w:type="dxa"/>
                  <w:tcBorders>
                    <w:top w:val="single" w:sz="6" w:space="0" w:color="4EC6FF"/>
                    <w:left w:val="nil"/>
                    <w:bottom w:val="single" w:sz="6" w:space="0" w:color="4EC6FF"/>
                    <w:right w:val="nil"/>
                  </w:tcBorders>
                  <w:vAlign w:val="center"/>
                  <w:hideMark/>
                </w:tcPr>
                <w:p w14:paraId="6174FA12" w14:textId="2D65C7FE" w:rsidR="002D42C1" w:rsidRPr="00DE108C" w:rsidRDefault="002D42C1" w:rsidP="008A11C9">
                  <w:pPr>
                    <w:spacing w:before="60" w:after="60"/>
                    <w:jc w:val="right"/>
                    <w:rPr>
                      <w:sz w:val="16"/>
                      <w:szCs w:val="16"/>
                    </w:rPr>
                  </w:pPr>
                  <w:r w:rsidRPr="00DE108C">
                    <w:rPr>
                      <w:sz w:val="16"/>
                      <w:szCs w:val="16"/>
                    </w:rPr>
                    <w:t>0.9%</w:t>
                  </w:r>
                </w:p>
              </w:tc>
              <w:tc>
                <w:tcPr>
                  <w:tcW w:w="1365" w:type="dxa"/>
                  <w:tcBorders>
                    <w:top w:val="single" w:sz="6" w:space="0" w:color="4EC6FF"/>
                    <w:left w:val="nil"/>
                    <w:bottom w:val="single" w:sz="6" w:space="0" w:color="4EC6FF"/>
                    <w:right w:val="nil"/>
                  </w:tcBorders>
                  <w:vAlign w:val="center"/>
                  <w:hideMark/>
                </w:tcPr>
                <w:p w14:paraId="5FAA7947" w14:textId="490A1A48" w:rsidR="002D42C1" w:rsidRPr="00DE108C" w:rsidRDefault="002D42C1" w:rsidP="008A11C9">
                  <w:pPr>
                    <w:spacing w:before="60" w:after="60"/>
                    <w:jc w:val="right"/>
                    <w:rPr>
                      <w:sz w:val="16"/>
                      <w:szCs w:val="16"/>
                    </w:rPr>
                  </w:pPr>
                  <w:r w:rsidRPr="0091606C">
                    <w:rPr>
                      <w:rFonts w:eastAsiaTheme="minorEastAsia"/>
                      <w:sz w:val="16"/>
                      <w:szCs w:val="16"/>
                    </w:rPr>
                    <w:t>0.</w:t>
                  </w:r>
                  <w:r w:rsidR="008A11C9" w:rsidRPr="0091606C">
                    <w:rPr>
                      <w:color w:val="auto"/>
                      <w:sz w:val="16"/>
                      <w:szCs w:val="16"/>
                    </w:rPr>
                    <w:t>8</w:t>
                  </w:r>
                  <w:r w:rsidR="008A11C9" w:rsidRPr="0091606C">
                    <w:rPr>
                      <w:rFonts w:eastAsiaTheme="minorEastAsia"/>
                      <w:sz w:val="16"/>
                      <w:szCs w:val="16"/>
                    </w:rPr>
                    <w:t>%</w:t>
                  </w:r>
                </w:p>
              </w:tc>
            </w:tr>
            <w:tr w:rsidR="002D42C1" w:rsidRPr="00DE108C" w14:paraId="716A82E4" w14:textId="77777777" w:rsidTr="00ED094E">
              <w:trPr>
                <w:trHeight w:val="300"/>
              </w:trPr>
              <w:tc>
                <w:tcPr>
                  <w:tcW w:w="1365" w:type="dxa"/>
                  <w:tcBorders>
                    <w:top w:val="single" w:sz="6" w:space="0" w:color="4EC6FF"/>
                    <w:left w:val="nil"/>
                    <w:bottom w:val="single" w:sz="6" w:space="0" w:color="4EC6FF"/>
                    <w:right w:val="nil"/>
                  </w:tcBorders>
                  <w:hideMark/>
                </w:tcPr>
                <w:p w14:paraId="31D63B15" w14:textId="71775C23"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02A550BA" w14:textId="77777777" w:rsidR="002D42C1" w:rsidRPr="00DE108C" w:rsidRDefault="002D42C1" w:rsidP="008A11C9">
                  <w:pPr>
                    <w:spacing w:before="60" w:after="60"/>
                    <w:jc w:val="right"/>
                    <w:rPr>
                      <w:sz w:val="16"/>
                      <w:szCs w:val="16"/>
                    </w:rPr>
                  </w:pPr>
                  <w:r w:rsidRPr="00DE108C">
                    <w:rPr>
                      <w:sz w:val="16"/>
                      <w:szCs w:val="16"/>
                    </w:rPr>
                    <w:t>$1,057 </w:t>
                  </w:r>
                </w:p>
              </w:tc>
              <w:tc>
                <w:tcPr>
                  <w:tcW w:w="1365" w:type="dxa"/>
                  <w:tcBorders>
                    <w:top w:val="single" w:sz="6" w:space="0" w:color="4EC6FF"/>
                    <w:left w:val="nil"/>
                    <w:bottom w:val="single" w:sz="6" w:space="0" w:color="4EC6FF"/>
                    <w:right w:val="nil"/>
                  </w:tcBorders>
                  <w:vAlign w:val="center"/>
                  <w:hideMark/>
                </w:tcPr>
                <w:p w14:paraId="1B16969C" w14:textId="7E5B4AE8"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4C9CAA80" w14:textId="60825B97"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3145DA73" w14:textId="25F6C916" w:rsidR="002D42C1" w:rsidRPr="00DE108C" w:rsidRDefault="002D42C1" w:rsidP="008A11C9">
                  <w:pPr>
                    <w:spacing w:before="60" w:after="60"/>
                    <w:jc w:val="right"/>
                    <w:rPr>
                      <w:sz w:val="16"/>
                      <w:szCs w:val="16"/>
                    </w:rPr>
                  </w:pPr>
                  <w:r w:rsidRPr="00DE108C">
                    <w:rPr>
                      <w:sz w:val="16"/>
                      <w:szCs w:val="16"/>
                    </w:rPr>
                    <w:t>0.</w:t>
                  </w:r>
                  <w:r w:rsidR="001471D2" w:rsidRPr="00510FDD">
                    <w:rPr>
                      <w:color w:val="auto"/>
                      <w:sz w:val="16"/>
                      <w:szCs w:val="16"/>
                    </w:rPr>
                    <w:t>1</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5FDA4178" w14:textId="48FC953D"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530E94AD" w14:textId="290D34CE" w:rsidR="002D42C1" w:rsidRPr="00DE108C" w:rsidRDefault="002D42C1" w:rsidP="008A11C9">
                  <w:pPr>
                    <w:spacing w:before="60" w:after="60"/>
                    <w:jc w:val="right"/>
                    <w:rPr>
                      <w:sz w:val="16"/>
                      <w:szCs w:val="16"/>
                    </w:rPr>
                  </w:pPr>
                  <w:r w:rsidRPr="00DE108C">
                    <w:rPr>
                      <w:sz w:val="16"/>
                      <w:szCs w:val="16"/>
                    </w:rPr>
                    <w:t>0.1%</w:t>
                  </w:r>
                </w:p>
              </w:tc>
            </w:tr>
            <w:tr w:rsidR="002D42C1" w:rsidRPr="00DE108C" w14:paraId="6B6408C5" w14:textId="77777777" w:rsidTr="00ED094E">
              <w:trPr>
                <w:trHeight w:val="300"/>
              </w:trPr>
              <w:tc>
                <w:tcPr>
                  <w:tcW w:w="1365" w:type="dxa"/>
                  <w:tcBorders>
                    <w:top w:val="single" w:sz="6" w:space="0" w:color="4EC6FF"/>
                    <w:left w:val="nil"/>
                    <w:bottom w:val="single" w:sz="6" w:space="0" w:color="4EC6FF"/>
                    <w:right w:val="nil"/>
                  </w:tcBorders>
                  <w:hideMark/>
                </w:tcPr>
                <w:p w14:paraId="1E2C6110"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27945C96" w14:textId="77777777" w:rsidR="002D42C1" w:rsidRPr="00DE108C" w:rsidRDefault="002D42C1" w:rsidP="008A11C9">
                  <w:pPr>
                    <w:spacing w:before="60" w:after="60"/>
                    <w:jc w:val="right"/>
                    <w:rPr>
                      <w:sz w:val="16"/>
                      <w:szCs w:val="16"/>
                    </w:rPr>
                  </w:pPr>
                  <w:r w:rsidRPr="00DE108C">
                    <w:rPr>
                      <w:sz w:val="16"/>
                      <w:szCs w:val="16"/>
                    </w:rPr>
                    <w:t>$1,114 </w:t>
                  </w:r>
                </w:p>
              </w:tc>
              <w:tc>
                <w:tcPr>
                  <w:tcW w:w="1365" w:type="dxa"/>
                  <w:tcBorders>
                    <w:top w:val="single" w:sz="6" w:space="0" w:color="4EC6FF"/>
                    <w:left w:val="nil"/>
                    <w:bottom w:val="single" w:sz="6" w:space="0" w:color="4EC6FF"/>
                    <w:right w:val="nil"/>
                  </w:tcBorders>
                  <w:vAlign w:val="center"/>
                  <w:hideMark/>
                </w:tcPr>
                <w:p w14:paraId="01B09BB2" w14:textId="359744F8"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6F51ADCA" w14:textId="65EE5BAF"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2B850C15" w14:textId="2E3DEE1C" w:rsidR="002D42C1" w:rsidRPr="00DE108C" w:rsidRDefault="002D42C1" w:rsidP="008A11C9">
                  <w:pPr>
                    <w:spacing w:before="60" w:after="60"/>
                    <w:jc w:val="right"/>
                    <w:rPr>
                      <w:sz w:val="16"/>
                      <w:szCs w:val="16"/>
                    </w:rPr>
                  </w:pPr>
                  <w:r w:rsidRPr="0091606C">
                    <w:rPr>
                      <w:rFonts w:eastAsiaTheme="minorEastAsia"/>
                      <w:sz w:val="16"/>
                      <w:szCs w:val="16"/>
                    </w:rPr>
                    <w:t>-0.</w:t>
                  </w:r>
                  <w:r w:rsidR="008A11C9" w:rsidRPr="0091606C">
                    <w:rPr>
                      <w:color w:val="auto"/>
                      <w:sz w:val="16"/>
                      <w:szCs w:val="16"/>
                    </w:rPr>
                    <w:t>7</w:t>
                  </w:r>
                  <w:r w:rsidR="008A11C9" w:rsidRPr="0091606C">
                    <w:rPr>
                      <w:rFonts w:eastAsiaTheme="minorEastAsia"/>
                      <w:sz w:val="16"/>
                      <w:szCs w:val="16"/>
                    </w:rPr>
                    <w:t>%</w:t>
                  </w:r>
                </w:p>
              </w:tc>
              <w:tc>
                <w:tcPr>
                  <w:tcW w:w="1365" w:type="dxa"/>
                  <w:tcBorders>
                    <w:top w:val="single" w:sz="6" w:space="0" w:color="4EC6FF"/>
                    <w:left w:val="nil"/>
                    <w:bottom w:val="single" w:sz="6" w:space="0" w:color="4EC6FF"/>
                    <w:right w:val="nil"/>
                  </w:tcBorders>
                  <w:vAlign w:val="center"/>
                  <w:hideMark/>
                </w:tcPr>
                <w:p w14:paraId="2A2D4930" w14:textId="0D9C69F6"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7</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265D7BD3" w14:textId="571E79EF"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8</w:t>
                  </w:r>
                  <w:r w:rsidRPr="00DE108C">
                    <w:rPr>
                      <w:sz w:val="16"/>
                      <w:szCs w:val="16"/>
                    </w:rPr>
                    <w:t>%</w:t>
                  </w:r>
                </w:p>
              </w:tc>
            </w:tr>
            <w:tr w:rsidR="002D42C1" w:rsidRPr="00DE108C" w14:paraId="280C8E5B" w14:textId="77777777" w:rsidTr="00ED094E">
              <w:trPr>
                <w:trHeight w:val="300"/>
              </w:trPr>
              <w:tc>
                <w:tcPr>
                  <w:tcW w:w="1365" w:type="dxa"/>
                  <w:tcBorders>
                    <w:top w:val="single" w:sz="6" w:space="0" w:color="4EC6FF"/>
                    <w:left w:val="nil"/>
                    <w:bottom w:val="single" w:sz="6" w:space="0" w:color="4EC6FF"/>
                    <w:right w:val="nil"/>
                  </w:tcBorders>
                  <w:shd w:val="clear" w:color="auto" w:fill="46C2D7"/>
                  <w:hideMark/>
                </w:tcPr>
                <w:p w14:paraId="77B15377" w14:textId="7B29FED8"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65" w:type="dxa"/>
                  <w:tcBorders>
                    <w:top w:val="single" w:sz="6" w:space="0" w:color="4EC6FF"/>
                    <w:left w:val="nil"/>
                    <w:bottom w:val="single" w:sz="6" w:space="0" w:color="4EC6FF"/>
                    <w:right w:val="nil"/>
                  </w:tcBorders>
                  <w:shd w:val="clear" w:color="auto" w:fill="46C2D7"/>
                  <w:vAlign w:val="center"/>
                  <w:hideMark/>
                </w:tcPr>
                <w:p w14:paraId="68DBFDA1" w14:textId="77777777" w:rsidR="002D42C1" w:rsidRPr="00DE108C" w:rsidRDefault="002D42C1" w:rsidP="008A11C9">
                  <w:pPr>
                    <w:spacing w:before="60" w:after="60"/>
                    <w:jc w:val="right"/>
                    <w:rPr>
                      <w:sz w:val="16"/>
                      <w:szCs w:val="16"/>
                    </w:rPr>
                  </w:pPr>
                  <w:r w:rsidRPr="00DE108C">
                    <w:rPr>
                      <w:sz w:val="16"/>
                      <w:szCs w:val="16"/>
                    </w:rPr>
                    <w:t>$1,183 </w:t>
                  </w:r>
                </w:p>
              </w:tc>
              <w:tc>
                <w:tcPr>
                  <w:tcW w:w="1365" w:type="dxa"/>
                  <w:tcBorders>
                    <w:top w:val="single" w:sz="6" w:space="0" w:color="4EC6FF"/>
                    <w:left w:val="nil"/>
                    <w:bottom w:val="single" w:sz="6" w:space="0" w:color="4EC6FF"/>
                    <w:right w:val="nil"/>
                  </w:tcBorders>
                  <w:shd w:val="clear" w:color="auto" w:fill="46C2D7"/>
                  <w:vAlign w:val="center"/>
                  <w:hideMark/>
                </w:tcPr>
                <w:p w14:paraId="5A9DFE00" w14:textId="76DA2855" w:rsidR="002D42C1" w:rsidRPr="00DE108C" w:rsidRDefault="002D42C1" w:rsidP="008A11C9">
                  <w:pPr>
                    <w:spacing w:before="60" w:after="60"/>
                    <w:jc w:val="right"/>
                    <w:rPr>
                      <w:sz w:val="16"/>
                      <w:szCs w:val="16"/>
                    </w:rPr>
                  </w:pPr>
                  <w:r w:rsidRPr="00DE108C">
                    <w:rPr>
                      <w:sz w:val="16"/>
                      <w:szCs w:val="16"/>
                    </w:rPr>
                    <w:t>-0.3%</w:t>
                  </w:r>
                </w:p>
              </w:tc>
              <w:tc>
                <w:tcPr>
                  <w:tcW w:w="1365" w:type="dxa"/>
                  <w:tcBorders>
                    <w:top w:val="single" w:sz="6" w:space="0" w:color="4EC6FF"/>
                    <w:left w:val="nil"/>
                    <w:bottom w:val="single" w:sz="6" w:space="0" w:color="4EC6FF"/>
                    <w:right w:val="nil"/>
                  </w:tcBorders>
                  <w:shd w:val="clear" w:color="auto" w:fill="46C2D7"/>
                  <w:vAlign w:val="center"/>
                  <w:hideMark/>
                </w:tcPr>
                <w:p w14:paraId="7A263125" w14:textId="7D7FD16D"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shd w:val="clear" w:color="auto" w:fill="46C2D7"/>
                  <w:vAlign w:val="center"/>
                  <w:hideMark/>
                </w:tcPr>
                <w:p w14:paraId="26384EE8" w14:textId="235078B6"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shd w:val="clear" w:color="auto" w:fill="46C2D7"/>
                  <w:vAlign w:val="center"/>
                  <w:hideMark/>
                </w:tcPr>
                <w:p w14:paraId="5937D480" w14:textId="12C9E15E"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shd w:val="clear" w:color="auto" w:fill="46C2D7"/>
                  <w:vAlign w:val="center"/>
                  <w:hideMark/>
                </w:tcPr>
                <w:p w14:paraId="4DE01182" w14:textId="19A4CAAB" w:rsidR="002D42C1" w:rsidRPr="00DE108C" w:rsidRDefault="002D42C1" w:rsidP="008A11C9">
                  <w:pPr>
                    <w:spacing w:before="60" w:after="60"/>
                    <w:jc w:val="right"/>
                    <w:rPr>
                      <w:sz w:val="16"/>
                      <w:szCs w:val="16"/>
                    </w:rPr>
                  </w:pPr>
                  <w:r w:rsidRPr="00DE108C">
                    <w:rPr>
                      <w:sz w:val="16"/>
                      <w:szCs w:val="16"/>
                    </w:rPr>
                    <w:t>0.4%</w:t>
                  </w:r>
                </w:p>
              </w:tc>
            </w:tr>
            <w:tr w:rsidR="002D42C1" w:rsidRPr="00DE108C" w14:paraId="646ED31F" w14:textId="77777777" w:rsidTr="00ED094E">
              <w:trPr>
                <w:trHeight w:val="300"/>
              </w:trPr>
              <w:tc>
                <w:tcPr>
                  <w:tcW w:w="1365" w:type="dxa"/>
                  <w:tcBorders>
                    <w:top w:val="single" w:sz="6" w:space="0" w:color="4EC6FF"/>
                    <w:left w:val="nil"/>
                    <w:bottom w:val="single" w:sz="6" w:space="0" w:color="4EC6FF"/>
                    <w:right w:val="nil"/>
                  </w:tcBorders>
                  <w:hideMark/>
                </w:tcPr>
                <w:p w14:paraId="04BE02A4" w14:textId="6DE0431F"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08780F4B" w14:textId="77777777" w:rsidR="002D42C1" w:rsidRPr="00DE108C" w:rsidRDefault="002D42C1" w:rsidP="008A11C9">
                  <w:pPr>
                    <w:spacing w:before="60" w:after="60"/>
                    <w:jc w:val="right"/>
                    <w:rPr>
                      <w:sz w:val="16"/>
                      <w:szCs w:val="16"/>
                    </w:rPr>
                  </w:pPr>
                  <w:r w:rsidRPr="00DE108C">
                    <w:rPr>
                      <w:sz w:val="16"/>
                      <w:szCs w:val="16"/>
                    </w:rPr>
                    <w:t>$1,405 </w:t>
                  </w:r>
                </w:p>
              </w:tc>
              <w:tc>
                <w:tcPr>
                  <w:tcW w:w="1365" w:type="dxa"/>
                  <w:tcBorders>
                    <w:top w:val="single" w:sz="6" w:space="0" w:color="4EC6FF"/>
                    <w:left w:val="nil"/>
                    <w:bottom w:val="single" w:sz="6" w:space="0" w:color="4EC6FF"/>
                    <w:right w:val="nil"/>
                  </w:tcBorders>
                  <w:vAlign w:val="center"/>
                  <w:hideMark/>
                </w:tcPr>
                <w:p w14:paraId="00EF6F31" w14:textId="243DAB2F" w:rsidR="002D42C1" w:rsidRPr="00DE108C" w:rsidRDefault="002D42C1" w:rsidP="008A11C9">
                  <w:pPr>
                    <w:spacing w:before="60" w:after="60"/>
                    <w:jc w:val="right"/>
                    <w:rPr>
                      <w:sz w:val="16"/>
                      <w:szCs w:val="16"/>
                    </w:rPr>
                  </w:pPr>
                  <w:r w:rsidRPr="00DE108C">
                    <w:rPr>
                      <w:sz w:val="16"/>
                      <w:szCs w:val="16"/>
                    </w:rPr>
                    <w:t>1.6%</w:t>
                  </w:r>
                </w:p>
              </w:tc>
              <w:tc>
                <w:tcPr>
                  <w:tcW w:w="1365" w:type="dxa"/>
                  <w:tcBorders>
                    <w:top w:val="single" w:sz="6" w:space="0" w:color="4EC6FF"/>
                    <w:left w:val="nil"/>
                    <w:bottom w:val="single" w:sz="6" w:space="0" w:color="4EC6FF"/>
                    <w:right w:val="nil"/>
                  </w:tcBorders>
                  <w:vAlign w:val="center"/>
                  <w:hideMark/>
                </w:tcPr>
                <w:p w14:paraId="7C894E17" w14:textId="7553A088" w:rsidR="002D42C1" w:rsidRPr="00DE108C" w:rsidRDefault="002D42C1" w:rsidP="008A11C9">
                  <w:pPr>
                    <w:spacing w:before="60" w:after="60"/>
                    <w:jc w:val="right"/>
                    <w:rPr>
                      <w:sz w:val="16"/>
                      <w:szCs w:val="16"/>
                    </w:rPr>
                  </w:pPr>
                  <w:r w:rsidRPr="00DE108C">
                    <w:rPr>
                      <w:sz w:val="16"/>
                      <w:szCs w:val="16"/>
                    </w:rPr>
                    <w:t>0.6%</w:t>
                  </w:r>
                </w:p>
              </w:tc>
              <w:tc>
                <w:tcPr>
                  <w:tcW w:w="1365" w:type="dxa"/>
                  <w:tcBorders>
                    <w:top w:val="single" w:sz="6" w:space="0" w:color="4EC6FF"/>
                    <w:left w:val="nil"/>
                    <w:bottom w:val="single" w:sz="6" w:space="0" w:color="4EC6FF"/>
                    <w:right w:val="nil"/>
                  </w:tcBorders>
                  <w:vAlign w:val="center"/>
                  <w:hideMark/>
                </w:tcPr>
                <w:p w14:paraId="3A85B767" w14:textId="24A1645F" w:rsidR="002D42C1" w:rsidRPr="00DE108C" w:rsidRDefault="002D42C1" w:rsidP="008A11C9">
                  <w:pPr>
                    <w:spacing w:before="60" w:after="60"/>
                    <w:jc w:val="right"/>
                    <w:rPr>
                      <w:sz w:val="16"/>
                      <w:szCs w:val="16"/>
                    </w:rPr>
                  </w:pPr>
                  <w:r w:rsidRPr="00DE108C">
                    <w:rPr>
                      <w:sz w:val="16"/>
                      <w:szCs w:val="16"/>
                    </w:rPr>
                    <w:t>0.7%</w:t>
                  </w:r>
                </w:p>
              </w:tc>
              <w:tc>
                <w:tcPr>
                  <w:tcW w:w="1365" w:type="dxa"/>
                  <w:tcBorders>
                    <w:top w:val="single" w:sz="6" w:space="0" w:color="4EC6FF"/>
                    <w:left w:val="nil"/>
                    <w:bottom w:val="single" w:sz="6" w:space="0" w:color="4EC6FF"/>
                    <w:right w:val="nil"/>
                  </w:tcBorders>
                  <w:vAlign w:val="center"/>
                  <w:hideMark/>
                </w:tcPr>
                <w:p w14:paraId="36D9B0C7" w14:textId="7C4B4CB0" w:rsidR="002D42C1" w:rsidRPr="00DE108C" w:rsidRDefault="002D42C1" w:rsidP="008A11C9">
                  <w:pPr>
                    <w:spacing w:before="60" w:after="60"/>
                    <w:jc w:val="right"/>
                    <w:rPr>
                      <w:sz w:val="16"/>
                      <w:szCs w:val="16"/>
                    </w:rPr>
                  </w:pPr>
                  <w:r w:rsidRPr="00DE108C">
                    <w:rPr>
                      <w:sz w:val="16"/>
                      <w:szCs w:val="16"/>
                    </w:rPr>
                    <w:t>0.9%</w:t>
                  </w:r>
                </w:p>
              </w:tc>
              <w:tc>
                <w:tcPr>
                  <w:tcW w:w="1365" w:type="dxa"/>
                  <w:tcBorders>
                    <w:top w:val="single" w:sz="6" w:space="0" w:color="4EC6FF"/>
                    <w:left w:val="nil"/>
                    <w:bottom w:val="single" w:sz="6" w:space="0" w:color="4EC6FF"/>
                    <w:right w:val="nil"/>
                  </w:tcBorders>
                  <w:vAlign w:val="center"/>
                  <w:hideMark/>
                </w:tcPr>
                <w:p w14:paraId="585F8B46" w14:textId="300F031A" w:rsidR="002D42C1" w:rsidRPr="00DE108C" w:rsidRDefault="002D42C1" w:rsidP="008A11C9">
                  <w:pPr>
                    <w:spacing w:before="60" w:after="60"/>
                    <w:jc w:val="right"/>
                    <w:rPr>
                      <w:sz w:val="16"/>
                      <w:szCs w:val="16"/>
                    </w:rPr>
                  </w:pPr>
                  <w:r w:rsidRPr="00DE108C">
                    <w:rPr>
                      <w:sz w:val="16"/>
                      <w:szCs w:val="16"/>
                    </w:rPr>
                    <w:t>1.1%</w:t>
                  </w:r>
                </w:p>
              </w:tc>
            </w:tr>
            <w:tr w:rsidR="002D42C1" w:rsidRPr="00DE108C" w14:paraId="76490A4F" w14:textId="77777777" w:rsidTr="00ED094E">
              <w:trPr>
                <w:trHeight w:val="300"/>
              </w:trPr>
              <w:tc>
                <w:tcPr>
                  <w:tcW w:w="1365" w:type="dxa"/>
                  <w:tcBorders>
                    <w:top w:val="single" w:sz="6" w:space="0" w:color="4EC6FF"/>
                    <w:left w:val="nil"/>
                    <w:bottom w:val="single" w:sz="6" w:space="0" w:color="4EC6FF"/>
                    <w:right w:val="nil"/>
                  </w:tcBorders>
                  <w:hideMark/>
                </w:tcPr>
                <w:p w14:paraId="0AA62C2C"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23F95AA5" w14:textId="77777777" w:rsidR="002D42C1" w:rsidRPr="00DE108C" w:rsidRDefault="002D42C1" w:rsidP="008A11C9">
                  <w:pPr>
                    <w:spacing w:before="60" w:after="60"/>
                    <w:jc w:val="right"/>
                    <w:rPr>
                      <w:sz w:val="16"/>
                      <w:szCs w:val="16"/>
                    </w:rPr>
                  </w:pPr>
                  <w:r w:rsidRPr="00DE108C">
                    <w:rPr>
                      <w:sz w:val="16"/>
                      <w:szCs w:val="16"/>
                    </w:rPr>
                    <w:t>$1,394 </w:t>
                  </w:r>
                </w:p>
              </w:tc>
              <w:tc>
                <w:tcPr>
                  <w:tcW w:w="1365" w:type="dxa"/>
                  <w:tcBorders>
                    <w:top w:val="single" w:sz="6" w:space="0" w:color="4EC6FF"/>
                    <w:left w:val="nil"/>
                    <w:bottom w:val="single" w:sz="6" w:space="0" w:color="4EC6FF"/>
                    <w:right w:val="nil"/>
                  </w:tcBorders>
                  <w:vAlign w:val="center"/>
                  <w:hideMark/>
                </w:tcPr>
                <w:p w14:paraId="30172A6F" w14:textId="5A13BDA5" w:rsidR="002D42C1" w:rsidRPr="00DE108C" w:rsidRDefault="002D42C1" w:rsidP="008A11C9">
                  <w:pPr>
                    <w:spacing w:before="60" w:after="60"/>
                    <w:jc w:val="right"/>
                    <w:rPr>
                      <w:sz w:val="16"/>
                      <w:szCs w:val="16"/>
                    </w:rPr>
                  </w:pP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03C3AA89" w14:textId="5AE7F39C"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047204D1" w14:textId="47A03FC4"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252F7E80" w14:textId="487D9732" w:rsidR="002D42C1" w:rsidRPr="00DE108C" w:rsidRDefault="002D42C1" w:rsidP="008A11C9">
                  <w:pPr>
                    <w:spacing w:before="60" w:after="60"/>
                    <w:jc w:val="right"/>
                    <w:rPr>
                      <w:sz w:val="16"/>
                      <w:szCs w:val="16"/>
                    </w:rPr>
                  </w:pPr>
                  <w:r w:rsidRPr="00DE108C">
                    <w:rPr>
                      <w:sz w:val="16"/>
                      <w:szCs w:val="16"/>
                    </w:rPr>
                    <w:t>0.2%</w:t>
                  </w:r>
                </w:p>
              </w:tc>
              <w:tc>
                <w:tcPr>
                  <w:tcW w:w="1365" w:type="dxa"/>
                  <w:tcBorders>
                    <w:top w:val="single" w:sz="6" w:space="0" w:color="4EC6FF"/>
                    <w:left w:val="nil"/>
                    <w:bottom w:val="single" w:sz="6" w:space="0" w:color="4EC6FF"/>
                    <w:right w:val="nil"/>
                  </w:tcBorders>
                  <w:vAlign w:val="center"/>
                  <w:hideMark/>
                </w:tcPr>
                <w:p w14:paraId="2A14AD4C" w14:textId="43CB1133" w:rsidR="002D42C1" w:rsidRPr="00DE108C" w:rsidRDefault="002D42C1" w:rsidP="008A11C9">
                  <w:pPr>
                    <w:spacing w:before="60" w:after="60"/>
                    <w:jc w:val="right"/>
                    <w:rPr>
                      <w:sz w:val="16"/>
                      <w:szCs w:val="16"/>
                    </w:rPr>
                  </w:pPr>
                  <w:r w:rsidRPr="00DE108C">
                    <w:rPr>
                      <w:sz w:val="16"/>
                      <w:szCs w:val="16"/>
                    </w:rPr>
                    <w:t>0.2%</w:t>
                  </w:r>
                </w:p>
              </w:tc>
            </w:tr>
            <w:tr w:rsidR="002D42C1" w:rsidRPr="00DE108C" w14:paraId="158AC269" w14:textId="77777777" w:rsidTr="00ED094E">
              <w:trPr>
                <w:trHeight w:val="300"/>
              </w:trPr>
              <w:tc>
                <w:tcPr>
                  <w:tcW w:w="1365" w:type="dxa"/>
                  <w:tcBorders>
                    <w:top w:val="single" w:sz="6" w:space="0" w:color="4EC6FF"/>
                    <w:left w:val="nil"/>
                    <w:bottom w:val="single" w:sz="6" w:space="0" w:color="4EC6FF"/>
                    <w:right w:val="nil"/>
                  </w:tcBorders>
                  <w:hideMark/>
                </w:tcPr>
                <w:p w14:paraId="6B1D6066" w14:textId="77777777"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610811E1" w14:textId="77777777" w:rsidR="002D42C1" w:rsidRPr="00DE108C" w:rsidRDefault="002D42C1" w:rsidP="008A11C9">
                  <w:pPr>
                    <w:spacing w:before="60" w:after="60"/>
                    <w:jc w:val="right"/>
                    <w:rPr>
                      <w:sz w:val="16"/>
                      <w:szCs w:val="16"/>
                    </w:rPr>
                  </w:pPr>
                  <w:r w:rsidRPr="00DE108C">
                    <w:rPr>
                      <w:sz w:val="16"/>
                      <w:szCs w:val="16"/>
                    </w:rPr>
                    <w:t>$1,492 </w:t>
                  </w:r>
                </w:p>
              </w:tc>
              <w:tc>
                <w:tcPr>
                  <w:tcW w:w="1365" w:type="dxa"/>
                  <w:tcBorders>
                    <w:top w:val="single" w:sz="6" w:space="0" w:color="4EC6FF"/>
                    <w:left w:val="nil"/>
                    <w:bottom w:val="single" w:sz="6" w:space="0" w:color="4EC6FF"/>
                    <w:right w:val="nil"/>
                  </w:tcBorders>
                  <w:vAlign w:val="center"/>
                  <w:hideMark/>
                </w:tcPr>
                <w:p w14:paraId="0DA2C314" w14:textId="4631DFEB" w:rsidR="002D42C1" w:rsidRPr="00DE108C" w:rsidRDefault="002D42C1" w:rsidP="008A11C9">
                  <w:pPr>
                    <w:spacing w:before="60" w:after="60"/>
                    <w:jc w:val="right"/>
                    <w:rPr>
                      <w:sz w:val="16"/>
                      <w:szCs w:val="16"/>
                    </w:rPr>
                  </w:pPr>
                  <w:r w:rsidRPr="00510FDD">
                    <w:rPr>
                      <w:color w:val="auto"/>
                      <w:sz w:val="16"/>
                      <w:szCs w:val="16"/>
                    </w:rPr>
                    <w:t>-</w:t>
                  </w:r>
                  <w:r w:rsidRPr="00DE108C">
                    <w:rPr>
                      <w:sz w:val="16"/>
                      <w:szCs w:val="16"/>
                    </w:rPr>
                    <w:t>0.</w:t>
                  </w:r>
                  <w:r w:rsidRPr="00510FDD">
                    <w:rPr>
                      <w:color w:val="auto"/>
                      <w:sz w:val="16"/>
                      <w:szCs w:val="16"/>
                    </w:rPr>
                    <w:t>8</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38227DAE" w14:textId="7034F242" w:rsidR="002D42C1" w:rsidRPr="00DE108C" w:rsidRDefault="002D42C1" w:rsidP="008A11C9">
                  <w:pPr>
                    <w:spacing w:before="60" w:after="60"/>
                    <w:jc w:val="right"/>
                    <w:rPr>
                      <w:sz w:val="16"/>
                      <w:szCs w:val="16"/>
                    </w:rPr>
                  </w:pPr>
                  <w:r w:rsidRPr="00DE108C">
                    <w:rPr>
                      <w:sz w:val="16"/>
                      <w:szCs w:val="16"/>
                    </w:rPr>
                    <w:t>0.0%</w:t>
                  </w:r>
                </w:p>
              </w:tc>
              <w:tc>
                <w:tcPr>
                  <w:tcW w:w="1365" w:type="dxa"/>
                  <w:tcBorders>
                    <w:top w:val="single" w:sz="6" w:space="0" w:color="4EC6FF"/>
                    <w:left w:val="nil"/>
                    <w:bottom w:val="single" w:sz="6" w:space="0" w:color="4EC6FF"/>
                    <w:right w:val="nil"/>
                  </w:tcBorders>
                  <w:vAlign w:val="center"/>
                  <w:hideMark/>
                </w:tcPr>
                <w:p w14:paraId="1E3C4485" w14:textId="13CF621D"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1</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091D60A9" w14:textId="417658C4" w:rsidR="002D42C1" w:rsidRPr="00DE108C" w:rsidRDefault="002D42C1" w:rsidP="008A11C9">
                  <w:pPr>
                    <w:spacing w:before="60" w:after="60"/>
                    <w:jc w:val="right"/>
                    <w:rPr>
                      <w:sz w:val="16"/>
                      <w:szCs w:val="16"/>
                    </w:rPr>
                  </w:pPr>
                  <w:r w:rsidRPr="00DE108C">
                    <w:rPr>
                      <w:sz w:val="16"/>
                      <w:szCs w:val="16"/>
                    </w:rPr>
                    <w:t>0.0%</w:t>
                  </w:r>
                </w:p>
              </w:tc>
              <w:tc>
                <w:tcPr>
                  <w:tcW w:w="1365" w:type="dxa"/>
                  <w:tcBorders>
                    <w:top w:val="single" w:sz="6" w:space="0" w:color="4EC6FF"/>
                    <w:left w:val="nil"/>
                    <w:bottom w:val="single" w:sz="6" w:space="0" w:color="4EC6FF"/>
                    <w:right w:val="nil"/>
                  </w:tcBorders>
                  <w:vAlign w:val="center"/>
                  <w:hideMark/>
                </w:tcPr>
                <w:p w14:paraId="4711EBAA" w14:textId="2D05CA6B" w:rsidR="002D42C1" w:rsidRPr="00DE108C" w:rsidRDefault="002D42C1" w:rsidP="008A11C9">
                  <w:pPr>
                    <w:spacing w:before="60" w:after="60"/>
                    <w:jc w:val="right"/>
                    <w:rPr>
                      <w:sz w:val="16"/>
                      <w:szCs w:val="16"/>
                    </w:rPr>
                  </w:pPr>
                  <w:r w:rsidRPr="00DE108C">
                    <w:rPr>
                      <w:sz w:val="16"/>
                      <w:szCs w:val="16"/>
                    </w:rPr>
                    <w:t>0.0%</w:t>
                  </w:r>
                </w:p>
              </w:tc>
            </w:tr>
          </w:tbl>
          <w:p w14:paraId="45632243" w14:textId="2B046B45" w:rsidR="002D42C1" w:rsidRPr="00DE108C" w:rsidRDefault="002D42C1" w:rsidP="5C6CA516">
            <w:pPr>
              <w:rPr>
                <w:sz w:val="16"/>
                <w:szCs w:val="16"/>
              </w:rPr>
            </w:pPr>
            <w:r w:rsidRPr="00DE108C">
              <w:rPr>
                <w:sz w:val="16"/>
                <w:szCs w:val="16"/>
              </w:rPr>
              <w:lastRenderedPageBreak/>
              <w:t>Customer impacts are indicative only and exclude inflation, water corporation 2028 submission impacts and annual pass-throughs</w:t>
            </w:r>
            <w:r w:rsidR="2AD3EF74" w:rsidRPr="5C6CA516">
              <w:rPr>
                <w:sz w:val="16"/>
                <w:szCs w:val="16"/>
              </w:rPr>
              <w:t>,</w:t>
            </w:r>
            <w:r w:rsidRPr="00DE108C">
              <w:rPr>
                <w:sz w:val="16"/>
                <w:szCs w:val="16"/>
              </w:rPr>
              <w:t xml:space="preserve"> including desalinated water orders. Forecast customer bill impacts are estimated on the change in total Melbourne Water bulk costs, it is up to each individual water corporation on how this is passed onto households and businesses.</w:t>
            </w:r>
          </w:p>
          <w:p w14:paraId="0750EDF8" w14:textId="252E4CD9" w:rsidR="002D42C1" w:rsidRPr="00DE108C" w:rsidRDefault="002D42C1">
            <w:pPr>
              <w:rPr>
                <w:sz w:val="16"/>
                <w:szCs w:val="16"/>
              </w:rPr>
            </w:pPr>
          </w:p>
        </w:tc>
      </w:tr>
    </w:tbl>
    <w:p w14:paraId="356B5B60" w14:textId="77777777" w:rsidR="002D42C1" w:rsidRPr="00DE108C" w:rsidRDefault="002D42C1" w:rsidP="00ED094E"/>
    <w:p w14:paraId="729D2F77" w14:textId="77777777" w:rsidR="002D42C1" w:rsidRPr="00DE108C" w:rsidRDefault="002D42C1">
      <w:r w:rsidRPr="00DE108C">
        <w:br w:type="page"/>
      </w:r>
    </w:p>
    <w:p w14:paraId="1332CDE9" w14:textId="77777777" w:rsidR="002D42C1" w:rsidRPr="00DE108C" w:rsidRDefault="002D42C1" w:rsidP="00ED094E"/>
    <w:p w14:paraId="1F1229DB" w14:textId="77777777" w:rsidR="002D42C1" w:rsidRPr="00DE108C" w:rsidRDefault="002D42C1" w:rsidP="00ED094E">
      <w:pPr>
        <w:pStyle w:val="Heading2"/>
      </w:pPr>
      <w:bookmarkStart w:id="1265" w:name="_Toc207892036"/>
      <w:bookmarkStart w:id="1266" w:name="_Toc207892948"/>
      <w:bookmarkStart w:id="1267" w:name="_Toc207853441"/>
      <w:r w:rsidRPr="00DE108C">
        <w:t>A.5 Gippsland Water</w:t>
      </w:r>
      <w:bookmarkEnd w:id="1265"/>
      <w:bookmarkEnd w:id="1266"/>
      <w:bookmarkEnd w:id="1267"/>
    </w:p>
    <w:tbl>
      <w:tblPr>
        <w:tblStyle w:val="TableGrid"/>
        <w:tblW w:w="22361" w:type="dxa"/>
        <w:tblLook w:val="0480" w:firstRow="0" w:lastRow="0" w:firstColumn="1" w:lastColumn="0" w:noHBand="0" w:noVBand="1"/>
      </w:tblPr>
      <w:tblGrid>
        <w:gridCol w:w="1583"/>
        <w:gridCol w:w="10036"/>
        <w:gridCol w:w="10742"/>
      </w:tblGrid>
      <w:tr w:rsidR="002D42C1" w:rsidRPr="00DE108C" w14:paraId="4EAB39E6" w14:textId="77777777" w:rsidTr="00F43FAD">
        <w:tc>
          <w:tcPr>
            <w:tcW w:w="1583" w:type="dxa"/>
            <w:shd w:val="clear" w:color="auto" w:fill="00428B" w:themeFill="text2"/>
          </w:tcPr>
          <w:p w14:paraId="16DC719B" w14:textId="77777777" w:rsidR="002D42C1" w:rsidRPr="00DE108C" w:rsidRDefault="002D42C1">
            <w:pPr>
              <w:rPr>
                <w:b/>
                <w:bCs/>
                <w:color w:val="FFFFFF" w:themeColor="background1"/>
                <w:sz w:val="16"/>
                <w:szCs w:val="16"/>
              </w:rPr>
            </w:pPr>
            <w:r w:rsidRPr="00DE108C">
              <w:rPr>
                <w:b/>
                <w:bCs/>
                <w:color w:val="FFFFFF" w:themeColor="background1"/>
                <w:sz w:val="16"/>
                <w:szCs w:val="16"/>
              </w:rPr>
              <w:t>How we’ve worked with you</w:t>
            </w:r>
          </w:p>
        </w:tc>
        <w:tc>
          <w:tcPr>
            <w:tcW w:w="20778" w:type="dxa"/>
            <w:gridSpan w:val="2"/>
          </w:tcPr>
          <w:p w14:paraId="21FEFFE2" w14:textId="36C0D4FB" w:rsidR="002D42C1" w:rsidRPr="00DE108C" w:rsidRDefault="002D42C1">
            <w:pPr>
              <w:rPr>
                <w:sz w:val="16"/>
                <w:szCs w:val="16"/>
              </w:rPr>
            </w:pPr>
            <w:r w:rsidRPr="00DE108C">
              <w:rPr>
                <w:sz w:val="16"/>
                <w:szCs w:val="16"/>
              </w:rPr>
              <w:t xml:space="preserve">We have been working closely with Gippsland Water (GW) throughout the development of the </w:t>
            </w:r>
            <w:r w:rsidR="0F652DDC" w:rsidRPr="01A999C1">
              <w:rPr>
                <w:sz w:val="16"/>
                <w:szCs w:val="16"/>
              </w:rPr>
              <w:t>P</w:t>
            </w:r>
            <w:r w:rsidRPr="01A999C1">
              <w:rPr>
                <w:sz w:val="16"/>
                <w:szCs w:val="16"/>
              </w:rPr>
              <w:t xml:space="preserve">rice </w:t>
            </w:r>
            <w:r w:rsidR="104F2032" w:rsidRPr="01A999C1">
              <w:rPr>
                <w:sz w:val="16"/>
                <w:szCs w:val="16"/>
              </w:rPr>
              <w:t>S</w:t>
            </w:r>
            <w:r w:rsidRPr="00DE108C">
              <w:rPr>
                <w:sz w:val="16"/>
                <w:szCs w:val="16"/>
              </w:rPr>
              <w:t xml:space="preserve">ubmission. GW feedback was gathered through over 40 meetings of the Water Corporation Forums, </w:t>
            </w:r>
            <w:r w:rsidR="00AF7AC2">
              <w:rPr>
                <w:sz w:val="16"/>
                <w:szCs w:val="16"/>
              </w:rPr>
              <w:t>Regulatory and Tariff</w:t>
            </w:r>
            <w:r w:rsidRPr="00DE108C">
              <w:rPr>
                <w:sz w:val="16"/>
                <w:szCs w:val="16"/>
              </w:rPr>
              <w:t xml:space="preserve"> Forums and one-to-one meetings. We also ensured GW end-use customers were heard directly through our community engagement program and GW customers participating in our surveys. We have reflected the expectations of GW as much as possible in our submission.</w:t>
            </w:r>
          </w:p>
        </w:tc>
      </w:tr>
      <w:tr w:rsidR="002D42C1" w:rsidRPr="00DE108C" w14:paraId="4F5D82B9"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val="restart"/>
            <w:shd w:val="clear" w:color="auto" w:fill="00428B" w:themeFill="text2"/>
          </w:tcPr>
          <w:p w14:paraId="19D8FA42" w14:textId="77777777" w:rsidR="002D42C1" w:rsidRPr="00DE108C" w:rsidRDefault="002D42C1">
            <w:pPr>
              <w:rPr>
                <w:b/>
                <w:bCs/>
                <w:color w:val="FFFFFF" w:themeColor="background1"/>
                <w:sz w:val="16"/>
                <w:szCs w:val="16"/>
              </w:rPr>
            </w:pPr>
            <w:r w:rsidRPr="00DE108C">
              <w:rPr>
                <w:b/>
                <w:bCs/>
                <w:color w:val="FFFFFF" w:themeColor="background1"/>
                <w:sz w:val="16"/>
                <w:szCs w:val="16"/>
              </w:rPr>
              <w:t>Outcomes – how we’re supporting you</w:t>
            </w:r>
          </w:p>
        </w:tc>
        <w:tc>
          <w:tcPr>
            <w:tcW w:w="10036" w:type="dxa"/>
            <w:shd w:val="clear" w:color="auto" w:fill="00428B" w:themeFill="text2"/>
          </w:tcPr>
          <w:p w14:paraId="34057751" w14:textId="77777777" w:rsidR="002D42C1" w:rsidRPr="00DE108C" w:rsidRDefault="002D42C1">
            <w:pPr>
              <w:rPr>
                <w:b/>
                <w:bCs/>
                <w:color w:val="FFFFFF" w:themeColor="background1"/>
                <w:sz w:val="16"/>
                <w:szCs w:val="16"/>
              </w:rPr>
            </w:pPr>
            <w:r w:rsidRPr="00DE108C">
              <w:rPr>
                <w:b/>
                <w:bCs/>
                <w:color w:val="FFFFFF" w:themeColor="background1"/>
                <w:sz w:val="16"/>
                <w:szCs w:val="16"/>
              </w:rPr>
              <w:t>MW Outcome</w:t>
            </w:r>
          </w:p>
        </w:tc>
        <w:tc>
          <w:tcPr>
            <w:tcW w:w="10742" w:type="dxa"/>
            <w:shd w:val="clear" w:color="auto" w:fill="00428B" w:themeFill="text2"/>
          </w:tcPr>
          <w:p w14:paraId="50BF20E3" w14:textId="77777777" w:rsidR="002D42C1" w:rsidRPr="00DE108C" w:rsidRDefault="002D42C1">
            <w:pPr>
              <w:rPr>
                <w:b/>
                <w:bCs/>
                <w:color w:val="FFFFFF" w:themeColor="background1"/>
                <w:sz w:val="16"/>
                <w:szCs w:val="16"/>
              </w:rPr>
            </w:pPr>
            <w:r w:rsidRPr="00DE108C">
              <w:rPr>
                <w:b/>
                <w:bCs/>
                <w:color w:val="FFFFFF" w:themeColor="background1"/>
                <w:sz w:val="16"/>
                <w:szCs w:val="16"/>
              </w:rPr>
              <w:t>Related GW Outcomes</w:t>
            </w:r>
          </w:p>
        </w:tc>
      </w:tr>
      <w:tr w:rsidR="002D42C1" w:rsidRPr="00DE108C" w14:paraId="564096D8" w14:textId="77777777" w:rsidTr="00C05BDA">
        <w:tc>
          <w:tcPr>
            <w:tcW w:w="1583" w:type="dxa"/>
            <w:vMerge/>
            <w:shd w:val="clear" w:color="auto" w:fill="00428B" w:themeFill="text2"/>
          </w:tcPr>
          <w:p w14:paraId="516CE060" w14:textId="77777777" w:rsidR="002D42C1" w:rsidRPr="00DE108C" w:rsidRDefault="002D42C1">
            <w:pPr>
              <w:rPr>
                <w:b/>
                <w:bCs/>
                <w:color w:val="FFFFFF" w:themeColor="background1"/>
                <w:sz w:val="16"/>
                <w:szCs w:val="16"/>
              </w:rPr>
            </w:pPr>
          </w:p>
        </w:tc>
        <w:tc>
          <w:tcPr>
            <w:tcW w:w="10036" w:type="dxa"/>
          </w:tcPr>
          <w:p w14:paraId="58E8B5AA" w14:textId="77777777" w:rsidR="002D42C1" w:rsidRPr="00DE108C" w:rsidRDefault="002D42C1">
            <w:pPr>
              <w:rPr>
                <w:sz w:val="16"/>
                <w:szCs w:val="16"/>
              </w:rPr>
            </w:pPr>
            <w:r w:rsidRPr="00DE108C">
              <w:rPr>
                <w:sz w:val="16"/>
                <w:szCs w:val="16"/>
              </w:rPr>
              <w:t>Outcome 1: Safe and reliable bulk water supplies for now and the long term</w:t>
            </w:r>
          </w:p>
        </w:tc>
        <w:tc>
          <w:tcPr>
            <w:tcW w:w="10742" w:type="dxa"/>
          </w:tcPr>
          <w:p w14:paraId="728E1F16" w14:textId="77777777" w:rsidR="002D42C1" w:rsidRPr="00DE108C" w:rsidRDefault="002D42C1">
            <w:pPr>
              <w:rPr>
                <w:sz w:val="16"/>
                <w:szCs w:val="16"/>
              </w:rPr>
            </w:pPr>
            <w:r w:rsidRPr="00DE108C">
              <w:rPr>
                <w:sz w:val="16"/>
                <w:szCs w:val="16"/>
              </w:rPr>
              <w:t>Outcome 2: Do your job well</w:t>
            </w:r>
          </w:p>
          <w:p w14:paraId="514B7126" w14:textId="77777777" w:rsidR="002D42C1" w:rsidRPr="00DE108C" w:rsidRDefault="002D42C1">
            <w:pPr>
              <w:rPr>
                <w:sz w:val="16"/>
                <w:szCs w:val="16"/>
              </w:rPr>
            </w:pPr>
            <w:r w:rsidRPr="00DE108C">
              <w:rPr>
                <w:sz w:val="16"/>
                <w:szCs w:val="16"/>
              </w:rPr>
              <w:t>Outcome 6: Plan for the future</w:t>
            </w:r>
          </w:p>
        </w:tc>
      </w:tr>
      <w:tr w:rsidR="00A043F7" w:rsidRPr="00DE108C" w14:paraId="48871F8C"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06E7C6B9" w14:textId="77777777" w:rsidR="002D42C1" w:rsidRPr="00DE108C" w:rsidRDefault="002D42C1">
            <w:pPr>
              <w:rPr>
                <w:b/>
                <w:bCs/>
                <w:color w:val="FFFFFF" w:themeColor="background1"/>
                <w:sz w:val="16"/>
                <w:szCs w:val="16"/>
              </w:rPr>
            </w:pPr>
          </w:p>
        </w:tc>
        <w:tc>
          <w:tcPr>
            <w:tcW w:w="10036" w:type="dxa"/>
          </w:tcPr>
          <w:p w14:paraId="04BF4A0D" w14:textId="77777777" w:rsidR="002D42C1" w:rsidRPr="00DE108C" w:rsidRDefault="002D42C1">
            <w:pPr>
              <w:rPr>
                <w:sz w:val="16"/>
                <w:szCs w:val="16"/>
              </w:rPr>
            </w:pPr>
            <w:r w:rsidRPr="00DE108C">
              <w:rPr>
                <w:sz w:val="16"/>
                <w:szCs w:val="16"/>
              </w:rPr>
              <w:t>Outcome 2: Environmentally sustainable and reliable bulk sewerage services</w:t>
            </w:r>
          </w:p>
        </w:tc>
        <w:tc>
          <w:tcPr>
            <w:tcW w:w="10742" w:type="dxa"/>
          </w:tcPr>
          <w:p w14:paraId="398899F5" w14:textId="77777777" w:rsidR="002D42C1" w:rsidRPr="00DE108C" w:rsidRDefault="002D42C1">
            <w:pPr>
              <w:rPr>
                <w:sz w:val="16"/>
                <w:szCs w:val="16"/>
              </w:rPr>
            </w:pPr>
            <w:r w:rsidRPr="00DE108C">
              <w:rPr>
                <w:sz w:val="16"/>
                <w:szCs w:val="16"/>
              </w:rPr>
              <w:t>Outcome 4: Be environmentally responsible</w:t>
            </w:r>
          </w:p>
        </w:tc>
      </w:tr>
      <w:tr w:rsidR="002D42C1" w:rsidRPr="00DE108C" w14:paraId="711D880C" w14:textId="77777777" w:rsidTr="00C05BDA">
        <w:tc>
          <w:tcPr>
            <w:tcW w:w="1583" w:type="dxa"/>
            <w:vMerge/>
            <w:shd w:val="clear" w:color="auto" w:fill="00428B" w:themeFill="text2"/>
          </w:tcPr>
          <w:p w14:paraId="02D22C02" w14:textId="77777777" w:rsidR="002D42C1" w:rsidRPr="00DE108C" w:rsidRDefault="002D42C1">
            <w:pPr>
              <w:rPr>
                <w:b/>
                <w:bCs/>
                <w:color w:val="FFFFFF" w:themeColor="background1"/>
                <w:sz w:val="16"/>
                <w:szCs w:val="16"/>
              </w:rPr>
            </w:pPr>
          </w:p>
        </w:tc>
        <w:tc>
          <w:tcPr>
            <w:tcW w:w="10036" w:type="dxa"/>
          </w:tcPr>
          <w:p w14:paraId="53EEFCA7" w14:textId="77777777" w:rsidR="002D42C1" w:rsidRPr="00DE108C" w:rsidRDefault="002D42C1">
            <w:pPr>
              <w:rPr>
                <w:sz w:val="16"/>
                <w:szCs w:val="16"/>
              </w:rPr>
            </w:pPr>
            <w:r w:rsidRPr="00DE108C">
              <w:rPr>
                <w:sz w:val="16"/>
                <w:szCs w:val="16"/>
              </w:rPr>
              <w:t>Outcome 3: Healthy, resilient waterways</w:t>
            </w:r>
          </w:p>
        </w:tc>
        <w:tc>
          <w:tcPr>
            <w:tcW w:w="10742" w:type="dxa"/>
          </w:tcPr>
          <w:p w14:paraId="125F67CB" w14:textId="77777777" w:rsidR="002D42C1" w:rsidRPr="00DE108C" w:rsidRDefault="002D42C1">
            <w:pPr>
              <w:rPr>
                <w:sz w:val="16"/>
                <w:szCs w:val="16"/>
              </w:rPr>
            </w:pPr>
            <w:r w:rsidRPr="00DE108C">
              <w:rPr>
                <w:sz w:val="16"/>
                <w:szCs w:val="16"/>
              </w:rPr>
              <w:t>N/A</w:t>
            </w:r>
          </w:p>
        </w:tc>
      </w:tr>
      <w:tr w:rsidR="00A043F7" w:rsidRPr="00DE108C" w14:paraId="45BD1A6C"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14F92222" w14:textId="77777777" w:rsidR="002D42C1" w:rsidRPr="00DE108C" w:rsidRDefault="002D42C1">
            <w:pPr>
              <w:rPr>
                <w:b/>
                <w:bCs/>
                <w:color w:val="FFFFFF" w:themeColor="background1"/>
                <w:sz w:val="16"/>
                <w:szCs w:val="16"/>
              </w:rPr>
            </w:pPr>
          </w:p>
        </w:tc>
        <w:tc>
          <w:tcPr>
            <w:tcW w:w="10036" w:type="dxa"/>
          </w:tcPr>
          <w:p w14:paraId="349F29E0" w14:textId="77777777" w:rsidR="002D42C1" w:rsidRPr="00DE108C" w:rsidRDefault="002D42C1">
            <w:pPr>
              <w:rPr>
                <w:sz w:val="16"/>
                <w:szCs w:val="16"/>
              </w:rPr>
            </w:pPr>
            <w:r w:rsidRPr="00DE108C">
              <w:rPr>
                <w:sz w:val="16"/>
                <w:szCs w:val="16"/>
              </w:rPr>
              <w:t>Outcome 4: Urban drainage and flood resilience</w:t>
            </w:r>
          </w:p>
        </w:tc>
        <w:tc>
          <w:tcPr>
            <w:tcW w:w="10742" w:type="dxa"/>
          </w:tcPr>
          <w:p w14:paraId="591640B4" w14:textId="77777777" w:rsidR="002D42C1" w:rsidRPr="00DE108C" w:rsidRDefault="002D42C1">
            <w:pPr>
              <w:rPr>
                <w:sz w:val="16"/>
                <w:szCs w:val="16"/>
              </w:rPr>
            </w:pPr>
            <w:r w:rsidRPr="00DE108C">
              <w:rPr>
                <w:sz w:val="16"/>
                <w:szCs w:val="16"/>
              </w:rPr>
              <w:t>N/A</w:t>
            </w:r>
          </w:p>
        </w:tc>
      </w:tr>
      <w:tr w:rsidR="002D42C1" w:rsidRPr="00DE108C" w14:paraId="75000314" w14:textId="77777777" w:rsidTr="00C05BDA">
        <w:tc>
          <w:tcPr>
            <w:tcW w:w="1583" w:type="dxa"/>
            <w:vMerge/>
            <w:shd w:val="clear" w:color="auto" w:fill="00428B" w:themeFill="text2"/>
          </w:tcPr>
          <w:p w14:paraId="02AB83B2" w14:textId="77777777" w:rsidR="002D42C1" w:rsidRPr="00DE108C" w:rsidRDefault="002D42C1">
            <w:pPr>
              <w:rPr>
                <w:b/>
                <w:bCs/>
                <w:color w:val="FFFFFF" w:themeColor="background1"/>
                <w:sz w:val="16"/>
                <w:szCs w:val="16"/>
              </w:rPr>
            </w:pPr>
          </w:p>
        </w:tc>
        <w:tc>
          <w:tcPr>
            <w:tcW w:w="10036" w:type="dxa"/>
          </w:tcPr>
          <w:p w14:paraId="08E7EAB5" w14:textId="77777777" w:rsidR="002D42C1" w:rsidRPr="00DE108C" w:rsidRDefault="002D42C1">
            <w:pPr>
              <w:rPr>
                <w:sz w:val="16"/>
                <w:szCs w:val="16"/>
              </w:rPr>
            </w:pPr>
            <w:r w:rsidRPr="00DE108C">
              <w:rPr>
                <w:sz w:val="16"/>
                <w:szCs w:val="16"/>
              </w:rPr>
              <w:t>Outcome 5: A valued partner in water cycle services</w:t>
            </w:r>
          </w:p>
        </w:tc>
        <w:tc>
          <w:tcPr>
            <w:tcW w:w="10742" w:type="dxa"/>
          </w:tcPr>
          <w:p w14:paraId="4423C738" w14:textId="77777777" w:rsidR="002D42C1" w:rsidRPr="00DE108C" w:rsidRDefault="002D42C1" w:rsidP="00ED094E">
            <w:pPr>
              <w:rPr>
                <w:sz w:val="16"/>
                <w:szCs w:val="16"/>
              </w:rPr>
            </w:pPr>
            <w:r w:rsidRPr="00DE108C">
              <w:rPr>
                <w:sz w:val="16"/>
                <w:szCs w:val="16"/>
              </w:rPr>
              <w:t>Outcome 1: Be affordable and fair</w:t>
            </w:r>
          </w:p>
          <w:p w14:paraId="2B9E9949" w14:textId="77777777" w:rsidR="002D42C1" w:rsidRPr="00DE108C" w:rsidRDefault="002D42C1" w:rsidP="00ED094E">
            <w:pPr>
              <w:rPr>
                <w:sz w:val="16"/>
                <w:szCs w:val="16"/>
              </w:rPr>
            </w:pPr>
            <w:r w:rsidRPr="00DE108C">
              <w:rPr>
                <w:sz w:val="16"/>
                <w:szCs w:val="16"/>
              </w:rPr>
              <w:t>Outcome 3: Be easy to deal with</w:t>
            </w:r>
          </w:p>
          <w:p w14:paraId="7E6B49ED" w14:textId="77777777" w:rsidR="002D42C1" w:rsidRPr="00DE108C" w:rsidRDefault="002D42C1" w:rsidP="00ED094E">
            <w:pPr>
              <w:rPr>
                <w:sz w:val="16"/>
                <w:szCs w:val="16"/>
              </w:rPr>
            </w:pPr>
            <w:r w:rsidRPr="00DE108C">
              <w:rPr>
                <w:sz w:val="16"/>
                <w:szCs w:val="16"/>
              </w:rPr>
              <w:t>Outcome 5: Be involved in the community</w:t>
            </w:r>
          </w:p>
        </w:tc>
      </w:tr>
      <w:tr w:rsidR="002D42C1" w:rsidRPr="00DE108C" w14:paraId="795A77D2"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val="restart"/>
            <w:shd w:val="clear" w:color="auto" w:fill="00428B" w:themeFill="text2"/>
          </w:tcPr>
          <w:p w14:paraId="1C830B62" w14:textId="77777777" w:rsidR="002D42C1" w:rsidRPr="00DE108C" w:rsidRDefault="002D42C1">
            <w:pPr>
              <w:rPr>
                <w:b/>
                <w:bCs/>
                <w:color w:val="FFFFFF" w:themeColor="background1"/>
                <w:sz w:val="16"/>
                <w:szCs w:val="16"/>
              </w:rPr>
            </w:pPr>
            <w:r w:rsidRPr="00DE108C">
              <w:rPr>
                <w:b/>
                <w:bCs/>
                <w:color w:val="FFFFFF" w:themeColor="background1"/>
                <w:sz w:val="16"/>
                <w:szCs w:val="16"/>
              </w:rPr>
              <w:t>Addressing your key areas</w:t>
            </w:r>
          </w:p>
        </w:tc>
        <w:tc>
          <w:tcPr>
            <w:tcW w:w="10036" w:type="dxa"/>
            <w:shd w:val="clear" w:color="auto" w:fill="00428B" w:themeFill="text2"/>
          </w:tcPr>
          <w:p w14:paraId="6A585E7A" w14:textId="77777777" w:rsidR="002D42C1" w:rsidRPr="00DE108C" w:rsidRDefault="002D42C1">
            <w:pPr>
              <w:rPr>
                <w:b/>
                <w:bCs/>
                <w:color w:val="FFFFFF" w:themeColor="background1"/>
                <w:sz w:val="16"/>
                <w:szCs w:val="16"/>
              </w:rPr>
            </w:pPr>
            <w:r w:rsidRPr="00DE108C">
              <w:rPr>
                <w:b/>
                <w:bCs/>
                <w:color w:val="FFFFFF" w:themeColor="background1"/>
                <w:sz w:val="16"/>
                <w:szCs w:val="16"/>
              </w:rPr>
              <w:t>What we heard</w:t>
            </w:r>
          </w:p>
        </w:tc>
        <w:tc>
          <w:tcPr>
            <w:tcW w:w="10742" w:type="dxa"/>
            <w:shd w:val="clear" w:color="auto" w:fill="00428B" w:themeFill="text2"/>
          </w:tcPr>
          <w:p w14:paraId="5B2D7125" w14:textId="77777777" w:rsidR="002D42C1" w:rsidRPr="00DE108C" w:rsidRDefault="002D42C1">
            <w:pPr>
              <w:rPr>
                <w:b/>
                <w:bCs/>
                <w:color w:val="FFFFFF" w:themeColor="background1"/>
                <w:sz w:val="16"/>
                <w:szCs w:val="16"/>
              </w:rPr>
            </w:pPr>
            <w:r w:rsidRPr="00DE108C">
              <w:rPr>
                <w:b/>
                <w:bCs/>
                <w:color w:val="FFFFFF" w:themeColor="background1"/>
                <w:sz w:val="16"/>
                <w:szCs w:val="16"/>
              </w:rPr>
              <w:t>How we’re responding</w:t>
            </w:r>
          </w:p>
        </w:tc>
      </w:tr>
      <w:tr w:rsidR="002D42C1" w:rsidRPr="00DE108C" w14:paraId="0489B87C" w14:textId="77777777" w:rsidTr="00C05BDA">
        <w:tc>
          <w:tcPr>
            <w:tcW w:w="1583" w:type="dxa"/>
            <w:vMerge/>
            <w:shd w:val="clear" w:color="auto" w:fill="00428B" w:themeFill="text2"/>
          </w:tcPr>
          <w:p w14:paraId="1EB3BC43" w14:textId="77777777" w:rsidR="002D42C1" w:rsidRPr="00DE108C" w:rsidRDefault="002D42C1" w:rsidP="00ED094E">
            <w:pPr>
              <w:rPr>
                <w:b/>
                <w:bCs/>
                <w:color w:val="FFFFFF" w:themeColor="background1"/>
                <w:sz w:val="16"/>
                <w:szCs w:val="16"/>
              </w:rPr>
            </w:pPr>
          </w:p>
        </w:tc>
        <w:tc>
          <w:tcPr>
            <w:tcW w:w="10036" w:type="dxa"/>
          </w:tcPr>
          <w:p w14:paraId="704A0B50" w14:textId="594DB3CC" w:rsidR="002D42C1" w:rsidRPr="00DE108C" w:rsidRDefault="002D42C1" w:rsidP="00ED094E">
            <w:pPr>
              <w:rPr>
                <w:sz w:val="16"/>
                <w:szCs w:val="16"/>
              </w:rPr>
            </w:pPr>
            <w:r w:rsidRPr="00DE108C">
              <w:rPr>
                <w:sz w:val="16"/>
                <w:szCs w:val="16"/>
              </w:rPr>
              <w:t>Item #1: Codifying the ‘raw water’ charge</w:t>
            </w:r>
            <w:r w:rsidR="708F9106" w:rsidRPr="01A999C1">
              <w:rPr>
                <w:sz w:val="16"/>
                <w:szCs w:val="16"/>
              </w:rPr>
              <w:t>.</w:t>
            </w:r>
            <w:r w:rsidRPr="00DE108C">
              <w:rPr>
                <w:sz w:val="16"/>
                <w:szCs w:val="16"/>
              </w:rPr>
              <w:t xml:space="preserve"> </w:t>
            </w:r>
          </w:p>
        </w:tc>
        <w:tc>
          <w:tcPr>
            <w:tcW w:w="10742" w:type="dxa"/>
          </w:tcPr>
          <w:p w14:paraId="63A0E602" w14:textId="77777777" w:rsidR="002D42C1" w:rsidRPr="00DE108C" w:rsidRDefault="002D42C1" w:rsidP="00ED094E">
            <w:pPr>
              <w:rPr>
                <w:b/>
                <w:bCs/>
                <w:sz w:val="16"/>
                <w:szCs w:val="16"/>
              </w:rPr>
            </w:pPr>
            <w:r w:rsidRPr="00DE108C">
              <w:rPr>
                <w:b/>
                <w:bCs/>
                <w:sz w:val="16"/>
                <w:szCs w:val="16"/>
              </w:rPr>
              <w:t>Addressed</w:t>
            </w:r>
          </w:p>
          <w:p w14:paraId="2EA4D4F0" w14:textId="31EF120C" w:rsidR="002D42C1" w:rsidRPr="00DE108C" w:rsidRDefault="002D42C1" w:rsidP="00ED094E">
            <w:pPr>
              <w:rPr>
                <w:sz w:val="16"/>
                <w:szCs w:val="16"/>
              </w:rPr>
            </w:pPr>
            <w:r w:rsidRPr="00DE108C">
              <w:rPr>
                <w:sz w:val="16"/>
                <w:szCs w:val="16"/>
              </w:rPr>
              <w:t>We are proposing to continue with the ‘raw water’ charge we have been applying to GW since it acquired bulk entitlement to the Greater Yarra System. This charge would apply to all customers receiving raw water and excludes Melbourne Water’s water treatment program costs.</w:t>
            </w:r>
          </w:p>
        </w:tc>
      </w:tr>
      <w:tr w:rsidR="00A043F7" w:rsidRPr="00DE108C" w14:paraId="1AF7BD22"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3277107D" w14:textId="77777777" w:rsidR="002D42C1" w:rsidRPr="00DE108C" w:rsidRDefault="002D42C1" w:rsidP="00ED094E">
            <w:pPr>
              <w:rPr>
                <w:b/>
                <w:bCs/>
                <w:color w:val="FFFFFF" w:themeColor="background1"/>
                <w:sz w:val="16"/>
                <w:szCs w:val="16"/>
              </w:rPr>
            </w:pPr>
          </w:p>
        </w:tc>
        <w:tc>
          <w:tcPr>
            <w:tcW w:w="10036" w:type="dxa"/>
          </w:tcPr>
          <w:p w14:paraId="1CC06208" w14:textId="7271B7F4" w:rsidR="002D42C1" w:rsidRPr="00DE108C" w:rsidRDefault="002D42C1" w:rsidP="00ED094E">
            <w:pPr>
              <w:rPr>
                <w:sz w:val="16"/>
                <w:szCs w:val="16"/>
              </w:rPr>
            </w:pPr>
            <w:r w:rsidRPr="00DE108C">
              <w:rPr>
                <w:sz w:val="16"/>
                <w:szCs w:val="16"/>
              </w:rPr>
              <w:t xml:space="preserve">Item #2: Fair tariff reforms, including a higher variable water tariff that incentivises efficient investment and has </w:t>
            </w:r>
            <w:r w:rsidRPr="52721956">
              <w:rPr>
                <w:sz w:val="16"/>
                <w:szCs w:val="16"/>
              </w:rPr>
              <w:t>M</w:t>
            </w:r>
            <w:r w:rsidR="7DA58665" w:rsidRPr="52721956">
              <w:rPr>
                <w:sz w:val="16"/>
                <w:szCs w:val="16"/>
              </w:rPr>
              <w:t xml:space="preserve">elbourne </w:t>
            </w:r>
            <w:r w:rsidRPr="52721956">
              <w:rPr>
                <w:sz w:val="16"/>
                <w:szCs w:val="16"/>
              </w:rPr>
              <w:t>W</w:t>
            </w:r>
            <w:r w:rsidR="6CF143DE" w:rsidRPr="52721956">
              <w:rPr>
                <w:sz w:val="16"/>
                <w:szCs w:val="16"/>
              </w:rPr>
              <w:t>ater</w:t>
            </w:r>
            <w:r w:rsidRPr="00DE108C">
              <w:rPr>
                <w:sz w:val="16"/>
                <w:szCs w:val="16"/>
              </w:rPr>
              <w:t xml:space="preserve"> taking on more demand risk, and a ‘user pays’ cost allocation</w:t>
            </w:r>
            <w:r w:rsidR="677443B1" w:rsidRPr="01A999C1">
              <w:rPr>
                <w:sz w:val="16"/>
                <w:szCs w:val="16"/>
              </w:rPr>
              <w:t>.</w:t>
            </w:r>
          </w:p>
        </w:tc>
        <w:tc>
          <w:tcPr>
            <w:tcW w:w="10742" w:type="dxa"/>
          </w:tcPr>
          <w:p w14:paraId="1B7D7F7C" w14:textId="77777777" w:rsidR="002D42C1" w:rsidRPr="00DE108C" w:rsidRDefault="002D42C1" w:rsidP="00ED094E">
            <w:pPr>
              <w:rPr>
                <w:b/>
                <w:sz w:val="16"/>
                <w:szCs w:val="16"/>
              </w:rPr>
            </w:pPr>
            <w:r w:rsidRPr="00DE108C">
              <w:rPr>
                <w:b/>
                <w:bCs/>
                <w:sz w:val="16"/>
                <w:szCs w:val="16"/>
              </w:rPr>
              <w:t>Addressed</w:t>
            </w:r>
          </w:p>
          <w:p w14:paraId="389082D3" w14:textId="77777777" w:rsidR="002D42C1" w:rsidRPr="00DE108C" w:rsidRDefault="002D42C1" w:rsidP="00ED094E">
            <w:pPr>
              <w:rPr>
                <w:sz w:val="16"/>
                <w:szCs w:val="16"/>
              </w:rPr>
            </w:pPr>
            <w:r w:rsidRPr="00DE108C">
              <w:rPr>
                <w:sz w:val="16"/>
                <w:szCs w:val="16"/>
              </w:rPr>
              <w:t xml:space="preserve">Following extensive analysis and consultation, we are proposing a suite of tariff reforms that take interests consistent with GW’s preferences and taking GW’s customers into account. This includes moving to a higher variable water price as desired by GW, and allocating fixed charges based on historical usage rather than forecasts. </w:t>
            </w:r>
          </w:p>
        </w:tc>
      </w:tr>
      <w:tr w:rsidR="002D42C1" w:rsidRPr="00DE108C" w14:paraId="341DD85E" w14:textId="77777777" w:rsidTr="00C05BDA">
        <w:tc>
          <w:tcPr>
            <w:tcW w:w="1583" w:type="dxa"/>
            <w:vMerge/>
            <w:shd w:val="clear" w:color="auto" w:fill="00428B" w:themeFill="text2"/>
          </w:tcPr>
          <w:p w14:paraId="2D1F8B15" w14:textId="77777777" w:rsidR="002D42C1" w:rsidRPr="00DE108C" w:rsidRDefault="002D42C1" w:rsidP="00ED094E">
            <w:pPr>
              <w:rPr>
                <w:b/>
                <w:bCs/>
                <w:color w:val="FFFFFF" w:themeColor="background1"/>
                <w:sz w:val="16"/>
                <w:szCs w:val="16"/>
              </w:rPr>
            </w:pPr>
          </w:p>
        </w:tc>
        <w:tc>
          <w:tcPr>
            <w:tcW w:w="10036" w:type="dxa"/>
          </w:tcPr>
          <w:p w14:paraId="2E277447" w14:textId="3AF39546" w:rsidR="002D42C1" w:rsidRPr="00DE108C" w:rsidRDefault="002D42C1" w:rsidP="00ED094E">
            <w:pPr>
              <w:rPr>
                <w:sz w:val="16"/>
                <w:szCs w:val="16"/>
              </w:rPr>
            </w:pPr>
            <w:r w:rsidRPr="00DE108C">
              <w:rPr>
                <w:sz w:val="16"/>
                <w:szCs w:val="16"/>
              </w:rPr>
              <w:t xml:space="preserve">Item #3: Collaboration on maintaining and increasing supply to West Gippsland townships and collaboration on whole of water cycle service planning in </w:t>
            </w:r>
            <w:r w:rsidR="564E4018" w:rsidRPr="52721956">
              <w:rPr>
                <w:sz w:val="16"/>
                <w:szCs w:val="16"/>
              </w:rPr>
              <w:t>GW</w:t>
            </w:r>
            <w:r w:rsidRPr="52721956">
              <w:rPr>
                <w:sz w:val="16"/>
                <w:szCs w:val="16"/>
              </w:rPr>
              <w:t>’s</w:t>
            </w:r>
            <w:r w:rsidRPr="00DE108C">
              <w:rPr>
                <w:sz w:val="16"/>
                <w:szCs w:val="16"/>
              </w:rPr>
              <w:t xml:space="preserve"> region</w:t>
            </w:r>
            <w:r w:rsidR="526283D2" w:rsidRPr="01A999C1">
              <w:rPr>
                <w:sz w:val="16"/>
                <w:szCs w:val="16"/>
              </w:rPr>
              <w:t>.</w:t>
            </w:r>
          </w:p>
        </w:tc>
        <w:tc>
          <w:tcPr>
            <w:tcW w:w="10742" w:type="dxa"/>
          </w:tcPr>
          <w:p w14:paraId="3AA4A4DB" w14:textId="77777777" w:rsidR="002D42C1" w:rsidRPr="00DE108C" w:rsidRDefault="002D42C1" w:rsidP="00ED094E">
            <w:pPr>
              <w:rPr>
                <w:b/>
                <w:bCs/>
                <w:sz w:val="16"/>
                <w:szCs w:val="16"/>
              </w:rPr>
            </w:pPr>
            <w:r w:rsidRPr="00DE108C">
              <w:rPr>
                <w:b/>
                <w:bCs/>
                <w:sz w:val="16"/>
                <w:szCs w:val="16"/>
              </w:rPr>
              <w:t>Partially Addressed</w:t>
            </w:r>
          </w:p>
          <w:p w14:paraId="59552FF6" w14:textId="62728E11" w:rsidR="002D42C1" w:rsidRPr="00DE108C" w:rsidRDefault="002D42C1" w:rsidP="00ED094E">
            <w:pPr>
              <w:rPr>
                <w:sz w:val="16"/>
                <w:szCs w:val="16"/>
              </w:rPr>
            </w:pPr>
            <w:r w:rsidRPr="00DE108C">
              <w:rPr>
                <w:sz w:val="16"/>
                <w:szCs w:val="16"/>
              </w:rPr>
              <w:t xml:space="preserve">As part of Outcome 5, we commit to collaborating and co-creating plans with the water sector and playing a key role in delivering water solutions that addresses the challenges of a changing climate and future planning across Greater Melbourne. Melbourne Water and GW planners are exploring the possibility of additional interface points in the future. We are committed to working with other businesses to complete a collaborative long-term capital and operating plan to support Urban Water and System Strategies and future water corporation and Melbourne Water </w:t>
            </w:r>
            <w:r w:rsidR="3C9F02DE" w:rsidRPr="4F77F045">
              <w:rPr>
                <w:sz w:val="16"/>
                <w:szCs w:val="16"/>
              </w:rPr>
              <w:t>P</w:t>
            </w:r>
            <w:r w:rsidRPr="4F77F045">
              <w:rPr>
                <w:sz w:val="16"/>
                <w:szCs w:val="16"/>
              </w:rPr>
              <w:t xml:space="preserve">rice </w:t>
            </w:r>
            <w:r w:rsidR="6BD31C1F" w:rsidRPr="4F77F045">
              <w:rPr>
                <w:sz w:val="16"/>
                <w:szCs w:val="16"/>
              </w:rPr>
              <w:t>S</w:t>
            </w:r>
            <w:r w:rsidRPr="00DE108C">
              <w:rPr>
                <w:sz w:val="16"/>
                <w:szCs w:val="16"/>
              </w:rPr>
              <w:t>ubmissions, as well as Integrated Water Management Forums.</w:t>
            </w:r>
          </w:p>
        </w:tc>
      </w:tr>
      <w:tr w:rsidR="00A043F7" w:rsidRPr="00DE108C" w14:paraId="32814D2C"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78026C7B" w14:textId="77777777" w:rsidR="002D42C1" w:rsidRPr="00DE108C" w:rsidRDefault="002D42C1" w:rsidP="00ED094E">
            <w:pPr>
              <w:rPr>
                <w:b/>
                <w:bCs/>
                <w:color w:val="FFFFFF" w:themeColor="background1"/>
                <w:sz w:val="16"/>
                <w:szCs w:val="16"/>
              </w:rPr>
            </w:pPr>
          </w:p>
        </w:tc>
        <w:tc>
          <w:tcPr>
            <w:tcW w:w="10036" w:type="dxa"/>
          </w:tcPr>
          <w:p w14:paraId="10089ED3" w14:textId="0A882C02" w:rsidR="002D42C1" w:rsidRPr="00DE108C" w:rsidRDefault="002D42C1" w:rsidP="00ED094E">
            <w:pPr>
              <w:rPr>
                <w:sz w:val="16"/>
                <w:szCs w:val="16"/>
              </w:rPr>
            </w:pPr>
            <w:r w:rsidRPr="00DE108C">
              <w:rPr>
                <w:sz w:val="16"/>
                <w:szCs w:val="16"/>
              </w:rPr>
              <w:t>Item #4: Investing in ‘readiness’ for the next large</w:t>
            </w:r>
            <w:r w:rsidR="418E1331" w:rsidRPr="52721956">
              <w:rPr>
                <w:sz w:val="16"/>
                <w:szCs w:val="16"/>
              </w:rPr>
              <w:t>-</w:t>
            </w:r>
            <w:r w:rsidRPr="00DE108C">
              <w:rPr>
                <w:sz w:val="16"/>
                <w:szCs w:val="16"/>
              </w:rPr>
              <w:t>scale water supply</w:t>
            </w:r>
            <w:r w:rsidR="6B9AE1D6" w:rsidRPr="01A999C1">
              <w:rPr>
                <w:sz w:val="16"/>
                <w:szCs w:val="16"/>
              </w:rPr>
              <w:t>.</w:t>
            </w:r>
          </w:p>
        </w:tc>
        <w:tc>
          <w:tcPr>
            <w:tcW w:w="10742" w:type="dxa"/>
          </w:tcPr>
          <w:p w14:paraId="35C1CD1C" w14:textId="77777777" w:rsidR="002D42C1" w:rsidRPr="00DE108C" w:rsidRDefault="002D42C1" w:rsidP="00ED094E">
            <w:pPr>
              <w:rPr>
                <w:b/>
                <w:bCs/>
                <w:sz w:val="16"/>
                <w:szCs w:val="16"/>
              </w:rPr>
            </w:pPr>
            <w:r w:rsidRPr="00DE108C">
              <w:rPr>
                <w:b/>
                <w:bCs/>
                <w:sz w:val="16"/>
                <w:szCs w:val="16"/>
              </w:rPr>
              <w:t>Addressed</w:t>
            </w:r>
          </w:p>
          <w:p w14:paraId="66E67772" w14:textId="250CF29D" w:rsidR="002D42C1" w:rsidRPr="00DE108C" w:rsidRDefault="002D42C1" w:rsidP="00ED094E">
            <w:pPr>
              <w:rPr>
                <w:sz w:val="16"/>
                <w:szCs w:val="16"/>
              </w:rPr>
            </w:pPr>
            <w:r w:rsidRPr="00DE108C">
              <w:rPr>
                <w:sz w:val="16"/>
                <w:szCs w:val="16"/>
              </w:rPr>
              <w:t>We have included $</w:t>
            </w:r>
            <w:r w:rsidRPr="4F77F045">
              <w:rPr>
                <w:sz w:val="16"/>
                <w:szCs w:val="16"/>
              </w:rPr>
              <w:t>250</w:t>
            </w:r>
            <w:r w:rsidR="72EB2D52" w:rsidRPr="4F77F045">
              <w:rPr>
                <w:sz w:val="16"/>
                <w:szCs w:val="16"/>
              </w:rPr>
              <w:t xml:space="preserve"> </w:t>
            </w:r>
            <w:r w:rsidRPr="4F77F045">
              <w:rPr>
                <w:sz w:val="16"/>
                <w:szCs w:val="16"/>
              </w:rPr>
              <w:t>m</w:t>
            </w:r>
            <w:r w:rsidR="7D516D6D" w:rsidRPr="4F77F045">
              <w:rPr>
                <w:sz w:val="16"/>
                <w:szCs w:val="16"/>
              </w:rPr>
              <w:t>illion</w:t>
            </w:r>
            <w:r w:rsidRPr="00DE108C">
              <w:rPr>
                <w:sz w:val="16"/>
                <w:szCs w:val="16"/>
              </w:rPr>
              <w:t xml:space="preserve"> of early planning to determine a preferred combination of water supply options for the future and ‘no regrets’ development costs for water transfer and treatment projects that are required for the next large</w:t>
            </w:r>
            <w:r w:rsidR="70BF41F1" w:rsidRPr="4F77F045">
              <w:rPr>
                <w:sz w:val="16"/>
                <w:szCs w:val="16"/>
              </w:rPr>
              <w:t>-</w:t>
            </w:r>
            <w:r w:rsidRPr="00DE108C">
              <w:rPr>
                <w:sz w:val="16"/>
                <w:szCs w:val="16"/>
              </w:rPr>
              <w:t>scale water supply.</w:t>
            </w:r>
          </w:p>
        </w:tc>
      </w:tr>
      <w:tr w:rsidR="002D42C1" w:rsidRPr="00DE108C" w14:paraId="7D4B9994" w14:textId="77777777" w:rsidTr="00C05BDA">
        <w:tc>
          <w:tcPr>
            <w:tcW w:w="1583" w:type="dxa"/>
            <w:vMerge/>
            <w:shd w:val="clear" w:color="auto" w:fill="00428B" w:themeFill="text2"/>
          </w:tcPr>
          <w:p w14:paraId="257A5505" w14:textId="77777777" w:rsidR="002D42C1" w:rsidRPr="00DE108C" w:rsidRDefault="002D42C1" w:rsidP="00ED094E">
            <w:pPr>
              <w:rPr>
                <w:b/>
                <w:bCs/>
                <w:color w:val="FFFFFF" w:themeColor="background1"/>
                <w:sz w:val="16"/>
                <w:szCs w:val="16"/>
              </w:rPr>
            </w:pPr>
          </w:p>
        </w:tc>
        <w:tc>
          <w:tcPr>
            <w:tcW w:w="10036" w:type="dxa"/>
          </w:tcPr>
          <w:p w14:paraId="611C77F5" w14:textId="46F225C1" w:rsidR="002D42C1" w:rsidRPr="00DE108C" w:rsidRDefault="002D42C1" w:rsidP="00ED094E">
            <w:pPr>
              <w:rPr>
                <w:sz w:val="16"/>
                <w:szCs w:val="16"/>
              </w:rPr>
            </w:pPr>
            <w:r w:rsidRPr="00DE108C">
              <w:rPr>
                <w:sz w:val="16"/>
                <w:szCs w:val="16"/>
              </w:rPr>
              <w:t xml:space="preserve">Item #5: Simplify customer Outcomes and make it clear which </w:t>
            </w:r>
            <w:r w:rsidR="00157BAD">
              <w:rPr>
                <w:sz w:val="16"/>
                <w:szCs w:val="16"/>
              </w:rPr>
              <w:t>O</w:t>
            </w:r>
            <w:r w:rsidRPr="00DE108C">
              <w:rPr>
                <w:sz w:val="16"/>
                <w:szCs w:val="16"/>
              </w:rPr>
              <w:t>utcome</w:t>
            </w:r>
            <w:r w:rsidR="00157BAD">
              <w:rPr>
                <w:sz w:val="16"/>
                <w:szCs w:val="16"/>
              </w:rPr>
              <w:t>s</w:t>
            </w:r>
            <w:r w:rsidRPr="00DE108C">
              <w:rPr>
                <w:sz w:val="16"/>
                <w:szCs w:val="16"/>
              </w:rPr>
              <w:t xml:space="preserve"> relates to which customer cohort</w:t>
            </w:r>
            <w:r w:rsidR="17FF19B2" w:rsidRPr="52721956">
              <w:rPr>
                <w:sz w:val="16"/>
                <w:szCs w:val="16"/>
              </w:rPr>
              <w:t>.</w:t>
            </w:r>
          </w:p>
        </w:tc>
        <w:tc>
          <w:tcPr>
            <w:tcW w:w="10742" w:type="dxa"/>
          </w:tcPr>
          <w:p w14:paraId="1C32D55D" w14:textId="77777777" w:rsidR="002D42C1" w:rsidRPr="00DE108C" w:rsidRDefault="002D42C1" w:rsidP="00ED094E">
            <w:pPr>
              <w:rPr>
                <w:b/>
                <w:bCs/>
                <w:sz w:val="16"/>
                <w:szCs w:val="16"/>
              </w:rPr>
            </w:pPr>
            <w:r w:rsidRPr="00DE108C">
              <w:rPr>
                <w:b/>
                <w:bCs/>
                <w:sz w:val="16"/>
                <w:szCs w:val="16"/>
              </w:rPr>
              <w:t>Addressed</w:t>
            </w:r>
          </w:p>
          <w:p w14:paraId="652FFEB7" w14:textId="529F4AE2" w:rsidR="002D42C1" w:rsidRPr="00DE108C" w:rsidRDefault="002D42C1" w:rsidP="00ED094E">
            <w:pPr>
              <w:rPr>
                <w:sz w:val="16"/>
                <w:szCs w:val="16"/>
              </w:rPr>
            </w:pPr>
            <w:r w:rsidRPr="00DE108C">
              <w:rPr>
                <w:sz w:val="16"/>
                <w:szCs w:val="16"/>
              </w:rPr>
              <w:t xml:space="preserve">Our new Outcomes reflect our core business activities, customer cohorts and key costs and investments. </w:t>
            </w:r>
            <w:r w:rsidR="540D2DA7" w:rsidRPr="1F50CAD5">
              <w:rPr>
                <w:sz w:val="16"/>
                <w:szCs w:val="16"/>
              </w:rPr>
              <w:t>GW</w:t>
            </w:r>
            <w:r w:rsidRPr="00DE108C">
              <w:rPr>
                <w:sz w:val="16"/>
                <w:szCs w:val="16"/>
              </w:rPr>
              <w:t xml:space="preserve"> will be covered by Outcomes 1 and 5 and asked for feedback when Melbourne Water is assessing its performance against these Outcomes during the regulatory period.</w:t>
            </w:r>
          </w:p>
        </w:tc>
      </w:tr>
      <w:tr w:rsidR="00A5757A" w:rsidRPr="00DE108C" w14:paraId="141C6DD7" w14:textId="77777777" w:rsidTr="00F43FAD">
        <w:trPr>
          <w:cnfStyle w:val="000000010000" w:firstRow="0" w:lastRow="0" w:firstColumn="0" w:lastColumn="0" w:oddVBand="0" w:evenVBand="0" w:oddHBand="0" w:evenHBand="1" w:firstRowFirstColumn="0" w:firstRowLastColumn="0" w:lastRowFirstColumn="0" w:lastRowLastColumn="0"/>
        </w:trPr>
        <w:tc>
          <w:tcPr>
            <w:tcW w:w="1583" w:type="dxa"/>
            <w:shd w:val="clear" w:color="auto" w:fill="00428B" w:themeFill="text2"/>
          </w:tcPr>
          <w:p w14:paraId="584FC092"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t xml:space="preserve">Key projects, actions and commitments </w:t>
            </w:r>
          </w:p>
        </w:tc>
        <w:tc>
          <w:tcPr>
            <w:tcW w:w="20778" w:type="dxa"/>
            <w:gridSpan w:val="2"/>
          </w:tcPr>
          <w:p w14:paraId="069B79FC" w14:textId="77777777" w:rsidR="002D42C1" w:rsidRPr="00DE108C" w:rsidRDefault="002D42C1" w:rsidP="00ED094E">
            <w:pPr>
              <w:rPr>
                <w:sz w:val="16"/>
                <w:szCs w:val="16"/>
              </w:rPr>
            </w:pPr>
            <w:r w:rsidRPr="00DE108C">
              <w:rPr>
                <w:sz w:val="16"/>
                <w:szCs w:val="16"/>
              </w:rPr>
              <w:t>In PS26, we are committing to:</w:t>
            </w:r>
          </w:p>
          <w:tbl>
            <w:tblPr>
              <w:tblpPr w:leftFromText="180" w:rightFromText="180" w:vertAnchor="text" w:tblpY="1"/>
              <w:tblW w:w="0" w:type="auto"/>
              <w:tblLook w:val="04A0" w:firstRow="1" w:lastRow="0" w:firstColumn="1" w:lastColumn="0" w:noHBand="0" w:noVBand="1"/>
            </w:tblPr>
            <w:tblGrid>
              <w:gridCol w:w="6733"/>
              <w:gridCol w:w="6733"/>
              <w:gridCol w:w="6733"/>
            </w:tblGrid>
            <w:tr w:rsidR="002D42C1" w:rsidRPr="00DE108C" w14:paraId="546095C9" w14:textId="77777777" w:rsidTr="00341795">
              <w:tc>
                <w:tcPr>
                  <w:tcW w:w="6733" w:type="dxa"/>
                </w:tcPr>
                <w:p w14:paraId="15A35CF7" w14:textId="77777777" w:rsidR="002D42C1" w:rsidRPr="00DE108C" w:rsidRDefault="002D42C1" w:rsidP="00C05BDA">
                  <w:pPr>
                    <w:pStyle w:val="Tablebullet"/>
                  </w:pPr>
                  <w:r w:rsidRPr="00DE108C">
                    <w:t>Collaborative planning</w:t>
                  </w:r>
                </w:p>
                <w:p w14:paraId="37322DD9" w14:textId="77777777" w:rsidR="002D42C1" w:rsidRPr="00DE108C" w:rsidRDefault="002D42C1" w:rsidP="00C05BDA">
                  <w:pPr>
                    <w:pStyle w:val="Tablebullet"/>
                  </w:pPr>
                  <w:r w:rsidRPr="00DE108C">
                    <w:t>Updating and modernising our Bulk Supply Agreements</w:t>
                  </w:r>
                </w:p>
              </w:tc>
              <w:tc>
                <w:tcPr>
                  <w:tcW w:w="6733" w:type="dxa"/>
                </w:tcPr>
                <w:p w14:paraId="1B15A790" w14:textId="77777777" w:rsidR="002D42C1" w:rsidRPr="00DE108C" w:rsidRDefault="002D42C1" w:rsidP="00C05BDA">
                  <w:pPr>
                    <w:pStyle w:val="Tablebullet"/>
                  </w:pPr>
                  <w:r w:rsidRPr="00DE108C">
                    <w:t>Tracking our performance against a new water security measure</w:t>
                  </w:r>
                </w:p>
              </w:tc>
              <w:tc>
                <w:tcPr>
                  <w:tcW w:w="6733" w:type="dxa"/>
                </w:tcPr>
                <w:p w14:paraId="28CA0EF7" w14:textId="77777777" w:rsidR="002D42C1" w:rsidRPr="00DE108C" w:rsidRDefault="002D42C1" w:rsidP="00C05BDA">
                  <w:pPr>
                    <w:pStyle w:val="Tablebullet"/>
                  </w:pPr>
                  <w:r w:rsidRPr="00DE108C">
                    <w:t>Price smoothing</w:t>
                  </w:r>
                </w:p>
                <w:p w14:paraId="02C4D65E" w14:textId="46ED3983" w:rsidR="002D42C1" w:rsidRPr="00C05BDA" w:rsidRDefault="002D42C1" w:rsidP="00C05BDA">
                  <w:pPr>
                    <w:pStyle w:val="Tablebullet"/>
                  </w:pPr>
                  <w:r w:rsidRPr="00DE108C">
                    <w:t>Fair tariff reform</w:t>
                  </w:r>
                  <w:r w:rsidR="00C05BDA">
                    <w:t>s</w:t>
                  </w:r>
                </w:p>
              </w:tc>
            </w:tr>
          </w:tbl>
          <w:p w14:paraId="185F1E5C" w14:textId="77777777" w:rsidR="002D42C1" w:rsidRPr="00DE108C" w:rsidRDefault="002D42C1" w:rsidP="00ED094E">
            <w:pPr>
              <w:rPr>
                <w:b/>
                <w:bCs/>
                <w:sz w:val="16"/>
                <w:szCs w:val="16"/>
              </w:rPr>
            </w:pPr>
          </w:p>
        </w:tc>
      </w:tr>
      <w:tr w:rsidR="002D42C1" w:rsidRPr="00DE108C" w14:paraId="0E472743" w14:textId="77777777" w:rsidTr="00F43FAD">
        <w:tc>
          <w:tcPr>
            <w:tcW w:w="1583" w:type="dxa"/>
            <w:shd w:val="clear" w:color="auto" w:fill="00428B" w:themeFill="text2"/>
          </w:tcPr>
          <w:p w14:paraId="21AE9059" w14:textId="77777777" w:rsidR="002D42C1" w:rsidRPr="00DE108C" w:rsidRDefault="002D42C1" w:rsidP="00ED094E">
            <w:pPr>
              <w:rPr>
                <w:b/>
                <w:bCs/>
                <w:color w:val="FFFFFF" w:themeColor="background1"/>
                <w:sz w:val="16"/>
                <w:szCs w:val="16"/>
              </w:rPr>
            </w:pPr>
          </w:p>
        </w:tc>
        <w:tc>
          <w:tcPr>
            <w:tcW w:w="20778" w:type="dxa"/>
            <w:gridSpan w:val="2"/>
          </w:tcPr>
          <w:p w14:paraId="40E4657F" w14:textId="77777777" w:rsidR="002D42C1" w:rsidRPr="00DE108C" w:rsidRDefault="002D42C1" w:rsidP="00ED094E">
            <w:pPr>
              <w:rPr>
                <w:sz w:val="16"/>
                <w:szCs w:val="16"/>
              </w:rPr>
            </w:pPr>
            <w:r w:rsidRPr="00DE108C">
              <w:rPr>
                <w:sz w:val="16"/>
                <w:szCs w:val="16"/>
              </w:rPr>
              <w:t>Key projects* </w:t>
            </w:r>
          </w:p>
          <w:p w14:paraId="151697B3" w14:textId="6F817074" w:rsidR="002D42C1" w:rsidRPr="00DE108C" w:rsidRDefault="002D42C1" w:rsidP="00C05BDA">
            <w:pPr>
              <w:pStyle w:val="Tablebullet"/>
            </w:pPr>
            <w:r w:rsidRPr="00DE108C">
              <w:t>More than $</w:t>
            </w:r>
            <w:r w:rsidRPr="1F50CAD5">
              <w:t>630</w:t>
            </w:r>
            <w:r w:rsidR="79C8632A" w:rsidRPr="1F50CAD5">
              <w:t xml:space="preserve"> </w:t>
            </w:r>
            <w:r w:rsidRPr="502944AB">
              <w:t>m</w:t>
            </w:r>
            <w:r w:rsidR="274E59B1" w:rsidRPr="502944AB">
              <w:t>illion</w:t>
            </w:r>
            <w:r w:rsidRPr="00DE108C">
              <w:t xml:space="preserve"> investment in </w:t>
            </w:r>
            <w:r w:rsidRPr="00DE108C">
              <w:rPr>
                <w:b/>
                <w:bCs/>
              </w:rPr>
              <w:t>water headworks</w:t>
            </w:r>
            <w:r w:rsidRPr="00DE108C">
              <w:t xml:space="preserve"> is proposed, including restoring full operating capacity through the Cardinia Dam Safety Upgrade Works ~$</w:t>
            </w:r>
            <w:r w:rsidRPr="502944AB">
              <w:t>191</w:t>
            </w:r>
            <w:r w:rsidR="7B22BC0A" w:rsidRPr="502944AB">
              <w:t xml:space="preserve"> </w:t>
            </w:r>
            <w:r w:rsidRPr="502944AB">
              <w:t>m</w:t>
            </w:r>
            <w:r w:rsidR="6710B0F8" w:rsidRPr="502944AB">
              <w:t>illion</w:t>
            </w:r>
            <w:r w:rsidRPr="00DE108C">
              <w:t xml:space="preserve"> and Cardinia pump station upgrade ~$</w:t>
            </w:r>
            <w:r w:rsidRPr="502944AB">
              <w:t>99</w:t>
            </w:r>
            <w:r w:rsidR="36752E0F" w:rsidRPr="502944AB">
              <w:t xml:space="preserve"> </w:t>
            </w:r>
            <w:r w:rsidRPr="7B542361">
              <w:t>m</w:t>
            </w:r>
            <w:r w:rsidR="6A9EED44" w:rsidRPr="7B542361">
              <w:t>illion</w:t>
            </w:r>
            <w:r w:rsidRPr="00DE108C">
              <w:t xml:space="preserve">, to support transfer of water resources to regional </w:t>
            </w:r>
            <w:r w:rsidRPr="00C05BDA">
              <w:t>and</w:t>
            </w:r>
            <w:r w:rsidRPr="00DE108C">
              <w:t xml:space="preserve"> growth areas. </w:t>
            </w:r>
          </w:p>
          <w:p w14:paraId="1EC66A59" w14:textId="44089DE9" w:rsidR="002D42C1" w:rsidRPr="00DE108C" w:rsidRDefault="002D42C1" w:rsidP="00C05BDA">
            <w:pPr>
              <w:pStyle w:val="Tablebullet"/>
            </w:pPr>
            <w:r w:rsidRPr="00DE108C">
              <w:t>$250</w:t>
            </w:r>
            <w:r w:rsidR="2C4A8EC8" w:rsidRPr="6BA5871A">
              <w:t xml:space="preserve"> </w:t>
            </w:r>
            <w:r w:rsidRPr="00DE108C">
              <w:t>m</w:t>
            </w:r>
            <w:r w:rsidR="2C4A8EC8" w:rsidRPr="6BA5871A">
              <w:t>illion</w:t>
            </w:r>
            <w:r w:rsidRPr="00DE108C">
              <w:t xml:space="preserve"> investment for early planning to determine a preferred combination of water supply options for the future and ‘no regrets’ development costs for water transfer and treatment projects that are required for the next large</w:t>
            </w:r>
            <w:r w:rsidR="6C371A15" w:rsidRPr="00DE108C">
              <w:t>-</w:t>
            </w:r>
            <w:r w:rsidRPr="00DE108C">
              <w:t>scale water supply </w:t>
            </w:r>
          </w:p>
          <w:p w14:paraId="3CEA9446" w14:textId="3F759F50" w:rsidR="002D42C1" w:rsidRPr="00DE108C" w:rsidRDefault="002D42C1" w:rsidP="00ED094E">
            <w:pPr>
              <w:rPr>
                <w:sz w:val="16"/>
                <w:szCs w:val="16"/>
              </w:rPr>
            </w:pPr>
            <w:r w:rsidRPr="00DE108C">
              <w:rPr>
                <w:sz w:val="16"/>
                <w:szCs w:val="16"/>
              </w:rPr>
              <w:t xml:space="preserve"> *All projects listed in </w:t>
            </w:r>
            <w:r w:rsidR="09CF8C4B" w:rsidRPr="6BA5871A">
              <w:rPr>
                <w:sz w:val="16"/>
                <w:szCs w:val="16"/>
              </w:rPr>
              <w:t>$</w:t>
            </w:r>
            <w:r w:rsidRPr="00DE108C">
              <w:rPr>
                <w:sz w:val="16"/>
                <w:szCs w:val="16"/>
              </w:rPr>
              <w:t xml:space="preserve">real </w:t>
            </w:r>
            <w:r w:rsidRPr="6BA5871A">
              <w:rPr>
                <w:sz w:val="16"/>
                <w:szCs w:val="16"/>
              </w:rPr>
              <w:t>202</w:t>
            </w:r>
            <w:r w:rsidR="7EEB22AF" w:rsidRPr="6BA5871A">
              <w:rPr>
                <w:sz w:val="16"/>
                <w:szCs w:val="16"/>
              </w:rPr>
              <w:t>5-26</w:t>
            </w:r>
          </w:p>
        </w:tc>
      </w:tr>
      <w:tr w:rsidR="002D42C1" w:rsidRPr="00DE108C" w14:paraId="0C00F013" w14:textId="77777777" w:rsidTr="00C05BDA">
        <w:trPr>
          <w:cnfStyle w:val="000000010000" w:firstRow="0" w:lastRow="0" w:firstColumn="0" w:lastColumn="0" w:oddVBand="0" w:evenVBand="0" w:oddHBand="0" w:evenHBand="1" w:firstRowFirstColumn="0" w:firstRowLastColumn="0" w:lastRowFirstColumn="0" w:lastRowLastColumn="0"/>
        </w:trPr>
        <w:tc>
          <w:tcPr>
            <w:tcW w:w="1583" w:type="dxa"/>
            <w:vMerge w:val="restart"/>
            <w:shd w:val="clear" w:color="auto" w:fill="00428B" w:themeFill="text2"/>
          </w:tcPr>
          <w:p w14:paraId="5AB9E30B"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t>Prices and bill impacts – how our prices impact you and your customers</w:t>
            </w:r>
          </w:p>
        </w:tc>
        <w:tc>
          <w:tcPr>
            <w:tcW w:w="10036" w:type="dxa"/>
            <w:shd w:val="clear" w:color="auto" w:fill="00428B" w:themeFill="text2"/>
          </w:tcPr>
          <w:p w14:paraId="2848158F"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t>Bulk charges impact</w:t>
            </w:r>
          </w:p>
        </w:tc>
        <w:tc>
          <w:tcPr>
            <w:tcW w:w="10742" w:type="dxa"/>
            <w:shd w:val="clear" w:color="auto" w:fill="00428B" w:themeFill="text2"/>
          </w:tcPr>
          <w:p w14:paraId="706FCC63" w14:textId="4B256298" w:rsidR="002D42C1" w:rsidRPr="00DE108C" w:rsidRDefault="002D42C1" w:rsidP="00ED094E">
            <w:pPr>
              <w:rPr>
                <w:b/>
                <w:bCs/>
                <w:color w:val="FFFFFF" w:themeColor="background1"/>
                <w:sz w:val="16"/>
                <w:szCs w:val="16"/>
              </w:rPr>
            </w:pPr>
            <w:r w:rsidRPr="00DE108C">
              <w:rPr>
                <w:b/>
                <w:bCs/>
                <w:color w:val="FFFFFF" w:themeColor="background1"/>
                <w:sz w:val="16"/>
                <w:szCs w:val="16"/>
              </w:rPr>
              <w:t>End</w:t>
            </w:r>
            <w:r w:rsidR="25B6D08E" w:rsidRPr="106D3487">
              <w:rPr>
                <w:b/>
                <w:bCs/>
                <w:color w:val="FFFFFF" w:themeColor="background1"/>
                <w:sz w:val="16"/>
                <w:szCs w:val="16"/>
              </w:rPr>
              <w:t>-</w:t>
            </w:r>
            <w:r w:rsidRPr="00DE108C">
              <w:rPr>
                <w:b/>
                <w:bCs/>
                <w:color w:val="FFFFFF" w:themeColor="background1"/>
                <w:sz w:val="16"/>
                <w:szCs w:val="16"/>
              </w:rPr>
              <w:t>use customer bill impact</w:t>
            </w:r>
          </w:p>
        </w:tc>
      </w:tr>
      <w:tr w:rsidR="002D42C1" w:rsidRPr="00DE108C" w14:paraId="76D61BD5" w14:textId="77777777" w:rsidTr="00C05BDA">
        <w:tc>
          <w:tcPr>
            <w:tcW w:w="1583" w:type="dxa"/>
            <w:vMerge/>
            <w:shd w:val="clear" w:color="auto" w:fill="00428B" w:themeFill="text2"/>
          </w:tcPr>
          <w:p w14:paraId="1B06B0FE" w14:textId="77777777" w:rsidR="002D42C1" w:rsidRPr="00DE108C" w:rsidRDefault="002D42C1" w:rsidP="00ED094E">
            <w:pPr>
              <w:rPr>
                <w:b/>
                <w:bCs/>
                <w:color w:val="FFFFFF" w:themeColor="background1"/>
                <w:sz w:val="16"/>
                <w:szCs w:val="16"/>
              </w:rPr>
            </w:pPr>
          </w:p>
        </w:tc>
        <w:tc>
          <w:tcPr>
            <w:tcW w:w="10036" w:type="dxa"/>
          </w:tcPr>
          <w:p w14:paraId="6AC0BA91" w14:textId="2EDCEF09" w:rsidR="002D42C1" w:rsidRPr="00DE108C" w:rsidRDefault="002D42C1" w:rsidP="00ED094E">
            <w:pPr>
              <w:rPr>
                <w:sz w:val="16"/>
                <w:szCs w:val="16"/>
              </w:rPr>
            </w:pPr>
            <w:r w:rsidRPr="00DE108C">
              <w:rPr>
                <w:sz w:val="16"/>
                <w:szCs w:val="16"/>
              </w:rPr>
              <w:t xml:space="preserve">Forecast total Melbourne Water bulk charges (excludes desalination orders), in </w:t>
            </w:r>
            <w:r w:rsidR="00054EAF">
              <w:rPr>
                <w:sz w:val="16"/>
                <w:szCs w:val="16"/>
              </w:rPr>
              <w:t xml:space="preserve">$millions, </w:t>
            </w:r>
            <w:r w:rsidR="00054EAF" w:rsidRPr="00CF6652">
              <w:rPr>
                <w:sz w:val="16"/>
                <w:szCs w:val="16"/>
              </w:rPr>
              <w:t>real 20</w:t>
            </w:r>
            <w:r w:rsidR="00054EAF">
              <w:rPr>
                <w:sz w:val="16"/>
                <w:szCs w:val="16"/>
              </w:rPr>
              <w:t>25-</w:t>
            </w:r>
            <w:r w:rsidR="00054EAF" w:rsidRPr="00CF6652">
              <w:rPr>
                <w:sz w:val="16"/>
                <w:szCs w:val="16"/>
              </w:rPr>
              <w:t>26</w:t>
            </w:r>
            <w:r w:rsidRPr="00DE108C">
              <w:rPr>
                <w:sz w:val="16"/>
                <w:szCs w:val="16"/>
              </w:rPr>
              <w:t xml:space="preserve"> (before inflation): </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1335"/>
              <w:gridCol w:w="1335"/>
              <w:gridCol w:w="1335"/>
              <w:gridCol w:w="1335"/>
              <w:gridCol w:w="1335"/>
              <w:gridCol w:w="1335"/>
            </w:tblGrid>
            <w:tr w:rsidR="002D42C1" w:rsidRPr="00DE108C" w14:paraId="19BECF72" w14:textId="77777777" w:rsidTr="00097A90">
              <w:trPr>
                <w:trHeight w:val="300"/>
              </w:trPr>
              <w:tc>
                <w:tcPr>
                  <w:tcW w:w="1335" w:type="dxa"/>
                  <w:tcBorders>
                    <w:top w:val="single" w:sz="6" w:space="0" w:color="4EC6FF"/>
                    <w:left w:val="nil"/>
                    <w:bottom w:val="single" w:sz="6" w:space="0" w:color="4EC6FF"/>
                    <w:right w:val="nil"/>
                  </w:tcBorders>
                  <w:hideMark/>
                </w:tcPr>
                <w:p w14:paraId="7EC232A6" w14:textId="60FBE549" w:rsidR="002D42C1" w:rsidRPr="00DE108C" w:rsidRDefault="002D42C1" w:rsidP="00ED094E">
                  <w:pPr>
                    <w:spacing w:before="60" w:after="60"/>
                    <w:rPr>
                      <w:sz w:val="16"/>
                      <w:szCs w:val="16"/>
                    </w:rPr>
                  </w:pPr>
                  <w:r w:rsidRPr="00DE108C">
                    <w:rPr>
                      <w:b/>
                      <w:bCs/>
                      <w:sz w:val="16"/>
                      <w:szCs w:val="16"/>
                    </w:rPr>
                    <w:t>Rev</w:t>
                  </w:r>
                  <w:r w:rsidR="008C46DF">
                    <w:rPr>
                      <w:b/>
                      <w:bCs/>
                      <w:sz w:val="16"/>
                      <w:szCs w:val="16"/>
                    </w:rPr>
                    <w:t xml:space="preserve"> </w:t>
                  </w:r>
                </w:p>
              </w:tc>
              <w:tc>
                <w:tcPr>
                  <w:tcW w:w="1335" w:type="dxa"/>
                  <w:tcBorders>
                    <w:top w:val="single" w:sz="6" w:space="0" w:color="4EC6FF"/>
                    <w:left w:val="nil"/>
                    <w:bottom w:val="single" w:sz="6" w:space="0" w:color="4EC6FF"/>
                    <w:right w:val="nil"/>
                  </w:tcBorders>
                  <w:hideMark/>
                </w:tcPr>
                <w:p w14:paraId="7B1E12AC" w14:textId="79094FB5" w:rsidR="002D42C1" w:rsidRPr="00DE108C" w:rsidRDefault="002D42C1" w:rsidP="00097A90">
                  <w:pPr>
                    <w:spacing w:before="60" w:after="60"/>
                    <w:jc w:val="center"/>
                    <w:rPr>
                      <w:sz w:val="16"/>
                      <w:szCs w:val="16"/>
                    </w:rPr>
                  </w:pPr>
                  <w:r w:rsidRPr="00DE108C">
                    <w:rPr>
                      <w:b/>
                      <w:bCs/>
                      <w:sz w:val="16"/>
                      <w:szCs w:val="16"/>
                    </w:rPr>
                    <w:t>2025-26</w:t>
                  </w:r>
                </w:p>
              </w:tc>
              <w:tc>
                <w:tcPr>
                  <w:tcW w:w="1335" w:type="dxa"/>
                  <w:tcBorders>
                    <w:top w:val="single" w:sz="6" w:space="0" w:color="4EC6FF"/>
                    <w:left w:val="nil"/>
                    <w:bottom w:val="single" w:sz="6" w:space="0" w:color="4EC6FF"/>
                    <w:right w:val="nil"/>
                  </w:tcBorders>
                  <w:hideMark/>
                </w:tcPr>
                <w:p w14:paraId="4BBF40CD" w14:textId="473A2494" w:rsidR="002D42C1" w:rsidRPr="00DE108C" w:rsidRDefault="002D42C1" w:rsidP="00097A90">
                  <w:pPr>
                    <w:spacing w:before="60" w:after="60"/>
                    <w:jc w:val="center"/>
                    <w:rPr>
                      <w:sz w:val="16"/>
                      <w:szCs w:val="16"/>
                    </w:rPr>
                  </w:pPr>
                  <w:r w:rsidRPr="00DE108C">
                    <w:rPr>
                      <w:b/>
                      <w:bCs/>
                      <w:sz w:val="16"/>
                      <w:szCs w:val="16"/>
                    </w:rPr>
                    <w:t>2026-27</w:t>
                  </w:r>
                </w:p>
              </w:tc>
              <w:tc>
                <w:tcPr>
                  <w:tcW w:w="1335" w:type="dxa"/>
                  <w:tcBorders>
                    <w:top w:val="single" w:sz="6" w:space="0" w:color="4EC6FF"/>
                    <w:left w:val="nil"/>
                    <w:bottom w:val="single" w:sz="6" w:space="0" w:color="4EC6FF"/>
                    <w:right w:val="nil"/>
                  </w:tcBorders>
                  <w:hideMark/>
                </w:tcPr>
                <w:p w14:paraId="0325DD1B" w14:textId="60BFC85B" w:rsidR="002D42C1" w:rsidRPr="00DE108C" w:rsidRDefault="002D42C1" w:rsidP="00097A90">
                  <w:pPr>
                    <w:spacing w:before="60" w:after="60"/>
                    <w:jc w:val="center"/>
                    <w:rPr>
                      <w:sz w:val="16"/>
                      <w:szCs w:val="16"/>
                    </w:rPr>
                  </w:pPr>
                  <w:r w:rsidRPr="00DE108C">
                    <w:rPr>
                      <w:b/>
                      <w:bCs/>
                      <w:sz w:val="16"/>
                      <w:szCs w:val="16"/>
                    </w:rPr>
                    <w:t>2027-28</w:t>
                  </w:r>
                </w:p>
              </w:tc>
              <w:tc>
                <w:tcPr>
                  <w:tcW w:w="1335" w:type="dxa"/>
                  <w:tcBorders>
                    <w:top w:val="single" w:sz="6" w:space="0" w:color="4EC6FF"/>
                    <w:left w:val="nil"/>
                    <w:bottom w:val="single" w:sz="6" w:space="0" w:color="4EC6FF"/>
                    <w:right w:val="nil"/>
                  </w:tcBorders>
                  <w:hideMark/>
                </w:tcPr>
                <w:p w14:paraId="5EA0061C" w14:textId="2A6EFAD4" w:rsidR="002D42C1" w:rsidRPr="00DE108C" w:rsidRDefault="002D42C1" w:rsidP="00097A90">
                  <w:pPr>
                    <w:spacing w:before="60" w:after="60"/>
                    <w:jc w:val="center"/>
                    <w:rPr>
                      <w:sz w:val="16"/>
                      <w:szCs w:val="16"/>
                    </w:rPr>
                  </w:pPr>
                  <w:r w:rsidRPr="00DE108C">
                    <w:rPr>
                      <w:b/>
                      <w:bCs/>
                      <w:sz w:val="16"/>
                      <w:szCs w:val="16"/>
                    </w:rPr>
                    <w:t>2028-29</w:t>
                  </w:r>
                </w:p>
              </w:tc>
              <w:tc>
                <w:tcPr>
                  <w:tcW w:w="1335" w:type="dxa"/>
                  <w:tcBorders>
                    <w:top w:val="single" w:sz="6" w:space="0" w:color="4EC6FF"/>
                    <w:left w:val="nil"/>
                    <w:bottom w:val="single" w:sz="6" w:space="0" w:color="4EC6FF"/>
                    <w:right w:val="nil"/>
                  </w:tcBorders>
                  <w:hideMark/>
                </w:tcPr>
                <w:p w14:paraId="3C174DF2" w14:textId="5C2CFA07" w:rsidR="002D42C1" w:rsidRPr="00DE108C" w:rsidRDefault="002D42C1" w:rsidP="00097A90">
                  <w:pPr>
                    <w:spacing w:before="60" w:after="60"/>
                    <w:jc w:val="center"/>
                    <w:rPr>
                      <w:sz w:val="16"/>
                      <w:szCs w:val="16"/>
                    </w:rPr>
                  </w:pPr>
                  <w:r w:rsidRPr="00DE108C">
                    <w:rPr>
                      <w:b/>
                      <w:bCs/>
                      <w:sz w:val="16"/>
                      <w:szCs w:val="16"/>
                    </w:rPr>
                    <w:t>2029-30</w:t>
                  </w:r>
                </w:p>
              </w:tc>
              <w:tc>
                <w:tcPr>
                  <w:tcW w:w="1335" w:type="dxa"/>
                  <w:tcBorders>
                    <w:top w:val="single" w:sz="6" w:space="0" w:color="4EC6FF"/>
                    <w:left w:val="nil"/>
                    <w:bottom w:val="single" w:sz="6" w:space="0" w:color="4EC6FF"/>
                    <w:right w:val="nil"/>
                  </w:tcBorders>
                  <w:hideMark/>
                </w:tcPr>
                <w:p w14:paraId="65160B5D" w14:textId="1A704ACB" w:rsidR="002D42C1" w:rsidRPr="00DE108C" w:rsidRDefault="002D42C1" w:rsidP="00097A90">
                  <w:pPr>
                    <w:spacing w:before="60" w:after="60"/>
                    <w:jc w:val="center"/>
                    <w:rPr>
                      <w:sz w:val="16"/>
                      <w:szCs w:val="16"/>
                    </w:rPr>
                  </w:pPr>
                  <w:r w:rsidRPr="00DE108C">
                    <w:rPr>
                      <w:b/>
                      <w:bCs/>
                      <w:sz w:val="16"/>
                      <w:szCs w:val="16"/>
                    </w:rPr>
                    <w:t>2030-31</w:t>
                  </w:r>
                </w:p>
              </w:tc>
            </w:tr>
            <w:tr w:rsidR="002D42C1" w:rsidRPr="00DE108C" w14:paraId="678C410E" w14:textId="77777777" w:rsidTr="00097A90">
              <w:trPr>
                <w:trHeight w:val="300"/>
              </w:trPr>
              <w:tc>
                <w:tcPr>
                  <w:tcW w:w="1335" w:type="dxa"/>
                  <w:tcBorders>
                    <w:top w:val="single" w:sz="6" w:space="0" w:color="4EC6FF"/>
                    <w:left w:val="nil"/>
                    <w:bottom w:val="single" w:sz="6" w:space="0" w:color="4EC6FF"/>
                    <w:right w:val="nil"/>
                  </w:tcBorders>
                  <w:hideMark/>
                </w:tcPr>
                <w:p w14:paraId="48290807" w14:textId="766FC91D"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6925D68C" w14:textId="4B6D7A3A" w:rsidR="002D42C1" w:rsidRPr="00DE108C" w:rsidRDefault="002D42C1" w:rsidP="00097A90">
                  <w:pPr>
                    <w:spacing w:before="60" w:after="60"/>
                    <w:jc w:val="center"/>
                    <w:rPr>
                      <w:sz w:val="16"/>
                      <w:szCs w:val="16"/>
                    </w:rPr>
                  </w:pPr>
                  <w:r w:rsidRPr="00DE108C">
                    <w:rPr>
                      <w:sz w:val="16"/>
                      <w:szCs w:val="16"/>
                    </w:rPr>
                    <w:t>394</w:t>
                  </w:r>
                </w:p>
              </w:tc>
              <w:tc>
                <w:tcPr>
                  <w:tcW w:w="1335" w:type="dxa"/>
                  <w:tcBorders>
                    <w:top w:val="single" w:sz="6" w:space="0" w:color="4EC6FF"/>
                    <w:left w:val="nil"/>
                    <w:bottom w:val="single" w:sz="6" w:space="0" w:color="4EC6FF"/>
                    <w:right w:val="nil"/>
                  </w:tcBorders>
                  <w:vAlign w:val="center"/>
                  <w:hideMark/>
                </w:tcPr>
                <w:p w14:paraId="6BA4A92D" w14:textId="36BF25BB" w:rsidR="002D42C1" w:rsidRPr="00DE108C" w:rsidRDefault="002D42C1" w:rsidP="00097A90">
                  <w:pPr>
                    <w:spacing w:before="60" w:after="60"/>
                    <w:jc w:val="center"/>
                    <w:rPr>
                      <w:sz w:val="16"/>
                      <w:szCs w:val="16"/>
                    </w:rPr>
                  </w:pPr>
                  <w:r w:rsidRPr="00DE108C">
                    <w:rPr>
                      <w:sz w:val="16"/>
                      <w:szCs w:val="16"/>
                    </w:rPr>
                    <w:t>405</w:t>
                  </w:r>
                </w:p>
              </w:tc>
              <w:tc>
                <w:tcPr>
                  <w:tcW w:w="1335" w:type="dxa"/>
                  <w:tcBorders>
                    <w:top w:val="single" w:sz="6" w:space="0" w:color="4EC6FF"/>
                    <w:left w:val="nil"/>
                    <w:bottom w:val="single" w:sz="6" w:space="0" w:color="4EC6FF"/>
                    <w:right w:val="nil"/>
                  </w:tcBorders>
                  <w:vAlign w:val="center"/>
                  <w:hideMark/>
                </w:tcPr>
                <w:p w14:paraId="26FB07E7" w14:textId="3E96D835" w:rsidR="002D42C1" w:rsidRPr="00DE108C" w:rsidRDefault="00097A90" w:rsidP="00097A90">
                  <w:pPr>
                    <w:spacing w:before="60" w:after="60"/>
                    <w:jc w:val="center"/>
                    <w:rPr>
                      <w:sz w:val="16"/>
                      <w:szCs w:val="16"/>
                    </w:rPr>
                  </w:pPr>
                  <w:r w:rsidRPr="00C92A0B">
                    <w:rPr>
                      <w:sz w:val="16"/>
                      <w:szCs w:val="16"/>
                    </w:rPr>
                    <w:t>426</w:t>
                  </w:r>
                </w:p>
              </w:tc>
              <w:tc>
                <w:tcPr>
                  <w:tcW w:w="1335" w:type="dxa"/>
                  <w:tcBorders>
                    <w:top w:val="single" w:sz="6" w:space="0" w:color="4EC6FF"/>
                    <w:left w:val="nil"/>
                    <w:bottom w:val="single" w:sz="6" w:space="0" w:color="4EC6FF"/>
                    <w:right w:val="nil"/>
                  </w:tcBorders>
                  <w:vAlign w:val="center"/>
                  <w:hideMark/>
                </w:tcPr>
                <w:p w14:paraId="076AF9C5" w14:textId="307CCED7" w:rsidR="002D42C1" w:rsidRPr="00DE108C" w:rsidRDefault="00097A90" w:rsidP="00097A90">
                  <w:pPr>
                    <w:spacing w:before="60" w:after="60"/>
                    <w:jc w:val="center"/>
                    <w:rPr>
                      <w:sz w:val="16"/>
                      <w:szCs w:val="16"/>
                    </w:rPr>
                  </w:pPr>
                  <w:r w:rsidRPr="0091606C">
                    <w:rPr>
                      <w:sz w:val="16"/>
                      <w:szCs w:val="16"/>
                    </w:rPr>
                    <w:t>444</w:t>
                  </w:r>
                </w:p>
              </w:tc>
              <w:tc>
                <w:tcPr>
                  <w:tcW w:w="1335" w:type="dxa"/>
                  <w:tcBorders>
                    <w:top w:val="single" w:sz="6" w:space="0" w:color="4EC6FF"/>
                    <w:left w:val="nil"/>
                    <w:bottom w:val="single" w:sz="6" w:space="0" w:color="4EC6FF"/>
                    <w:right w:val="nil"/>
                  </w:tcBorders>
                  <w:vAlign w:val="center"/>
                  <w:hideMark/>
                </w:tcPr>
                <w:p w14:paraId="2DFCADAB" w14:textId="1415B5FC" w:rsidR="002D42C1" w:rsidRPr="00DE108C" w:rsidRDefault="002D42C1" w:rsidP="00097A90">
                  <w:pPr>
                    <w:spacing w:before="60" w:after="60"/>
                    <w:jc w:val="center"/>
                    <w:rPr>
                      <w:sz w:val="16"/>
                      <w:szCs w:val="16"/>
                    </w:rPr>
                  </w:pPr>
                  <w:r w:rsidRPr="00DE108C">
                    <w:rPr>
                      <w:sz w:val="16"/>
                      <w:szCs w:val="16"/>
                    </w:rPr>
                    <w:t>463</w:t>
                  </w:r>
                </w:p>
              </w:tc>
              <w:tc>
                <w:tcPr>
                  <w:tcW w:w="1335" w:type="dxa"/>
                  <w:tcBorders>
                    <w:top w:val="single" w:sz="6" w:space="0" w:color="4EC6FF"/>
                    <w:left w:val="nil"/>
                    <w:bottom w:val="single" w:sz="6" w:space="0" w:color="4EC6FF"/>
                    <w:right w:val="nil"/>
                  </w:tcBorders>
                  <w:vAlign w:val="center"/>
                  <w:hideMark/>
                </w:tcPr>
                <w:p w14:paraId="519F4E50" w14:textId="51C183F4" w:rsidR="002D42C1" w:rsidRPr="00DE108C" w:rsidRDefault="00097A90" w:rsidP="00097A90">
                  <w:pPr>
                    <w:spacing w:before="60" w:after="60"/>
                    <w:jc w:val="center"/>
                    <w:rPr>
                      <w:sz w:val="16"/>
                      <w:szCs w:val="16"/>
                    </w:rPr>
                  </w:pPr>
                  <w:r w:rsidRPr="0091606C">
                    <w:rPr>
                      <w:sz w:val="16"/>
                      <w:szCs w:val="16"/>
                    </w:rPr>
                    <w:t>481</w:t>
                  </w:r>
                </w:p>
              </w:tc>
            </w:tr>
            <w:tr w:rsidR="002D42C1" w:rsidRPr="00DE108C" w14:paraId="02026152" w14:textId="77777777" w:rsidTr="00097A90">
              <w:trPr>
                <w:trHeight w:val="300"/>
              </w:trPr>
              <w:tc>
                <w:tcPr>
                  <w:tcW w:w="1335" w:type="dxa"/>
                  <w:tcBorders>
                    <w:top w:val="single" w:sz="6" w:space="0" w:color="4EC6FF"/>
                    <w:left w:val="nil"/>
                    <w:bottom w:val="single" w:sz="6" w:space="0" w:color="4EC6FF"/>
                    <w:right w:val="nil"/>
                  </w:tcBorders>
                  <w:hideMark/>
                </w:tcPr>
                <w:p w14:paraId="0AA8A8CE" w14:textId="7D5CE819"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03609DD6" w14:textId="1E10D660" w:rsidR="002D42C1" w:rsidRPr="00DE108C" w:rsidRDefault="002D42C1" w:rsidP="00097A90">
                  <w:pPr>
                    <w:spacing w:before="60" w:after="60"/>
                    <w:jc w:val="center"/>
                    <w:rPr>
                      <w:sz w:val="16"/>
                      <w:szCs w:val="16"/>
                    </w:rPr>
                  </w:pPr>
                  <w:r w:rsidRPr="00DE108C">
                    <w:rPr>
                      <w:sz w:val="16"/>
                      <w:szCs w:val="16"/>
                    </w:rPr>
                    <w:t>572</w:t>
                  </w:r>
                </w:p>
              </w:tc>
              <w:tc>
                <w:tcPr>
                  <w:tcW w:w="1335" w:type="dxa"/>
                  <w:tcBorders>
                    <w:top w:val="single" w:sz="6" w:space="0" w:color="4EC6FF"/>
                    <w:left w:val="nil"/>
                    <w:bottom w:val="single" w:sz="6" w:space="0" w:color="4EC6FF"/>
                    <w:right w:val="nil"/>
                  </w:tcBorders>
                  <w:vAlign w:val="center"/>
                  <w:hideMark/>
                </w:tcPr>
                <w:p w14:paraId="2C93DAA8" w14:textId="2D7F45F4" w:rsidR="002D42C1" w:rsidRPr="00DE108C" w:rsidRDefault="002D42C1" w:rsidP="00097A90">
                  <w:pPr>
                    <w:spacing w:before="60" w:after="60"/>
                    <w:jc w:val="center"/>
                    <w:rPr>
                      <w:sz w:val="16"/>
                      <w:szCs w:val="16"/>
                    </w:rPr>
                  </w:pPr>
                  <w:r w:rsidRPr="00DE108C">
                    <w:rPr>
                      <w:sz w:val="16"/>
                      <w:szCs w:val="16"/>
                    </w:rPr>
                    <w:t>581</w:t>
                  </w:r>
                </w:p>
              </w:tc>
              <w:tc>
                <w:tcPr>
                  <w:tcW w:w="1335" w:type="dxa"/>
                  <w:tcBorders>
                    <w:top w:val="single" w:sz="6" w:space="0" w:color="4EC6FF"/>
                    <w:left w:val="nil"/>
                    <w:bottom w:val="single" w:sz="6" w:space="0" w:color="4EC6FF"/>
                    <w:right w:val="nil"/>
                  </w:tcBorders>
                  <w:vAlign w:val="center"/>
                  <w:hideMark/>
                </w:tcPr>
                <w:p w14:paraId="3F38368C" w14:textId="79CFC4D2" w:rsidR="002D42C1" w:rsidRPr="00DE108C" w:rsidRDefault="00097A90" w:rsidP="00097A90">
                  <w:pPr>
                    <w:spacing w:before="60" w:after="60"/>
                    <w:jc w:val="center"/>
                    <w:rPr>
                      <w:sz w:val="16"/>
                      <w:szCs w:val="16"/>
                    </w:rPr>
                  </w:pPr>
                  <w:r w:rsidRPr="00C92A0B">
                    <w:rPr>
                      <w:sz w:val="16"/>
                      <w:szCs w:val="16"/>
                    </w:rPr>
                    <w:t>605</w:t>
                  </w:r>
                </w:p>
              </w:tc>
              <w:tc>
                <w:tcPr>
                  <w:tcW w:w="1335" w:type="dxa"/>
                  <w:tcBorders>
                    <w:top w:val="single" w:sz="6" w:space="0" w:color="4EC6FF"/>
                    <w:left w:val="nil"/>
                    <w:bottom w:val="single" w:sz="6" w:space="0" w:color="4EC6FF"/>
                    <w:right w:val="nil"/>
                  </w:tcBorders>
                  <w:vAlign w:val="center"/>
                  <w:hideMark/>
                </w:tcPr>
                <w:p w14:paraId="6A9178B1" w14:textId="56E3BB6B" w:rsidR="002D42C1" w:rsidRPr="00DE108C" w:rsidRDefault="00097A90" w:rsidP="00097A90">
                  <w:pPr>
                    <w:spacing w:before="60" w:after="60"/>
                    <w:jc w:val="center"/>
                    <w:rPr>
                      <w:sz w:val="16"/>
                      <w:szCs w:val="16"/>
                    </w:rPr>
                  </w:pPr>
                  <w:r w:rsidRPr="0091606C">
                    <w:rPr>
                      <w:sz w:val="16"/>
                      <w:szCs w:val="16"/>
                    </w:rPr>
                    <w:t>615</w:t>
                  </w:r>
                </w:p>
              </w:tc>
              <w:tc>
                <w:tcPr>
                  <w:tcW w:w="1335" w:type="dxa"/>
                  <w:tcBorders>
                    <w:top w:val="single" w:sz="6" w:space="0" w:color="4EC6FF"/>
                    <w:left w:val="nil"/>
                    <w:bottom w:val="single" w:sz="6" w:space="0" w:color="4EC6FF"/>
                    <w:right w:val="nil"/>
                  </w:tcBorders>
                  <w:vAlign w:val="center"/>
                  <w:hideMark/>
                </w:tcPr>
                <w:p w14:paraId="69D0045A" w14:textId="1D5CA14D" w:rsidR="002D42C1" w:rsidRPr="00DE108C" w:rsidRDefault="002D42C1" w:rsidP="00097A90">
                  <w:pPr>
                    <w:spacing w:before="60" w:after="60"/>
                    <w:jc w:val="center"/>
                    <w:rPr>
                      <w:sz w:val="16"/>
                      <w:szCs w:val="16"/>
                    </w:rPr>
                  </w:pPr>
                  <w:r w:rsidRPr="00DE108C">
                    <w:rPr>
                      <w:sz w:val="16"/>
                      <w:szCs w:val="16"/>
                    </w:rPr>
                    <w:t>626</w:t>
                  </w:r>
                </w:p>
              </w:tc>
              <w:tc>
                <w:tcPr>
                  <w:tcW w:w="1335" w:type="dxa"/>
                  <w:tcBorders>
                    <w:top w:val="single" w:sz="6" w:space="0" w:color="4EC6FF"/>
                    <w:left w:val="nil"/>
                    <w:bottom w:val="single" w:sz="6" w:space="0" w:color="4EC6FF"/>
                    <w:right w:val="nil"/>
                  </w:tcBorders>
                  <w:vAlign w:val="center"/>
                  <w:hideMark/>
                </w:tcPr>
                <w:p w14:paraId="6C43D9AB" w14:textId="1C15D981" w:rsidR="002D42C1" w:rsidRPr="00DE108C" w:rsidRDefault="00097A90" w:rsidP="00097A90">
                  <w:pPr>
                    <w:spacing w:before="60" w:after="60"/>
                    <w:jc w:val="center"/>
                    <w:rPr>
                      <w:sz w:val="16"/>
                      <w:szCs w:val="16"/>
                    </w:rPr>
                  </w:pPr>
                  <w:r w:rsidRPr="00C92A0B">
                    <w:rPr>
                      <w:sz w:val="16"/>
                      <w:szCs w:val="16"/>
                    </w:rPr>
                    <w:t>637</w:t>
                  </w:r>
                </w:p>
              </w:tc>
            </w:tr>
            <w:tr w:rsidR="002D42C1" w:rsidRPr="00DE108C" w14:paraId="76C0DFF9" w14:textId="77777777" w:rsidTr="00097A90">
              <w:trPr>
                <w:trHeight w:val="300"/>
              </w:trPr>
              <w:tc>
                <w:tcPr>
                  <w:tcW w:w="1335" w:type="dxa"/>
                  <w:tcBorders>
                    <w:top w:val="single" w:sz="6" w:space="0" w:color="4EC6FF"/>
                    <w:left w:val="nil"/>
                    <w:bottom w:val="single" w:sz="6" w:space="0" w:color="4EC6FF"/>
                    <w:right w:val="nil"/>
                  </w:tcBorders>
                  <w:hideMark/>
                </w:tcPr>
                <w:p w14:paraId="305C455B"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5EDD813C" w14:textId="4C8E212C" w:rsidR="002D42C1" w:rsidRPr="00DE108C" w:rsidRDefault="002D42C1" w:rsidP="00097A90">
                  <w:pPr>
                    <w:spacing w:before="60" w:after="60"/>
                    <w:jc w:val="center"/>
                    <w:rPr>
                      <w:sz w:val="16"/>
                      <w:szCs w:val="16"/>
                    </w:rPr>
                  </w:pPr>
                  <w:r w:rsidRPr="00DE108C">
                    <w:rPr>
                      <w:sz w:val="16"/>
                      <w:szCs w:val="16"/>
                    </w:rPr>
                    <w:t>570</w:t>
                  </w:r>
                </w:p>
              </w:tc>
              <w:tc>
                <w:tcPr>
                  <w:tcW w:w="1335" w:type="dxa"/>
                  <w:tcBorders>
                    <w:top w:val="single" w:sz="6" w:space="0" w:color="4EC6FF"/>
                    <w:left w:val="nil"/>
                    <w:bottom w:val="single" w:sz="6" w:space="0" w:color="4EC6FF"/>
                    <w:right w:val="nil"/>
                  </w:tcBorders>
                  <w:vAlign w:val="center"/>
                  <w:hideMark/>
                </w:tcPr>
                <w:p w14:paraId="72B3CF15" w14:textId="7F530B2A" w:rsidR="002D42C1" w:rsidRPr="00DE108C" w:rsidRDefault="002D42C1" w:rsidP="00097A90">
                  <w:pPr>
                    <w:spacing w:before="60" w:after="60"/>
                    <w:jc w:val="center"/>
                    <w:rPr>
                      <w:sz w:val="16"/>
                      <w:szCs w:val="16"/>
                    </w:rPr>
                  </w:pPr>
                  <w:r w:rsidRPr="00DE108C">
                    <w:rPr>
                      <w:sz w:val="16"/>
                      <w:szCs w:val="16"/>
                    </w:rPr>
                    <w:t>579</w:t>
                  </w:r>
                </w:p>
              </w:tc>
              <w:tc>
                <w:tcPr>
                  <w:tcW w:w="1335" w:type="dxa"/>
                  <w:tcBorders>
                    <w:top w:val="single" w:sz="6" w:space="0" w:color="4EC6FF"/>
                    <w:left w:val="nil"/>
                    <w:bottom w:val="single" w:sz="6" w:space="0" w:color="4EC6FF"/>
                    <w:right w:val="nil"/>
                  </w:tcBorders>
                  <w:vAlign w:val="center"/>
                  <w:hideMark/>
                </w:tcPr>
                <w:p w14:paraId="771C553B" w14:textId="474E0861" w:rsidR="002D42C1" w:rsidRPr="00DE108C" w:rsidRDefault="002D42C1" w:rsidP="00097A90">
                  <w:pPr>
                    <w:spacing w:before="60" w:after="60"/>
                    <w:jc w:val="center"/>
                    <w:rPr>
                      <w:sz w:val="16"/>
                      <w:szCs w:val="16"/>
                    </w:rPr>
                  </w:pPr>
                  <w:r w:rsidRPr="00DE108C">
                    <w:rPr>
                      <w:sz w:val="16"/>
                      <w:szCs w:val="16"/>
                    </w:rPr>
                    <w:t>605</w:t>
                  </w:r>
                </w:p>
              </w:tc>
              <w:tc>
                <w:tcPr>
                  <w:tcW w:w="1335" w:type="dxa"/>
                  <w:tcBorders>
                    <w:top w:val="single" w:sz="6" w:space="0" w:color="4EC6FF"/>
                    <w:left w:val="nil"/>
                    <w:bottom w:val="single" w:sz="6" w:space="0" w:color="4EC6FF"/>
                    <w:right w:val="nil"/>
                  </w:tcBorders>
                  <w:vAlign w:val="center"/>
                  <w:hideMark/>
                </w:tcPr>
                <w:p w14:paraId="14FEBB56" w14:textId="1237CE97" w:rsidR="002D42C1" w:rsidRPr="00DE108C" w:rsidRDefault="002D42C1" w:rsidP="00097A90">
                  <w:pPr>
                    <w:spacing w:before="60" w:after="60"/>
                    <w:jc w:val="center"/>
                    <w:rPr>
                      <w:sz w:val="16"/>
                      <w:szCs w:val="16"/>
                    </w:rPr>
                  </w:pPr>
                  <w:r w:rsidRPr="00DE108C">
                    <w:rPr>
                      <w:sz w:val="16"/>
                      <w:szCs w:val="16"/>
                    </w:rPr>
                    <w:t>608</w:t>
                  </w:r>
                </w:p>
              </w:tc>
              <w:tc>
                <w:tcPr>
                  <w:tcW w:w="1335" w:type="dxa"/>
                  <w:tcBorders>
                    <w:top w:val="single" w:sz="6" w:space="0" w:color="4EC6FF"/>
                    <w:left w:val="nil"/>
                    <w:bottom w:val="single" w:sz="6" w:space="0" w:color="4EC6FF"/>
                    <w:right w:val="nil"/>
                  </w:tcBorders>
                  <w:vAlign w:val="center"/>
                  <w:hideMark/>
                </w:tcPr>
                <w:p w14:paraId="0B65924F" w14:textId="6AE012EF" w:rsidR="002D42C1" w:rsidRPr="00DE108C" w:rsidRDefault="00097A90" w:rsidP="00097A90">
                  <w:pPr>
                    <w:spacing w:before="60" w:after="60"/>
                    <w:jc w:val="center"/>
                    <w:rPr>
                      <w:sz w:val="16"/>
                      <w:szCs w:val="16"/>
                    </w:rPr>
                  </w:pPr>
                  <w:r w:rsidRPr="0091606C">
                    <w:rPr>
                      <w:sz w:val="16"/>
                      <w:szCs w:val="16"/>
                    </w:rPr>
                    <w:t>610</w:t>
                  </w:r>
                </w:p>
              </w:tc>
              <w:tc>
                <w:tcPr>
                  <w:tcW w:w="1335" w:type="dxa"/>
                  <w:tcBorders>
                    <w:top w:val="single" w:sz="6" w:space="0" w:color="4EC6FF"/>
                    <w:left w:val="nil"/>
                    <w:bottom w:val="single" w:sz="6" w:space="0" w:color="4EC6FF"/>
                    <w:right w:val="nil"/>
                  </w:tcBorders>
                  <w:vAlign w:val="center"/>
                  <w:hideMark/>
                </w:tcPr>
                <w:p w14:paraId="52AA9FCA" w14:textId="7C844CC5" w:rsidR="002D42C1" w:rsidRPr="00DE108C" w:rsidRDefault="00097A90" w:rsidP="00097A90">
                  <w:pPr>
                    <w:spacing w:before="60" w:after="60"/>
                    <w:jc w:val="center"/>
                    <w:rPr>
                      <w:sz w:val="16"/>
                      <w:szCs w:val="16"/>
                    </w:rPr>
                  </w:pPr>
                  <w:r w:rsidRPr="00C92A0B">
                    <w:rPr>
                      <w:sz w:val="16"/>
                      <w:szCs w:val="16"/>
                    </w:rPr>
                    <w:t>612</w:t>
                  </w:r>
                </w:p>
              </w:tc>
            </w:tr>
            <w:tr w:rsidR="002D42C1" w:rsidRPr="00DE108C" w14:paraId="1B68E314" w14:textId="77777777" w:rsidTr="00097A90">
              <w:trPr>
                <w:trHeight w:val="300"/>
              </w:trPr>
              <w:tc>
                <w:tcPr>
                  <w:tcW w:w="1335" w:type="dxa"/>
                  <w:tcBorders>
                    <w:top w:val="single" w:sz="6" w:space="0" w:color="4EC6FF"/>
                    <w:left w:val="nil"/>
                    <w:bottom w:val="single" w:sz="6" w:space="0" w:color="4EC6FF"/>
                    <w:right w:val="nil"/>
                  </w:tcBorders>
                  <w:hideMark/>
                </w:tcPr>
                <w:p w14:paraId="605D3A42" w14:textId="0B0BDE79"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7390D7E8" w14:textId="6AC9D198" w:rsidR="002D42C1" w:rsidRPr="00DE108C" w:rsidRDefault="002D42C1" w:rsidP="00097A90">
                  <w:pPr>
                    <w:spacing w:before="60" w:after="60"/>
                    <w:jc w:val="center"/>
                    <w:rPr>
                      <w:sz w:val="16"/>
                      <w:szCs w:val="16"/>
                    </w:rPr>
                  </w:pPr>
                  <w:r w:rsidRPr="00DE108C">
                    <w:rPr>
                      <w:sz w:val="16"/>
                      <w:szCs w:val="16"/>
                    </w:rPr>
                    <w:t>12.0</w:t>
                  </w:r>
                </w:p>
              </w:tc>
              <w:tc>
                <w:tcPr>
                  <w:tcW w:w="1335" w:type="dxa"/>
                  <w:tcBorders>
                    <w:top w:val="single" w:sz="6" w:space="0" w:color="4EC6FF"/>
                    <w:left w:val="nil"/>
                    <w:bottom w:val="single" w:sz="6" w:space="0" w:color="4EC6FF"/>
                    <w:right w:val="nil"/>
                  </w:tcBorders>
                  <w:vAlign w:val="center"/>
                  <w:hideMark/>
                </w:tcPr>
                <w:p w14:paraId="16B7C8A2" w14:textId="09D08E5E" w:rsidR="002D42C1" w:rsidRPr="00DE108C" w:rsidRDefault="002D42C1" w:rsidP="00097A90">
                  <w:pPr>
                    <w:spacing w:before="60" w:after="60"/>
                    <w:jc w:val="center"/>
                    <w:rPr>
                      <w:sz w:val="16"/>
                      <w:szCs w:val="16"/>
                    </w:rPr>
                  </w:pPr>
                  <w:r w:rsidRPr="00DE108C">
                    <w:rPr>
                      <w:sz w:val="16"/>
                      <w:szCs w:val="16"/>
                    </w:rPr>
                    <w:t>10.7</w:t>
                  </w:r>
                </w:p>
              </w:tc>
              <w:tc>
                <w:tcPr>
                  <w:tcW w:w="1335" w:type="dxa"/>
                  <w:tcBorders>
                    <w:top w:val="single" w:sz="6" w:space="0" w:color="4EC6FF"/>
                    <w:left w:val="nil"/>
                    <w:bottom w:val="single" w:sz="6" w:space="0" w:color="4EC6FF"/>
                    <w:right w:val="nil"/>
                  </w:tcBorders>
                  <w:vAlign w:val="center"/>
                  <w:hideMark/>
                </w:tcPr>
                <w:p w14:paraId="2398B151" w14:textId="106D4AB8"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33D72853" w14:textId="3EA9824C"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6032BEF5" w14:textId="622AE706"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15D4AFCC" w14:textId="1769DB14" w:rsidR="002D42C1" w:rsidRPr="00DE108C" w:rsidRDefault="002D42C1" w:rsidP="00097A90">
                  <w:pPr>
                    <w:spacing w:before="60" w:after="60"/>
                    <w:jc w:val="center"/>
                    <w:rPr>
                      <w:sz w:val="16"/>
                      <w:szCs w:val="16"/>
                    </w:rPr>
                  </w:pPr>
                  <w:r w:rsidRPr="00DE108C">
                    <w:rPr>
                      <w:sz w:val="16"/>
                      <w:szCs w:val="16"/>
                    </w:rPr>
                    <w:t>7.5</w:t>
                  </w:r>
                </w:p>
              </w:tc>
            </w:tr>
            <w:tr w:rsidR="002D42C1" w:rsidRPr="00DE108C" w14:paraId="6AAD3674" w14:textId="77777777" w:rsidTr="00097A90">
              <w:trPr>
                <w:trHeight w:val="300"/>
              </w:trPr>
              <w:tc>
                <w:tcPr>
                  <w:tcW w:w="1335" w:type="dxa"/>
                  <w:tcBorders>
                    <w:top w:val="single" w:sz="6" w:space="0" w:color="4EC6FF"/>
                    <w:left w:val="nil"/>
                    <w:bottom w:val="single" w:sz="6" w:space="0" w:color="4EC6FF"/>
                    <w:right w:val="nil"/>
                  </w:tcBorders>
                  <w:hideMark/>
                </w:tcPr>
                <w:p w14:paraId="21DC3210" w14:textId="1A262300"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17794158" w14:textId="35A9DE71"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21CC82EB" w14:textId="0C5AE4FF" w:rsidR="002D42C1" w:rsidRPr="00DE108C" w:rsidRDefault="002D42C1" w:rsidP="00097A90">
                  <w:pPr>
                    <w:spacing w:before="60" w:after="60"/>
                    <w:jc w:val="center"/>
                    <w:rPr>
                      <w:sz w:val="16"/>
                      <w:szCs w:val="16"/>
                    </w:rPr>
                  </w:pPr>
                  <w:r w:rsidRPr="00DE108C">
                    <w:rPr>
                      <w:sz w:val="16"/>
                      <w:szCs w:val="16"/>
                    </w:rPr>
                    <w:t>1.2</w:t>
                  </w:r>
                </w:p>
              </w:tc>
              <w:tc>
                <w:tcPr>
                  <w:tcW w:w="1335" w:type="dxa"/>
                  <w:tcBorders>
                    <w:top w:val="single" w:sz="6" w:space="0" w:color="4EC6FF"/>
                    <w:left w:val="nil"/>
                    <w:bottom w:val="single" w:sz="6" w:space="0" w:color="4EC6FF"/>
                    <w:right w:val="nil"/>
                  </w:tcBorders>
                  <w:vAlign w:val="center"/>
                  <w:hideMark/>
                </w:tcPr>
                <w:p w14:paraId="3DC742D2" w14:textId="76FFB90E" w:rsidR="002D42C1" w:rsidRPr="00DE108C" w:rsidRDefault="002D42C1" w:rsidP="00097A90">
                  <w:pPr>
                    <w:spacing w:before="60" w:after="60"/>
                    <w:jc w:val="center"/>
                    <w:rPr>
                      <w:sz w:val="16"/>
                      <w:szCs w:val="16"/>
                    </w:rPr>
                  </w:pPr>
                  <w:r w:rsidRPr="00DE108C">
                    <w:rPr>
                      <w:sz w:val="16"/>
                      <w:szCs w:val="16"/>
                    </w:rPr>
                    <w:t>1.4</w:t>
                  </w:r>
                </w:p>
              </w:tc>
              <w:tc>
                <w:tcPr>
                  <w:tcW w:w="1335" w:type="dxa"/>
                  <w:tcBorders>
                    <w:top w:val="single" w:sz="6" w:space="0" w:color="4EC6FF"/>
                    <w:left w:val="nil"/>
                    <w:bottom w:val="single" w:sz="6" w:space="0" w:color="4EC6FF"/>
                    <w:right w:val="nil"/>
                  </w:tcBorders>
                  <w:vAlign w:val="center"/>
                  <w:hideMark/>
                </w:tcPr>
                <w:p w14:paraId="205B36C7" w14:textId="6D45AE76" w:rsidR="002D42C1" w:rsidRPr="00DE108C" w:rsidRDefault="002D42C1" w:rsidP="00097A90">
                  <w:pPr>
                    <w:spacing w:before="60" w:after="60"/>
                    <w:jc w:val="center"/>
                    <w:rPr>
                      <w:sz w:val="16"/>
                      <w:szCs w:val="16"/>
                    </w:rPr>
                  </w:pPr>
                  <w:r w:rsidRPr="00DE108C">
                    <w:rPr>
                      <w:sz w:val="16"/>
                      <w:szCs w:val="16"/>
                    </w:rPr>
                    <w:t>1.6</w:t>
                  </w:r>
                </w:p>
              </w:tc>
              <w:tc>
                <w:tcPr>
                  <w:tcW w:w="1335" w:type="dxa"/>
                  <w:tcBorders>
                    <w:top w:val="single" w:sz="6" w:space="0" w:color="4EC6FF"/>
                    <w:left w:val="nil"/>
                    <w:bottom w:val="single" w:sz="6" w:space="0" w:color="4EC6FF"/>
                    <w:right w:val="nil"/>
                  </w:tcBorders>
                  <w:vAlign w:val="center"/>
                  <w:hideMark/>
                </w:tcPr>
                <w:p w14:paraId="66512484" w14:textId="0DC30A42" w:rsidR="002D42C1" w:rsidRPr="00DE108C" w:rsidRDefault="002D42C1" w:rsidP="00097A90">
                  <w:pPr>
                    <w:spacing w:before="60" w:after="60"/>
                    <w:jc w:val="center"/>
                    <w:rPr>
                      <w:sz w:val="16"/>
                      <w:szCs w:val="16"/>
                    </w:rPr>
                  </w:pPr>
                  <w:r w:rsidRPr="00DE108C">
                    <w:rPr>
                      <w:sz w:val="16"/>
                      <w:szCs w:val="16"/>
                    </w:rPr>
                    <w:t>1.9</w:t>
                  </w:r>
                </w:p>
              </w:tc>
              <w:tc>
                <w:tcPr>
                  <w:tcW w:w="1335" w:type="dxa"/>
                  <w:tcBorders>
                    <w:top w:val="single" w:sz="6" w:space="0" w:color="4EC6FF"/>
                    <w:left w:val="nil"/>
                    <w:bottom w:val="single" w:sz="6" w:space="0" w:color="4EC6FF"/>
                    <w:right w:val="nil"/>
                  </w:tcBorders>
                  <w:vAlign w:val="center"/>
                  <w:hideMark/>
                </w:tcPr>
                <w:p w14:paraId="51F2CCF2" w14:textId="10E875CE" w:rsidR="002D42C1" w:rsidRPr="00DE108C" w:rsidRDefault="002D42C1" w:rsidP="00097A90">
                  <w:pPr>
                    <w:spacing w:before="60" w:after="60"/>
                    <w:jc w:val="center"/>
                    <w:rPr>
                      <w:sz w:val="16"/>
                      <w:szCs w:val="16"/>
                    </w:rPr>
                  </w:pPr>
                  <w:r w:rsidRPr="00DE108C">
                    <w:rPr>
                      <w:sz w:val="16"/>
                      <w:szCs w:val="16"/>
                    </w:rPr>
                    <w:t>2.2</w:t>
                  </w:r>
                </w:p>
              </w:tc>
            </w:tr>
            <w:tr w:rsidR="002D42C1" w:rsidRPr="00DE108C" w14:paraId="4D6543A1" w14:textId="77777777" w:rsidTr="00097A90">
              <w:trPr>
                <w:trHeight w:val="300"/>
              </w:trPr>
              <w:tc>
                <w:tcPr>
                  <w:tcW w:w="1335" w:type="dxa"/>
                  <w:tcBorders>
                    <w:top w:val="single" w:sz="6" w:space="0" w:color="4EC6FF"/>
                    <w:left w:val="nil"/>
                    <w:bottom w:val="single" w:sz="6" w:space="0" w:color="4EC6FF"/>
                    <w:right w:val="nil"/>
                  </w:tcBorders>
                  <w:hideMark/>
                </w:tcPr>
                <w:p w14:paraId="120EF87B"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635F2F38" w14:textId="22A008AD"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55A35B72" w14:textId="023BC0A5"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76F81806" w14:textId="25A3DB7E"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26BEA8CD" w14:textId="148174B4"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7B5E7572" w14:textId="17BD5FEA"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left w:val="nil"/>
                    <w:bottom w:val="single" w:sz="6" w:space="0" w:color="4EC6FF"/>
                    <w:right w:val="nil"/>
                  </w:tcBorders>
                  <w:vAlign w:val="center"/>
                  <w:hideMark/>
                </w:tcPr>
                <w:p w14:paraId="71CC805C" w14:textId="66DFCC28" w:rsidR="002D42C1" w:rsidRPr="00DE108C" w:rsidRDefault="002D42C1" w:rsidP="00097A90">
                  <w:pPr>
                    <w:spacing w:before="60" w:after="60"/>
                    <w:jc w:val="center"/>
                    <w:rPr>
                      <w:sz w:val="16"/>
                      <w:szCs w:val="16"/>
                    </w:rPr>
                  </w:pPr>
                  <w:r w:rsidRPr="00DE108C">
                    <w:rPr>
                      <w:sz w:val="16"/>
                      <w:szCs w:val="16"/>
                    </w:rPr>
                    <w:t>0.8</w:t>
                  </w:r>
                </w:p>
              </w:tc>
            </w:tr>
            <w:tr w:rsidR="002D42C1" w:rsidRPr="00DE108C" w14:paraId="3E28A663" w14:textId="77777777" w:rsidTr="00097A90">
              <w:trPr>
                <w:trHeight w:val="300"/>
              </w:trPr>
              <w:tc>
                <w:tcPr>
                  <w:tcW w:w="1335" w:type="dxa"/>
                  <w:tcBorders>
                    <w:top w:val="single" w:sz="6" w:space="0" w:color="4EC6FF"/>
                    <w:left w:val="nil"/>
                    <w:bottom w:val="single" w:sz="6" w:space="0" w:color="4EC6FF"/>
                    <w:right w:val="nil"/>
                  </w:tcBorders>
                  <w:shd w:val="clear" w:color="auto" w:fill="46C2D7" w:themeFill="accent3"/>
                  <w:hideMark/>
                </w:tcPr>
                <w:p w14:paraId="40E05B38" w14:textId="77777777"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7A18441D" w14:textId="7275F9BD" w:rsidR="002D42C1" w:rsidRPr="00DE108C" w:rsidRDefault="002D42C1" w:rsidP="00097A90">
                  <w:pPr>
                    <w:spacing w:before="60" w:after="60"/>
                    <w:jc w:val="center"/>
                    <w:rPr>
                      <w:sz w:val="16"/>
                      <w:szCs w:val="16"/>
                    </w:rPr>
                  </w:pPr>
                  <w:r w:rsidRPr="00DE108C">
                    <w:rPr>
                      <w:sz w:val="16"/>
                      <w:szCs w:val="16"/>
                    </w:rPr>
                    <w:t>1.5</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0FFA0566" w14:textId="58036FED"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05ADCD16" w14:textId="21ED2E0E"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77A16CDA" w14:textId="3474E368"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06D9D951" w14:textId="00FD853A"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6E729E1D" w14:textId="4DFA6DA3" w:rsidR="002D42C1" w:rsidRPr="00DE108C" w:rsidRDefault="002D42C1" w:rsidP="00097A90">
                  <w:pPr>
                    <w:spacing w:before="60" w:after="60"/>
                    <w:jc w:val="center"/>
                    <w:rPr>
                      <w:sz w:val="16"/>
                      <w:szCs w:val="16"/>
                    </w:rPr>
                  </w:pPr>
                  <w:r w:rsidRPr="00DE108C">
                    <w:rPr>
                      <w:sz w:val="16"/>
                      <w:szCs w:val="16"/>
                    </w:rPr>
                    <w:t>0.8</w:t>
                  </w:r>
                </w:p>
              </w:tc>
            </w:tr>
          </w:tbl>
          <w:p w14:paraId="3883F483" w14:textId="77777777" w:rsidR="002D42C1" w:rsidRPr="00DE108C" w:rsidRDefault="002D42C1" w:rsidP="00ED094E">
            <w:pPr>
              <w:rPr>
                <w:sz w:val="16"/>
                <w:szCs w:val="16"/>
              </w:rPr>
            </w:pPr>
            <w:r w:rsidRPr="00DE108C">
              <w:rPr>
                <w:sz w:val="16"/>
                <w:szCs w:val="16"/>
              </w:rPr>
              <w:t> </w:t>
            </w:r>
          </w:p>
          <w:p w14:paraId="3948298B" w14:textId="77777777" w:rsidR="002D42C1" w:rsidRPr="00DE108C" w:rsidRDefault="002D42C1" w:rsidP="00ED094E">
            <w:pPr>
              <w:rPr>
                <w:sz w:val="16"/>
                <w:szCs w:val="16"/>
              </w:rPr>
            </w:pPr>
          </w:p>
        </w:tc>
        <w:tc>
          <w:tcPr>
            <w:tcW w:w="10742" w:type="dxa"/>
          </w:tcPr>
          <w:p w14:paraId="206E9F2D" w14:textId="77777777" w:rsidR="002D42C1" w:rsidRPr="00DE108C" w:rsidRDefault="002D42C1" w:rsidP="00ED094E">
            <w:pPr>
              <w:rPr>
                <w:sz w:val="16"/>
                <w:szCs w:val="16"/>
              </w:rPr>
            </w:pPr>
            <w:r w:rsidRPr="00DE108C">
              <w:rPr>
                <w:sz w:val="16"/>
                <w:szCs w:val="16"/>
              </w:rPr>
              <w:t>Typical year-on-year household bill impacts relative to inflation, as a result of Melbourne Water’s proposal are summarised below: </w:t>
            </w:r>
          </w:p>
          <w:tbl>
            <w:tblPr>
              <w:tblW w:w="9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1365"/>
              <w:gridCol w:w="1365"/>
              <w:gridCol w:w="1365"/>
              <w:gridCol w:w="1365"/>
              <w:gridCol w:w="1365"/>
              <w:gridCol w:w="1365"/>
            </w:tblGrid>
            <w:tr w:rsidR="002D42C1" w:rsidRPr="00DE108C" w14:paraId="4C21D191" w14:textId="77777777" w:rsidTr="008A11C9">
              <w:trPr>
                <w:trHeight w:val="300"/>
              </w:trPr>
              <w:tc>
                <w:tcPr>
                  <w:tcW w:w="1365" w:type="dxa"/>
                  <w:tcBorders>
                    <w:top w:val="single" w:sz="6" w:space="0" w:color="4EC6FF"/>
                    <w:left w:val="nil"/>
                    <w:bottom w:val="single" w:sz="6" w:space="0" w:color="4EC6FF"/>
                    <w:right w:val="nil"/>
                  </w:tcBorders>
                  <w:hideMark/>
                </w:tcPr>
                <w:p w14:paraId="4EDD477B" w14:textId="77777777" w:rsidR="002D42C1" w:rsidRPr="00DE108C" w:rsidRDefault="002D42C1" w:rsidP="00ED094E">
                  <w:pPr>
                    <w:spacing w:before="60" w:after="60"/>
                    <w:rPr>
                      <w:sz w:val="16"/>
                      <w:szCs w:val="16"/>
                    </w:rPr>
                  </w:pPr>
                  <w:r w:rsidRPr="00DE108C">
                    <w:rPr>
                      <w:b/>
                      <w:bCs/>
                      <w:sz w:val="16"/>
                      <w:szCs w:val="16"/>
                    </w:rPr>
                    <w:t>Bills</w:t>
                  </w:r>
                  <w:r w:rsidRPr="00DE108C">
                    <w:rPr>
                      <w:sz w:val="16"/>
                      <w:szCs w:val="16"/>
                    </w:rPr>
                    <w:t> </w:t>
                  </w:r>
                </w:p>
              </w:tc>
              <w:tc>
                <w:tcPr>
                  <w:tcW w:w="1365" w:type="dxa"/>
                  <w:tcBorders>
                    <w:top w:val="single" w:sz="6" w:space="0" w:color="4EC6FF"/>
                    <w:left w:val="nil"/>
                    <w:bottom w:val="single" w:sz="6" w:space="0" w:color="4EC6FF"/>
                    <w:right w:val="nil"/>
                  </w:tcBorders>
                  <w:hideMark/>
                </w:tcPr>
                <w:p w14:paraId="1A0C1420" w14:textId="184B52F4" w:rsidR="002D42C1" w:rsidRPr="00DE108C" w:rsidRDefault="002D42C1" w:rsidP="008A11C9">
                  <w:pPr>
                    <w:spacing w:before="60" w:after="60"/>
                    <w:jc w:val="center"/>
                    <w:rPr>
                      <w:sz w:val="16"/>
                      <w:szCs w:val="16"/>
                    </w:rPr>
                  </w:pPr>
                  <w:r w:rsidRPr="00DE108C">
                    <w:rPr>
                      <w:b/>
                      <w:bCs/>
                      <w:sz w:val="16"/>
                      <w:szCs w:val="16"/>
                    </w:rPr>
                    <w:t>2025-26</w:t>
                  </w:r>
                </w:p>
              </w:tc>
              <w:tc>
                <w:tcPr>
                  <w:tcW w:w="1365" w:type="dxa"/>
                  <w:tcBorders>
                    <w:top w:val="single" w:sz="6" w:space="0" w:color="4EC6FF"/>
                    <w:left w:val="nil"/>
                    <w:bottom w:val="single" w:sz="6" w:space="0" w:color="4EC6FF"/>
                    <w:right w:val="nil"/>
                  </w:tcBorders>
                  <w:hideMark/>
                </w:tcPr>
                <w:p w14:paraId="5C6CCC51" w14:textId="2B8266A1" w:rsidR="002D42C1" w:rsidRPr="00DE108C" w:rsidRDefault="002D42C1" w:rsidP="008A11C9">
                  <w:pPr>
                    <w:spacing w:before="60" w:after="60"/>
                    <w:jc w:val="center"/>
                    <w:rPr>
                      <w:sz w:val="16"/>
                      <w:szCs w:val="16"/>
                    </w:rPr>
                  </w:pPr>
                  <w:r w:rsidRPr="00DE108C">
                    <w:rPr>
                      <w:b/>
                      <w:bCs/>
                      <w:sz w:val="16"/>
                      <w:szCs w:val="16"/>
                    </w:rPr>
                    <w:t>2026-27</w:t>
                  </w:r>
                </w:p>
              </w:tc>
              <w:tc>
                <w:tcPr>
                  <w:tcW w:w="1365" w:type="dxa"/>
                  <w:tcBorders>
                    <w:top w:val="single" w:sz="6" w:space="0" w:color="4EC6FF"/>
                    <w:left w:val="nil"/>
                    <w:bottom w:val="single" w:sz="6" w:space="0" w:color="4EC6FF"/>
                    <w:right w:val="nil"/>
                  </w:tcBorders>
                  <w:hideMark/>
                </w:tcPr>
                <w:p w14:paraId="54E71E36" w14:textId="7A325444" w:rsidR="002D42C1" w:rsidRPr="00DE108C" w:rsidRDefault="002D42C1" w:rsidP="008A11C9">
                  <w:pPr>
                    <w:spacing w:before="60" w:after="60"/>
                    <w:jc w:val="center"/>
                    <w:rPr>
                      <w:sz w:val="16"/>
                      <w:szCs w:val="16"/>
                    </w:rPr>
                  </w:pPr>
                  <w:r w:rsidRPr="00DE108C">
                    <w:rPr>
                      <w:b/>
                      <w:bCs/>
                      <w:sz w:val="16"/>
                      <w:szCs w:val="16"/>
                    </w:rPr>
                    <w:t>2027-28</w:t>
                  </w:r>
                </w:p>
              </w:tc>
              <w:tc>
                <w:tcPr>
                  <w:tcW w:w="1365" w:type="dxa"/>
                  <w:tcBorders>
                    <w:top w:val="single" w:sz="6" w:space="0" w:color="4EC6FF"/>
                    <w:left w:val="nil"/>
                    <w:bottom w:val="single" w:sz="6" w:space="0" w:color="4EC6FF"/>
                    <w:right w:val="nil"/>
                  </w:tcBorders>
                  <w:hideMark/>
                </w:tcPr>
                <w:p w14:paraId="417ECED7" w14:textId="29079CD2" w:rsidR="002D42C1" w:rsidRPr="00DE108C" w:rsidRDefault="002D42C1" w:rsidP="008A11C9">
                  <w:pPr>
                    <w:spacing w:before="60" w:after="60"/>
                    <w:jc w:val="center"/>
                    <w:rPr>
                      <w:sz w:val="16"/>
                      <w:szCs w:val="16"/>
                    </w:rPr>
                  </w:pPr>
                  <w:r w:rsidRPr="00DE108C">
                    <w:rPr>
                      <w:b/>
                      <w:bCs/>
                      <w:sz w:val="16"/>
                      <w:szCs w:val="16"/>
                    </w:rPr>
                    <w:t>2028-29</w:t>
                  </w:r>
                </w:p>
              </w:tc>
              <w:tc>
                <w:tcPr>
                  <w:tcW w:w="1365" w:type="dxa"/>
                  <w:tcBorders>
                    <w:top w:val="single" w:sz="6" w:space="0" w:color="4EC6FF"/>
                    <w:left w:val="nil"/>
                    <w:bottom w:val="single" w:sz="6" w:space="0" w:color="4EC6FF"/>
                    <w:right w:val="nil"/>
                  </w:tcBorders>
                  <w:hideMark/>
                </w:tcPr>
                <w:p w14:paraId="38D1E40D" w14:textId="453E2386" w:rsidR="002D42C1" w:rsidRPr="00DE108C" w:rsidRDefault="002D42C1" w:rsidP="008A11C9">
                  <w:pPr>
                    <w:spacing w:before="60" w:after="60"/>
                    <w:jc w:val="center"/>
                    <w:rPr>
                      <w:sz w:val="16"/>
                      <w:szCs w:val="16"/>
                    </w:rPr>
                  </w:pPr>
                  <w:r w:rsidRPr="00DE108C">
                    <w:rPr>
                      <w:b/>
                      <w:bCs/>
                      <w:sz w:val="16"/>
                      <w:szCs w:val="16"/>
                    </w:rPr>
                    <w:t>2029-30</w:t>
                  </w:r>
                </w:p>
              </w:tc>
              <w:tc>
                <w:tcPr>
                  <w:tcW w:w="1365" w:type="dxa"/>
                  <w:tcBorders>
                    <w:top w:val="single" w:sz="6" w:space="0" w:color="4EC6FF"/>
                    <w:left w:val="nil"/>
                    <w:bottom w:val="single" w:sz="6" w:space="0" w:color="4EC6FF"/>
                    <w:right w:val="nil"/>
                  </w:tcBorders>
                  <w:hideMark/>
                </w:tcPr>
                <w:p w14:paraId="6726874F" w14:textId="36C351B1" w:rsidR="002D42C1" w:rsidRPr="00DE108C" w:rsidRDefault="002D42C1" w:rsidP="008A11C9">
                  <w:pPr>
                    <w:spacing w:before="60" w:after="60"/>
                    <w:jc w:val="center"/>
                    <w:rPr>
                      <w:sz w:val="16"/>
                      <w:szCs w:val="16"/>
                    </w:rPr>
                  </w:pPr>
                  <w:r w:rsidRPr="00DE108C">
                    <w:rPr>
                      <w:b/>
                      <w:bCs/>
                      <w:sz w:val="16"/>
                      <w:szCs w:val="16"/>
                    </w:rPr>
                    <w:t>2030-31</w:t>
                  </w:r>
                </w:p>
              </w:tc>
            </w:tr>
            <w:tr w:rsidR="002D42C1" w:rsidRPr="00DE108C" w14:paraId="67990B35" w14:textId="77777777" w:rsidTr="008A11C9">
              <w:trPr>
                <w:trHeight w:val="300"/>
              </w:trPr>
              <w:tc>
                <w:tcPr>
                  <w:tcW w:w="1365" w:type="dxa"/>
                  <w:tcBorders>
                    <w:top w:val="single" w:sz="6" w:space="0" w:color="4EC6FF"/>
                    <w:left w:val="nil"/>
                    <w:bottom w:val="single" w:sz="6" w:space="0" w:color="4EC6FF"/>
                    <w:right w:val="nil"/>
                  </w:tcBorders>
                  <w:hideMark/>
                </w:tcPr>
                <w:p w14:paraId="487188C8" w14:textId="1E055CC5"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46994A15" w14:textId="77777777" w:rsidR="002D42C1" w:rsidRPr="00DE108C" w:rsidRDefault="002D42C1" w:rsidP="008A11C9">
                  <w:pPr>
                    <w:spacing w:before="60" w:after="60"/>
                    <w:jc w:val="right"/>
                    <w:rPr>
                      <w:sz w:val="16"/>
                      <w:szCs w:val="16"/>
                    </w:rPr>
                  </w:pPr>
                  <w:r w:rsidRPr="00DE108C">
                    <w:rPr>
                      <w:sz w:val="16"/>
                      <w:szCs w:val="16"/>
                    </w:rPr>
                    <w:t>$1,110 </w:t>
                  </w:r>
                </w:p>
              </w:tc>
              <w:tc>
                <w:tcPr>
                  <w:tcW w:w="1365" w:type="dxa"/>
                  <w:tcBorders>
                    <w:top w:val="single" w:sz="6" w:space="0" w:color="4EC6FF"/>
                    <w:left w:val="nil"/>
                    <w:bottom w:val="single" w:sz="6" w:space="0" w:color="4EC6FF"/>
                    <w:right w:val="nil"/>
                  </w:tcBorders>
                  <w:vAlign w:val="center"/>
                  <w:hideMark/>
                </w:tcPr>
                <w:p w14:paraId="01BBD0EA" w14:textId="6C9ADC4E"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1D4A46D9" w14:textId="5B0B4E27"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458CC242" w14:textId="3EBF9AA1" w:rsidR="002D42C1" w:rsidRPr="00DE108C" w:rsidRDefault="008A11C9" w:rsidP="008A11C9">
                  <w:pPr>
                    <w:spacing w:before="60" w:after="60"/>
                    <w:jc w:val="right"/>
                    <w:rPr>
                      <w:sz w:val="16"/>
                      <w:szCs w:val="16"/>
                    </w:rPr>
                  </w:pPr>
                  <w:r w:rsidRPr="0091606C">
                    <w:rPr>
                      <w:rFonts w:eastAsiaTheme="minorEastAsia"/>
                      <w:sz w:val="16"/>
                      <w:szCs w:val="16"/>
                    </w:rPr>
                    <w:t>0</w:t>
                  </w:r>
                  <w:r w:rsidRPr="0091606C">
                    <w:rPr>
                      <w:color w:val="auto"/>
                      <w:sz w:val="16"/>
                      <w:szCs w:val="16"/>
                    </w:rPr>
                    <w:t>.9</w:t>
                  </w:r>
                  <w:r w:rsidRPr="0091606C">
                    <w:rPr>
                      <w:rFonts w:eastAsiaTheme="minorEastAsia"/>
                      <w:sz w:val="16"/>
                      <w:szCs w:val="16"/>
                    </w:rPr>
                    <w:t>%</w:t>
                  </w:r>
                </w:p>
              </w:tc>
              <w:tc>
                <w:tcPr>
                  <w:tcW w:w="1365" w:type="dxa"/>
                  <w:tcBorders>
                    <w:top w:val="single" w:sz="6" w:space="0" w:color="4EC6FF"/>
                    <w:left w:val="nil"/>
                    <w:bottom w:val="single" w:sz="6" w:space="0" w:color="4EC6FF"/>
                    <w:right w:val="nil"/>
                  </w:tcBorders>
                  <w:vAlign w:val="center"/>
                  <w:hideMark/>
                </w:tcPr>
                <w:p w14:paraId="44053D23" w14:textId="14FF7618" w:rsidR="002D42C1" w:rsidRPr="00DE108C" w:rsidRDefault="002D42C1" w:rsidP="008A11C9">
                  <w:pPr>
                    <w:spacing w:before="60" w:after="60"/>
                    <w:jc w:val="right"/>
                    <w:rPr>
                      <w:sz w:val="16"/>
                      <w:szCs w:val="16"/>
                    </w:rPr>
                  </w:pPr>
                  <w:r w:rsidRPr="00DE108C">
                    <w:rPr>
                      <w:sz w:val="16"/>
                      <w:szCs w:val="16"/>
                    </w:rPr>
                    <w:t>0.9%</w:t>
                  </w:r>
                </w:p>
              </w:tc>
              <w:tc>
                <w:tcPr>
                  <w:tcW w:w="1365" w:type="dxa"/>
                  <w:tcBorders>
                    <w:top w:val="single" w:sz="6" w:space="0" w:color="4EC6FF"/>
                    <w:left w:val="nil"/>
                    <w:bottom w:val="single" w:sz="6" w:space="0" w:color="4EC6FF"/>
                    <w:right w:val="nil"/>
                  </w:tcBorders>
                  <w:vAlign w:val="center"/>
                  <w:hideMark/>
                </w:tcPr>
                <w:p w14:paraId="1807356B" w14:textId="7D949F57" w:rsidR="002D42C1" w:rsidRPr="00DE108C" w:rsidRDefault="002D42C1" w:rsidP="008A11C9">
                  <w:pPr>
                    <w:spacing w:before="60" w:after="60"/>
                    <w:jc w:val="right"/>
                    <w:rPr>
                      <w:sz w:val="16"/>
                      <w:szCs w:val="16"/>
                    </w:rPr>
                  </w:pPr>
                  <w:r w:rsidRPr="0091606C">
                    <w:rPr>
                      <w:rFonts w:eastAsiaTheme="minorEastAsia"/>
                      <w:sz w:val="16"/>
                      <w:szCs w:val="16"/>
                    </w:rPr>
                    <w:t>0.</w:t>
                  </w:r>
                  <w:r w:rsidR="008A11C9" w:rsidRPr="0091606C">
                    <w:rPr>
                      <w:color w:val="auto"/>
                      <w:sz w:val="16"/>
                      <w:szCs w:val="16"/>
                    </w:rPr>
                    <w:t>8</w:t>
                  </w:r>
                  <w:r w:rsidR="008A11C9" w:rsidRPr="0091606C">
                    <w:rPr>
                      <w:rFonts w:eastAsiaTheme="minorEastAsia"/>
                      <w:sz w:val="16"/>
                      <w:szCs w:val="16"/>
                    </w:rPr>
                    <w:t>%</w:t>
                  </w:r>
                </w:p>
              </w:tc>
            </w:tr>
            <w:tr w:rsidR="002D42C1" w:rsidRPr="00DE108C" w14:paraId="31E4C7CF" w14:textId="77777777" w:rsidTr="008A11C9">
              <w:trPr>
                <w:trHeight w:val="300"/>
              </w:trPr>
              <w:tc>
                <w:tcPr>
                  <w:tcW w:w="1365" w:type="dxa"/>
                  <w:tcBorders>
                    <w:top w:val="single" w:sz="6" w:space="0" w:color="4EC6FF"/>
                    <w:left w:val="nil"/>
                    <w:bottom w:val="single" w:sz="6" w:space="0" w:color="4EC6FF"/>
                    <w:right w:val="nil"/>
                  </w:tcBorders>
                  <w:hideMark/>
                </w:tcPr>
                <w:p w14:paraId="754FD913" w14:textId="6C9FBEC4"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1347B287" w14:textId="77777777" w:rsidR="002D42C1" w:rsidRPr="00DE108C" w:rsidRDefault="002D42C1" w:rsidP="008A11C9">
                  <w:pPr>
                    <w:spacing w:before="60" w:after="60"/>
                    <w:jc w:val="right"/>
                    <w:rPr>
                      <w:sz w:val="16"/>
                      <w:szCs w:val="16"/>
                    </w:rPr>
                  </w:pPr>
                  <w:r w:rsidRPr="00DE108C">
                    <w:rPr>
                      <w:sz w:val="16"/>
                      <w:szCs w:val="16"/>
                    </w:rPr>
                    <w:t>$1,057 </w:t>
                  </w:r>
                </w:p>
              </w:tc>
              <w:tc>
                <w:tcPr>
                  <w:tcW w:w="1365" w:type="dxa"/>
                  <w:tcBorders>
                    <w:top w:val="single" w:sz="6" w:space="0" w:color="4EC6FF"/>
                    <w:left w:val="nil"/>
                    <w:bottom w:val="single" w:sz="6" w:space="0" w:color="4EC6FF"/>
                    <w:right w:val="nil"/>
                  </w:tcBorders>
                  <w:vAlign w:val="center"/>
                  <w:hideMark/>
                </w:tcPr>
                <w:p w14:paraId="4098AC00" w14:textId="3B551CEA"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3C0B565D" w14:textId="68C4A982"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19FD09E0" w14:textId="5187D713" w:rsidR="002D42C1" w:rsidRPr="00DE108C" w:rsidRDefault="002D42C1" w:rsidP="008A11C9">
                  <w:pPr>
                    <w:spacing w:before="60" w:after="60"/>
                    <w:jc w:val="right"/>
                    <w:rPr>
                      <w:sz w:val="16"/>
                      <w:szCs w:val="16"/>
                    </w:rPr>
                  </w:pPr>
                  <w:r w:rsidRPr="00DE108C">
                    <w:rPr>
                      <w:sz w:val="16"/>
                      <w:szCs w:val="16"/>
                    </w:rPr>
                    <w:t>0.</w:t>
                  </w:r>
                  <w:r w:rsidR="001471D2" w:rsidRPr="00510FDD">
                    <w:rPr>
                      <w:color w:val="auto"/>
                      <w:sz w:val="16"/>
                      <w:szCs w:val="16"/>
                    </w:rPr>
                    <w:t>1</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1B7092EB" w14:textId="79B1AEF2"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48C11238" w14:textId="54326ED2" w:rsidR="002D42C1" w:rsidRPr="00DE108C" w:rsidRDefault="002D42C1" w:rsidP="008A11C9">
                  <w:pPr>
                    <w:spacing w:before="60" w:after="60"/>
                    <w:jc w:val="right"/>
                    <w:rPr>
                      <w:sz w:val="16"/>
                      <w:szCs w:val="16"/>
                    </w:rPr>
                  </w:pPr>
                  <w:r w:rsidRPr="00DE108C">
                    <w:rPr>
                      <w:sz w:val="16"/>
                      <w:szCs w:val="16"/>
                    </w:rPr>
                    <w:t>0.1%</w:t>
                  </w:r>
                </w:p>
              </w:tc>
            </w:tr>
            <w:tr w:rsidR="002D42C1" w:rsidRPr="00DE108C" w14:paraId="275AD512" w14:textId="77777777" w:rsidTr="008A11C9">
              <w:trPr>
                <w:trHeight w:val="300"/>
              </w:trPr>
              <w:tc>
                <w:tcPr>
                  <w:tcW w:w="1365" w:type="dxa"/>
                  <w:tcBorders>
                    <w:top w:val="single" w:sz="6" w:space="0" w:color="4EC6FF"/>
                    <w:left w:val="nil"/>
                    <w:bottom w:val="single" w:sz="6" w:space="0" w:color="4EC6FF"/>
                    <w:right w:val="nil"/>
                  </w:tcBorders>
                  <w:hideMark/>
                </w:tcPr>
                <w:p w14:paraId="30D22565"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08F15B54" w14:textId="77777777" w:rsidR="002D42C1" w:rsidRPr="00DE108C" w:rsidRDefault="002D42C1" w:rsidP="008A11C9">
                  <w:pPr>
                    <w:spacing w:before="60" w:after="60"/>
                    <w:jc w:val="right"/>
                    <w:rPr>
                      <w:sz w:val="16"/>
                      <w:szCs w:val="16"/>
                    </w:rPr>
                  </w:pPr>
                  <w:r w:rsidRPr="00DE108C">
                    <w:rPr>
                      <w:sz w:val="16"/>
                      <w:szCs w:val="16"/>
                    </w:rPr>
                    <w:t>$1,114 </w:t>
                  </w:r>
                </w:p>
              </w:tc>
              <w:tc>
                <w:tcPr>
                  <w:tcW w:w="1365" w:type="dxa"/>
                  <w:tcBorders>
                    <w:top w:val="single" w:sz="6" w:space="0" w:color="4EC6FF"/>
                    <w:left w:val="nil"/>
                    <w:bottom w:val="single" w:sz="6" w:space="0" w:color="4EC6FF"/>
                    <w:right w:val="nil"/>
                  </w:tcBorders>
                  <w:vAlign w:val="center"/>
                  <w:hideMark/>
                </w:tcPr>
                <w:p w14:paraId="2E494B81" w14:textId="65269A6B"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4CE27139" w14:textId="11D69D67"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261E7DFC" w14:textId="366532CE" w:rsidR="002D42C1" w:rsidRPr="00DE108C" w:rsidRDefault="002D42C1" w:rsidP="008A11C9">
                  <w:pPr>
                    <w:spacing w:before="60" w:after="60"/>
                    <w:jc w:val="right"/>
                    <w:rPr>
                      <w:sz w:val="16"/>
                      <w:szCs w:val="16"/>
                    </w:rPr>
                  </w:pPr>
                  <w:r w:rsidRPr="0091606C">
                    <w:rPr>
                      <w:rFonts w:eastAsiaTheme="minorEastAsia"/>
                      <w:sz w:val="16"/>
                      <w:szCs w:val="16"/>
                    </w:rPr>
                    <w:t>-0.</w:t>
                  </w:r>
                  <w:r w:rsidR="008A11C9" w:rsidRPr="0091606C">
                    <w:rPr>
                      <w:color w:val="auto"/>
                      <w:sz w:val="16"/>
                      <w:szCs w:val="16"/>
                    </w:rPr>
                    <w:t>7</w:t>
                  </w:r>
                  <w:r w:rsidR="008A11C9" w:rsidRPr="0091606C">
                    <w:rPr>
                      <w:rFonts w:eastAsiaTheme="minorEastAsia"/>
                      <w:sz w:val="16"/>
                      <w:szCs w:val="16"/>
                    </w:rPr>
                    <w:t>%</w:t>
                  </w:r>
                </w:p>
              </w:tc>
              <w:tc>
                <w:tcPr>
                  <w:tcW w:w="1365" w:type="dxa"/>
                  <w:tcBorders>
                    <w:top w:val="single" w:sz="6" w:space="0" w:color="4EC6FF"/>
                    <w:left w:val="nil"/>
                    <w:bottom w:val="single" w:sz="6" w:space="0" w:color="4EC6FF"/>
                    <w:right w:val="nil"/>
                  </w:tcBorders>
                  <w:vAlign w:val="center"/>
                  <w:hideMark/>
                </w:tcPr>
                <w:p w14:paraId="7AD4040F" w14:textId="3112D462"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7</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32ACB9A6" w14:textId="222BD778"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8</w:t>
                  </w:r>
                  <w:r w:rsidRPr="00DE108C">
                    <w:rPr>
                      <w:sz w:val="16"/>
                      <w:szCs w:val="16"/>
                    </w:rPr>
                    <w:t>%</w:t>
                  </w:r>
                </w:p>
              </w:tc>
            </w:tr>
            <w:tr w:rsidR="002D42C1" w:rsidRPr="00DE108C" w14:paraId="50AC4A52" w14:textId="77777777" w:rsidTr="008A11C9">
              <w:trPr>
                <w:trHeight w:val="300"/>
              </w:trPr>
              <w:tc>
                <w:tcPr>
                  <w:tcW w:w="1365" w:type="dxa"/>
                  <w:tcBorders>
                    <w:top w:val="single" w:sz="6" w:space="0" w:color="4EC6FF"/>
                    <w:left w:val="nil"/>
                    <w:bottom w:val="single" w:sz="6" w:space="0" w:color="4EC6FF"/>
                    <w:right w:val="nil"/>
                  </w:tcBorders>
                  <w:hideMark/>
                </w:tcPr>
                <w:p w14:paraId="62ACDD1E" w14:textId="399B8E96"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1CABAFFA" w14:textId="77777777" w:rsidR="002D42C1" w:rsidRPr="00DE108C" w:rsidRDefault="002D42C1" w:rsidP="008A11C9">
                  <w:pPr>
                    <w:spacing w:before="60" w:after="60"/>
                    <w:jc w:val="right"/>
                    <w:rPr>
                      <w:sz w:val="16"/>
                      <w:szCs w:val="16"/>
                    </w:rPr>
                  </w:pPr>
                  <w:r w:rsidRPr="00DE108C">
                    <w:rPr>
                      <w:sz w:val="16"/>
                      <w:szCs w:val="16"/>
                    </w:rPr>
                    <w:t>$1,183 </w:t>
                  </w:r>
                </w:p>
              </w:tc>
              <w:tc>
                <w:tcPr>
                  <w:tcW w:w="1365" w:type="dxa"/>
                  <w:tcBorders>
                    <w:top w:val="single" w:sz="6" w:space="0" w:color="4EC6FF"/>
                    <w:left w:val="nil"/>
                    <w:bottom w:val="single" w:sz="6" w:space="0" w:color="4EC6FF"/>
                    <w:right w:val="nil"/>
                  </w:tcBorders>
                  <w:vAlign w:val="center"/>
                  <w:hideMark/>
                </w:tcPr>
                <w:p w14:paraId="018AC8C4" w14:textId="79CDC622" w:rsidR="002D42C1" w:rsidRPr="00DE108C" w:rsidRDefault="002D42C1" w:rsidP="008A11C9">
                  <w:pPr>
                    <w:spacing w:before="60" w:after="60"/>
                    <w:jc w:val="right"/>
                    <w:rPr>
                      <w:sz w:val="16"/>
                      <w:szCs w:val="16"/>
                    </w:rPr>
                  </w:pPr>
                  <w:r w:rsidRPr="00DE108C">
                    <w:rPr>
                      <w:sz w:val="16"/>
                      <w:szCs w:val="16"/>
                    </w:rPr>
                    <w:t>-0.3%</w:t>
                  </w:r>
                </w:p>
              </w:tc>
              <w:tc>
                <w:tcPr>
                  <w:tcW w:w="1365" w:type="dxa"/>
                  <w:tcBorders>
                    <w:top w:val="single" w:sz="6" w:space="0" w:color="4EC6FF"/>
                    <w:left w:val="nil"/>
                    <w:bottom w:val="single" w:sz="6" w:space="0" w:color="4EC6FF"/>
                    <w:right w:val="nil"/>
                  </w:tcBorders>
                  <w:vAlign w:val="center"/>
                  <w:hideMark/>
                </w:tcPr>
                <w:p w14:paraId="4444AA7F" w14:textId="67BE4A6F"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194D92D2" w14:textId="00883167"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50064892" w14:textId="26ABE015"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1C1AF16B" w14:textId="2FCF2133" w:rsidR="002D42C1" w:rsidRPr="00DE108C" w:rsidRDefault="002D42C1" w:rsidP="008A11C9">
                  <w:pPr>
                    <w:spacing w:before="60" w:after="60"/>
                    <w:jc w:val="right"/>
                    <w:rPr>
                      <w:sz w:val="16"/>
                      <w:szCs w:val="16"/>
                    </w:rPr>
                  </w:pPr>
                  <w:r w:rsidRPr="00DE108C">
                    <w:rPr>
                      <w:sz w:val="16"/>
                      <w:szCs w:val="16"/>
                    </w:rPr>
                    <w:t>0.4%</w:t>
                  </w:r>
                </w:p>
              </w:tc>
            </w:tr>
            <w:tr w:rsidR="002D42C1" w:rsidRPr="00DE108C" w14:paraId="235E05F4" w14:textId="77777777" w:rsidTr="008A11C9">
              <w:trPr>
                <w:trHeight w:val="300"/>
              </w:trPr>
              <w:tc>
                <w:tcPr>
                  <w:tcW w:w="1365" w:type="dxa"/>
                  <w:tcBorders>
                    <w:top w:val="single" w:sz="6" w:space="0" w:color="4EC6FF"/>
                    <w:left w:val="nil"/>
                    <w:bottom w:val="single" w:sz="6" w:space="0" w:color="4EC6FF"/>
                    <w:right w:val="nil"/>
                  </w:tcBorders>
                  <w:hideMark/>
                </w:tcPr>
                <w:p w14:paraId="7CAC0B52" w14:textId="3AC9EBC4"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6F3B3954" w14:textId="77777777" w:rsidR="002D42C1" w:rsidRPr="00DE108C" w:rsidRDefault="002D42C1" w:rsidP="008A11C9">
                  <w:pPr>
                    <w:spacing w:before="60" w:after="60"/>
                    <w:jc w:val="right"/>
                    <w:rPr>
                      <w:sz w:val="16"/>
                      <w:szCs w:val="16"/>
                    </w:rPr>
                  </w:pPr>
                  <w:r w:rsidRPr="00DE108C">
                    <w:rPr>
                      <w:sz w:val="16"/>
                      <w:szCs w:val="16"/>
                    </w:rPr>
                    <w:t>$1,405 </w:t>
                  </w:r>
                </w:p>
              </w:tc>
              <w:tc>
                <w:tcPr>
                  <w:tcW w:w="1365" w:type="dxa"/>
                  <w:tcBorders>
                    <w:top w:val="single" w:sz="6" w:space="0" w:color="4EC6FF"/>
                    <w:left w:val="nil"/>
                    <w:bottom w:val="single" w:sz="6" w:space="0" w:color="4EC6FF"/>
                    <w:right w:val="nil"/>
                  </w:tcBorders>
                  <w:vAlign w:val="center"/>
                  <w:hideMark/>
                </w:tcPr>
                <w:p w14:paraId="4E134520" w14:textId="033A2AC8" w:rsidR="002D42C1" w:rsidRPr="00DE108C" w:rsidRDefault="002D42C1" w:rsidP="008A11C9">
                  <w:pPr>
                    <w:spacing w:before="60" w:after="60"/>
                    <w:jc w:val="right"/>
                    <w:rPr>
                      <w:sz w:val="16"/>
                      <w:szCs w:val="16"/>
                    </w:rPr>
                  </w:pPr>
                  <w:r w:rsidRPr="00DE108C">
                    <w:rPr>
                      <w:sz w:val="16"/>
                      <w:szCs w:val="16"/>
                    </w:rPr>
                    <w:t>1.6%</w:t>
                  </w:r>
                </w:p>
              </w:tc>
              <w:tc>
                <w:tcPr>
                  <w:tcW w:w="1365" w:type="dxa"/>
                  <w:tcBorders>
                    <w:top w:val="single" w:sz="6" w:space="0" w:color="4EC6FF"/>
                    <w:left w:val="nil"/>
                    <w:bottom w:val="single" w:sz="6" w:space="0" w:color="4EC6FF"/>
                    <w:right w:val="nil"/>
                  </w:tcBorders>
                  <w:vAlign w:val="center"/>
                  <w:hideMark/>
                </w:tcPr>
                <w:p w14:paraId="544FAEF8" w14:textId="1D7FAEC5" w:rsidR="002D42C1" w:rsidRPr="00DE108C" w:rsidRDefault="002D42C1" w:rsidP="008A11C9">
                  <w:pPr>
                    <w:spacing w:before="60" w:after="60"/>
                    <w:jc w:val="right"/>
                    <w:rPr>
                      <w:sz w:val="16"/>
                      <w:szCs w:val="16"/>
                    </w:rPr>
                  </w:pPr>
                  <w:r w:rsidRPr="00DE108C">
                    <w:rPr>
                      <w:sz w:val="16"/>
                      <w:szCs w:val="16"/>
                    </w:rPr>
                    <w:t>0.6%</w:t>
                  </w:r>
                </w:p>
              </w:tc>
              <w:tc>
                <w:tcPr>
                  <w:tcW w:w="1365" w:type="dxa"/>
                  <w:tcBorders>
                    <w:top w:val="single" w:sz="6" w:space="0" w:color="4EC6FF"/>
                    <w:left w:val="nil"/>
                    <w:bottom w:val="single" w:sz="6" w:space="0" w:color="4EC6FF"/>
                    <w:right w:val="nil"/>
                  </w:tcBorders>
                  <w:vAlign w:val="center"/>
                  <w:hideMark/>
                </w:tcPr>
                <w:p w14:paraId="0FF851D7" w14:textId="015C3373" w:rsidR="002D42C1" w:rsidRPr="00DE108C" w:rsidRDefault="002D42C1" w:rsidP="008A11C9">
                  <w:pPr>
                    <w:spacing w:before="60" w:after="60"/>
                    <w:jc w:val="right"/>
                    <w:rPr>
                      <w:sz w:val="16"/>
                      <w:szCs w:val="16"/>
                    </w:rPr>
                  </w:pPr>
                  <w:r w:rsidRPr="00DE108C">
                    <w:rPr>
                      <w:sz w:val="16"/>
                      <w:szCs w:val="16"/>
                    </w:rPr>
                    <w:t>0.7%</w:t>
                  </w:r>
                </w:p>
              </w:tc>
              <w:tc>
                <w:tcPr>
                  <w:tcW w:w="1365" w:type="dxa"/>
                  <w:tcBorders>
                    <w:top w:val="single" w:sz="6" w:space="0" w:color="4EC6FF"/>
                    <w:left w:val="nil"/>
                    <w:bottom w:val="single" w:sz="6" w:space="0" w:color="4EC6FF"/>
                    <w:right w:val="nil"/>
                  </w:tcBorders>
                  <w:vAlign w:val="center"/>
                  <w:hideMark/>
                </w:tcPr>
                <w:p w14:paraId="44684E3E" w14:textId="172AC566" w:rsidR="002D42C1" w:rsidRPr="00DE108C" w:rsidRDefault="002D42C1" w:rsidP="008A11C9">
                  <w:pPr>
                    <w:spacing w:before="60" w:after="60"/>
                    <w:jc w:val="right"/>
                    <w:rPr>
                      <w:sz w:val="16"/>
                      <w:szCs w:val="16"/>
                    </w:rPr>
                  </w:pPr>
                  <w:r w:rsidRPr="00DE108C">
                    <w:rPr>
                      <w:sz w:val="16"/>
                      <w:szCs w:val="16"/>
                    </w:rPr>
                    <w:t>0.9%</w:t>
                  </w:r>
                </w:p>
              </w:tc>
              <w:tc>
                <w:tcPr>
                  <w:tcW w:w="1365" w:type="dxa"/>
                  <w:tcBorders>
                    <w:top w:val="single" w:sz="6" w:space="0" w:color="4EC6FF"/>
                    <w:left w:val="nil"/>
                    <w:bottom w:val="single" w:sz="6" w:space="0" w:color="4EC6FF"/>
                    <w:right w:val="nil"/>
                  </w:tcBorders>
                  <w:vAlign w:val="center"/>
                  <w:hideMark/>
                </w:tcPr>
                <w:p w14:paraId="708E6FA5" w14:textId="5EF23B73" w:rsidR="002D42C1" w:rsidRPr="00DE108C" w:rsidRDefault="002D42C1" w:rsidP="008A11C9">
                  <w:pPr>
                    <w:spacing w:before="60" w:after="60"/>
                    <w:jc w:val="right"/>
                    <w:rPr>
                      <w:sz w:val="16"/>
                      <w:szCs w:val="16"/>
                    </w:rPr>
                  </w:pPr>
                  <w:r w:rsidRPr="00DE108C">
                    <w:rPr>
                      <w:sz w:val="16"/>
                      <w:szCs w:val="16"/>
                    </w:rPr>
                    <w:t>1.1%</w:t>
                  </w:r>
                </w:p>
              </w:tc>
            </w:tr>
            <w:tr w:rsidR="002D42C1" w:rsidRPr="00DE108C" w14:paraId="3C5EC11A" w14:textId="77777777" w:rsidTr="008A11C9">
              <w:trPr>
                <w:trHeight w:val="300"/>
              </w:trPr>
              <w:tc>
                <w:tcPr>
                  <w:tcW w:w="1365" w:type="dxa"/>
                  <w:tcBorders>
                    <w:top w:val="single" w:sz="6" w:space="0" w:color="4EC6FF"/>
                    <w:left w:val="nil"/>
                    <w:bottom w:val="single" w:sz="6" w:space="0" w:color="4EC6FF"/>
                    <w:right w:val="nil"/>
                  </w:tcBorders>
                  <w:hideMark/>
                </w:tcPr>
                <w:p w14:paraId="6917229A"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37975A4B" w14:textId="77777777" w:rsidR="002D42C1" w:rsidRPr="00DE108C" w:rsidRDefault="002D42C1" w:rsidP="008A11C9">
                  <w:pPr>
                    <w:spacing w:before="60" w:after="60"/>
                    <w:jc w:val="right"/>
                    <w:rPr>
                      <w:sz w:val="16"/>
                      <w:szCs w:val="16"/>
                    </w:rPr>
                  </w:pPr>
                  <w:r w:rsidRPr="00DE108C">
                    <w:rPr>
                      <w:sz w:val="16"/>
                      <w:szCs w:val="16"/>
                    </w:rPr>
                    <w:t>$1,394 </w:t>
                  </w:r>
                </w:p>
              </w:tc>
              <w:tc>
                <w:tcPr>
                  <w:tcW w:w="1365" w:type="dxa"/>
                  <w:tcBorders>
                    <w:top w:val="single" w:sz="6" w:space="0" w:color="4EC6FF"/>
                    <w:left w:val="nil"/>
                    <w:bottom w:val="single" w:sz="6" w:space="0" w:color="4EC6FF"/>
                    <w:right w:val="nil"/>
                  </w:tcBorders>
                  <w:vAlign w:val="center"/>
                  <w:hideMark/>
                </w:tcPr>
                <w:p w14:paraId="446FBBBF" w14:textId="629820BB" w:rsidR="002D42C1" w:rsidRPr="00DE108C" w:rsidRDefault="002D42C1" w:rsidP="008A11C9">
                  <w:pPr>
                    <w:spacing w:before="60" w:after="60"/>
                    <w:jc w:val="right"/>
                    <w:rPr>
                      <w:sz w:val="16"/>
                      <w:szCs w:val="16"/>
                    </w:rPr>
                  </w:pP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0D8279B0" w14:textId="264DBCA7"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61830C9C" w14:textId="4CEF8E56"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7B8794EF" w14:textId="7E3CCD8D" w:rsidR="002D42C1" w:rsidRPr="00DE108C" w:rsidRDefault="002D42C1" w:rsidP="008A11C9">
                  <w:pPr>
                    <w:spacing w:before="60" w:after="60"/>
                    <w:jc w:val="right"/>
                    <w:rPr>
                      <w:sz w:val="16"/>
                      <w:szCs w:val="16"/>
                    </w:rPr>
                  </w:pPr>
                  <w:r w:rsidRPr="00DE108C">
                    <w:rPr>
                      <w:sz w:val="16"/>
                      <w:szCs w:val="16"/>
                    </w:rPr>
                    <w:t>0.2%</w:t>
                  </w:r>
                </w:p>
              </w:tc>
              <w:tc>
                <w:tcPr>
                  <w:tcW w:w="1365" w:type="dxa"/>
                  <w:tcBorders>
                    <w:top w:val="single" w:sz="6" w:space="0" w:color="4EC6FF"/>
                    <w:left w:val="nil"/>
                    <w:bottom w:val="single" w:sz="6" w:space="0" w:color="4EC6FF"/>
                    <w:right w:val="nil"/>
                  </w:tcBorders>
                  <w:vAlign w:val="center"/>
                  <w:hideMark/>
                </w:tcPr>
                <w:p w14:paraId="1B6993FB" w14:textId="7A9EE36E" w:rsidR="002D42C1" w:rsidRPr="00DE108C" w:rsidRDefault="002D42C1" w:rsidP="008A11C9">
                  <w:pPr>
                    <w:spacing w:before="60" w:after="60"/>
                    <w:jc w:val="right"/>
                    <w:rPr>
                      <w:sz w:val="16"/>
                      <w:szCs w:val="16"/>
                    </w:rPr>
                  </w:pPr>
                  <w:r w:rsidRPr="00DE108C">
                    <w:rPr>
                      <w:sz w:val="16"/>
                      <w:szCs w:val="16"/>
                    </w:rPr>
                    <w:t>0.2%</w:t>
                  </w:r>
                </w:p>
              </w:tc>
            </w:tr>
            <w:tr w:rsidR="002D42C1" w:rsidRPr="00DE108C" w14:paraId="22594871" w14:textId="77777777" w:rsidTr="008A11C9">
              <w:trPr>
                <w:trHeight w:val="300"/>
              </w:trPr>
              <w:tc>
                <w:tcPr>
                  <w:tcW w:w="1365" w:type="dxa"/>
                  <w:tcBorders>
                    <w:top w:val="single" w:sz="6" w:space="0" w:color="4EC6FF"/>
                    <w:left w:val="nil"/>
                    <w:bottom w:val="single" w:sz="6" w:space="0" w:color="4EC6FF"/>
                    <w:right w:val="nil"/>
                  </w:tcBorders>
                  <w:shd w:val="clear" w:color="auto" w:fill="46C2D7" w:themeFill="accent3"/>
                  <w:hideMark/>
                </w:tcPr>
                <w:p w14:paraId="1A22CFC6" w14:textId="77777777"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4489A3CA" w14:textId="77777777" w:rsidR="002D42C1" w:rsidRPr="00DE108C" w:rsidRDefault="002D42C1" w:rsidP="008A11C9">
                  <w:pPr>
                    <w:spacing w:before="60" w:after="60"/>
                    <w:jc w:val="right"/>
                    <w:rPr>
                      <w:sz w:val="16"/>
                      <w:szCs w:val="16"/>
                    </w:rPr>
                  </w:pPr>
                  <w:r w:rsidRPr="00DE108C">
                    <w:rPr>
                      <w:sz w:val="16"/>
                      <w:szCs w:val="16"/>
                    </w:rPr>
                    <w:t>$1,492 </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6F5D5372" w14:textId="162226AD" w:rsidR="002D42C1" w:rsidRPr="00DE108C" w:rsidRDefault="002D42C1" w:rsidP="008A11C9">
                  <w:pPr>
                    <w:spacing w:before="60" w:after="60"/>
                    <w:jc w:val="right"/>
                    <w:rPr>
                      <w:sz w:val="16"/>
                      <w:szCs w:val="16"/>
                    </w:rPr>
                  </w:pPr>
                  <w:r w:rsidRPr="00510FDD">
                    <w:rPr>
                      <w:color w:val="auto"/>
                      <w:sz w:val="16"/>
                      <w:szCs w:val="16"/>
                    </w:rPr>
                    <w:t>-</w:t>
                  </w:r>
                  <w:r w:rsidRPr="00DE108C">
                    <w:rPr>
                      <w:sz w:val="16"/>
                      <w:szCs w:val="16"/>
                    </w:rPr>
                    <w:t>0.</w:t>
                  </w:r>
                  <w:r w:rsidRPr="00510FDD">
                    <w:rPr>
                      <w:color w:val="auto"/>
                      <w:sz w:val="16"/>
                      <w:szCs w:val="16"/>
                    </w:rPr>
                    <w:t>8</w:t>
                  </w:r>
                  <w:r w:rsidRPr="00DE108C">
                    <w:rPr>
                      <w:sz w:val="16"/>
                      <w:szCs w:val="16"/>
                    </w:rPr>
                    <w:t>%</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6A573F29" w14:textId="2917A5C7" w:rsidR="002D42C1" w:rsidRPr="00DE108C" w:rsidRDefault="002D42C1" w:rsidP="008A11C9">
                  <w:pPr>
                    <w:spacing w:before="60" w:after="60"/>
                    <w:jc w:val="right"/>
                    <w:rPr>
                      <w:sz w:val="16"/>
                      <w:szCs w:val="16"/>
                    </w:rPr>
                  </w:pPr>
                  <w:r w:rsidRPr="00DE108C">
                    <w:rPr>
                      <w:sz w:val="16"/>
                      <w:szCs w:val="16"/>
                    </w:rPr>
                    <w:t>0.0%</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301F06C0" w14:textId="1F2079B2"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1</w:t>
                  </w:r>
                  <w:r w:rsidRPr="00DE108C">
                    <w:rPr>
                      <w:sz w:val="16"/>
                      <w:szCs w:val="16"/>
                    </w:rPr>
                    <w:t>%</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3152BB15" w14:textId="021230A4" w:rsidR="002D42C1" w:rsidRPr="00DE108C" w:rsidRDefault="002D42C1" w:rsidP="008A11C9">
                  <w:pPr>
                    <w:spacing w:before="60" w:after="60"/>
                    <w:jc w:val="right"/>
                    <w:rPr>
                      <w:sz w:val="16"/>
                      <w:szCs w:val="16"/>
                    </w:rPr>
                  </w:pPr>
                  <w:r w:rsidRPr="00DE108C">
                    <w:rPr>
                      <w:sz w:val="16"/>
                      <w:szCs w:val="16"/>
                    </w:rPr>
                    <w:t>0.0%</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4DDFEB78" w14:textId="5E514075" w:rsidR="002D42C1" w:rsidRPr="00DE108C" w:rsidRDefault="002D42C1" w:rsidP="008A11C9">
                  <w:pPr>
                    <w:spacing w:before="60" w:after="60"/>
                    <w:jc w:val="right"/>
                    <w:rPr>
                      <w:sz w:val="16"/>
                      <w:szCs w:val="16"/>
                    </w:rPr>
                  </w:pPr>
                  <w:r w:rsidRPr="00DE108C">
                    <w:rPr>
                      <w:sz w:val="16"/>
                      <w:szCs w:val="16"/>
                    </w:rPr>
                    <w:t>0.0%</w:t>
                  </w:r>
                </w:p>
              </w:tc>
            </w:tr>
          </w:tbl>
          <w:p w14:paraId="514535B8" w14:textId="27BFCF38" w:rsidR="002D42C1" w:rsidRPr="00DE108C" w:rsidRDefault="002D42C1" w:rsidP="106D3487">
            <w:pPr>
              <w:rPr>
                <w:sz w:val="16"/>
                <w:szCs w:val="16"/>
              </w:rPr>
            </w:pPr>
            <w:r w:rsidRPr="00DE108C">
              <w:rPr>
                <w:sz w:val="16"/>
                <w:szCs w:val="16"/>
              </w:rPr>
              <w:t>Customer impacts are indicative only and exclude inflation, water corporation 2028 submission impacts and annual pass-throughs</w:t>
            </w:r>
            <w:r w:rsidR="731455FA" w:rsidRPr="106D3487">
              <w:rPr>
                <w:sz w:val="16"/>
                <w:szCs w:val="16"/>
              </w:rPr>
              <w:t>,</w:t>
            </w:r>
            <w:r w:rsidRPr="00DE108C">
              <w:rPr>
                <w:sz w:val="16"/>
                <w:szCs w:val="16"/>
              </w:rPr>
              <w:t xml:space="preserve"> including desalinated water orders. Forecast customer bill impacts are estimated on the change in total Melbourne Water bulk costs, it is up to each individual water corporation on how this is passed onto households and businesses.</w:t>
            </w:r>
          </w:p>
          <w:p w14:paraId="563CD577" w14:textId="62BA83AD" w:rsidR="002D42C1" w:rsidRPr="00DE108C" w:rsidRDefault="002D42C1" w:rsidP="00ED094E">
            <w:pPr>
              <w:rPr>
                <w:sz w:val="16"/>
                <w:szCs w:val="16"/>
              </w:rPr>
            </w:pPr>
          </w:p>
        </w:tc>
      </w:tr>
    </w:tbl>
    <w:p w14:paraId="0EF69FE9" w14:textId="77777777" w:rsidR="002D42C1" w:rsidRPr="00DE108C" w:rsidRDefault="002D42C1" w:rsidP="00ED094E"/>
    <w:p w14:paraId="266165EB" w14:textId="77777777" w:rsidR="002D42C1" w:rsidRPr="00DE108C" w:rsidRDefault="002D42C1">
      <w:r w:rsidRPr="00DE108C">
        <w:br w:type="page"/>
      </w:r>
    </w:p>
    <w:p w14:paraId="018FABA9" w14:textId="77777777" w:rsidR="002D42C1" w:rsidRPr="00DE108C" w:rsidRDefault="002D42C1" w:rsidP="00ED094E">
      <w:pPr>
        <w:pStyle w:val="Heading2"/>
      </w:pPr>
      <w:bookmarkStart w:id="1268" w:name="_Toc207892037"/>
      <w:bookmarkStart w:id="1269" w:name="_Toc207892949"/>
      <w:bookmarkStart w:id="1270" w:name="_Toc207853442"/>
      <w:r w:rsidRPr="00DE108C">
        <w:lastRenderedPageBreak/>
        <w:t>A.6 South Gippsland Water</w:t>
      </w:r>
      <w:bookmarkEnd w:id="1268"/>
      <w:bookmarkEnd w:id="1269"/>
      <w:bookmarkEnd w:id="1270"/>
    </w:p>
    <w:tbl>
      <w:tblPr>
        <w:tblStyle w:val="TableGrid"/>
        <w:tblW w:w="22361" w:type="dxa"/>
        <w:tblLook w:val="0480" w:firstRow="0" w:lastRow="0" w:firstColumn="1" w:lastColumn="0" w:noHBand="0" w:noVBand="1"/>
      </w:tblPr>
      <w:tblGrid>
        <w:gridCol w:w="1413"/>
        <w:gridCol w:w="10064"/>
        <w:gridCol w:w="10884"/>
      </w:tblGrid>
      <w:tr w:rsidR="002D42C1" w:rsidRPr="00DE108C" w14:paraId="677DF529" w14:textId="77777777" w:rsidTr="00C05BDA">
        <w:tc>
          <w:tcPr>
            <w:tcW w:w="1413" w:type="dxa"/>
            <w:shd w:val="clear" w:color="auto" w:fill="00428B" w:themeFill="text2"/>
          </w:tcPr>
          <w:p w14:paraId="7FB92A36" w14:textId="61030CB9" w:rsidR="002D42C1" w:rsidRPr="00DE108C" w:rsidRDefault="002D42C1">
            <w:pPr>
              <w:rPr>
                <w:b/>
                <w:bCs/>
                <w:color w:val="FFFFFF" w:themeColor="background1"/>
                <w:sz w:val="16"/>
                <w:szCs w:val="16"/>
              </w:rPr>
            </w:pPr>
            <w:r w:rsidRPr="00DE108C">
              <w:rPr>
                <w:b/>
                <w:bCs/>
                <w:color w:val="FFFFFF" w:themeColor="background1"/>
                <w:sz w:val="16"/>
                <w:szCs w:val="16"/>
              </w:rPr>
              <w:t xml:space="preserve">How </w:t>
            </w:r>
            <w:r w:rsidRPr="7D28F473">
              <w:rPr>
                <w:b/>
                <w:bCs/>
                <w:color w:val="FFFFFF" w:themeColor="background1"/>
                <w:sz w:val="16"/>
                <w:szCs w:val="16"/>
              </w:rPr>
              <w:t>we</w:t>
            </w:r>
            <w:r w:rsidR="530C7934" w:rsidRPr="7D28F473">
              <w:rPr>
                <w:b/>
                <w:bCs/>
                <w:color w:val="FFFFFF" w:themeColor="background1"/>
                <w:sz w:val="16"/>
                <w:szCs w:val="16"/>
              </w:rPr>
              <w:t xml:space="preserve"> have</w:t>
            </w:r>
            <w:r w:rsidRPr="00DE108C">
              <w:rPr>
                <w:b/>
                <w:bCs/>
                <w:color w:val="FFFFFF" w:themeColor="background1"/>
                <w:sz w:val="16"/>
                <w:szCs w:val="16"/>
              </w:rPr>
              <w:t xml:space="preserve"> worked with you</w:t>
            </w:r>
          </w:p>
        </w:tc>
        <w:tc>
          <w:tcPr>
            <w:tcW w:w="20948" w:type="dxa"/>
            <w:gridSpan w:val="2"/>
          </w:tcPr>
          <w:p w14:paraId="7D95662E" w14:textId="7D0648BB" w:rsidR="002D42C1" w:rsidRPr="00DE108C" w:rsidRDefault="002D42C1">
            <w:pPr>
              <w:rPr>
                <w:sz w:val="16"/>
                <w:szCs w:val="16"/>
              </w:rPr>
            </w:pPr>
            <w:r w:rsidRPr="00DE108C">
              <w:rPr>
                <w:sz w:val="16"/>
                <w:szCs w:val="16"/>
              </w:rPr>
              <w:t xml:space="preserve">We have been working closely with South Gippsland Water (SGW) through the development of the </w:t>
            </w:r>
            <w:r w:rsidR="2178F424" w:rsidRPr="11FC522D">
              <w:rPr>
                <w:sz w:val="16"/>
                <w:szCs w:val="16"/>
              </w:rPr>
              <w:t>P</w:t>
            </w:r>
            <w:r w:rsidRPr="11FC522D">
              <w:rPr>
                <w:sz w:val="16"/>
                <w:szCs w:val="16"/>
              </w:rPr>
              <w:t>rice</w:t>
            </w:r>
            <w:r w:rsidRPr="00DE108C">
              <w:rPr>
                <w:sz w:val="16"/>
                <w:szCs w:val="16"/>
              </w:rPr>
              <w:t xml:space="preserve"> </w:t>
            </w:r>
            <w:r w:rsidR="286433F2" w:rsidRPr="344DDD46">
              <w:rPr>
                <w:sz w:val="16"/>
                <w:szCs w:val="16"/>
              </w:rPr>
              <w:t>S</w:t>
            </w:r>
            <w:r w:rsidRPr="00DE108C">
              <w:rPr>
                <w:sz w:val="16"/>
                <w:szCs w:val="16"/>
              </w:rPr>
              <w:t xml:space="preserve">ubmission. SGW provided feedback early in our engagement program that they did not wish to participate in the Water Corporation Forum. To reflect this request, we gathered feedback from SGW over 20 meetings of the </w:t>
            </w:r>
            <w:r w:rsidR="00AF7AC2">
              <w:rPr>
                <w:sz w:val="16"/>
                <w:szCs w:val="16"/>
              </w:rPr>
              <w:t>Regulatory and Tariff</w:t>
            </w:r>
            <w:r w:rsidRPr="00DE108C">
              <w:rPr>
                <w:sz w:val="16"/>
                <w:szCs w:val="16"/>
              </w:rPr>
              <w:t xml:space="preserve"> Forums and one-to-one meetings. We also ensured SGW end-use customers were heard directly through our community engagement program and SGW customers participating in our surveys. We have reflected the expectations of SGW as much as possible in our submission.</w:t>
            </w:r>
          </w:p>
        </w:tc>
      </w:tr>
      <w:tr w:rsidR="002D42C1" w:rsidRPr="00DE108C" w14:paraId="57495302" w14:textId="77777777" w:rsidTr="00C05BDA">
        <w:trPr>
          <w:cnfStyle w:val="000000010000" w:firstRow="0" w:lastRow="0" w:firstColumn="0" w:lastColumn="0" w:oddVBand="0" w:evenVBand="0" w:oddHBand="0" w:evenHBand="1" w:firstRowFirstColumn="0" w:firstRowLastColumn="0" w:lastRowFirstColumn="0" w:lastRowLastColumn="0"/>
        </w:trPr>
        <w:tc>
          <w:tcPr>
            <w:tcW w:w="1413" w:type="dxa"/>
            <w:vMerge w:val="restart"/>
            <w:shd w:val="clear" w:color="auto" w:fill="00428B" w:themeFill="text2"/>
          </w:tcPr>
          <w:p w14:paraId="663308DF" w14:textId="14E70E6E" w:rsidR="002D42C1" w:rsidRPr="00DE108C" w:rsidRDefault="002D42C1">
            <w:pPr>
              <w:rPr>
                <w:b/>
                <w:bCs/>
                <w:color w:val="FFFFFF" w:themeColor="background1"/>
                <w:sz w:val="16"/>
                <w:szCs w:val="16"/>
              </w:rPr>
            </w:pPr>
            <w:r w:rsidRPr="00DE108C">
              <w:rPr>
                <w:b/>
                <w:bCs/>
                <w:color w:val="FFFFFF" w:themeColor="background1"/>
                <w:sz w:val="16"/>
                <w:szCs w:val="16"/>
              </w:rPr>
              <w:t xml:space="preserve">Outcomes – how </w:t>
            </w:r>
            <w:r w:rsidRPr="1CC86B10">
              <w:rPr>
                <w:b/>
                <w:bCs/>
                <w:color w:val="FFFFFF" w:themeColor="background1"/>
                <w:sz w:val="16"/>
                <w:szCs w:val="16"/>
              </w:rPr>
              <w:t>we</w:t>
            </w:r>
            <w:r w:rsidR="06FF81AB" w:rsidRPr="1CC86B10">
              <w:rPr>
                <w:b/>
                <w:bCs/>
                <w:color w:val="FFFFFF" w:themeColor="background1"/>
                <w:sz w:val="16"/>
                <w:szCs w:val="16"/>
              </w:rPr>
              <w:t xml:space="preserve"> are</w:t>
            </w:r>
            <w:r w:rsidRPr="00DE108C">
              <w:rPr>
                <w:b/>
                <w:bCs/>
                <w:color w:val="FFFFFF" w:themeColor="background1"/>
                <w:sz w:val="16"/>
                <w:szCs w:val="16"/>
              </w:rPr>
              <w:t xml:space="preserve"> supporting you</w:t>
            </w:r>
          </w:p>
        </w:tc>
        <w:tc>
          <w:tcPr>
            <w:tcW w:w="10064" w:type="dxa"/>
            <w:shd w:val="clear" w:color="auto" w:fill="00428B" w:themeFill="text2"/>
          </w:tcPr>
          <w:p w14:paraId="4EE85131" w14:textId="77777777" w:rsidR="002D42C1" w:rsidRPr="00DE108C" w:rsidRDefault="002D42C1">
            <w:pPr>
              <w:rPr>
                <w:b/>
                <w:bCs/>
                <w:color w:val="FFFFFF" w:themeColor="background1"/>
                <w:sz w:val="16"/>
                <w:szCs w:val="16"/>
              </w:rPr>
            </w:pPr>
            <w:r w:rsidRPr="00DE108C">
              <w:rPr>
                <w:b/>
                <w:bCs/>
                <w:color w:val="FFFFFF" w:themeColor="background1"/>
                <w:sz w:val="16"/>
                <w:szCs w:val="16"/>
              </w:rPr>
              <w:t>MW Outcome</w:t>
            </w:r>
          </w:p>
        </w:tc>
        <w:tc>
          <w:tcPr>
            <w:tcW w:w="10884" w:type="dxa"/>
            <w:shd w:val="clear" w:color="auto" w:fill="00428B" w:themeFill="text2"/>
          </w:tcPr>
          <w:p w14:paraId="417F9A25" w14:textId="77777777" w:rsidR="002D42C1" w:rsidRPr="00DE108C" w:rsidRDefault="002D42C1">
            <w:pPr>
              <w:rPr>
                <w:b/>
                <w:bCs/>
                <w:color w:val="FFFFFF" w:themeColor="background1"/>
                <w:sz w:val="16"/>
                <w:szCs w:val="16"/>
              </w:rPr>
            </w:pPr>
            <w:r w:rsidRPr="00DE108C">
              <w:rPr>
                <w:b/>
                <w:bCs/>
                <w:color w:val="FFFFFF" w:themeColor="background1"/>
                <w:sz w:val="16"/>
                <w:szCs w:val="16"/>
              </w:rPr>
              <w:t>Related SGW Outcomes</w:t>
            </w:r>
          </w:p>
        </w:tc>
      </w:tr>
      <w:tr w:rsidR="002D42C1" w:rsidRPr="00DE108C" w14:paraId="04889CF1" w14:textId="77777777" w:rsidTr="00C05BDA">
        <w:tc>
          <w:tcPr>
            <w:tcW w:w="1413" w:type="dxa"/>
            <w:vMerge/>
            <w:shd w:val="clear" w:color="auto" w:fill="00428B" w:themeFill="text2"/>
          </w:tcPr>
          <w:p w14:paraId="33025E33" w14:textId="77777777" w:rsidR="002D42C1" w:rsidRPr="00DE108C" w:rsidRDefault="002D42C1">
            <w:pPr>
              <w:rPr>
                <w:b/>
                <w:bCs/>
                <w:color w:val="FFFFFF" w:themeColor="background1"/>
                <w:sz w:val="16"/>
                <w:szCs w:val="16"/>
              </w:rPr>
            </w:pPr>
          </w:p>
        </w:tc>
        <w:tc>
          <w:tcPr>
            <w:tcW w:w="10064" w:type="dxa"/>
          </w:tcPr>
          <w:p w14:paraId="7CE4A8A2" w14:textId="77777777" w:rsidR="002D42C1" w:rsidRPr="00DE108C" w:rsidRDefault="002D42C1">
            <w:pPr>
              <w:rPr>
                <w:sz w:val="16"/>
                <w:szCs w:val="16"/>
              </w:rPr>
            </w:pPr>
            <w:r w:rsidRPr="00DE108C">
              <w:rPr>
                <w:sz w:val="16"/>
                <w:szCs w:val="16"/>
              </w:rPr>
              <w:t>Outcome 1: Safe and reliable bulk water supplies for now and the long term</w:t>
            </w:r>
          </w:p>
        </w:tc>
        <w:tc>
          <w:tcPr>
            <w:tcW w:w="10884" w:type="dxa"/>
          </w:tcPr>
          <w:p w14:paraId="6B265472" w14:textId="77777777" w:rsidR="002D42C1" w:rsidRPr="00DE108C" w:rsidRDefault="002D42C1">
            <w:pPr>
              <w:rPr>
                <w:sz w:val="16"/>
                <w:szCs w:val="16"/>
              </w:rPr>
            </w:pPr>
            <w:r w:rsidRPr="00DE108C">
              <w:rPr>
                <w:sz w:val="16"/>
                <w:szCs w:val="16"/>
              </w:rPr>
              <w:t>Outcome 1: Reliability - Plan for the future, be reliable and minimise unplanned interruptions to services</w:t>
            </w:r>
          </w:p>
          <w:p w14:paraId="38829486" w14:textId="77777777" w:rsidR="002D42C1" w:rsidRPr="00DE108C" w:rsidRDefault="002D42C1">
            <w:pPr>
              <w:rPr>
                <w:sz w:val="16"/>
                <w:szCs w:val="16"/>
              </w:rPr>
            </w:pPr>
            <w:r w:rsidRPr="00DE108C">
              <w:rPr>
                <w:sz w:val="16"/>
                <w:szCs w:val="16"/>
              </w:rPr>
              <w:t>Outcome 2: Water - Provide safe, clean drinking water</w:t>
            </w:r>
          </w:p>
        </w:tc>
      </w:tr>
      <w:tr w:rsidR="005421B4" w:rsidRPr="00DE108C" w14:paraId="1B5DA115" w14:textId="77777777" w:rsidTr="00C05BDA">
        <w:trPr>
          <w:cnfStyle w:val="000000010000" w:firstRow="0" w:lastRow="0" w:firstColumn="0" w:lastColumn="0" w:oddVBand="0" w:evenVBand="0" w:oddHBand="0" w:evenHBand="1" w:firstRowFirstColumn="0" w:firstRowLastColumn="0" w:lastRowFirstColumn="0" w:lastRowLastColumn="0"/>
        </w:trPr>
        <w:tc>
          <w:tcPr>
            <w:tcW w:w="1413" w:type="dxa"/>
            <w:vMerge/>
            <w:shd w:val="clear" w:color="auto" w:fill="00428B" w:themeFill="text2"/>
          </w:tcPr>
          <w:p w14:paraId="07F98F3D" w14:textId="77777777" w:rsidR="002D42C1" w:rsidRPr="00DE108C" w:rsidRDefault="002D42C1">
            <w:pPr>
              <w:rPr>
                <w:b/>
                <w:bCs/>
                <w:color w:val="FFFFFF" w:themeColor="background1"/>
                <w:sz w:val="16"/>
                <w:szCs w:val="16"/>
              </w:rPr>
            </w:pPr>
          </w:p>
        </w:tc>
        <w:tc>
          <w:tcPr>
            <w:tcW w:w="10064" w:type="dxa"/>
          </w:tcPr>
          <w:p w14:paraId="0BF8C7CB" w14:textId="77777777" w:rsidR="002D42C1" w:rsidRPr="00DE108C" w:rsidRDefault="002D42C1">
            <w:pPr>
              <w:rPr>
                <w:sz w:val="16"/>
                <w:szCs w:val="16"/>
              </w:rPr>
            </w:pPr>
            <w:r w:rsidRPr="00DE108C">
              <w:rPr>
                <w:sz w:val="16"/>
                <w:szCs w:val="16"/>
              </w:rPr>
              <w:t>Outcome 2: Environmentally sustainable and reliable bulk sewerage services</w:t>
            </w:r>
          </w:p>
        </w:tc>
        <w:tc>
          <w:tcPr>
            <w:tcW w:w="10884" w:type="dxa"/>
          </w:tcPr>
          <w:p w14:paraId="621565CD" w14:textId="77777777" w:rsidR="002D42C1" w:rsidRPr="00DE108C" w:rsidRDefault="002D42C1" w:rsidP="00ED094E">
            <w:pPr>
              <w:rPr>
                <w:sz w:val="16"/>
                <w:szCs w:val="16"/>
              </w:rPr>
            </w:pPr>
            <w:r w:rsidRPr="00DE108C">
              <w:rPr>
                <w:sz w:val="16"/>
                <w:szCs w:val="16"/>
              </w:rPr>
              <w:t>Outcome 4: Environment - Be environmentally sustainable and adapt to a future impacted by climate</w:t>
            </w:r>
          </w:p>
          <w:p w14:paraId="69EF4602" w14:textId="77777777" w:rsidR="002D42C1" w:rsidRPr="00DE108C" w:rsidRDefault="002D42C1" w:rsidP="00ED094E">
            <w:pPr>
              <w:rPr>
                <w:sz w:val="16"/>
                <w:szCs w:val="16"/>
              </w:rPr>
            </w:pPr>
            <w:r w:rsidRPr="00DE108C">
              <w:rPr>
                <w:sz w:val="16"/>
                <w:szCs w:val="16"/>
              </w:rPr>
              <w:t>variability</w:t>
            </w:r>
          </w:p>
        </w:tc>
      </w:tr>
      <w:tr w:rsidR="002D42C1" w:rsidRPr="00DE108C" w14:paraId="640D6EB2" w14:textId="77777777" w:rsidTr="00C05BDA">
        <w:tc>
          <w:tcPr>
            <w:tcW w:w="1413" w:type="dxa"/>
            <w:vMerge/>
            <w:shd w:val="clear" w:color="auto" w:fill="00428B" w:themeFill="text2"/>
          </w:tcPr>
          <w:p w14:paraId="71F95ABF" w14:textId="77777777" w:rsidR="002D42C1" w:rsidRPr="00DE108C" w:rsidRDefault="002D42C1">
            <w:pPr>
              <w:rPr>
                <w:b/>
                <w:bCs/>
                <w:color w:val="FFFFFF" w:themeColor="background1"/>
                <w:sz w:val="16"/>
                <w:szCs w:val="16"/>
              </w:rPr>
            </w:pPr>
          </w:p>
        </w:tc>
        <w:tc>
          <w:tcPr>
            <w:tcW w:w="10064" w:type="dxa"/>
          </w:tcPr>
          <w:p w14:paraId="061B5377" w14:textId="77777777" w:rsidR="002D42C1" w:rsidRPr="00DE108C" w:rsidRDefault="002D42C1">
            <w:pPr>
              <w:rPr>
                <w:sz w:val="16"/>
                <w:szCs w:val="16"/>
              </w:rPr>
            </w:pPr>
            <w:r w:rsidRPr="00DE108C">
              <w:rPr>
                <w:sz w:val="16"/>
                <w:szCs w:val="16"/>
              </w:rPr>
              <w:t>Outcome 3: Healthy, resilient waterways</w:t>
            </w:r>
          </w:p>
        </w:tc>
        <w:tc>
          <w:tcPr>
            <w:tcW w:w="10884" w:type="dxa"/>
          </w:tcPr>
          <w:p w14:paraId="615DBC4B" w14:textId="77777777" w:rsidR="002D42C1" w:rsidRPr="00DE108C" w:rsidRDefault="002D42C1">
            <w:pPr>
              <w:rPr>
                <w:sz w:val="16"/>
                <w:szCs w:val="16"/>
              </w:rPr>
            </w:pPr>
            <w:r w:rsidRPr="00DE108C">
              <w:rPr>
                <w:sz w:val="16"/>
                <w:szCs w:val="16"/>
              </w:rPr>
              <w:t>N/A</w:t>
            </w:r>
          </w:p>
        </w:tc>
      </w:tr>
      <w:tr w:rsidR="005421B4" w:rsidRPr="00DE108C" w14:paraId="334273DB" w14:textId="77777777" w:rsidTr="00C05BDA">
        <w:trPr>
          <w:cnfStyle w:val="000000010000" w:firstRow="0" w:lastRow="0" w:firstColumn="0" w:lastColumn="0" w:oddVBand="0" w:evenVBand="0" w:oddHBand="0" w:evenHBand="1" w:firstRowFirstColumn="0" w:firstRowLastColumn="0" w:lastRowFirstColumn="0" w:lastRowLastColumn="0"/>
        </w:trPr>
        <w:tc>
          <w:tcPr>
            <w:tcW w:w="1413" w:type="dxa"/>
            <w:vMerge/>
            <w:shd w:val="clear" w:color="auto" w:fill="00428B" w:themeFill="text2"/>
          </w:tcPr>
          <w:p w14:paraId="725CA09E" w14:textId="77777777" w:rsidR="002D42C1" w:rsidRPr="00DE108C" w:rsidRDefault="002D42C1">
            <w:pPr>
              <w:rPr>
                <w:b/>
                <w:bCs/>
                <w:color w:val="FFFFFF" w:themeColor="background1"/>
                <w:sz w:val="16"/>
                <w:szCs w:val="16"/>
              </w:rPr>
            </w:pPr>
          </w:p>
        </w:tc>
        <w:tc>
          <w:tcPr>
            <w:tcW w:w="10064" w:type="dxa"/>
          </w:tcPr>
          <w:p w14:paraId="668AB433" w14:textId="77777777" w:rsidR="002D42C1" w:rsidRPr="00DE108C" w:rsidRDefault="002D42C1">
            <w:pPr>
              <w:rPr>
                <w:sz w:val="16"/>
                <w:szCs w:val="16"/>
              </w:rPr>
            </w:pPr>
            <w:r w:rsidRPr="00DE108C">
              <w:rPr>
                <w:sz w:val="16"/>
                <w:szCs w:val="16"/>
              </w:rPr>
              <w:t>Outcome 4: Urban drainage and flood resilience</w:t>
            </w:r>
          </w:p>
        </w:tc>
        <w:tc>
          <w:tcPr>
            <w:tcW w:w="10884" w:type="dxa"/>
          </w:tcPr>
          <w:p w14:paraId="722FEA75" w14:textId="77777777" w:rsidR="002D42C1" w:rsidRPr="00DE108C" w:rsidRDefault="002D42C1">
            <w:pPr>
              <w:rPr>
                <w:sz w:val="16"/>
                <w:szCs w:val="16"/>
              </w:rPr>
            </w:pPr>
            <w:r w:rsidRPr="00DE108C">
              <w:rPr>
                <w:sz w:val="16"/>
                <w:szCs w:val="16"/>
              </w:rPr>
              <w:t>N/A</w:t>
            </w:r>
          </w:p>
        </w:tc>
      </w:tr>
      <w:tr w:rsidR="002D42C1" w:rsidRPr="00DE108C" w14:paraId="374542D8" w14:textId="77777777" w:rsidTr="00C05BDA">
        <w:tc>
          <w:tcPr>
            <w:tcW w:w="1413" w:type="dxa"/>
            <w:vMerge/>
            <w:shd w:val="clear" w:color="auto" w:fill="00428B" w:themeFill="text2"/>
          </w:tcPr>
          <w:p w14:paraId="17635B06" w14:textId="77777777" w:rsidR="002D42C1" w:rsidRPr="00DE108C" w:rsidRDefault="002D42C1">
            <w:pPr>
              <w:rPr>
                <w:b/>
                <w:bCs/>
                <w:color w:val="FFFFFF" w:themeColor="background1"/>
                <w:sz w:val="16"/>
                <w:szCs w:val="16"/>
              </w:rPr>
            </w:pPr>
          </w:p>
        </w:tc>
        <w:tc>
          <w:tcPr>
            <w:tcW w:w="10064" w:type="dxa"/>
          </w:tcPr>
          <w:p w14:paraId="59A7AD13" w14:textId="77777777" w:rsidR="002D42C1" w:rsidRPr="00DE108C" w:rsidRDefault="002D42C1">
            <w:pPr>
              <w:rPr>
                <w:sz w:val="16"/>
                <w:szCs w:val="16"/>
              </w:rPr>
            </w:pPr>
            <w:r w:rsidRPr="00DE108C">
              <w:rPr>
                <w:sz w:val="16"/>
                <w:szCs w:val="16"/>
              </w:rPr>
              <w:t>Outcome 5: A valued partner in water cycle services</w:t>
            </w:r>
          </w:p>
        </w:tc>
        <w:tc>
          <w:tcPr>
            <w:tcW w:w="10884" w:type="dxa"/>
          </w:tcPr>
          <w:p w14:paraId="10A79F13" w14:textId="77777777" w:rsidR="002D42C1" w:rsidRPr="00DE108C" w:rsidRDefault="002D42C1" w:rsidP="00ED094E">
            <w:pPr>
              <w:rPr>
                <w:sz w:val="16"/>
                <w:szCs w:val="16"/>
              </w:rPr>
            </w:pPr>
            <w:r w:rsidRPr="00DE108C">
              <w:rPr>
                <w:sz w:val="16"/>
                <w:szCs w:val="16"/>
              </w:rPr>
              <w:t>Outcome 5: Integrity - We will act with honesty, respect and strive to balance affordability, value-for-money</w:t>
            </w:r>
          </w:p>
          <w:p w14:paraId="098E6855" w14:textId="77777777" w:rsidR="002D42C1" w:rsidRPr="00DE108C" w:rsidRDefault="002D42C1" w:rsidP="00ED094E">
            <w:pPr>
              <w:rPr>
                <w:sz w:val="16"/>
                <w:szCs w:val="16"/>
              </w:rPr>
            </w:pPr>
            <w:r w:rsidRPr="00DE108C">
              <w:rPr>
                <w:sz w:val="16"/>
                <w:szCs w:val="16"/>
              </w:rPr>
              <w:t>and fairness</w:t>
            </w:r>
          </w:p>
        </w:tc>
      </w:tr>
      <w:tr w:rsidR="002D42C1" w:rsidRPr="00DE108C" w14:paraId="7A5C9598" w14:textId="77777777" w:rsidTr="00C05BDA">
        <w:trPr>
          <w:cnfStyle w:val="000000010000" w:firstRow="0" w:lastRow="0" w:firstColumn="0" w:lastColumn="0" w:oddVBand="0" w:evenVBand="0" w:oddHBand="0" w:evenHBand="1" w:firstRowFirstColumn="0" w:firstRowLastColumn="0" w:lastRowFirstColumn="0" w:lastRowLastColumn="0"/>
        </w:trPr>
        <w:tc>
          <w:tcPr>
            <w:tcW w:w="1413" w:type="dxa"/>
            <w:vMerge w:val="restart"/>
            <w:shd w:val="clear" w:color="auto" w:fill="00428B" w:themeFill="text2"/>
          </w:tcPr>
          <w:p w14:paraId="77223A9F" w14:textId="77777777" w:rsidR="002D42C1" w:rsidRPr="00DE108C" w:rsidRDefault="002D42C1">
            <w:pPr>
              <w:rPr>
                <w:b/>
                <w:bCs/>
                <w:color w:val="FFFFFF" w:themeColor="background1"/>
                <w:sz w:val="16"/>
                <w:szCs w:val="16"/>
              </w:rPr>
            </w:pPr>
            <w:r w:rsidRPr="00DE108C">
              <w:rPr>
                <w:b/>
                <w:bCs/>
                <w:color w:val="FFFFFF" w:themeColor="background1"/>
                <w:sz w:val="16"/>
                <w:szCs w:val="16"/>
              </w:rPr>
              <w:t>Addressing your key areas</w:t>
            </w:r>
          </w:p>
        </w:tc>
        <w:tc>
          <w:tcPr>
            <w:tcW w:w="10064" w:type="dxa"/>
            <w:shd w:val="clear" w:color="auto" w:fill="00428B" w:themeFill="text2"/>
          </w:tcPr>
          <w:p w14:paraId="772FE403" w14:textId="77777777" w:rsidR="002D42C1" w:rsidRPr="00DE108C" w:rsidRDefault="002D42C1">
            <w:pPr>
              <w:rPr>
                <w:b/>
                <w:bCs/>
                <w:color w:val="FFFFFF" w:themeColor="background1"/>
                <w:sz w:val="16"/>
                <w:szCs w:val="16"/>
              </w:rPr>
            </w:pPr>
            <w:r w:rsidRPr="00DE108C">
              <w:rPr>
                <w:b/>
                <w:bCs/>
                <w:color w:val="FFFFFF" w:themeColor="background1"/>
                <w:sz w:val="16"/>
                <w:szCs w:val="16"/>
              </w:rPr>
              <w:t>What we heard</w:t>
            </w:r>
          </w:p>
        </w:tc>
        <w:tc>
          <w:tcPr>
            <w:tcW w:w="10884" w:type="dxa"/>
            <w:shd w:val="clear" w:color="auto" w:fill="00428B" w:themeFill="text2"/>
          </w:tcPr>
          <w:p w14:paraId="034B49D8" w14:textId="7F213BEB" w:rsidR="002D42C1" w:rsidRPr="00DE108C" w:rsidRDefault="002D42C1">
            <w:pPr>
              <w:rPr>
                <w:b/>
                <w:bCs/>
                <w:color w:val="FFFFFF" w:themeColor="background1"/>
                <w:sz w:val="16"/>
                <w:szCs w:val="16"/>
              </w:rPr>
            </w:pPr>
            <w:r w:rsidRPr="00DE108C">
              <w:rPr>
                <w:b/>
                <w:bCs/>
                <w:color w:val="FFFFFF" w:themeColor="background1"/>
                <w:sz w:val="16"/>
                <w:szCs w:val="16"/>
              </w:rPr>
              <w:t xml:space="preserve">How </w:t>
            </w:r>
            <w:r w:rsidRPr="30EBCE07">
              <w:rPr>
                <w:b/>
                <w:bCs/>
                <w:color w:val="FFFFFF" w:themeColor="background1"/>
                <w:sz w:val="16"/>
                <w:szCs w:val="16"/>
              </w:rPr>
              <w:t>we</w:t>
            </w:r>
            <w:r w:rsidR="0784A89C" w:rsidRPr="30EBCE07">
              <w:rPr>
                <w:b/>
                <w:bCs/>
                <w:color w:val="FFFFFF" w:themeColor="background1"/>
                <w:sz w:val="16"/>
                <w:szCs w:val="16"/>
              </w:rPr>
              <w:t xml:space="preserve"> are</w:t>
            </w:r>
            <w:r w:rsidRPr="00DE108C">
              <w:rPr>
                <w:b/>
                <w:bCs/>
                <w:color w:val="FFFFFF" w:themeColor="background1"/>
                <w:sz w:val="16"/>
                <w:szCs w:val="16"/>
              </w:rPr>
              <w:t xml:space="preserve"> responding</w:t>
            </w:r>
          </w:p>
        </w:tc>
      </w:tr>
      <w:tr w:rsidR="002D42C1" w:rsidRPr="00DE108C" w14:paraId="0F09352F" w14:textId="77777777" w:rsidTr="00C05BDA">
        <w:tc>
          <w:tcPr>
            <w:tcW w:w="1413" w:type="dxa"/>
            <w:vMerge/>
            <w:shd w:val="clear" w:color="auto" w:fill="00428B" w:themeFill="text2"/>
          </w:tcPr>
          <w:p w14:paraId="4CE3D5EA" w14:textId="77777777" w:rsidR="002D42C1" w:rsidRPr="00DE108C" w:rsidRDefault="002D42C1" w:rsidP="00ED094E">
            <w:pPr>
              <w:rPr>
                <w:b/>
                <w:bCs/>
                <w:color w:val="FFFFFF" w:themeColor="background1"/>
                <w:sz w:val="16"/>
                <w:szCs w:val="16"/>
              </w:rPr>
            </w:pPr>
          </w:p>
        </w:tc>
        <w:tc>
          <w:tcPr>
            <w:tcW w:w="10064" w:type="dxa"/>
          </w:tcPr>
          <w:p w14:paraId="5B925FED" w14:textId="578BA6E4" w:rsidR="002D42C1" w:rsidRPr="00DE108C" w:rsidRDefault="002D42C1" w:rsidP="00ED094E">
            <w:pPr>
              <w:rPr>
                <w:sz w:val="16"/>
                <w:szCs w:val="16"/>
              </w:rPr>
            </w:pPr>
            <w:r w:rsidRPr="00DE108C">
              <w:rPr>
                <w:sz w:val="16"/>
                <w:szCs w:val="16"/>
              </w:rPr>
              <w:t>Item #1: Fair tariff reforms, including a higher variable water tariff that incentivises efficient investment and has MW taking on more demand risk, and a ‘user pays’ cost allocation</w:t>
            </w:r>
            <w:r w:rsidR="1D209972" w:rsidRPr="18C3E3A5">
              <w:rPr>
                <w:sz w:val="16"/>
                <w:szCs w:val="16"/>
              </w:rPr>
              <w:t>.</w:t>
            </w:r>
          </w:p>
        </w:tc>
        <w:tc>
          <w:tcPr>
            <w:tcW w:w="10884" w:type="dxa"/>
          </w:tcPr>
          <w:p w14:paraId="1976F2D9" w14:textId="77777777" w:rsidR="002D42C1" w:rsidRPr="00DE108C" w:rsidRDefault="002D42C1" w:rsidP="00ED094E">
            <w:pPr>
              <w:rPr>
                <w:b/>
                <w:sz w:val="16"/>
                <w:szCs w:val="16"/>
              </w:rPr>
            </w:pPr>
            <w:r w:rsidRPr="00DE108C">
              <w:rPr>
                <w:b/>
                <w:bCs/>
                <w:sz w:val="16"/>
                <w:szCs w:val="16"/>
              </w:rPr>
              <w:t>Addressed</w:t>
            </w:r>
          </w:p>
          <w:p w14:paraId="034F29F4" w14:textId="77777777" w:rsidR="002D42C1" w:rsidRPr="00DE108C" w:rsidRDefault="002D42C1" w:rsidP="00ED094E">
            <w:pPr>
              <w:rPr>
                <w:sz w:val="16"/>
                <w:szCs w:val="16"/>
              </w:rPr>
            </w:pPr>
            <w:r w:rsidRPr="00DE108C">
              <w:rPr>
                <w:sz w:val="16"/>
                <w:szCs w:val="16"/>
              </w:rPr>
              <w:t xml:space="preserve">Following extensive analysis and consultation, we are proposing a suite of tariff reforms that take interests consistent with SGW’s preferences and taking SGW’s customers into account. This includes moving to a higher variable water price as desired by SGW, and allocating fixed charges based on historical usage rather than forecasts. </w:t>
            </w:r>
          </w:p>
        </w:tc>
      </w:tr>
      <w:tr w:rsidR="005421B4" w:rsidRPr="00DE108C" w14:paraId="7E87B9DA" w14:textId="77777777" w:rsidTr="00C05BDA">
        <w:trPr>
          <w:cnfStyle w:val="000000010000" w:firstRow="0" w:lastRow="0" w:firstColumn="0" w:lastColumn="0" w:oddVBand="0" w:evenVBand="0" w:oddHBand="0" w:evenHBand="1" w:firstRowFirstColumn="0" w:firstRowLastColumn="0" w:lastRowFirstColumn="0" w:lastRowLastColumn="0"/>
        </w:trPr>
        <w:tc>
          <w:tcPr>
            <w:tcW w:w="1413" w:type="dxa"/>
            <w:vMerge/>
            <w:shd w:val="clear" w:color="auto" w:fill="00428B" w:themeFill="text2"/>
          </w:tcPr>
          <w:p w14:paraId="6F4A00C0" w14:textId="77777777" w:rsidR="002D42C1" w:rsidRPr="00DE108C" w:rsidRDefault="002D42C1" w:rsidP="00ED094E">
            <w:pPr>
              <w:rPr>
                <w:b/>
                <w:bCs/>
                <w:color w:val="FFFFFF" w:themeColor="background1"/>
                <w:sz w:val="16"/>
                <w:szCs w:val="16"/>
              </w:rPr>
            </w:pPr>
          </w:p>
        </w:tc>
        <w:tc>
          <w:tcPr>
            <w:tcW w:w="10064" w:type="dxa"/>
          </w:tcPr>
          <w:p w14:paraId="050BAAD5" w14:textId="288A2CE9" w:rsidR="002D42C1" w:rsidRPr="00DE108C" w:rsidRDefault="002D42C1" w:rsidP="00ED094E">
            <w:pPr>
              <w:rPr>
                <w:sz w:val="16"/>
                <w:szCs w:val="16"/>
              </w:rPr>
            </w:pPr>
            <w:r w:rsidRPr="00DE108C">
              <w:rPr>
                <w:sz w:val="16"/>
                <w:szCs w:val="16"/>
              </w:rPr>
              <w:t xml:space="preserve">Item #2: Consideration of transition arrangements for </w:t>
            </w:r>
            <w:r w:rsidR="77C3411B" w:rsidRPr="30EBCE07">
              <w:rPr>
                <w:sz w:val="16"/>
                <w:szCs w:val="16"/>
              </w:rPr>
              <w:t>SGW</w:t>
            </w:r>
            <w:r w:rsidRPr="00DE108C">
              <w:rPr>
                <w:sz w:val="16"/>
                <w:szCs w:val="16"/>
              </w:rPr>
              <w:t xml:space="preserve"> customers</w:t>
            </w:r>
            <w:r w:rsidR="57B68799" w:rsidRPr="18C3E3A5">
              <w:rPr>
                <w:sz w:val="16"/>
                <w:szCs w:val="16"/>
              </w:rPr>
              <w:t>.</w:t>
            </w:r>
          </w:p>
        </w:tc>
        <w:tc>
          <w:tcPr>
            <w:tcW w:w="10884" w:type="dxa"/>
          </w:tcPr>
          <w:p w14:paraId="2BA56234" w14:textId="77777777" w:rsidR="002D42C1" w:rsidRPr="00DE108C" w:rsidRDefault="002D42C1" w:rsidP="00ED094E">
            <w:pPr>
              <w:rPr>
                <w:b/>
                <w:sz w:val="16"/>
                <w:szCs w:val="16"/>
              </w:rPr>
            </w:pPr>
            <w:r w:rsidRPr="00DE108C">
              <w:rPr>
                <w:b/>
                <w:bCs/>
                <w:sz w:val="16"/>
                <w:szCs w:val="16"/>
              </w:rPr>
              <w:t>Addressed</w:t>
            </w:r>
          </w:p>
          <w:p w14:paraId="02B540E8" w14:textId="109B91E0" w:rsidR="002D42C1" w:rsidRPr="00DE108C" w:rsidRDefault="6D630A4E" w:rsidP="00ED094E">
            <w:pPr>
              <w:rPr>
                <w:sz w:val="16"/>
                <w:szCs w:val="16"/>
              </w:rPr>
            </w:pPr>
            <w:r w:rsidRPr="1154CA21">
              <w:rPr>
                <w:sz w:val="16"/>
                <w:szCs w:val="16"/>
              </w:rPr>
              <w:t>SGW</w:t>
            </w:r>
            <w:r w:rsidR="002D42C1" w:rsidRPr="00DE108C">
              <w:rPr>
                <w:sz w:val="16"/>
                <w:szCs w:val="16"/>
              </w:rPr>
              <w:t xml:space="preserve"> is in a unique position where its 2023 Price Submission included taking up an option to acquire 2 GL of additional bulk entitlement in the Greater Yarra Thomson system and passing through the costs of the </w:t>
            </w:r>
            <w:r w:rsidR="002D42C1" w:rsidRPr="1154CA21">
              <w:rPr>
                <w:sz w:val="16"/>
                <w:szCs w:val="16"/>
              </w:rPr>
              <w:t>M</w:t>
            </w:r>
            <w:r w:rsidR="33DEE08E" w:rsidRPr="1154CA21">
              <w:rPr>
                <w:sz w:val="16"/>
                <w:szCs w:val="16"/>
              </w:rPr>
              <w:t xml:space="preserve">elbourne </w:t>
            </w:r>
            <w:r w:rsidR="002D42C1" w:rsidRPr="1154CA21">
              <w:rPr>
                <w:sz w:val="16"/>
                <w:szCs w:val="16"/>
              </w:rPr>
              <w:t>W</w:t>
            </w:r>
            <w:r w:rsidR="14C51B19" w:rsidRPr="1154CA21">
              <w:rPr>
                <w:sz w:val="16"/>
                <w:szCs w:val="16"/>
              </w:rPr>
              <w:t>ater</w:t>
            </w:r>
            <w:r w:rsidR="002D42C1" w:rsidRPr="1154CA21">
              <w:rPr>
                <w:sz w:val="16"/>
                <w:szCs w:val="16"/>
              </w:rPr>
              <w:t xml:space="preserve"> </w:t>
            </w:r>
            <w:r w:rsidR="002D42C1" w:rsidRPr="00DE108C">
              <w:rPr>
                <w:sz w:val="16"/>
                <w:szCs w:val="16"/>
              </w:rPr>
              <w:t xml:space="preserve">charges associated with holding this entitlement to customers. Due to the South-Central Reform process, this is no longer required, but this means that SGW’s customers have not had the bill increase that would have resulted before </w:t>
            </w:r>
            <w:r w:rsidR="025E5094" w:rsidRPr="2FDA5F29">
              <w:rPr>
                <w:sz w:val="16"/>
                <w:szCs w:val="16"/>
              </w:rPr>
              <w:t xml:space="preserve">the </w:t>
            </w:r>
            <w:r w:rsidR="002D42C1" w:rsidRPr="00DE108C">
              <w:rPr>
                <w:sz w:val="16"/>
                <w:szCs w:val="16"/>
              </w:rPr>
              <w:t>South-Central Reform has come into effect</w:t>
            </w:r>
            <w:r w:rsidR="44658AB3" w:rsidRPr="611DA43B">
              <w:rPr>
                <w:sz w:val="16"/>
                <w:szCs w:val="16"/>
              </w:rPr>
              <w:t xml:space="preserve">. </w:t>
            </w:r>
            <w:r w:rsidR="0E693FEE" w:rsidRPr="611DA43B">
              <w:rPr>
                <w:sz w:val="16"/>
                <w:szCs w:val="16"/>
              </w:rPr>
              <w:t>I</w:t>
            </w:r>
            <w:r w:rsidR="002D42C1" w:rsidRPr="611DA43B">
              <w:rPr>
                <w:sz w:val="16"/>
                <w:szCs w:val="16"/>
              </w:rPr>
              <w:t>nstead</w:t>
            </w:r>
            <w:r w:rsidR="277E89E5" w:rsidRPr="611DA43B">
              <w:rPr>
                <w:sz w:val="16"/>
                <w:szCs w:val="16"/>
              </w:rPr>
              <w:t>, they</w:t>
            </w:r>
            <w:r w:rsidR="002D42C1" w:rsidRPr="00DE108C">
              <w:rPr>
                <w:sz w:val="16"/>
                <w:szCs w:val="16"/>
              </w:rPr>
              <w:t xml:space="preserve"> will experience increases for additional bulk charges from 1 July 2026. Following extensive analysis and consultation, we have adopted the 10-year average utilisation for fixed water shares, and smoothed fixed water charges over the regulatory period on a NPV-neutral basis, which smooths entrance into the South-Central Pool for the connected regional water corporations</w:t>
            </w:r>
            <w:r w:rsidR="2A958819" w:rsidRPr="2D1BC76D">
              <w:rPr>
                <w:sz w:val="16"/>
                <w:szCs w:val="16"/>
              </w:rPr>
              <w:t>,</w:t>
            </w:r>
            <w:r w:rsidR="002D42C1" w:rsidRPr="00DE108C">
              <w:rPr>
                <w:sz w:val="16"/>
                <w:szCs w:val="16"/>
              </w:rPr>
              <w:t xml:space="preserve"> including SGW.</w:t>
            </w:r>
          </w:p>
        </w:tc>
      </w:tr>
      <w:tr w:rsidR="002D42C1" w:rsidRPr="00DE108C" w14:paraId="36CF5B71" w14:textId="77777777" w:rsidTr="00C05BDA">
        <w:tc>
          <w:tcPr>
            <w:tcW w:w="1413" w:type="dxa"/>
            <w:vMerge/>
            <w:shd w:val="clear" w:color="auto" w:fill="00428B" w:themeFill="text2"/>
          </w:tcPr>
          <w:p w14:paraId="37F1DB88" w14:textId="77777777" w:rsidR="002D42C1" w:rsidRPr="00DE108C" w:rsidRDefault="002D42C1" w:rsidP="00ED094E">
            <w:pPr>
              <w:rPr>
                <w:b/>
                <w:bCs/>
                <w:color w:val="FFFFFF" w:themeColor="background1"/>
                <w:sz w:val="16"/>
                <w:szCs w:val="16"/>
              </w:rPr>
            </w:pPr>
          </w:p>
        </w:tc>
        <w:tc>
          <w:tcPr>
            <w:tcW w:w="10064" w:type="dxa"/>
          </w:tcPr>
          <w:p w14:paraId="547FBA36" w14:textId="74AE8901" w:rsidR="002D42C1" w:rsidRPr="00DE108C" w:rsidRDefault="002D42C1" w:rsidP="00ED094E">
            <w:pPr>
              <w:rPr>
                <w:sz w:val="16"/>
                <w:szCs w:val="16"/>
              </w:rPr>
            </w:pPr>
            <w:r w:rsidRPr="00DE108C">
              <w:rPr>
                <w:sz w:val="16"/>
                <w:szCs w:val="16"/>
              </w:rPr>
              <w:t>Item #3: Greater collaboration on planning</w:t>
            </w:r>
            <w:r w:rsidR="57B68799" w:rsidRPr="18C3E3A5">
              <w:rPr>
                <w:sz w:val="16"/>
                <w:szCs w:val="16"/>
              </w:rPr>
              <w:t>.</w:t>
            </w:r>
          </w:p>
        </w:tc>
        <w:tc>
          <w:tcPr>
            <w:tcW w:w="10884" w:type="dxa"/>
          </w:tcPr>
          <w:p w14:paraId="4317803C" w14:textId="77777777" w:rsidR="002D42C1" w:rsidRPr="00DE108C" w:rsidRDefault="002D42C1" w:rsidP="00ED094E">
            <w:pPr>
              <w:rPr>
                <w:b/>
                <w:bCs/>
                <w:sz w:val="16"/>
                <w:szCs w:val="16"/>
              </w:rPr>
            </w:pPr>
            <w:r w:rsidRPr="00DE108C">
              <w:rPr>
                <w:b/>
                <w:bCs/>
                <w:sz w:val="16"/>
                <w:szCs w:val="16"/>
              </w:rPr>
              <w:t>Addressed</w:t>
            </w:r>
          </w:p>
          <w:p w14:paraId="779F56BC" w14:textId="6C96863E" w:rsidR="002D42C1" w:rsidRPr="00DE108C" w:rsidRDefault="002D42C1" w:rsidP="00ED094E">
            <w:pPr>
              <w:rPr>
                <w:sz w:val="16"/>
                <w:szCs w:val="16"/>
              </w:rPr>
            </w:pPr>
            <w:r w:rsidRPr="00DE108C">
              <w:rPr>
                <w:sz w:val="16"/>
                <w:szCs w:val="16"/>
              </w:rPr>
              <w:t xml:space="preserve">Under Outcome 5, we commit to collaborating and co-creating plans with the water sector and playing a key role in delivering water solutions that addresses the challenges in future planning across Melbourne and climate change. We are committed to working with other businesses to complete a collaborative long-term capital and operating plan to support Urban Water and System Strategies and future water corporation and Melbourne Water </w:t>
            </w:r>
            <w:r w:rsidR="05B08B96" w:rsidRPr="45AF5DCB">
              <w:rPr>
                <w:sz w:val="16"/>
                <w:szCs w:val="16"/>
              </w:rPr>
              <w:t>P</w:t>
            </w:r>
            <w:r w:rsidRPr="45AF5DCB">
              <w:rPr>
                <w:sz w:val="16"/>
                <w:szCs w:val="16"/>
              </w:rPr>
              <w:t xml:space="preserve">rice </w:t>
            </w:r>
            <w:r w:rsidR="5977A558" w:rsidRPr="45AF5DCB">
              <w:rPr>
                <w:sz w:val="16"/>
                <w:szCs w:val="16"/>
              </w:rPr>
              <w:t>S</w:t>
            </w:r>
            <w:r w:rsidRPr="00DE108C">
              <w:rPr>
                <w:sz w:val="16"/>
                <w:szCs w:val="16"/>
              </w:rPr>
              <w:t>ubmissions, as well as Integrated Water Management Forums.</w:t>
            </w:r>
          </w:p>
        </w:tc>
      </w:tr>
      <w:tr w:rsidR="005421B4" w:rsidRPr="00DE108C" w14:paraId="058EB40E" w14:textId="77777777" w:rsidTr="00C05BDA">
        <w:trPr>
          <w:cnfStyle w:val="000000010000" w:firstRow="0" w:lastRow="0" w:firstColumn="0" w:lastColumn="0" w:oddVBand="0" w:evenVBand="0" w:oddHBand="0" w:evenHBand="1" w:firstRowFirstColumn="0" w:firstRowLastColumn="0" w:lastRowFirstColumn="0" w:lastRowLastColumn="0"/>
        </w:trPr>
        <w:tc>
          <w:tcPr>
            <w:tcW w:w="1413" w:type="dxa"/>
            <w:vMerge/>
            <w:shd w:val="clear" w:color="auto" w:fill="00428B" w:themeFill="text2"/>
          </w:tcPr>
          <w:p w14:paraId="4BF3BC51" w14:textId="77777777" w:rsidR="002D42C1" w:rsidRPr="00DE108C" w:rsidRDefault="002D42C1" w:rsidP="00ED094E">
            <w:pPr>
              <w:rPr>
                <w:b/>
                <w:bCs/>
                <w:color w:val="FFFFFF" w:themeColor="background1"/>
                <w:sz w:val="16"/>
                <w:szCs w:val="16"/>
              </w:rPr>
            </w:pPr>
          </w:p>
        </w:tc>
        <w:tc>
          <w:tcPr>
            <w:tcW w:w="10064" w:type="dxa"/>
          </w:tcPr>
          <w:p w14:paraId="608C4717" w14:textId="5968401A" w:rsidR="002D42C1" w:rsidRPr="00DE108C" w:rsidRDefault="002D42C1" w:rsidP="00ED094E">
            <w:pPr>
              <w:rPr>
                <w:sz w:val="16"/>
                <w:szCs w:val="16"/>
              </w:rPr>
            </w:pPr>
            <w:r w:rsidRPr="00DE108C">
              <w:rPr>
                <w:sz w:val="16"/>
                <w:szCs w:val="16"/>
              </w:rPr>
              <w:t>Item #4: Investing in ‘readiness’ for the next large scale water supply</w:t>
            </w:r>
            <w:r w:rsidR="585C418C" w:rsidRPr="18C3E3A5">
              <w:rPr>
                <w:sz w:val="16"/>
                <w:szCs w:val="16"/>
              </w:rPr>
              <w:t>.</w:t>
            </w:r>
          </w:p>
        </w:tc>
        <w:tc>
          <w:tcPr>
            <w:tcW w:w="10884" w:type="dxa"/>
          </w:tcPr>
          <w:p w14:paraId="00902B21" w14:textId="77777777" w:rsidR="002D42C1" w:rsidRPr="00DE108C" w:rsidRDefault="002D42C1" w:rsidP="00ED094E">
            <w:pPr>
              <w:rPr>
                <w:b/>
                <w:bCs/>
                <w:sz w:val="16"/>
                <w:szCs w:val="16"/>
              </w:rPr>
            </w:pPr>
            <w:r w:rsidRPr="00DE108C">
              <w:rPr>
                <w:b/>
                <w:bCs/>
                <w:sz w:val="16"/>
                <w:szCs w:val="16"/>
              </w:rPr>
              <w:t>Addressed</w:t>
            </w:r>
          </w:p>
          <w:p w14:paraId="35D34870" w14:textId="1A18CC57" w:rsidR="002D42C1" w:rsidRPr="00DE108C" w:rsidRDefault="002D42C1" w:rsidP="00ED094E">
            <w:pPr>
              <w:rPr>
                <w:sz w:val="16"/>
                <w:szCs w:val="16"/>
              </w:rPr>
            </w:pPr>
            <w:r w:rsidRPr="00DE108C">
              <w:rPr>
                <w:sz w:val="16"/>
                <w:szCs w:val="16"/>
              </w:rPr>
              <w:lastRenderedPageBreak/>
              <w:t>We have included $</w:t>
            </w:r>
            <w:r w:rsidRPr="45AF5DCB">
              <w:rPr>
                <w:sz w:val="16"/>
                <w:szCs w:val="16"/>
              </w:rPr>
              <w:t>250</w:t>
            </w:r>
            <w:r w:rsidR="1FD414F8" w:rsidRPr="45AF5DCB">
              <w:rPr>
                <w:sz w:val="16"/>
                <w:szCs w:val="16"/>
              </w:rPr>
              <w:t xml:space="preserve"> </w:t>
            </w:r>
            <w:r w:rsidRPr="45AF5DCB">
              <w:rPr>
                <w:sz w:val="16"/>
                <w:szCs w:val="16"/>
              </w:rPr>
              <w:t>m</w:t>
            </w:r>
            <w:r w:rsidR="0BD78EB4" w:rsidRPr="45AF5DCB">
              <w:rPr>
                <w:sz w:val="16"/>
                <w:szCs w:val="16"/>
              </w:rPr>
              <w:t>illion</w:t>
            </w:r>
            <w:r w:rsidRPr="00DE108C">
              <w:rPr>
                <w:sz w:val="16"/>
                <w:szCs w:val="16"/>
              </w:rPr>
              <w:t xml:space="preserve"> of early planning to determine a preferred combination of water supply options for the future and ‘no regrets’ development costs for water transfer and treatment projects that are required for the next large</w:t>
            </w:r>
            <w:r w:rsidR="7B8D46D3" w:rsidRPr="45AF5DCB">
              <w:rPr>
                <w:sz w:val="16"/>
                <w:szCs w:val="16"/>
              </w:rPr>
              <w:t>-</w:t>
            </w:r>
            <w:r w:rsidRPr="00DE108C">
              <w:rPr>
                <w:sz w:val="16"/>
                <w:szCs w:val="16"/>
              </w:rPr>
              <w:t>scale water supply.</w:t>
            </w:r>
          </w:p>
        </w:tc>
      </w:tr>
      <w:tr w:rsidR="002D42C1" w:rsidRPr="00DE108C" w14:paraId="6C54E782" w14:textId="77777777" w:rsidTr="00C05BDA">
        <w:tc>
          <w:tcPr>
            <w:tcW w:w="1413" w:type="dxa"/>
            <w:vMerge/>
            <w:shd w:val="clear" w:color="auto" w:fill="00428B" w:themeFill="text2"/>
          </w:tcPr>
          <w:p w14:paraId="4E9E20FA" w14:textId="77777777" w:rsidR="002D42C1" w:rsidRPr="00DE108C" w:rsidRDefault="002D42C1" w:rsidP="00ED094E">
            <w:pPr>
              <w:rPr>
                <w:b/>
                <w:bCs/>
                <w:color w:val="FFFFFF" w:themeColor="background1"/>
                <w:sz w:val="16"/>
                <w:szCs w:val="16"/>
              </w:rPr>
            </w:pPr>
          </w:p>
        </w:tc>
        <w:tc>
          <w:tcPr>
            <w:tcW w:w="10064" w:type="dxa"/>
          </w:tcPr>
          <w:p w14:paraId="2363F0E3" w14:textId="29FEF898" w:rsidR="002D42C1" w:rsidRPr="00DE108C" w:rsidRDefault="002D42C1" w:rsidP="00ED094E">
            <w:pPr>
              <w:rPr>
                <w:sz w:val="16"/>
                <w:szCs w:val="16"/>
              </w:rPr>
            </w:pPr>
            <w:r w:rsidRPr="00DE108C">
              <w:rPr>
                <w:sz w:val="16"/>
                <w:szCs w:val="16"/>
              </w:rPr>
              <w:t xml:space="preserve">Item #5: Simplify customer Outcomes and make it clear which </w:t>
            </w:r>
            <w:r w:rsidR="00AC3F20">
              <w:rPr>
                <w:sz w:val="16"/>
                <w:szCs w:val="16"/>
              </w:rPr>
              <w:t>O</w:t>
            </w:r>
            <w:r w:rsidRPr="00DE108C">
              <w:rPr>
                <w:sz w:val="16"/>
                <w:szCs w:val="16"/>
              </w:rPr>
              <w:t>utcome</w:t>
            </w:r>
            <w:r w:rsidR="00AC3F20">
              <w:rPr>
                <w:sz w:val="16"/>
                <w:szCs w:val="16"/>
              </w:rPr>
              <w:t>s</w:t>
            </w:r>
            <w:r w:rsidRPr="00DE108C">
              <w:rPr>
                <w:sz w:val="16"/>
                <w:szCs w:val="16"/>
              </w:rPr>
              <w:t xml:space="preserve"> relate to which customer cohort</w:t>
            </w:r>
            <w:r w:rsidR="6A592A0C" w:rsidRPr="18C3E3A5">
              <w:rPr>
                <w:sz w:val="16"/>
                <w:szCs w:val="16"/>
              </w:rPr>
              <w:t>.</w:t>
            </w:r>
          </w:p>
        </w:tc>
        <w:tc>
          <w:tcPr>
            <w:tcW w:w="10884" w:type="dxa"/>
          </w:tcPr>
          <w:p w14:paraId="4C1CF4AE" w14:textId="77777777" w:rsidR="002D42C1" w:rsidRPr="00DE108C" w:rsidRDefault="002D42C1" w:rsidP="00ED094E">
            <w:pPr>
              <w:rPr>
                <w:b/>
                <w:bCs/>
                <w:sz w:val="16"/>
                <w:szCs w:val="16"/>
              </w:rPr>
            </w:pPr>
            <w:r w:rsidRPr="00DE108C">
              <w:rPr>
                <w:b/>
                <w:bCs/>
                <w:sz w:val="16"/>
                <w:szCs w:val="16"/>
              </w:rPr>
              <w:t>Addressed</w:t>
            </w:r>
          </w:p>
          <w:p w14:paraId="0DE3843E" w14:textId="77777777" w:rsidR="002D42C1" w:rsidRPr="00DE108C" w:rsidRDefault="002D42C1" w:rsidP="00ED094E">
            <w:pPr>
              <w:rPr>
                <w:sz w:val="16"/>
                <w:szCs w:val="16"/>
              </w:rPr>
            </w:pPr>
            <w:r w:rsidRPr="00DE108C">
              <w:rPr>
                <w:sz w:val="16"/>
                <w:szCs w:val="16"/>
              </w:rPr>
              <w:t>Our new Outcomes reflect our core business activities, customer cohorts and key costs and investments. SGW will be covered by Outcomes 1 and 5 and asked for feedback when Melbourne Water is assessing its performance against these Outcomes during the regulatory period.</w:t>
            </w:r>
          </w:p>
        </w:tc>
      </w:tr>
      <w:tr w:rsidR="00A5757A" w:rsidRPr="00DE108C" w14:paraId="6438AE09" w14:textId="77777777" w:rsidTr="00C05BDA">
        <w:trPr>
          <w:cnfStyle w:val="000000010000" w:firstRow="0" w:lastRow="0" w:firstColumn="0" w:lastColumn="0" w:oddVBand="0" w:evenVBand="0" w:oddHBand="0" w:evenHBand="1" w:firstRowFirstColumn="0" w:firstRowLastColumn="0" w:lastRowFirstColumn="0" w:lastRowLastColumn="0"/>
        </w:trPr>
        <w:tc>
          <w:tcPr>
            <w:tcW w:w="1413" w:type="dxa"/>
            <w:shd w:val="clear" w:color="auto" w:fill="00428B" w:themeFill="text2"/>
          </w:tcPr>
          <w:p w14:paraId="10424DC8"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t xml:space="preserve">Key projects, actions and commitments </w:t>
            </w:r>
          </w:p>
        </w:tc>
        <w:tc>
          <w:tcPr>
            <w:tcW w:w="20948" w:type="dxa"/>
            <w:gridSpan w:val="2"/>
          </w:tcPr>
          <w:p w14:paraId="5AAEA654" w14:textId="77777777" w:rsidR="002D42C1" w:rsidRPr="00DE108C" w:rsidRDefault="002D42C1" w:rsidP="00ED094E">
            <w:pPr>
              <w:rPr>
                <w:sz w:val="16"/>
                <w:szCs w:val="16"/>
              </w:rPr>
            </w:pPr>
            <w:r w:rsidRPr="00DE108C">
              <w:rPr>
                <w:sz w:val="16"/>
                <w:szCs w:val="16"/>
              </w:rPr>
              <w:t>In PS26, we are committing to:</w:t>
            </w:r>
          </w:p>
          <w:tbl>
            <w:tblPr>
              <w:tblpPr w:leftFromText="180" w:rightFromText="180" w:vertAnchor="text" w:tblpY="1"/>
              <w:tblW w:w="0" w:type="auto"/>
              <w:tblLook w:val="04A0" w:firstRow="1" w:lastRow="0" w:firstColumn="1" w:lastColumn="0" w:noHBand="0" w:noVBand="1"/>
            </w:tblPr>
            <w:tblGrid>
              <w:gridCol w:w="6733"/>
              <w:gridCol w:w="6733"/>
              <w:gridCol w:w="6733"/>
            </w:tblGrid>
            <w:tr w:rsidR="002D42C1" w:rsidRPr="00DE108C" w14:paraId="69D4DD55" w14:textId="77777777" w:rsidTr="00341795">
              <w:tc>
                <w:tcPr>
                  <w:tcW w:w="6733" w:type="dxa"/>
                </w:tcPr>
                <w:p w14:paraId="792FD8F3" w14:textId="77777777" w:rsidR="002D42C1" w:rsidRPr="00DE108C" w:rsidRDefault="002D42C1" w:rsidP="00C05BDA">
                  <w:pPr>
                    <w:pStyle w:val="Tablebullet"/>
                  </w:pPr>
                  <w:r w:rsidRPr="00DE108C">
                    <w:t>Collaborative planning</w:t>
                  </w:r>
                </w:p>
                <w:p w14:paraId="3BA2ECD2" w14:textId="77777777" w:rsidR="002D42C1" w:rsidRPr="00DE108C" w:rsidRDefault="002D42C1" w:rsidP="00C05BDA">
                  <w:pPr>
                    <w:pStyle w:val="Tablebullet"/>
                  </w:pPr>
                  <w:r w:rsidRPr="00DE108C">
                    <w:t>Updating and modernising our Bulk Supply Agreements</w:t>
                  </w:r>
                </w:p>
              </w:tc>
              <w:tc>
                <w:tcPr>
                  <w:tcW w:w="6733" w:type="dxa"/>
                </w:tcPr>
                <w:p w14:paraId="74640895" w14:textId="77777777" w:rsidR="002D42C1" w:rsidRPr="00DE108C" w:rsidRDefault="002D42C1" w:rsidP="00C05BDA">
                  <w:pPr>
                    <w:pStyle w:val="Tablebullet"/>
                  </w:pPr>
                  <w:r w:rsidRPr="00DE108C">
                    <w:t>Tracking our performance against a new water security measure</w:t>
                  </w:r>
                </w:p>
              </w:tc>
              <w:tc>
                <w:tcPr>
                  <w:tcW w:w="6733" w:type="dxa"/>
                </w:tcPr>
                <w:p w14:paraId="3CAA233B" w14:textId="77777777" w:rsidR="002D42C1" w:rsidRPr="00DE108C" w:rsidRDefault="002D42C1" w:rsidP="00C05BDA">
                  <w:pPr>
                    <w:pStyle w:val="Tablebullet"/>
                  </w:pPr>
                  <w:r w:rsidRPr="00DE108C">
                    <w:t>Price smoothing</w:t>
                  </w:r>
                </w:p>
                <w:p w14:paraId="044F1B3E" w14:textId="22EC5290" w:rsidR="002D42C1" w:rsidRPr="00DE108C" w:rsidRDefault="002D42C1" w:rsidP="00C05BDA">
                  <w:pPr>
                    <w:pStyle w:val="Tablebullet"/>
                  </w:pPr>
                  <w:r w:rsidRPr="00DE108C">
                    <w:t>Fair tariff reforms</w:t>
                  </w:r>
                </w:p>
              </w:tc>
            </w:tr>
          </w:tbl>
          <w:p w14:paraId="263BEE7B" w14:textId="77777777" w:rsidR="002D42C1" w:rsidRPr="00DE108C" w:rsidRDefault="002D42C1" w:rsidP="00ED094E">
            <w:pPr>
              <w:rPr>
                <w:b/>
                <w:bCs/>
                <w:sz w:val="16"/>
                <w:szCs w:val="16"/>
              </w:rPr>
            </w:pPr>
          </w:p>
        </w:tc>
      </w:tr>
      <w:tr w:rsidR="002D42C1" w:rsidRPr="00DE108C" w14:paraId="38D98ECA" w14:textId="77777777" w:rsidTr="00C05BDA">
        <w:tc>
          <w:tcPr>
            <w:tcW w:w="1413" w:type="dxa"/>
            <w:vMerge w:val="restart"/>
            <w:shd w:val="clear" w:color="auto" w:fill="00428B" w:themeFill="text2"/>
          </w:tcPr>
          <w:p w14:paraId="6D7988CD"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t>Prices and bill impacts – how our prices impact you and your customers</w:t>
            </w:r>
          </w:p>
        </w:tc>
        <w:tc>
          <w:tcPr>
            <w:tcW w:w="10064" w:type="dxa"/>
            <w:shd w:val="clear" w:color="auto" w:fill="00428B" w:themeFill="text2"/>
          </w:tcPr>
          <w:p w14:paraId="6A821223" w14:textId="77777777" w:rsidR="002D42C1" w:rsidRPr="00DE108C" w:rsidRDefault="002D42C1" w:rsidP="00ED094E">
            <w:pPr>
              <w:rPr>
                <w:b/>
                <w:bCs/>
                <w:color w:val="FFFFFF" w:themeColor="background1"/>
                <w:sz w:val="16"/>
                <w:szCs w:val="16"/>
              </w:rPr>
            </w:pPr>
            <w:r w:rsidRPr="00DE108C">
              <w:rPr>
                <w:b/>
                <w:bCs/>
                <w:color w:val="FFFFFF" w:themeColor="background1"/>
                <w:sz w:val="16"/>
                <w:szCs w:val="16"/>
              </w:rPr>
              <w:t>Bulk charges impact</w:t>
            </w:r>
          </w:p>
        </w:tc>
        <w:tc>
          <w:tcPr>
            <w:tcW w:w="10884" w:type="dxa"/>
            <w:shd w:val="clear" w:color="auto" w:fill="00428B" w:themeFill="text2"/>
          </w:tcPr>
          <w:p w14:paraId="1AFEB7B0" w14:textId="7F34270D" w:rsidR="002D42C1" w:rsidRPr="00DE108C" w:rsidRDefault="002D42C1" w:rsidP="00ED094E">
            <w:pPr>
              <w:rPr>
                <w:b/>
                <w:bCs/>
                <w:color w:val="FFFFFF" w:themeColor="background1"/>
                <w:sz w:val="16"/>
                <w:szCs w:val="16"/>
              </w:rPr>
            </w:pPr>
            <w:r w:rsidRPr="00DE108C">
              <w:rPr>
                <w:b/>
                <w:bCs/>
                <w:color w:val="FFFFFF" w:themeColor="background1"/>
                <w:sz w:val="16"/>
                <w:szCs w:val="16"/>
              </w:rPr>
              <w:t>End</w:t>
            </w:r>
            <w:r w:rsidR="7371DACB" w:rsidRPr="45AF5DCB">
              <w:rPr>
                <w:b/>
                <w:bCs/>
                <w:color w:val="FFFFFF" w:themeColor="background1"/>
                <w:sz w:val="16"/>
                <w:szCs w:val="16"/>
              </w:rPr>
              <w:t>-</w:t>
            </w:r>
            <w:r w:rsidRPr="00DE108C">
              <w:rPr>
                <w:b/>
                <w:bCs/>
                <w:color w:val="FFFFFF" w:themeColor="background1"/>
                <w:sz w:val="16"/>
                <w:szCs w:val="16"/>
              </w:rPr>
              <w:t>use customer bill impact</w:t>
            </w:r>
          </w:p>
        </w:tc>
      </w:tr>
      <w:tr w:rsidR="005421B4" w:rsidRPr="00DE108C" w14:paraId="654BD2A0" w14:textId="77777777" w:rsidTr="00C05BDA">
        <w:trPr>
          <w:cnfStyle w:val="000000010000" w:firstRow="0" w:lastRow="0" w:firstColumn="0" w:lastColumn="0" w:oddVBand="0" w:evenVBand="0" w:oddHBand="0" w:evenHBand="1" w:firstRowFirstColumn="0" w:firstRowLastColumn="0" w:lastRowFirstColumn="0" w:lastRowLastColumn="0"/>
        </w:trPr>
        <w:tc>
          <w:tcPr>
            <w:tcW w:w="1413" w:type="dxa"/>
            <w:vMerge/>
            <w:shd w:val="clear" w:color="auto" w:fill="00428B" w:themeFill="text2"/>
          </w:tcPr>
          <w:p w14:paraId="0D47A989" w14:textId="77777777" w:rsidR="002D42C1" w:rsidRPr="00DE108C" w:rsidRDefault="002D42C1" w:rsidP="00ED094E">
            <w:pPr>
              <w:rPr>
                <w:b/>
                <w:bCs/>
                <w:color w:val="FFFFFF" w:themeColor="background1"/>
                <w:sz w:val="16"/>
                <w:szCs w:val="16"/>
              </w:rPr>
            </w:pPr>
          </w:p>
        </w:tc>
        <w:tc>
          <w:tcPr>
            <w:tcW w:w="10064" w:type="dxa"/>
          </w:tcPr>
          <w:p w14:paraId="113FB18F" w14:textId="6EDFFC5E" w:rsidR="002D42C1" w:rsidRPr="00DE108C" w:rsidRDefault="002D42C1" w:rsidP="00ED094E">
            <w:pPr>
              <w:rPr>
                <w:sz w:val="16"/>
                <w:szCs w:val="16"/>
              </w:rPr>
            </w:pPr>
            <w:r w:rsidRPr="00DE108C">
              <w:rPr>
                <w:sz w:val="16"/>
                <w:szCs w:val="16"/>
              </w:rPr>
              <w:t xml:space="preserve">Forecast total Melbourne Water bulk charges (excludes desalination orders), in </w:t>
            </w:r>
            <w:r w:rsidR="00054EAF">
              <w:rPr>
                <w:sz w:val="16"/>
                <w:szCs w:val="16"/>
              </w:rPr>
              <w:t xml:space="preserve">$millions, </w:t>
            </w:r>
            <w:r w:rsidR="00054EAF" w:rsidRPr="00CF6652">
              <w:rPr>
                <w:sz w:val="16"/>
                <w:szCs w:val="16"/>
              </w:rPr>
              <w:t>real 20</w:t>
            </w:r>
            <w:r w:rsidR="00054EAF">
              <w:rPr>
                <w:sz w:val="16"/>
                <w:szCs w:val="16"/>
              </w:rPr>
              <w:t>25-</w:t>
            </w:r>
            <w:r w:rsidR="00054EAF" w:rsidRPr="00CF6652">
              <w:rPr>
                <w:sz w:val="16"/>
                <w:szCs w:val="16"/>
              </w:rPr>
              <w:t>26</w:t>
            </w:r>
            <w:r w:rsidRPr="00DE108C">
              <w:rPr>
                <w:sz w:val="16"/>
                <w:szCs w:val="16"/>
              </w:rPr>
              <w:t xml:space="preserve"> (before inflation): </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1335"/>
              <w:gridCol w:w="1335"/>
              <w:gridCol w:w="1335"/>
              <w:gridCol w:w="1335"/>
              <w:gridCol w:w="1335"/>
              <w:gridCol w:w="1335"/>
            </w:tblGrid>
            <w:tr w:rsidR="002D42C1" w:rsidRPr="00DE108C" w14:paraId="48FE0F58" w14:textId="77777777" w:rsidTr="00097A90">
              <w:trPr>
                <w:trHeight w:val="300"/>
              </w:trPr>
              <w:tc>
                <w:tcPr>
                  <w:tcW w:w="1335" w:type="dxa"/>
                  <w:tcBorders>
                    <w:top w:val="single" w:sz="6" w:space="0" w:color="4EC6FF"/>
                    <w:left w:val="nil"/>
                    <w:bottom w:val="single" w:sz="6" w:space="0" w:color="4EC6FF"/>
                    <w:right w:val="nil"/>
                  </w:tcBorders>
                  <w:hideMark/>
                </w:tcPr>
                <w:p w14:paraId="538B64AF" w14:textId="1620DD1C" w:rsidR="002D42C1" w:rsidRPr="00DE108C" w:rsidRDefault="002D42C1" w:rsidP="00ED094E">
                  <w:pPr>
                    <w:spacing w:before="60" w:after="60"/>
                    <w:rPr>
                      <w:sz w:val="16"/>
                      <w:szCs w:val="16"/>
                    </w:rPr>
                  </w:pPr>
                  <w:r w:rsidRPr="00DE108C">
                    <w:rPr>
                      <w:b/>
                      <w:bCs/>
                      <w:sz w:val="16"/>
                      <w:szCs w:val="16"/>
                    </w:rPr>
                    <w:t>Rev</w:t>
                  </w:r>
                  <w:r w:rsidR="008C46DF">
                    <w:rPr>
                      <w:b/>
                      <w:bCs/>
                      <w:sz w:val="16"/>
                      <w:szCs w:val="16"/>
                    </w:rPr>
                    <w:t xml:space="preserve"> </w:t>
                  </w:r>
                </w:p>
              </w:tc>
              <w:tc>
                <w:tcPr>
                  <w:tcW w:w="1335" w:type="dxa"/>
                  <w:tcBorders>
                    <w:top w:val="single" w:sz="6" w:space="0" w:color="4EC6FF"/>
                    <w:left w:val="nil"/>
                    <w:bottom w:val="single" w:sz="6" w:space="0" w:color="4EC6FF"/>
                    <w:right w:val="nil"/>
                  </w:tcBorders>
                  <w:hideMark/>
                </w:tcPr>
                <w:p w14:paraId="25A26E15" w14:textId="25B238B9" w:rsidR="002D42C1" w:rsidRPr="00DE108C" w:rsidRDefault="002D42C1" w:rsidP="00097A90">
                  <w:pPr>
                    <w:spacing w:before="60" w:after="60"/>
                    <w:jc w:val="center"/>
                    <w:rPr>
                      <w:sz w:val="16"/>
                      <w:szCs w:val="16"/>
                    </w:rPr>
                  </w:pPr>
                  <w:r w:rsidRPr="00DE108C">
                    <w:rPr>
                      <w:b/>
                      <w:bCs/>
                      <w:sz w:val="16"/>
                      <w:szCs w:val="16"/>
                    </w:rPr>
                    <w:t>2025-26</w:t>
                  </w:r>
                </w:p>
              </w:tc>
              <w:tc>
                <w:tcPr>
                  <w:tcW w:w="1335" w:type="dxa"/>
                  <w:tcBorders>
                    <w:top w:val="single" w:sz="6" w:space="0" w:color="4EC6FF"/>
                    <w:left w:val="nil"/>
                    <w:bottom w:val="single" w:sz="6" w:space="0" w:color="4EC6FF"/>
                    <w:right w:val="nil"/>
                  </w:tcBorders>
                  <w:hideMark/>
                </w:tcPr>
                <w:p w14:paraId="6365F3AB" w14:textId="711811B8" w:rsidR="002D42C1" w:rsidRPr="00DE108C" w:rsidRDefault="002D42C1" w:rsidP="00097A90">
                  <w:pPr>
                    <w:spacing w:before="60" w:after="60"/>
                    <w:jc w:val="center"/>
                    <w:rPr>
                      <w:sz w:val="16"/>
                      <w:szCs w:val="16"/>
                    </w:rPr>
                  </w:pPr>
                  <w:r w:rsidRPr="00DE108C">
                    <w:rPr>
                      <w:b/>
                      <w:bCs/>
                      <w:sz w:val="16"/>
                      <w:szCs w:val="16"/>
                    </w:rPr>
                    <w:t>2026-27</w:t>
                  </w:r>
                </w:p>
              </w:tc>
              <w:tc>
                <w:tcPr>
                  <w:tcW w:w="1335" w:type="dxa"/>
                  <w:tcBorders>
                    <w:top w:val="single" w:sz="6" w:space="0" w:color="4EC6FF"/>
                    <w:left w:val="nil"/>
                    <w:bottom w:val="single" w:sz="6" w:space="0" w:color="4EC6FF"/>
                    <w:right w:val="nil"/>
                  </w:tcBorders>
                  <w:hideMark/>
                </w:tcPr>
                <w:p w14:paraId="5941D15E" w14:textId="3F131278" w:rsidR="002D42C1" w:rsidRPr="00DE108C" w:rsidRDefault="002D42C1" w:rsidP="00097A90">
                  <w:pPr>
                    <w:spacing w:before="60" w:after="60"/>
                    <w:jc w:val="center"/>
                    <w:rPr>
                      <w:sz w:val="16"/>
                      <w:szCs w:val="16"/>
                    </w:rPr>
                  </w:pPr>
                  <w:r w:rsidRPr="00DE108C">
                    <w:rPr>
                      <w:b/>
                      <w:bCs/>
                      <w:sz w:val="16"/>
                      <w:szCs w:val="16"/>
                    </w:rPr>
                    <w:t>2027-28</w:t>
                  </w:r>
                </w:p>
              </w:tc>
              <w:tc>
                <w:tcPr>
                  <w:tcW w:w="1335" w:type="dxa"/>
                  <w:tcBorders>
                    <w:top w:val="single" w:sz="6" w:space="0" w:color="4EC6FF"/>
                    <w:left w:val="nil"/>
                    <w:bottom w:val="single" w:sz="6" w:space="0" w:color="4EC6FF"/>
                    <w:right w:val="nil"/>
                  </w:tcBorders>
                  <w:hideMark/>
                </w:tcPr>
                <w:p w14:paraId="4D09F2B7" w14:textId="0E54F7FA" w:rsidR="002D42C1" w:rsidRPr="00DE108C" w:rsidRDefault="002D42C1" w:rsidP="00097A90">
                  <w:pPr>
                    <w:spacing w:before="60" w:after="60"/>
                    <w:jc w:val="center"/>
                    <w:rPr>
                      <w:sz w:val="16"/>
                      <w:szCs w:val="16"/>
                    </w:rPr>
                  </w:pPr>
                  <w:r w:rsidRPr="00DE108C">
                    <w:rPr>
                      <w:b/>
                      <w:bCs/>
                      <w:sz w:val="16"/>
                      <w:szCs w:val="16"/>
                    </w:rPr>
                    <w:t>2028-29</w:t>
                  </w:r>
                </w:p>
              </w:tc>
              <w:tc>
                <w:tcPr>
                  <w:tcW w:w="1335" w:type="dxa"/>
                  <w:tcBorders>
                    <w:top w:val="single" w:sz="6" w:space="0" w:color="4EC6FF"/>
                    <w:left w:val="nil"/>
                    <w:bottom w:val="single" w:sz="6" w:space="0" w:color="4EC6FF"/>
                    <w:right w:val="nil"/>
                  </w:tcBorders>
                  <w:hideMark/>
                </w:tcPr>
                <w:p w14:paraId="11B14215" w14:textId="34CEED10" w:rsidR="002D42C1" w:rsidRPr="00DE108C" w:rsidRDefault="002D42C1" w:rsidP="00097A90">
                  <w:pPr>
                    <w:spacing w:before="60" w:after="60"/>
                    <w:jc w:val="center"/>
                    <w:rPr>
                      <w:sz w:val="16"/>
                      <w:szCs w:val="16"/>
                    </w:rPr>
                  </w:pPr>
                  <w:r w:rsidRPr="00DE108C">
                    <w:rPr>
                      <w:b/>
                      <w:bCs/>
                      <w:sz w:val="16"/>
                      <w:szCs w:val="16"/>
                    </w:rPr>
                    <w:t>2029-30</w:t>
                  </w:r>
                </w:p>
              </w:tc>
              <w:tc>
                <w:tcPr>
                  <w:tcW w:w="1335" w:type="dxa"/>
                  <w:tcBorders>
                    <w:top w:val="single" w:sz="6" w:space="0" w:color="4EC6FF"/>
                    <w:left w:val="nil"/>
                    <w:bottom w:val="single" w:sz="6" w:space="0" w:color="4EC6FF"/>
                    <w:right w:val="nil"/>
                  </w:tcBorders>
                  <w:hideMark/>
                </w:tcPr>
                <w:p w14:paraId="5840CCCF" w14:textId="41BA0D7F" w:rsidR="002D42C1" w:rsidRPr="00DE108C" w:rsidRDefault="002D42C1" w:rsidP="00097A90">
                  <w:pPr>
                    <w:spacing w:before="60" w:after="60"/>
                    <w:jc w:val="center"/>
                    <w:rPr>
                      <w:sz w:val="16"/>
                      <w:szCs w:val="16"/>
                    </w:rPr>
                  </w:pPr>
                  <w:r w:rsidRPr="00DE108C">
                    <w:rPr>
                      <w:b/>
                      <w:bCs/>
                      <w:sz w:val="16"/>
                      <w:szCs w:val="16"/>
                    </w:rPr>
                    <w:t>2030-31</w:t>
                  </w:r>
                </w:p>
              </w:tc>
            </w:tr>
            <w:tr w:rsidR="002D42C1" w:rsidRPr="00DE108C" w14:paraId="686758EC" w14:textId="77777777" w:rsidTr="00097A90">
              <w:trPr>
                <w:trHeight w:val="300"/>
              </w:trPr>
              <w:tc>
                <w:tcPr>
                  <w:tcW w:w="1335" w:type="dxa"/>
                  <w:tcBorders>
                    <w:top w:val="single" w:sz="6" w:space="0" w:color="4EC6FF"/>
                    <w:left w:val="nil"/>
                    <w:bottom w:val="single" w:sz="6" w:space="0" w:color="4EC6FF"/>
                    <w:right w:val="nil"/>
                  </w:tcBorders>
                  <w:hideMark/>
                </w:tcPr>
                <w:p w14:paraId="559F7D42" w14:textId="7790EFBC"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62952218" w14:textId="2997F346" w:rsidR="002D42C1" w:rsidRPr="00DE108C" w:rsidRDefault="002D42C1" w:rsidP="00097A90">
                  <w:pPr>
                    <w:spacing w:before="60" w:after="60"/>
                    <w:jc w:val="center"/>
                    <w:rPr>
                      <w:sz w:val="16"/>
                      <w:szCs w:val="16"/>
                    </w:rPr>
                  </w:pPr>
                  <w:r w:rsidRPr="00DE108C">
                    <w:rPr>
                      <w:sz w:val="16"/>
                      <w:szCs w:val="16"/>
                    </w:rPr>
                    <w:t>394</w:t>
                  </w:r>
                </w:p>
              </w:tc>
              <w:tc>
                <w:tcPr>
                  <w:tcW w:w="1335" w:type="dxa"/>
                  <w:tcBorders>
                    <w:top w:val="single" w:sz="6" w:space="0" w:color="4EC6FF"/>
                    <w:left w:val="nil"/>
                    <w:bottom w:val="single" w:sz="6" w:space="0" w:color="4EC6FF"/>
                    <w:right w:val="nil"/>
                  </w:tcBorders>
                  <w:vAlign w:val="center"/>
                  <w:hideMark/>
                </w:tcPr>
                <w:p w14:paraId="0E49D9C0" w14:textId="0A7BCDE9" w:rsidR="002D42C1" w:rsidRPr="00DE108C" w:rsidRDefault="002D42C1" w:rsidP="00097A90">
                  <w:pPr>
                    <w:spacing w:before="60" w:after="60"/>
                    <w:jc w:val="center"/>
                    <w:rPr>
                      <w:sz w:val="16"/>
                      <w:szCs w:val="16"/>
                    </w:rPr>
                  </w:pPr>
                  <w:r w:rsidRPr="00DE108C">
                    <w:rPr>
                      <w:sz w:val="16"/>
                      <w:szCs w:val="16"/>
                    </w:rPr>
                    <w:t>405</w:t>
                  </w:r>
                </w:p>
              </w:tc>
              <w:tc>
                <w:tcPr>
                  <w:tcW w:w="1335" w:type="dxa"/>
                  <w:tcBorders>
                    <w:top w:val="single" w:sz="6" w:space="0" w:color="4EC6FF"/>
                    <w:left w:val="nil"/>
                    <w:bottom w:val="single" w:sz="6" w:space="0" w:color="4EC6FF"/>
                    <w:right w:val="nil"/>
                  </w:tcBorders>
                  <w:vAlign w:val="center"/>
                  <w:hideMark/>
                </w:tcPr>
                <w:p w14:paraId="423344DC" w14:textId="20A9BA15" w:rsidR="002D42C1" w:rsidRPr="00DE108C" w:rsidRDefault="00097A90" w:rsidP="00097A90">
                  <w:pPr>
                    <w:spacing w:before="60" w:after="60"/>
                    <w:jc w:val="center"/>
                    <w:rPr>
                      <w:sz w:val="16"/>
                      <w:szCs w:val="16"/>
                    </w:rPr>
                  </w:pPr>
                  <w:r w:rsidRPr="00C92A0B">
                    <w:rPr>
                      <w:sz w:val="16"/>
                      <w:szCs w:val="16"/>
                    </w:rPr>
                    <w:t>426</w:t>
                  </w:r>
                </w:p>
              </w:tc>
              <w:tc>
                <w:tcPr>
                  <w:tcW w:w="1335" w:type="dxa"/>
                  <w:tcBorders>
                    <w:top w:val="single" w:sz="6" w:space="0" w:color="4EC6FF"/>
                    <w:left w:val="nil"/>
                    <w:bottom w:val="single" w:sz="6" w:space="0" w:color="4EC6FF"/>
                    <w:right w:val="nil"/>
                  </w:tcBorders>
                  <w:vAlign w:val="center"/>
                  <w:hideMark/>
                </w:tcPr>
                <w:p w14:paraId="43E588E8" w14:textId="07F62A6F" w:rsidR="002D42C1" w:rsidRPr="00DE108C" w:rsidRDefault="00097A90" w:rsidP="00097A90">
                  <w:pPr>
                    <w:spacing w:before="60" w:after="60"/>
                    <w:jc w:val="center"/>
                    <w:rPr>
                      <w:sz w:val="16"/>
                      <w:szCs w:val="16"/>
                    </w:rPr>
                  </w:pPr>
                  <w:r w:rsidRPr="0091606C">
                    <w:rPr>
                      <w:sz w:val="16"/>
                      <w:szCs w:val="16"/>
                    </w:rPr>
                    <w:t>444</w:t>
                  </w:r>
                </w:p>
              </w:tc>
              <w:tc>
                <w:tcPr>
                  <w:tcW w:w="1335" w:type="dxa"/>
                  <w:tcBorders>
                    <w:top w:val="single" w:sz="6" w:space="0" w:color="4EC6FF"/>
                    <w:left w:val="nil"/>
                    <w:bottom w:val="single" w:sz="6" w:space="0" w:color="4EC6FF"/>
                    <w:right w:val="nil"/>
                  </w:tcBorders>
                  <w:vAlign w:val="center"/>
                  <w:hideMark/>
                </w:tcPr>
                <w:p w14:paraId="57C21614" w14:textId="251EA99A" w:rsidR="002D42C1" w:rsidRPr="00DE108C" w:rsidRDefault="002D42C1" w:rsidP="00097A90">
                  <w:pPr>
                    <w:spacing w:before="60" w:after="60"/>
                    <w:jc w:val="center"/>
                    <w:rPr>
                      <w:sz w:val="16"/>
                      <w:szCs w:val="16"/>
                    </w:rPr>
                  </w:pPr>
                  <w:r w:rsidRPr="00DE108C">
                    <w:rPr>
                      <w:sz w:val="16"/>
                      <w:szCs w:val="16"/>
                    </w:rPr>
                    <w:t>463</w:t>
                  </w:r>
                </w:p>
              </w:tc>
              <w:tc>
                <w:tcPr>
                  <w:tcW w:w="1335" w:type="dxa"/>
                  <w:tcBorders>
                    <w:top w:val="single" w:sz="6" w:space="0" w:color="4EC6FF"/>
                    <w:left w:val="nil"/>
                    <w:bottom w:val="single" w:sz="6" w:space="0" w:color="4EC6FF"/>
                    <w:right w:val="nil"/>
                  </w:tcBorders>
                  <w:vAlign w:val="center"/>
                  <w:hideMark/>
                </w:tcPr>
                <w:p w14:paraId="4BD5E963" w14:textId="261C15CC" w:rsidR="002D42C1" w:rsidRPr="00DE108C" w:rsidRDefault="00097A90" w:rsidP="00097A90">
                  <w:pPr>
                    <w:spacing w:before="60" w:after="60"/>
                    <w:jc w:val="center"/>
                    <w:rPr>
                      <w:sz w:val="16"/>
                      <w:szCs w:val="16"/>
                    </w:rPr>
                  </w:pPr>
                  <w:r w:rsidRPr="0091606C">
                    <w:rPr>
                      <w:sz w:val="16"/>
                      <w:szCs w:val="16"/>
                    </w:rPr>
                    <w:t>481</w:t>
                  </w:r>
                </w:p>
              </w:tc>
            </w:tr>
            <w:tr w:rsidR="002D42C1" w:rsidRPr="00DE108C" w14:paraId="702848EF" w14:textId="77777777" w:rsidTr="00097A90">
              <w:trPr>
                <w:trHeight w:val="300"/>
              </w:trPr>
              <w:tc>
                <w:tcPr>
                  <w:tcW w:w="1335" w:type="dxa"/>
                  <w:tcBorders>
                    <w:top w:val="single" w:sz="6" w:space="0" w:color="4EC6FF"/>
                    <w:left w:val="nil"/>
                    <w:bottom w:val="single" w:sz="6" w:space="0" w:color="4EC6FF"/>
                    <w:right w:val="nil"/>
                  </w:tcBorders>
                  <w:hideMark/>
                </w:tcPr>
                <w:p w14:paraId="5FCB4D65" w14:textId="449A08C0"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1564F89B" w14:textId="391CB4DD" w:rsidR="002D42C1" w:rsidRPr="00DE108C" w:rsidRDefault="002D42C1" w:rsidP="00097A90">
                  <w:pPr>
                    <w:spacing w:before="60" w:after="60"/>
                    <w:jc w:val="center"/>
                    <w:rPr>
                      <w:sz w:val="16"/>
                      <w:szCs w:val="16"/>
                    </w:rPr>
                  </w:pPr>
                  <w:r w:rsidRPr="00DE108C">
                    <w:rPr>
                      <w:sz w:val="16"/>
                      <w:szCs w:val="16"/>
                    </w:rPr>
                    <w:t>572</w:t>
                  </w:r>
                </w:p>
              </w:tc>
              <w:tc>
                <w:tcPr>
                  <w:tcW w:w="1335" w:type="dxa"/>
                  <w:tcBorders>
                    <w:top w:val="single" w:sz="6" w:space="0" w:color="4EC6FF"/>
                    <w:left w:val="nil"/>
                    <w:bottom w:val="single" w:sz="6" w:space="0" w:color="4EC6FF"/>
                    <w:right w:val="nil"/>
                  </w:tcBorders>
                  <w:vAlign w:val="center"/>
                  <w:hideMark/>
                </w:tcPr>
                <w:p w14:paraId="5DA20EC6" w14:textId="1F9DC4D8" w:rsidR="002D42C1" w:rsidRPr="00DE108C" w:rsidRDefault="002D42C1" w:rsidP="00097A90">
                  <w:pPr>
                    <w:spacing w:before="60" w:after="60"/>
                    <w:jc w:val="center"/>
                    <w:rPr>
                      <w:sz w:val="16"/>
                      <w:szCs w:val="16"/>
                    </w:rPr>
                  </w:pPr>
                  <w:r w:rsidRPr="00DE108C">
                    <w:rPr>
                      <w:sz w:val="16"/>
                      <w:szCs w:val="16"/>
                    </w:rPr>
                    <w:t>581</w:t>
                  </w:r>
                </w:p>
              </w:tc>
              <w:tc>
                <w:tcPr>
                  <w:tcW w:w="1335" w:type="dxa"/>
                  <w:tcBorders>
                    <w:top w:val="single" w:sz="6" w:space="0" w:color="4EC6FF"/>
                    <w:left w:val="nil"/>
                    <w:bottom w:val="single" w:sz="6" w:space="0" w:color="4EC6FF"/>
                    <w:right w:val="nil"/>
                  </w:tcBorders>
                  <w:vAlign w:val="center"/>
                  <w:hideMark/>
                </w:tcPr>
                <w:p w14:paraId="2D1DB22C" w14:textId="38A84D09" w:rsidR="002D42C1" w:rsidRPr="00DE108C" w:rsidRDefault="00097A90" w:rsidP="00097A90">
                  <w:pPr>
                    <w:spacing w:before="60" w:after="60"/>
                    <w:jc w:val="center"/>
                    <w:rPr>
                      <w:sz w:val="16"/>
                      <w:szCs w:val="16"/>
                    </w:rPr>
                  </w:pPr>
                  <w:r w:rsidRPr="00C92A0B">
                    <w:rPr>
                      <w:sz w:val="16"/>
                      <w:szCs w:val="16"/>
                    </w:rPr>
                    <w:t>605</w:t>
                  </w:r>
                </w:p>
              </w:tc>
              <w:tc>
                <w:tcPr>
                  <w:tcW w:w="1335" w:type="dxa"/>
                  <w:tcBorders>
                    <w:top w:val="single" w:sz="6" w:space="0" w:color="4EC6FF"/>
                    <w:left w:val="nil"/>
                    <w:bottom w:val="single" w:sz="6" w:space="0" w:color="4EC6FF"/>
                    <w:right w:val="nil"/>
                  </w:tcBorders>
                  <w:vAlign w:val="center"/>
                  <w:hideMark/>
                </w:tcPr>
                <w:p w14:paraId="67491F91" w14:textId="3BDA2A90" w:rsidR="002D42C1" w:rsidRPr="00DE108C" w:rsidRDefault="00097A90" w:rsidP="00097A90">
                  <w:pPr>
                    <w:spacing w:before="60" w:after="60"/>
                    <w:jc w:val="center"/>
                    <w:rPr>
                      <w:sz w:val="16"/>
                      <w:szCs w:val="16"/>
                    </w:rPr>
                  </w:pPr>
                  <w:r w:rsidRPr="0091606C">
                    <w:rPr>
                      <w:sz w:val="16"/>
                      <w:szCs w:val="16"/>
                    </w:rPr>
                    <w:t>615</w:t>
                  </w:r>
                </w:p>
              </w:tc>
              <w:tc>
                <w:tcPr>
                  <w:tcW w:w="1335" w:type="dxa"/>
                  <w:tcBorders>
                    <w:top w:val="single" w:sz="6" w:space="0" w:color="4EC6FF"/>
                    <w:left w:val="nil"/>
                    <w:bottom w:val="single" w:sz="6" w:space="0" w:color="4EC6FF"/>
                    <w:right w:val="nil"/>
                  </w:tcBorders>
                  <w:vAlign w:val="center"/>
                  <w:hideMark/>
                </w:tcPr>
                <w:p w14:paraId="7B4CF8DB" w14:textId="759AB7D7" w:rsidR="002D42C1" w:rsidRPr="00DE108C" w:rsidRDefault="002D42C1" w:rsidP="00097A90">
                  <w:pPr>
                    <w:spacing w:before="60" w:after="60"/>
                    <w:jc w:val="center"/>
                    <w:rPr>
                      <w:sz w:val="16"/>
                      <w:szCs w:val="16"/>
                    </w:rPr>
                  </w:pPr>
                  <w:r w:rsidRPr="00DE108C">
                    <w:rPr>
                      <w:sz w:val="16"/>
                      <w:szCs w:val="16"/>
                    </w:rPr>
                    <w:t>626</w:t>
                  </w:r>
                </w:p>
              </w:tc>
              <w:tc>
                <w:tcPr>
                  <w:tcW w:w="1335" w:type="dxa"/>
                  <w:tcBorders>
                    <w:top w:val="single" w:sz="6" w:space="0" w:color="4EC6FF"/>
                    <w:left w:val="nil"/>
                    <w:bottom w:val="single" w:sz="6" w:space="0" w:color="4EC6FF"/>
                    <w:right w:val="nil"/>
                  </w:tcBorders>
                  <w:vAlign w:val="center"/>
                  <w:hideMark/>
                </w:tcPr>
                <w:p w14:paraId="52F3DB13" w14:textId="48E67565" w:rsidR="002D42C1" w:rsidRPr="00DE108C" w:rsidRDefault="00097A90" w:rsidP="00097A90">
                  <w:pPr>
                    <w:spacing w:before="60" w:after="60"/>
                    <w:jc w:val="center"/>
                    <w:rPr>
                      <w:sz w:val="16"/>
                      <w:szCs w:val="16"/>
                    </w:rPr>
                  </w:pPr>
                  <w:r w:rsidRPr="00C92A0B">
                    <w:rPr>
                      <w:sz w:val="16"/>
                      <w:szCs w:val="16"/>
                    </w:rPr>
                    <w:t>637</w:t>
                  </w:r>
                </w:p>
              </w:tc>
            </w:tr>
            <w:tr w:rsidR="002D42C1" w:rsidRPr="00DE108C" w14:paraId="64E219D1" w14:textId="77777777" w:rsidTr="00097A90">
              <w:trPr>
                <w:trHeight w:val="300"/>
              </w:trPr>
              <w:tc>
                <w:tcPr>
                  <w:tcW w:w="1335" w:type="dxa"/>
                  <w:tcBorders>
                    <w:top w:val="single" w:sz="6" w:space="0" w:color="4EC6FF"/>
                    <w:left w:val="nil"/>
                    <w:bottom w:val="single" w:sz="6" w:space="0" w:color="4EC6FF"/>
                    <w:right w:val="nil"/>
                  </w:tcBorders>
                  <w:hideMark/>
                </w:tcPr>
                <w:p w14:paraId="5482DB47"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3B2326B5" w14:textId="48AA74B5" w:rsidR="002D42C1" w:rsidRPr="00DE108C" w:rsidRDefault="002D42C1" w:rsidP="00097A90">
                  <w:pPr>
                    <w:spacing w:before="60" w:after="60"/>
                    <w:jc w:val="center"/>
                    <w:rPr>
                      <w:sz w:val="16"/>
                      <w:szCs w:val="16"/>
                    </w:rPr>
                  </w:pPr>
                  <w:r w:rsidRPr="00DE108C">
                    <w:rPr>
                      <w:sz w:val="16"/>
                      <w:szCs w:val="16"/>
                    </w:rPr>
                    <w:t>570</w:t>
                  </w:r>
                </w:p>
              </w:tc>
              <w:tc>
                <w:tcPr>
                  <w:tcW w:w="1335" w:type="dxa"/>
                  <w:tcBorders>
                    <w:top w:val="single" w:sz="6" w:space="0" w:color="4EC6FF"/>
                    <w:left w:val="nil"/>
                    <w:bottom w:val="single" w:sz="6" w:space="0" w:color="4EC6FF"/>
                    <w:right w:val="nil"/>
                  </w:tcBorders>
                  <w:vAlign w:val="center"/>
                  <w:hideMark/>
                </w:tcPr>
                <w:p w14:paraId="4E90C784" w14:textId="5851CAD0" w:rsidR="002D42C1" w:rsidRPr="00DE108C" w:rsidRDefault="002D42C1" w:rsidP="00097A90">
                  <w:pPr>
                    <w:spacing w:before="60" w:after="60"/>
                    <w:jc w:val="center"/>
                    <w:rPr>
                      <w:sz w:val="16"/>
                      <w:szCs w:val="16"/>
                    </w:rPr>
                  </w:pPr>
                  <w:r w:rsidRPr="00DE108C">
                    <w:rPr>
                      <w:sz w:val="16"/>
                      <w:szCs w:val="16"/>
                    </w:rPr>
                    <w:t>579</w:t>
                  </w:r>
                </w:p>
              </w:tc>
              <w:tc>
                <w:tcPr>
                  <w:tcW w:w="1335" w:type="dxa"/>
                  <w:tcBorders>
                    <w:top w:val="single" w:sz="6" w:space="0" w:color="4EC6FF"/>
                    <w:left w:val="nil"/>
                    <w:bottom w:val="single" w:sz="6" w:space="0" w:color="4EC6FF"/>
                    <w:right w:val="nil"/>
                  </w:tcBorders>
                  <w:vAlign w:val="center"/>
                  <w:hideMark/>
                </w:tcPr>
                <w:p w14:paraId="23430406" w14:textId="757EF193" w:rsidR="002D42C1" w:rsidRPr="00DE108C" w:rsidRDefault="002D42C1" w:rsidP="00097A90">
                  <w:pPr>
                    <w:spacing w:before="60" w:after="60"/>
                    <w:jc w:val="center"/>
                    <w:rPr>
                      <w:sz w:val="16"/>
                      <w:szCs w:val="16"/>
                    </w:rPr>
                  </w:pPr>
                  <w:r w:rsidRPr="00DE108C">
                    <w:rPr>
                      <w:sz w:val="16"/>
                      <w:szCs w:val="16"/>
                    </w:rPr>
                    <w:t>605</w:t>
                  </w:r>
                </w:p>
              </w:tc>
              <w:tc>
                <w:tcPr>
                  <w:tcW w:w="1335" w:type="dxa"/>
                  <w:tcBorders>
                    <w:top w:val="single" w:sz="6" w:space="0" w:color="4EC6FF"/>
                    <w:left w:val="nil"/>
                    <w:bottom w:val="single" w:sz="6" w:space="0" w:color="4EC6FF"/>
                    <w:right w:val="nil"/>
                  </w:tcBorders>
                  <w:vAlign w:val="center"/>
                  <w:hideMark/>
                </w:tcPr>
                <w:p w14:paraId="5CFE1153" w14:textId="714EF253" w:rsidR="002D42C1" w:rsidRPr="00DE108C" w:rsidRDefault="002D42C1" w:rsidP="00097A90">
                  <w:pPr>
                    <w:spacing w:before="60" w:after="60"/>
                    <w:jc w:val="center"/>
                    <w:rPr>
                      <w:sz w:val="16"/>
                      <w:szCs w:val="16"/>
                    </w:rPr>
                  </w:pPr>
                  <w:r w:rsidRPr="00DE108C">
                    <w:rPr>
                      <w:sz w:val="16"/>
                      <w:szCs w:val="16"/>
                    </w:rPr>
                    <w:t>608</w:t>
                  </w:r>
                </w:p>
              </w:tc>
              <w:tc>
                <w:tcPr>
                  <w:tcW w:w="1335" w:type="dxa"/>
                  <w:tcBorders>
                    <w:top w:val="single" w:sz="6" w:space="0" w:color="4EC6FF"/>
                    <w:left w:val="nil"/>
                    <w:bottom w:val="single" w:sz="6" w:space="0" w:color="4EC6FF"/>
                    <w:right w:val="nil"/>
                  </w:tcBorders>
                  <w:vAlign w:val="center"/>
                  <w:hideMark/>
                </w:tcPr>
                <w:p w14:paraId="19EB915E" w14:textId="08A3BB1E" w:rsidR="002D42C1" w:rsidRPr="00DE108C" w:rsidRDefault="00097A90" w:rsidP="00097A90">
                  <w:pPr>
                    <w:spacing w:before="60" w:after="60"/>
                    <w:jc w:val="center"/>
                    <w:rPr>
                      <w:sz w:val="16"/>
                      <w:szCs w:val="16"/>
                    </w:rPr>
                  </w:pPr>
                  <w:r w:rsidRPr="0091606C">
                    <w:rPr>
                      <w:sz w:val="16"/>
                      <w:szCs w:val="16"/>
                    </w:rPr>
                    <w:t>610</w:t>
                  </w:r>
                </w:p>
              </w:tc>
              <w:tc>
                <w:tcPr>
                  <w:tcW w:w="1335" w:type="dxa"/>
                  <w:tcBorders>
                    <w:top w:val="single" w:sz="6" w:space="0" w:color="4EC6FF"/>
                    <w:left w:val="nil"/>
                    <w:bottom w:val="single" w:sz="6" w:space="0" w:color="4EC6FF"/>
                    <w:right w:val="nil"/>
                  </w:tcBorders>
                  <w:vAlign w:val="center"/>
                  <w:hideMark/>
                </w:tcPr>
                <w:p w14:paraId="7D34926B" w14:textId="29F64D7C" w:rsidR="002D42C1" w:rsidRPr="00DE108C" w:rsidRDefault="00097A90" w:rsidP="00097A90">
                  <w:pPr>
                    <w:spacing w:before="60" w:after="60"/>
                    <w:jc w:val="center"/>
                    <w:rPr>
                      <w:sz w:val="16"/>
                      <w:szCs w:val="16"/>
                    </w:rPr>
                  </w:pPr>
                  <w:r w:rsidRPr="00C92A0B">
                    <w:rPr>
                      <w:sz w:val="16"/>
                      <w:szCs w:val="16"/>
                    </w:rPr>
                    <w:t>612</w:t>
                  </w:r>
                </w:p>
              </w:tc>
            </w:tr>
            <w:tr w:rsidR="002D42C1" w:rsidRPr="00DE108C" w14:paraId="58EAABFE" w14:textId="77777777" w:rsidTr="00097A90">
              <w:trPr>
                <w:trHeight w:val="300"/>
              </w:trPr>
              <w:tc>
                <w:tcPr>
                  <w:tcW w:w="1335" w:type="dxa"/>
                  <w:tcBorders>
                    <w:top w:val="single" w:sz="6" w:space="0" w:color="4EC6FF"/>
                    <w:left w:val="nil"/>
                    <w:bottom w:val="single" w:sz="6" w:space="0" w:color="4EC6FF"/>
                    <w:right w:val="nil"/>
                  </w:tcBorders>
                  <w:hideMark/>
                </w:tcPr>
                <w:p w14:paraId="51054602" w14:textId="358EC831"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525BA7D2" w14:textId="578336AD" w:rsidR="002D42C1" w:rsidRPr="00DE108C" w:rsidRDefault="002D42C1" w:rsidP="00097A90">
                  <w:pPr>
                    <w:spacing w:before="60" w:after="60"/>
                    <w:jc w:val="center"/>
                    <w:rPr>
                      <w:sz w:val="16"/>
                      <w:szCs w:val="16"/>
                    </w:rPr>
                  </w:pPr>
                  <w:r w:rsidRPr="00DE108C">
                    <w:rPr>
                      <w:sz w:val="16"/>
                      <w:szCs w:val="16"/>
                    </w:rPr>
                    <w:t>12.0</w:t>
                  </w:r>
                </w:p>
              </w:tc>
              <w:tc>
                <w:tcPr>
                  <w:tcW w:w="1335" w:type="dxa"/>
                  <w:tcBorders>
                    <w:top w:val="single" w:sz="6" w:space="0" w:color="4EC6FF"/>
                    <w:left w:val="nil"/>
                    <w:bottom w:val="single" w:sz="6" w:space="0" w:color="4EC6FF"/>
                    <w:right w:val="nil"/>
                  </w:tcBorders>
                  <w:vAlign w:val="center"/>
                  <w:hideMark/>
                </w:tcPr>
                <w:p w14:paraId="21420F1D" w14:textId="1B2AE717" w:rsidR="002D42C1" w:rsidRPr="00DE108C" w:rsidRDefault="002D42C1" w:rsidP="00097A90">
                  <w:pPr>
                    <w:spacing w:before="60" w:after="60"/>
                    <w:jc w:val="center"/>
                    <w:rPr>
                      <w:sz w:val="16"/>
                      <w:szCs w:val="16"/>
                    </w:rPr>
                  </w:pPr>
                  <w:r w:rsidRPr="00DE108C">
                    <w:rPr>
                      <w:sz w:val="16"/>
                      <w:szCs w:val="16"/>
                    </w:rPr>
                    <w:t>10.7</w:t>
                  </w:r>
                </w:p>
              </w:tc>
              <w:tc>
                <w:tcPr>
                  <w:tcW w:w="1335" w:type="dxa"/>
                  <w:tcBorders>
                    <w:top w:val="single" w:sz="6" w:space="0" w:color="4EC6FF"/>
                    <w:left w:val="nil"/>
                    <w:bottom w:val="single" w:sz="6" w:space="0" w:color="4EC6FF"/>
                    <w:right w:val="nil"/>
                  </w:tcBorders>
                  <w:vAlign w:val="center"/>
                  <w:hideMark/>
                </w:tcPr>
                <w:p w14:paraId="7E4A8D9E" w14:textId="336BA2E4"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0D27EE8C" w14:textId="29C119DD"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4FF725FC" w14:textId="4AF729B2"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57790611" w14:textId="43497ECF" w:rsidR="002D42C1" w:rsidRPr="00DE108C" w:rsidRDefault="002D42C1" w:rsidP="00097A90">
                  <w:pPr>
                    <w:spacing w:before="60" w:after="60"/>
                    <w:jc w:val="center"/>
                    <w:rPr>
                      <w:sz w:val="16"/>
                      <w:szCs w:val="16"/>
                    </w:rPr>
                  </w:pPr>
                  <w:r w:rsidRPr="00DE108C">
                    <w:rPr>
                      <w:sz w:val="16"/>
                      <w:szCs w:val="16"/>
                    </w:rPr>
                    <w:t>7.5</w:t>
                  </w:r>
                </w:p>
              </w:tc>
            </w:tr>
            <w:tr w:rsidR="002D42C1" w:rsidRPr="00DE108C" w14:paraId="2BF87A3F" w14:textId="77777777" w:rsidTr="00097A90">
              <w:trPr>
                <w:trHeight w:val="300"/>
              </w:trPr>
              <w:tc>
                <w:tcPr>
                  <w:tcW w:w="1335" w:type="dxa"/>
                  <w:tcBorders>
                    <w:top w:val="single" w:sz="6" w:space="0" w:color="4EC6FF"/>
                    <w:left w:val="nil"/>
                    <w:bottom w:val="single" w:sz="6" w:space="0" w:color="4EC6FF"/>
                    <w:right w:val="nil"/>
                  </w:tcBorders>
                  <w:shd w:val="clear" w:color="auto" w:fill="46C2D7" w:themeFill="accent3"/>
                  <w:hideMark/>
                </w:tcPr>
                <w:p w14:paraId="3DD505BE" w14:textId="1B488B02"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304A1507" w14:textId="182267AB"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25158091" w14:textId="59A0CE90" w:rsidR="002D42C1" w:rsidRPr="00DE108C" w:rsidRDefault="002D42C1" w:rsidP="00097A90">
                  <w:pPr>
                    <w:spacing w:before="60" w:after="60"/>
                    <w:jc w:val="center"/>
                    <w:rPr>
                      <w:sz w:val="16"/>
                      <w:szCs w:val="16"/>
                    </w:rPr>
                  </w:pPr>
                  <w:r w:rsidRPr="00DE108C">
                    <w:rPr>
                      <w:sz w:val="16"/>
                      <w:szCs w:val="16"/>
                    </w:rPr>
                    <w:t>1.2</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44F1F80B" w14:textId="606DADBB" w:rsidR="002D42C1" w:rsidRPr="00DE108C" w:rsidRDefault="002D42C1" w:rsidP="00097A90">
                  <w:pPr>
                    <w:spacing w:before="60" w:after="60"/>
                    <w:jc w:val="center"/>
                    <w:rPr>
                      <w:sz w:val="16"/>
                      <w:szCs w:val="16"/>
                    </w:rPr>
                  </w:pPr>
                  <w:r w:rsidRPr="00DE108C">
                    <w:rPr>
                      <w:sz w:val="16"/>
                      <w:szCs w:val="16"/>
                    </w:rPr>
                    <w:t>1.4</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11C58EC6" w14:textId="4C1B93CA" w:rsidR="002D42C1" w:rsidRPr="00DE108C" w:rsidRDefault="002D42C1" w:rsidP="00097A90">
                  <w:pPr>
                    <w:spacing w:before="60" w:after="60"/>
                    <w:jc w:val="center"/>
                    <w:rPr>
                      <w:sz w:val="16"/>
                      <w:szCs w:val="16"/>
                    </w:rPr>
                  </w:pPr>
                  <w:r w:rsidRPr="00DE108C">
                    <w:rPr>
                      <w:sz w:val="16"/>
                      <w:szCs w:val="16"/>
                    </w:rPr>
                    <w:t>1.6</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6302EE10" w14:textId="2D4FEA4F" w:rsidR="002D42C1" w:rsidRPr="00DE108C" w:rsidRDefault="002D42C1" w:rsidP="00097A90">
                  <w:pPr>
                    <w:spacing w:before="60" w:after="60"/>
                    <w:jc w:val="center"/>
                    <w:rPr>
                      <w:sz w:val="16"/>
                      <w:szCs w:val="16"/>
                    </w:rPr>
                  </w:pPr>
                  <w:r w:rsidRPr="00DE108C">
                    <w:rPr>
                      <w:sz w:val="16"/>
                      <w:szCs w:val="16"/>
                    </w:rPr>
                    <w:t>1.9</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0273B522" w14:textId="42FA1500" w:rsidR="002D42C1" w:rsidRPr="00DE108C" w:rsidRDefault="002D42C1" w:rsidP="00097A90">
                  <w:pPr>
                    <w:spacing w:before="60" w:after="60"/>
                    <w:jc w:val="center"/>
                    <w:rPr>
                      <w:sz w:val="16"/>
                      <w:szCs w:val="16"/>
                    </w:rPr>
                  </w:pPr>
                  <w:r w:rsidRPr="00DE108C">
                    <w:rPr>
                      <w:sz w:val="16"/>
                      <w:szCs w:val="16"/>
                    </w:rPr>
                    <w:t>2.2</w:t>
                  </w:r>
                </w:p>
              </w:tc>
            </w:tr>
            <w:tr w:rsidR="002D42C1" w:rsidRPr="00DE108C" w14:paraId="6DC6074F" w14:textId="77777777" w:rsidTr="00097A90">
              <w:trPr>
                <w:trHeight w:val="300"/>
              </w:trPr>
              <w:tc>
                <w:tcPr>
                  <w:tcW w:w="1335" w:type="dxa"/>
                  <w:tcBorders>
                    <w:top w:val="single" w:sz="6" w:space="0" w:color="4EC6FF"/>
                    <w:left w:val="nil"/>
                    <w:bottom w:val="single" w:sz="6" w:space="0" w:color="4EC6FF"/>
                    <w:right w:val="nil"/>
                  </w:tcBorders>
                  <w:hideMark/>
                </w:tcPr>
                <w:p w14:paraId="767692C2"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3DE92572" w14:textId="3925E492"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344E61C1" w14:textId="142B4C04"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3E08ECB3" w14:textId="68AFCC68"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776D62B8" w14:textId="618CAB45"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3A7128ED" w14:textId="6D58A753"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left w:val="nil"/>
                    <w:bottom w:val="single" w:sz="6" w:space="0" w:color="4EC6FF"/>
                    <w:right w:val="nil"/>
                  </w:tcBorders>
                  <w:vAlign w:val="center"/>
                  <w:hideMark/>
                </w:tcPr>
                <w:p w14:paraId="223BDE25" w14:textId="213A3FAB" w:rsidR="002D42C1" w:rsidRPr="00DE108C" w:rsidRDefault="002D42C1" w:rsidP="00097A90">
                  <w:pPr>
                    <w:spacing w:before="60" w:after="60"/>
                    <w:jc w:val="center"/>
                    <w:rPr>
                      <w:sz w:val="16"/>
                      <w:szCs w:val="16"/>
                    </w:rPr>
                  </w:pPr>
                  <w:r w:rsidRPr="00DE108C">
                    <w:rPr>
                      <w:sz w:val="16"/>
                      <w:szCs w:val="16"/>
                    </w:rPr>
                    <w:t>0.8</w:t>
                  </w:r>
                </w:p>
              </w:tc>
            </w:tr>
            <w:tr w:rsidR="002D42C1" w:rsidRPr="00DE108C" w14:paraId="24FDC994" w14:textId="77777777" w:rsidTr="00097A90">
              <w:trPr>
                <w:trHeight w:val="300"/>
              </w:trPr>
              <w:tc>
                <w:tcPr>
                  <w:tcW w:w="1335" w:type="dxa"/>
                  <w:tcBorders>
                    <w:top w:val="single" w:sz="6" w:space="0" w:color="4EC6FF"/>
                    <w:left w:val="nil"/>
                    <w:bottom w:val="single" w:sz="6" w:space="0" w:color="4EC6FF"/>
                    <w:right w:val="nil"/>
                  </w:tcBorders>
                  <w:hideMark/>
                </w:tcPr>
                <w:p w14:paraId="611341AE" w14:textId="77777777"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3ACBA447" w14:textId="44D92CA1" w:rsidR="002D42C1" w:rsidRPr="00DE108C" w:rsidRDefault="002D42C1" w:rsidP="00097A90">
                  <w:pPr>
                    <w:spacing w:before="60" w:after="60"/>
                    <w:jc w:val="center"/>
                    <w:rPr>
                      <w:sz w:val="16"/>
                      <w:szCs w:val="16"/>
                    </w:rPr>
                  </w:pPr>
                  <w:r w:rsidRPr="00DE108C">
                    <w:rPr>
                      <w:sz w:val="16"/>
                      <w:szCs w:val="16"/>
                    </w:rPr>
                    <w:t>1.5</w:t>
                  </w:r>
                </w:p>
              </w:tc>
              <w:tc>
                <w:tcPr>
                  <w:tcW w:w="1335" w:type="dxa"/>
                  <w:tcBorders>
                    <w:top w:val="single" w:sz="6" w:space="0" w:color="4EC6FF"/>
                    <w:left w:val="nil"/>
                    <w:bottom w:val="single" w:sz="6" w:space="0" w:color="4EC6FF"/>
                    <w:right w:val="nil"/>
                  </w:tcBorders>
                  <w:vAlign w:val="center"/>
                  <w:hideMark/>
                </w:tcPr>
                <w:p w14:paraId="3169F922" w14:textId="2A53A0D5"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49874FD0" w14:textId="734C2178"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670DBCD2" w14:textId="6630DA1E"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1511B176" w14:textId="78969206"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left w:val="nil"/>
                    <w:bottom w:val="single" w:sz="6" w:space="0" w:color="4EC6FF"/>
                    <w:right w:val="nil"/>
                  </w:tcBorders>
                  <w:vAlign w:val="center"/>
                  <w:hideMark/>
                </w:tcPr>
                <w:p w14:paraId="62D1C84B" w14:textId="4606A912" w:rsidR="002D42C1" w:rsidRPr="00DE108C" w:rsidRDefault="002D42C1" w:rsidP="00097A90">
                  <w:pPr>
                    <w:spacing w:before="60" w:after="60"/>
                    <w:jc w:val="center"/>
                    <w:rPr>
                      <w:sz w:val="16"/>
                      <w:szCs w:val="16"/>
                    </w:rPr>
                  </w:pPr>
                  <w:r w:rsidRPr="00DE108C">
                    <w:rPr>
                      <w:sz w:val="16"/>
                      <w:szCs w:val="16"/>
                    </w:rPr>
                    <w:t>0.8</w:t>
                  </w:r>
                </w:p>
              </w:tc>
            </w:tr>
          </w:tbl>
          <w:p w14:paraId="372AEE8F" w14:textId="77777777" w:rsidR="002D42C1" w:rsidRPr="00DE108C" w:rsidRDefault="002D42C1" w:rsidP="00ED094E">
            <w:pPr>
              <w:rPr>
                <w:sz w:val="16"/>
                <w:szCs w:val="16"/>
              </w:rPr>
            </w:pPr>
            <w:r w:rsidRPr="00DE108C">
              <w:rPr>
                <w:sz w:val="16"/>
                <w:szCs w:val="16"/>
              </w:rPr>
              <w:t> </w:t>
            </w:r>
          </w:p>
          <w:p w14:paraId="050EBBD8" w14:textId="77777777" w:rsidR="002D42C1" w:rsidRPr="00DE108C" w:rsidRDefault="002D42C1" w:rsidP="00ED094E">
            <w:pPr>
              <w:rPr>
                <w:sz w:val="16"/>
                <w:szCs w:val="16"/>
              </w:rPr>
            </w:pPr>
          </w:p>
        </w:tc>
        <w:tc>
          <w:tcPr>
            <w:tcW w:w="10884" w:type="dxa"/>
          </w:tcPr>
          <w:p w14:paraId="2149036B" w14:textId="77777777" w:rsidR="002D42C1" w:rsidRPr="00DE108C" w:rsidRDefault="002D42C1" w:rsidP="00ED094E">
            <w:pPr>
              <w:rPr>
                <w:sz w:val="16"/>
                <w:szCs w:val="16"/>
              </w:rPr>
            </w:pPr>
            <w:r w:rsidRPr="00DE108C">
              <w:rPr>
                <w:sz w:val="16"/>
                <w:szCs w:val="16"/>
              </w:rPr>
              <w:t>Typical year-on-year household bill impacts relative to inflation, as a result of Melbourne Water’s proposal are summarised below: </w:t>
            </w:r>
          </w:p>
          <w:tbl>
            <w:tblPr>
              <w:tblW w:w="9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1365"/>
              <w:gridCol w:w="1365"/>
              <w:gridCol w:w="1365"/>
              <w:gridCol w:w="1365"/>
              <w:gridCol w:w="1365"/>
              <w:gridCol w:w="1365"/>
            </w:tblGrid>
            <w:tr w:rsidR="002D42C1" w:rsidRPr="00DE108C" w14:paraId="3BDC2C06" w14:textId="77777777" w:rsidTr="00ED094E">
              <w:trPr>
                <w:trHeight w:val="300"/>
              </w:trPr>
              <w:tc>
                <w:tcPr>
                  <w:tcW w:w="1365" w:type="dxa"/>
                  <w:tcBorders>
                    <w:top w:val="single" w:sz="6" w:space="0" w:color="4EC6FF"/>
                    <w:left w:val="nil"/>
                    <w:bottom w:val="single" w:sz="6" w:space="0" w:color="4EC6FF"/>
                    <w:right w:val="nil"/>
                  </w:tcBorders>
                  <w:hideMark/>
                </w:tcPr>
                <w:p w14:paraId="0914F152" w14:textId="77777777" w:rsidR="002D42C1" w:rsidRPr="00DE108C" w:rsidRDefault="002D42C1" w:rsidP="00ED094E">
                  <w:pPr>
                    <w:spacing w:before="60" w:after="60"/>
                    <w:rPr>
                      <w:sz w:val="16"/>
                      <w:szCs w:val="16"/>
                    </w:rPr>
                  </w:pPr>
                  <w:r w:rsidRPr="00DE108C">
                    <w:rPr>
                      <w:b/>
                      <w:bCs/>
                      <w:sz w:val="16"/>
                      <w:szCs w:val="16"/>
                    </w:rPr>
                    <w:t>Bills</w:t>
                  </w:r>
                  <w:r w:rsidRPr="00DE108C">
                    <w:rPr>
                      <w:sz w:val="16"/>
                      <w:szCs w:val="16"/>
                    </w:rPr>
                    <w:t> </w:t>
                  </w:r>
                </w:p>
              </w:tc>
              <w:tc>
                <w:tcPr>
                  <w:tcW w:w="1365" w:type="dxa"/>
                  <w:tcBorders>
                    <w:top w:val="single" w:sz="6" w:space="0" w:color="4EC6FF"/>
                    <w:left w:val="nil"/>
                    <w:bottom w:val="single" w:sz="6" w:space="0" w:color="4EC6FF"/>
                    <w:right w:val="nil"/>
                  </w:tcBorders>
                  <w:hideMark/>
                </w:tcPr>
                <w:p w14:paraId="037A9B47" w14:textId="7511475F" w:rsidR="002D42C1" w:rsidRPr="00DE108C" w:rsidRDefault="002D42C1" w:rsidP="008A11C9">
                  <w:pPr>
                    <w:spacing w:before="60" w:after="60"/>
                    <w:jc w:val="center"/>
                    <w:rPr>
                      <w:sz w:val="16"/>
                      <w:szCs w:val="16"/>
                    </w:rPr>
                  </w:pPr>
                  <w:r w:rsidRPr="00DE108C">
                    <w:rPr>
                      <w:b/>
                      <w:bCs/>
                      <w:sz w:val="16"/>
                      <w:szCs w:val="16"/>
                    </w:rPr>
                    <w:t>2025-26</w:t>
                  </w:r>
                </w:p>
              </w:tc>
              <w:tc>
                <w:tcPr>
                  <w:tcW w:w="1365" w:type="dxa"/>
                  <w:tcBorders>
                    <w:top w:val="single" w:sz="6" w:space="0" w:color="4EC6FF"/>
                    <w:left w:val="nil"/>
                    <w:bottom w:val="single" w:sz="6" w:space="0" w:color="4EC6FF"/>
                    <w:right w:val="nil"/>
                  </w:tcBorders>
                  <w:hideMark/>
                </w:tcPr>
                <w:p w14:paraId="11A3A705" w14:textId="2016D583" w:rsidR="002D42C1" w:rsidRPr="00DE108C" w:rsidRDefault="002D42C1" w:rsidP="008A11C9">
                  <w:pPr>
                    <w:spacing w:before="60" w:after="60"/>
                    <w:jc w:val="center"/>
                    <w:rPr>
                      <w:sz w:val="16"/>
                      <w:szCs w:val="16"/>
                    </w:rPr>
                  </w:pPr>
                  <w:r w:rsidRPr="00DE108C">
                    <w:rPr>
                      <w:b/>
                      <w:bCs/>
                      <w:sz w:val="16"/>
                      <w:szCs w:val="16"/>
                    </w:rPr>
                    <w:t>2026-27</w:t>
                  </w:r>
                </w:p>
              </w:tc>
              <w:tc>
                <w:tcPr>
                  <w:tcW w:w="1365" w:type="dxa"/>
                  <w:tcBorders>
                    <w:top w:val="single" w:sz="6" w:space="0" w:color="4EC6FF"/>
                    <w:left w:val="nil"/>
                    <w:bottom w:val="single" w:sz="6" w:space="0" w:color="4EC6FF"/>
                    <w:right w:val="nil"/>
                  </w:tcBorders>
                  <w:hideMark/>
                </w:tcPr>
                <w:p w14:paraId="4E4B3572" w14:textId="3F65E4A0" w:rsidR="002D42C1" w:rsidRPr="00DE108C" w:rsidRDefault="002D42C1" w:rsidP="008A11C9">
                  <w:pPr>
                    <w:spacing w:before="60" w:after="60"/>
                    <w:jc w:val="center"/>
                    <w:rPr>
                      <w:sz w:val="16"/>
                      <w:szCs w:val="16"/>
                    </w:rPr>
                  </w:pPr>
                  <w:r w:rsidRPr="00DE108C">
                    <w:rPr>
                      <w:b/>
                      <w:bCs/>
                      <w:sz w:val="16"/>
                      <w:szCs w:val="16"/>
                    </w:rPr>
                    <w:t>2027-28</w:t>
                  </w:r>
                </w:p>
              </w:tc>
              <w:tc>
                <w:tcPr>
                  <w:tcW w:w="1365" w:type="dxa"/>
                  <w:tcBorders>
                    <w:top w:val="single" w:sz="6" w:space="0" w:color="4EC6FF"/>
                    <w:left w:val="nil"/>
                    <w:bottom w:val="single" w:sz="6" w:space="0" w:color="4EC6FF"/>
                    <w:right w:val="nil"/>
                  </w:tcBorders>
                  <w:hideMark/>
                </w:tcPr>
                <w:p w14:paraId="364E2CF5" w14:textId="0BE7D884" w:rsidR="002D42C1" w:rsidRPr="00DE108C" w:rsidRDefault="002D42C1" w:rsidP="008A11C9">
                  <w:pPr>
                    <w:spacing w:before="60" w:after="60"/>
                    <w:jc w:val="center"/>
                    <w:rPr>
                      <w:sz w:val="16"/>
                      <w:szCs w:val="16"/>
                    </w:rPr>
                  </w:pPr>
                  <w:r w:rsidRPr="00DE108C">
                    <w:rPr>
                      <w:b/>
                      <w:bCs/>
                      <w:sz w:val="16"/>
                      <w:szCs w:val="16"/>
                    </w:rPr>
                    <w:t>2028-29</w:t>
                  </w:r>
                </w:p>
              </w:tc>
              <w:tc>
                <w:tcPr>
                  <w:tcW w:w="1365" w:type="dxa"/>
                  <w:tcBorders>
                    <w:top w:val="single" w:sz="6" w:space="0" w:color="4EC6FF"/>
                    <w:left w:val="nil"/>
                    <w:bottom w:val="single" w:sz="6" w:space="0" w:color="4EC6FF"/>
                    <w:right w:val="nil"/>
                  </w:tcBorders>
                  <w:hideMark/>
                </w:tcPr>
                <w:p w14:paraId="701F84F9" w14:textId="762D97CA" w:rsidR="002D42C1" w:rsidRPr="00DE108C" w:rsidRDefault="002D42C1" w:rsidP="008A11C9">
                  <w:pPr>
                    <w:spacing w:before="60" w:after="60"/>
                    <w:jc w:val="center"/>
                    <w:rPr>
                      <w:sz w:val="16"/>
                      <w:szCs w:val="16"/>
                    </w:rPr>
                  </w:pPr>
                  <w:r w:rsidRPr="00DE108C">
                    <w:rPr>
                      <w:b/>
                      <w:bCs/>
                      <w:sz w:val="16"/>
                      <w:szCs w:val="16"/>
                    </w:rPr>
                    <w:t>2029-30</w:t>
                  </w:r>
                </w:p>
              </w:tc>
              <w:tc>
                <w:tcPr>
                  <w:tcW w:w="1365" w:type="dxa"/>
                  <w:tcBorders>
                    <w:top w:val="single" w:sz="6" w:space="0" w:color="4EC6FF"/>
                    <w:left w:val="nil"/>
                    <w:bottom w:val="single" w:sz="6" w:space="0" w:color="4EC6FF"/>
                    <w:right w:val="nil"/>
                  </w:tcBorders>
                  <w:hideMark/>
                </w:tcPr>
                <w:p w14:paraId="043D39B9" w14:textId="0190C9F8" w:rsidR="002D42C1" w:rsidRPr="00DE108C" w:rsidRDefault="002D42C1" w:rsidP="008A11C9">
                  <w:pPr>
                    <w:spacing w:before="60" w:after="60"/>
                    <w:jc w:val="center"/>
                    <w:rPr>
                      <w:sz w:val="16"/>
                      <w:szCs w:val="16"/>
                    </w:rPr>
                  </w:pPr>
                  <w:r w:rsidRPr="00DE108C">
                    <w:rPr>
                      <w:b/>
                      <w:bCs/>
                      <w:sz w:val="16"/>
                      <w:szCs w:val="16"/>
                    </w:rPr>
                    <w:t>2030-31</w:t>
                  </w:r>
                </w:p>
              </w:tc>
            </w:tr>
            <w:tr w:rsidR="002D42C1" w:rsidRPr="00DE108C" w14:paraId="58D27B95" w14:textId="77777777" w:rsidTr="00ED094E">
              <w:trPr>
                <w:trHeight w:val="300"/>
              </w:trPr>
              <w:tc>
                <w:tcPr>
                  <w:tcW w:w="1365" w:type="dxa"/>
                  <w:tcBorders>
                    <w:top w:val="single" w:sz="6" w:space="0" w:color="4EC6FF"/>
                    <w:left w:val="nil"/>
                    <w:bottom w:val="single" w:sz="6" w:space="0" w:color="4EC6FF"/>
                    <w:right w:val="nil"/>
                  </w:tcBorders>
                  <w:hideMark/>
                </w:tcPr>
                <w:p w14:paraId="0891B667" w14:textId="0F2D7F5D"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590F4730" w14:textId="77777777" w:rsidR="002D42C1" w:rsidRPr="00DE108C" w:rsidRDefault="002D42C1" w:rsidP="008A11C9">
                  <w:pPr>
                    <w:spacing w:before="60" w:after="60"/>
                    <w:jc w:val="right"/>
                    <w:rPr>
                      <w:sz w:val="16"/>
                      <w:szCs w:val="16"/>
                    </w:rPr>
                  </w:pPr>
                  <w:r w:rsidRPr="00DE108C">
                    <w:rPr>
                      <w:sz w:val="16"/>
                      <w:szCs w:val="16"/>
                    </w:rPr>
                    <w:t>$1,110 </w:t>
                  </w:r>
                </w:p>
              </w:tc>
              <w:tc>
                <w:tcPr>
                  <w:tcW w:w="1365" w:type="dxa"/>
                  <w:tcBorders>
                    <w:top w:val="single" w:sz="6" w:space="0" w:color="4EC6FF"/>
                    <w:left w:val="nil"/>
                    <w:bottom w:val="single" w:sz="6" w:space="0" w:color="4EC6FF"/>
                    <w:right w:val="nil"/>
                  </w:tcBorders>
                  <w:vAlign w:val="center"/>
                  <w:hideMark/>
                </w:tcPr>
                <w:p w14:paraId="3A2AD800" w14:textId="0620F579"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18AD507E" w14:textId="7679EB78"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4BF5B91B" w14:textId="6CC46BD2" w:rsidR="002D42C1" w:rsidRPr="00DE108C" w:rsidRDefault="008A11C9" w:rsidP="008A11C9">
                  <w:pPr>
                    <w:spacing w:before="60" w:after="60"/>
                    <w:jc w:val="right"/>
                    <w:rPr>
                      <w:sz w:val="16"/>
                      <w:szCs w:val="16"/>
                    </w:rPr>
                  </w:pPr>
                  <w:r w:rsidRPr="0091606C">
                    <w:rPr>
                      <w:rFonts w:eastAsiaTheme="minorEastAsia"/>
                      <w:sz w:val="16"/>
                      <w:szCs w:val="16"/>
                    </w:rPr>
                    <w:t>0</w:t>
                  </w:r>
                  <w:r w:rsidRPr="0091606C">
                    <w:rPr>
                      <w:color w:val="auto"/>
                      <w:sz w:val="16"/>
                      <w:szCs w:val="16"/>
                    </w:rPr>
                    <w:t>.9</w:t>
                  </w:r>
                  <w:r w:rsidRPr="0091606C">
                    <w:rPr>
                      <w:rFonts w:eastAsiaTheme="minorEastAsia"/>
                      <w:sz w:val="16"/>
                      <w:szCs w:val="16"/>
                    </w:rPr>
                    <w:t>%</w:t>
                  </w:r>
                </w:p>
              </w:tc>
              <w:tc>
                <w:tcPr>
                  <w:tcW w:w="1365" w:type="dxa"/>
                  <w:tcBorders>
                    <w:top w:val="single" w:sz="6" w:space="0" w:color="4EC6FF"/>
                    <w:left w:val="nil"/>
                    <w:bottom w:val="single" w:sz="6" w:space="0" w:color="4EC6FF"/>
                    <w:right w:val="nil"/>
                  </w:tcBorders>
                  <w:vAlign w:val="center"/>
                  <w:hideMark/>
                </w:tcPr>
                <w:p w14:paraId="2CCB17A7" w14:textId="50AD8159" w:rsidR="002D42C1" w:rsidRPr="00DE108C" w:rsidRDefault="002D42C1" w:rsidP="008A11C9">
                  <w:pPr>
                    <w:spacing w:before="60" w:after="60"/>
                    <w:jc w:val="right"/>
                    <w:rPr>
                      <w:sz w:val="16"/>
                      <w:szCs w:val="16"/>
                    </w:rPr>
                  </w:pPr>
                  <w:r w:rsidRPr="00DE108C">
                    <w:rPr>
                      <w:sz w:val="16"/>
                      <w:szCs w:val="16"/>
                    </w:rPr>
                    <w:t>0.9%</w:t>
                  </w:r>
                </w:p>
              </w:tc>
              <w:tc>
                <w:tcPr>
                  <w:tcW w:w="1365" w:type="dxa"/>
                  <w:tcBorders>
                    <w:top w:val="single" w:sz="6" w:space="0" w:color="4EC6FF"/>
                    <w:left w:val="nil"/>
                    <w:bottom w:val="single" w:sz="6" w:space="0" w:color="4EC6FF"/>
                    <w:right w:val="nil"/>
                  </w:tcBorders>
                  <w:vAlign w:val="center"/>
                  <w:hideMark/>
                </w:tcPr>
                <w:p w14:paraId="06572927" w14:textId="05C3C772" w:rsidR="002D42C1" w:rsidRPr="00DE108C" w:rsidRDefault="002D42C1" w:rsidP="008A11C9">
                  <w:pPr>
                    <w:spacing w:before="60" w:after="60"/>
                    <w:jc w:val="right"/>
                    <w:rPr>
                      <w:sz w:val="16"/>
                      <w:szCs w:val="16"/>
                    </w:rPr>
                  </w:pPr>
                  <w:r w:rsidRPr="0091606C">
                    <w:rPr>
                      <w:rFonts w:eastAsiaTheme="minorEastAsia"/>
                      <w:sz w:val="16"/>
                      <w:szCs w:val="16"/>
                    </w:rPr>
                    <w:t>0.</w:t>
                  </w:r>
                  <w:r w:rsidR="008A11C9" w:rsidRPr="0091606C">
                    <w:rPr>
                      <w:color w:val="auto"/>
                      <w:sz w:val="16"/>
                      <w:szCs w:val="16"/>
                    </w:rPr>
                    <w:t>8</w:t>
                  </w:r>
                  <w:r w:rsidR="008A11C9" w:rsidRPr="0091606C">
                    <w:rPr>
                      <w:rFonts w:eastAsiaTheme="minorEastAsia"/>
                      <w:sz w:val="16"/>
                      <w:szCs w:val="16"/>
                    </w:rPr>
                    <w:t>%</w:t>
                  </w:r>
                </w:p>
              </w:tc>
            </w:tr>
            <w:tr w:rsidR="002D42C1" w:rsidRPr="00DE108C" w14:paraId="54599CC5" w14:textId="77777777" w:rsidTr="00ED094E">
              <w:trPr>
                <w:trHeight w:val="300"/>
              </w:trPr>
              <w:tc>
                <w:tcPr>
                  <w:tcW w:w="1365" w:type="dxa"/>
                  <w:tcBorders>
                    <w:top w:val="single" w:sz="6" w:space="0" w:color="4EC6FF"/>
                    <w:left w:val="nil"/>
                    <w:bottom w:val="single" w:sz="6" w:space="0" w:color="4EC6FF"/>
                    <w:right w:val="nil"/>
                  </w:tcBorders>
                  <w:hideMark/>
                </w:tcPr>
                <w:p w14:paraId="1DDBE8BC" w14:textId="2BD35A1B"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187C3377" w14:textId="77777777" w:rsidR="002D42C1" w:rsidRPr="00DE108C" w:rsidRDefault="002D42C1" w:rsidP="008A11C9">
                  <w:pPr>
                    <w:spacing w:before="60" w:after="60"/>
                    <w:jc w:val="right"/>
                    <w:rPr>
                      <w:sz w:val="16"/>
                      <w:szCs w:val="16"/>
                    </w:rPr>
                  </w:pPr>
                  <w:r w:rsidRPr="00DE108C">
                    <w:rPr>
                      <w:sz w:val="16"/>
                      <w:szCs w:val="16"/>
                    </w:rPr>
                    <w:t>$1,057 </w:t>
                  </w:r>
                </w:p>
              </w:tc>
              <w:tc>
                <w:tcPr>
                  <w:tcW w:w="1365" w:type="dxa"/>
                  <w:tcBorders>
                    <w:top w:val="single" w:sz="6" w:space="0" w:color="4EC6FF"/>
                    <w:left w:val="nil"/>
                    <w:bottom w:val="single" w:sz="6" w:space="0" w:color="4EC6FF"/>
                    <w:right w:val="nil"/>
                  </w:tcBorders>
                  <w:vAlign w:val="center"/>
                  <w:hideMark/>
                </w:tcPr>
                <w:p w14:paraId="6FCF146D" w14:textId="01DCCB34"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764F7C46" w14:textId="6BA5D7DC"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625F922C" w14:textId="2AB0CDF2" w:rsidR="002D42C1" w:rsidRPr="00DE108C" w:rsidRDefault="002D42C1" w:rsidP="008A11C9">
                  <w:pPr>
                    <w:spacing w:before="60" w:after="60"/>
                    <w:jc w:val="right"/>
                    <w:rPr>
                      <w:sz w:val="16"/>
                      <w:szCs w:val="16"/>
                    </w:rPr>
                  </w:pPr>
                  <w:r w:rsidRPr="00DE108C">
                    <w:rPr>
                      <w:sz w:val="16"/>
                      <w:szCs w:val="16"/>
                    </w:rPr>
                    <w:t>0.</w:t>
                  </w:r>
                  <w:r w:rsidR="001471D2" w:rsidRPr="00510FDD">
                    <w:rPr>
                      <w:color w:val="auto"/>
                      <w:sz w:val="16"/>
                      <w:szCs w:val="16"/>
                    </w:rPr>
                    <w:t>1</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07778EDC" w14:textId="4068D61D"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10B03E7B" w14:textId="1CD5A9ED" w:rsidR="002D42C1" w:rsidRPr="00DE108C" w:rsidRDefault="002D42C1" w:rsidP="008A11C9">
                  <w:pPr>
                    <w:spacing w:before="60" w:after="60"/>
                    <w:jc w:val="right"/>
                    <w:rPr>
                      <w:sz w:val="16"/>
                      <w:szCs w:val="16"/>
                    </w:rPr>
                  </w:pPr>
                  <w:r w:rsidRPr="00DE108C">
                    <w:rPr>
                      <w:sz w:val="16"/>
                      <w:szCs w:val="16"/>
                    </w:rPr>
                    <w:t>0.1%</w:t>
                  </w:r>
                </w:p>
              </w:tc>
            </w:tr>
            <w:tr w:rsidR="002D42C1" w:rsidRPr="00DE108C" w14:paraId="1668ACF1" w14:textId="77777777" w:rsidTr="00ED094E">
              <w:trPr>
                <w:trHeight w:val="300"/>
              </w:trPr>
              <w:tc>
                <w:tcPr>
                  <w:tcW w:w="1365" w:type="dxa"/>
                  <w:tcBorders>
                    <w:top w:val="single" w:sz="6" w:space="0" w:color="4EC6FF"/>
                    <w:left w:val="nil"/>
                    <w:bottom w:val="single" w:sz="6" w:space="0" w:color="4EC6FF"/>
                    <w:right w:val="nil"/>
                  </w:tcBorders>
                  <w:hideMark/>
                </w:tcPr>
                <w:p w14:paraId="0CE0123A"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0B27FAB0" w14:textId="77777777" w:rsidR="002D42C1" w:rsidRPr="00DE108C" w:rsidRDefault="002D42C1" w:rsidP="008A11C9">
                  <w:pPr>
                    <w:spacing w:before="60" w:after="60"/>
                    <w:jc w:val="right"/>
                    <w:rPr>
                      <w:sz w:val="16"/>
                      <w:szCs w:val="16"/>
                    </w:rPr>
                  </w:pPr>
                  <w:r w:rsidRPr="00DE108C">
                    <w:rPr>
                      <w:sz w:val="16"/>
                      <w:szCs w:val="16"/>
                    </w:rPr>
                    <w:t>$1,114 </w:t>
                  </w:r>
                </w:p>
              </w:tc>
              <w:tc>
                <w:tcPr>
                  <w:tcW w:w="1365" w:type="dxa"/>
                  <w:tcBorders>
                    <w:top w:val="single" w:sz="6" w:space="0" w:color="4EC6FF"/>
                    <w:left w:val="nil"/>
                    <w:bottom w:val="single" w:sz="6" w:space="0" w:color="4EC6FF"/>
                    <w:right w:val="nil"/>
                  </w:tcBorders>
                  <w:vAlign w:val="center"/>
                  <w:hideMark/>
                </w:tcPr>
                <w:p w14:paraId="17C8ED95" w14:textId="153175EC"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124F3716" w14:textId="10B14E82"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04010530" w14:textId="708CDE28" w:rsidR="002D42C1" w:rsidRPr="00DE108C" w:rsidRDefault="002D42C1" w:rsidP="008A11C9">
                  <w:pPr>
                    <w:spacing w:before="60" w:after="60"/>
                    <w:jc w:val="right"/>
                    <w:rPr>
                      <w:sz w:val="16"/>
                      <w:szCs w:val="16"/>
                    </w:rPr>
                  </w:pPr>
                  <w:r w:rsidRPr="0091606C">
                    <w:rPr>
                      <w:rFonts w:eastAsiaTheme="minorEastAsia"/>
                      <w:sz w:val="16"/>
                      <w:szCs w:val="16"/>
                    </w:rPr>
                    <w:t>-0.</w:t>
                  </w:r>
                  <w:r w:rsidR="008A11C9" w:rsidRPr="0091606C">
                    <w:rPr>
                      <w:color w:val="auto"/>
                      <w:sz w:val="16"/>
                      <w:szCs w:val="16"/>
                    </w:rPr>
                    <w:t>7</w:t>
                  </w:r>
                  <w:r w:rsidR="008A11C9" w:rsidRPr="0091606C">
                    <w:rPr>
                      <w:rFonts w:eastAsiaTheme="minorEastAsia"/>
                      <w:sz w:val="16"/>
                      <w:szCs w:val="16"/>
                    </w:rPr>
                    <w:t>%</w:t>
                  </w:r>
                </w:p>
              </w:tc>
              <w:tc>
                <w:tcPr>
                  <w:tcW w:w="1365" w:type="dxa"/>
                  <w:tcBorders>
                    <w:top w:val="single" w:sz="6" w:space="0" w:color="4EC6FF"/>
                    <w:left w:val="nil"/>
                    <w:bottom w:val="single" w:sz="6" w:space="0" w:color="4EC6FF"/>
                    <w:right w:val="nil"/>
                  </w:tcBorders>
                  <w:vAlign w:val="center"/>
                  <w:hideMark/>
                </w:tcPr>
                <w:p w14:paraId="3630ACC6" w14:textId="3EE2847B"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7</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0460F376" w14:textId="31DA8E16"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8</w:t>
                  </w:r>
                  <w:r w:rsidRPr="00DE108C">
                    <w:rPr>
                      <w:sz w:val="16"/>
                      <w:szCs w:val="16"/>
                    </w:rPr>
                    <w:t>%</w:t>
                  </w:r>
                </w:p>
              </w:tc>
            </w:tr>
            <w:tr w:rsidR="002D42C1" w:rsidRPr="00DE108C" w14:paraId="6DC57AEF" w14:textId="77777777" w:rsidTr="00ED094E">
              <w:trPr>
                <w:trHeight w:val="300"/>
              </w:trPr>
              <w:tc>
                <w:tcPr>
                  <w:tcW w:w="1365" w:type="dxa"/>
                  <w:tcBorders>
                    <w:top w:val="single" w:sz="6" w:space="0" w:color="4EC6FF"/>
                    <w:left w:val="nil"/>
                    <w:bottom w:val="single" w:sz="6" w:space="0" w:color="4EC6FF"/>
                    <w:right w:val="nil"/>
                  </w:tcBorders>
                  <w:hideMark/>
                </w:tcPr>
                <w:p w14:paraId="48BF606F" w14:textId="095FFBDA"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70E355B7" w14:textId="77777777" w:rsidR="002D42C1" w:rsidRPr="00DE108C" w:rsidRDefault="002D42C1" w:rsidP="008A11C9">
                  <w:pPr>
                    <w:spacing w:before="60" w:after="60"/>
                    <w:jc w:val="right"/>
                    <w:rPr>
                      <w:sz w:val="16"/>
                      <w:szCs w:val="16"/>
                    </w:rPr>
                  </w:pPr>
                  <w:r w:rsidRPr="00DE108C">
                    <w:rPr>
                      <w:sz w:val="16"/>
                      <w:szCs w:val="16"/>
                    </w:rPr>
                    <w:t>$1,183 </w:t>
                  </w:r>
                </w:p>
              </w:tc>
              <w:tc>
                <w:tcPr>
                  <w:tcW w:w="1365" w:type="dxa"/>
                  <w:tcBorders>
                    <w:top w:val="single" w:sz="6" w:space="0" w:color="4EC6FF"/>
                    <w:left w:val="nil"/>
                    <w:bottom w:val="single" w:sz="6" w:space="0" w:color="4EC6FF"/>
                    <w:right w:val="nil"/>
                  </w:tcBorders>
                  <w:vAlign w:val="center"/>
                  <w:hideMark/>
                </w:tcPr>
                <w:p w14:paraId="5C5C540D" w14:textId="5C3604F8" w:rsidR="002D42C1" w:rsidRPr="00DE108C" w:rsidRDefault="002D42C1" w:rsidP="008A11C9">
                  <w:pPr>
                    <w:spacing w:before="60" w:after="60"/>
                    <w:jc w:val="right"/>
                    <w:rPr>
                      <w:sz w:val="16"/>
                      <w:szCs w:val="16"/>
                    </w:rPr>
                  </w:pPr>
                  <w:r w:rsidRPr="00DE108C">
                    <w:rPr>
                      <w:sz w:val="16"/>
                      <w:szCs w:val="16"/>
                    </w:rPr>
                    <w:t>-0.3%</w:t>
                  </w:r>
                </w:p>
              </w:tc>
              <w:tc>
                <w:tcPr>
                  <w:tcW w:w="1365" w:type="dxa"/>
                  <w:tcBorders>
                    <w:top w:val="single" w:sz="6" w:space="0" w:color="4EC6FF"/>
                    <w:left w:val="nil"/>
                    <w:bottom w:val="single" w:sz="6" w:space="0" w:color="4EC6FF"/>
                    <w:right w:val="nil"/>
                  </w:tcBorders>
                  <w:vAlign w:val="center"/>
                  <w:hideMark/>
                </w:tcPr>
                <w:p w14:paraId="5D115940" w14:textId="30BCC8DD"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7D99E6FB" w14:textId="253FCDCC"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143F1942" w14:textId="3419E030"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53B8A602" w14:textId="0E05B0B8" w:rsidR="002D42C1" w:rsidRPr="00DE108C" w:rsidRDefault="002D42C1" w:rsidP="008A11C9">
                  <w:pPr>
                    <w:spacing w:before="60" w:after="60"/>
                    <w:jc w:val="right"/>
                    <w:rPr>
                      <w:sz w:val="16"/>
                      <w:szCs w:val="16"/>
                    </w:rPr>
                  </w:pPr>
                  <w:r w:rsidRPr="00DE108C">
                    <w:rPr>
                      <w:sz w:val="16"/>
                      <w:szCs w:val="16"/>
                    </w:rPr>
                    <w:t>0.4%</w:t>
                  </w:r>
                </w:p>
              </w:tc>
            </w:tr>
            <w:tr w:rsidR="002D42C1" w:rsidRPr="00DE108C" w14:paraId="38E97896" w14:textId="77777777" w:rsidTr="00ED094E">
              <w:trPr>
                <w:trHeight w:val="300"/>
              </w:trPr>
              <w:tc>
                <w:tcPr>
                  <w:tcW w:w="1365" w:type="dxa"/>
                  <w:tcBorders>
                    <w:top w:val="single" w:sz="6" w:space="0" w:color="4EC6FF"/>
                    <w:left w:val="nil"/>
                    <w:bottom w:val="single" w:sz="6" w:space="0" w:color="4EC6FF"/>
                    <w:right w:val="nil"/>
                  </w:tcBorders>
                  <w:shd w:val="clear" w:color="auto" w:fill="46C2D7" w:themeFill="accent3"/>
                  <w:hideMark/>
                </w:tcPr>
                <w:p w14:paraId="4C0A055B" w14:textId="3637DA86"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377C4881" w14:textId="77777777" w:rsidR="002D42C1" w:rsidRPr="00DE108C" w:rsidRDefault="002D42C1" w:rsidP="008A11C9">
                  <w:pPr>
                    <w:spacing w:before="60" w:after="60"/>
                    <w:jc w:val="right"/>
                    <w:rPr>
                      <w:sz w:val="16"/>
                      <w:szCs w:val="16"/>
                    </w:rPr>
                  </w:pPr>
                  <w:r w:rsidRPr="00DE108C">
                    <w:rPr>
                      <w:sz w:val="16"/>
                      <w:szCs w:val="16"/>
                    </w:rPr>
                    <w:t>$1,405 </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35F64B8A" w14:textId="0890FE07" w:rsidR="002D42C1" w:rsidRPr="00DE108C" w:rsidRDefault="002D42C1" w:rsidP="008A11C9">
                  <w:pPr>
                    <w:spacing w:before="60" w:after="60"/>
                    <w:jc w:val="right"/>
                    <w:rPr>
                      <w:sz w:val="16"/>
                      <w:szCs w:val="16"/>
                    </w:rPr>
                  </w:pPr>
                  <w:r w:rsidRPr="00DE108C">
                    <w:rPr>
                      <w:sz w:val="16"/>
                      <w:szCs w:val="16"/>
                    </w:rPr>
                    <w:t>1.6%</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44BCBC55" w14:textId="3E9C7A00" w:rsidR="002D42C1" w:rsidRPr="00DE108C" w:rsidRDefault="002D42C1" w:rsidP="008A11C9">
                  <w:pPr>
                    <w:spacing w:before="60" w:after="60"/>
                    <w:jc w:val="right"/>
                    <w:rPr>
                      <w:sz w:val="16"/>
                      <w:szCs w:val="16"/>
                    </w:rPr>
                  </w:pPr>
                  <w:r w:rsidRPr="00DE108C">
                    <w:rPr>
                      <w:sz w:val="16"/>
                      <w:szCs w:val="16"/>
                    </w:rPr>
                    <w:t>0.6%</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1791E27F" w14:textId="0C0A0822" w:rsidR="002D42C1" w:rsidRPr="00DE108C" w:rsidRDefault="002D42C1" w:rsidP="008A11C9">
                  <w:pPr>
                    <w:spacing w:before="60" w:after="60"/>
                    <w:jc w:val="right"/>
                    <w:rPr>
                      <w:sz w:val="16"/>
                      <w:szCs w:val="16"/>
                    </w:rPr>
                  </w:pPr>
                  <w:r w:rsidRPr="00DE108C">
                    <w:rPr>
                      <w:sz w:val="16"/>
                      <w:szCs w:val="16"/>
                    </w:rPr>
                    <w:t>0.7%</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52AADEE7" w14:textId="6B259FD0" w:rsidR="002D42C1" w:rsidRPr="00DE108C" w:rsidRDefault="002D42C1" w:rsidP="008A11C9">
                  <w:pPr>
                    <w:spacing w:before="60" w:after="60"/>
                    <w:jc w:val="right"/>
                    <w:rPr>
                      <w:sz w:val="16"/>
                      <w:szCs w:val="16"/>
                    </w:rPr>
                  </w:pPr>
                  <w:r w:rsidRPr="00DE108C">
                    <w:rPr>
                      <w:sz w:val="16"/>
                      <w:szCs w:val="16"/>
                    </w:rPr>
                    <w:t>0.9%</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003629AD" w14:textId="0BC79D87" w:rsidR="002D42C1" w:rsidRPr="00DE108C" w:rsidRDefault="002D42C1" w:rsidP="008A11C9">
                  <w:pPr>
                    <w:spacing w:before="60" w:after="60"/>
                    <w:jc w:val="right"/>
                    <w:rPr>
                      <w:sz w:val="16"/>
                      <w:szCs w:val="16"/>
                    </w:rPr>
                  </w:pPr>
                  <w:r w:rsidRPr="00DE108C">
                    <w:rPr>
                      <w:sz w:val="16"/>
                      <w:szCs w:val="16"/>
                    </w:rPr>
                    <w:t>1.1%</w:t>
                  </w:r>
                </w:p>
              </w:tc>
            </w:tr>
            <w:tr w:rsidR="002D42C1" w:rsidRPr="00DE108C" w14:paraId="076576DB" w14:textId="77777777" w:rsidTr="00ED094E">
              <w:trPr>
                <w:trHeight w:val="300"/>
              </w:trPr>
              <w:tc>
                <w:tcPr>
                  <w:tcW w:w="1365" w:type="dxa"/>
                  <w:tcBorders>
                    <w:top w:val="single" w:sz="6" w:space="0" w:color="4EC6FF"/>
                    <w:left w:val="nil"/>
                    <w:bottom w:val="single" w:sz="6" w:space="0" w:color="4EC6FF"/>
                    <w:right w:val="nil"/>
                  </w:tcBorders>
                  <w:hideMark/>
                </w:tcPr>
                <w:p w14:paraId="6FC3E8CF"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49C73F04" w14:textId="77777777" w:rsidR="002D42C1" w:rsidRPr="00DE108C" w:rsidRDefault="002D42C1" w:rsidP="008A11C9">
                  <w:pPr>
                    <w:spacing w:before="60" w:after="60"/>
                    <w:jc w:val="right"/>
                    <w:rPr>
                      <w:sz w:val="16"/>
                      <w:szCs w:val="16"/>
                    </w:rPr>
                  </w:pPr>
                  <w:r w:rsidRPr="00DE108C">
                    <w:rPr>
                      <w:sz w:val="16"/>
                      <w:szCs w:val="16"/>
                    </w:rPr>
                    <w:t>$1,394 </w:t>
                  </w:r>
                </w:p>
              </w:tc>
              <w:tc>
                <w:tcPr>
                  <w:tcW w:w="1365" w:type="dxa"/>
                  <w:tcBorders>
                    <w:top w:val="single" w:sz="6" w:space="0" w:color="4EC6FF"/>
                    <w:left w:val="nil"/>
                    <w:bottom w:val="single" w:sz="6" w:space="0" w:color="4EC6FF"/>
                    <w:right w:val="nil"/>
                  </w:tcBorders>
                  <w:vAlign w:val="center"/>
                  <w:hideMark/>
                </w:tcPr>
                <w:p w14:paraId="7BC952FE" w14:textId="49877D4F" w:rsidR="002D42C1" w:rsidRPr="00DE108C" w:rsidRDefault="002D42C1" w:rsidP="008A11C9">
                  <w:pPr>
                    <w:spacing w:before="60" w:after="60"/>
                    <w:jc w:val="right"/>
                    <w:rPr>
                      <w:sz w:val="16"/>
                      <w:szCs w:val="16"/>
                    </w:rPr>
                  </w:pP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7581D29B" w14:textId="231FF217"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107979B9" w14:textId="117FFF6D"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1F3F79F6" w14:textId="4523BF00" w:rsidR="002D42C1" w:rsidRPr="00DE108C" w:rsidRDefault="002D42C1" w:rsidP="008A11C9">
                  <w:pPr>
                    <w:spacing w:before="60" w:after="60"/>
                    <w:jc w:val="right"/>
                    <w:rPr>
                      <w:sz w:val="16"/>
                      <w:szCs w:val="16"/>
                    </w:rPr>
                  </w:pPr>
                  <w:r w:rsidRPr="00DE108C">
                    <w:rPr>
                      <w:sz w:val="16"/>
                      <w:szCs w:val="16"/>
                    </w:rPr>
                    <w:t>0.2%</w:t>
                  </w:r>
                </w:p>
              </w:tc>
              <w:tc>
                <w:tcPr>
                  <w:tcW w:w="1365" w:type="dxa"/>
                  <w:tcBorders>
                    <w:top w:val="single" w:sz="6" w:space="0" w:color="4EC6FF"/>
                    <w:left w:val="nil"/>
                    <w:bottom w:val="single" w:sz="6" w:space="0" w:color="4EC6FF"/>
                    <w:right w:val="nil"/>
                  </w:tcBorders>
                  <w:vAlign w:val="center"/>
                  <w:hideMark/>
                </w:tcPr>
                <w:p w14:paraId="61369E58" w14:textId="05CE4E06" w:rsidR="002D42C1" w:rsidRPr="00DE108C" w:rsidRDefault="002D42C1" w:rsidP="008A11C9">
                  <w:pPr>
                    <w:spacing w:before="60" w:after="60"/>
                    <w:jc w:val="right"/>
                    <w:rPr>
                      <w:sz w:val="16"/>
                      <w:szCs w:val="16"/>
                    </w:rPr>
                  </w:pPr>
                  <w:r w:rsidRPr="00DE108C">
                    <w:rPr>
                      <w:sz w:val="16"/>
                      <w:szCs w:val="16"/>
                    </w:rPr>
                    <w:t>0.2%</w:t>
                  </w:r>
                </w:p>
              </w:tc>
            </w:tr>
            <w:tr w:rsidR="002D42C1" w:rsidRPr="00DE108C" w14:paraId="1A81CD58" w14:textId="77777777" w:rsidTr="00ED094E">
              <w:trPr>
                <w:trHeight w:val="300"/>
              </w:trPr>
              <w:tc>
                <w:tcPr>
                  <w:tcW w:w="1365" w:type="dxa"/>
                  <w:tcBorders>
                    <w:top w:val="single" w:sz="6" w:space="0" w:color="4EC6FF"/>
                    <w:left w:val="nil"/>
                    <w:bottom w:val="single" w:sz="6" w:space="0" w:color="4EC6FF"/>
                    <w:right w:val="nil"/>
                  </w:tcBorders>
                  <w:hideMark/>
                </w:tcPr>
                <w:p w14:paraId="5A8D5DB7" w14:textId="77777777"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7C510B1F" w14:textId="77777777" w:rsidR="002D42C1" w:rsidRPr="00DE108C" w:rsidRDefault="002D42C1" w:rsidP="008A11C9">
                  <w:pPr>
                    <w:spacing w:before="60" w:after="60"/>
                    <w:jc w:val="right"/>
                    <w:rPr>
                      <w:sz w:val="16"/>
                      <w:szCs w:val="16"/>
                    </w:rPr>
                  </w:pPr>
                  <w:r w:rsidRPr="00DE108C">
                    <w:rPr>
                      <w:sz w:val="16"/>
                      <w:szCs w:val="16"/>
                    </w:rPr>
                    <w:t>$1,492 </w:t>
                  </w:r>
                </w:p>
              </w:tc>
              <w:tc>
                <w:tcPr>
                  <w:tcW w:w="1365" w:type="dxa"/>
                  <w:tcBorders>
                    <w:top w:val="single" w:sz="6" w:space="0" w:color="4EC6FF"/>
                    <w:left w:val="nil"/>
                    <w:bottom w:val="single" w:sz="6" w:space="0" w:color="4EC6FF"/>
                    <w:right w:val="nil"/>
                  </w:tcBorders>
                  <w:vAlign w:val="center"/>
                  <w:hideMark/>
                </w:tcPr>
                <w:p w14:paraId="4C2495B4" w14:textId="7E02DA6F" w:rsidR="002D42C1" w:rsidRPr="00DE108C" w:rsidRDefault="002D42C1" w:rsidP="008A11C9">
                  <w:pPr>
                    <w:spacing w:before="60" w:after="60"/>
                    <w:jc w:val="right"/>
                    <w:rPr>
                      <w:sz w:val="16"/>
                      <w:szCs w:val="16"/>
                    </w:rPr>
                  </w:pPr>
                  <w:r w:rsidRPr="00510FDD">
                    <w:rPr>
                      <w:color w:val="auto"/>
                      <w:sz w:val="16"/>
                      <w:szCs w:val="16"/>
                    </w:rPr>
                    <w:t>-</w:t>
                  </w:r>
                  <w:r w:rsidRPr="00DE108C">
                    <w:rPr>
                      <w:sz w:val="16"/>
                      <w:szCs w:val="16"/>
                    </w:rPr>
                    <w:t>0.</w:t>
                  </w:r>
                  <w:r w:rsidRPr="00510FDD">
                    <w:rPr>
                      <w:color w:val="auto"/>
                      <w:sz w:val="16"/>
                      <w:szCs w:val="16"/>
                    </w:rPr>
                    <w:t>8</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328FF488" w14:textId="0A7983BB" w:rsidR="002D42C1" w:rsidRPr="00DE108C" w:rsidRDefault="002D42C1" w:rsidP="008A11C9">
                  <w:pPr>
                    <w:spacing w:before="60" w:after="60"/>
                    <w:jc w:val="right"/>
                    <w:rPr>
                      <w:sz w:val="16"/>
                      <w:szCs w:val="16"/>
                    </w:rPr>
                  </w:pPr>
                  <w:r w:rsidRPr="00DE108C">
                    <w:rPr>
                      <w:sz w:val="16"/>
                      <w:szCs w:val="16"/>
                    </w:rPr>
                    <w:t>0.0%</w:t>
                  </w:r>
                </w:p>
              </w:tc>
              <w:tc>
                <w:tcPr>
                  <w:tcW w:w="1365" w:type="dxa"/>
                  <w:tcBorders>
                    <w:top w:val="single" w:sz="6" w:space="0" w:color="4EC6FF"/>
                    <w:left w:val="nil"/>
                    <w:bottom w:val="single" w:sz="6" w:space="0" w:color="4EC6FF"/>
                    <w:right w:val="nil"/>
                  </w:tcBorders>
                  <w:vAlign w:val="center"/>
                  <w:hideMark/>
                </w:tcPr>
                <w:p w14:paraId="57A4CC96" w14:textId="2F37CC6E"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1</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684985C2" w14:textId="489A4E9C" w:rsidR="002D42C1" w:rsidRPr="00DE108C" w:rsidRDefault="002D42C1" w:rsidP="008A11C9">
                  <w:pPr>
                    <w:spacing w:before="60" w:after="60"/>
                    <w:jc w:val="right"/>
                    <w:rPr>
                      <w:sz w:val="16"/>
                      <w:szCs w:val="16"/>
                    </w:rPr>
                  </w:pPr>
                  <w:r w:rsidRPr="00DE108C">
                    <w:rPr>
                      <w:sz w:val="16"/>
                      <w:szCs w:val="16"/>
                    </w:rPr>
                    <w:t>0.0%</w:t>
                  </w:r>
                </w:p>
              </w:tc>
              <w:tc>
                <w:tcPr>
                  <w:tcW w:w="1365" w:type="dxa"/>
                  <w:tcBorders>
                    <w:top w:val="single" w:sz="6" w:space="0" w:color="4EC6FF"/>
                    <w:left w:val="nil"/>
                    <w:bottom w:val="single" w:sz="6" w:space="0" w:color="4EC6FF"/>
                    <w:right w:val="nil"/>
                  </w:tcBorders>
                  <w:vAlign w:val="center"/>
                  <w:hideMark/>
                </w:tcPr>
                <w:p w14:paraId="679D5990" w14:textId="760D49FC" w:rsidR="002D42C1" w:rsidRPr="00DE108C" w:rsidRDefault="002D42C1" w:rsidP="008A11C9">
                  <w:pPr>
                    <w:spacing w:before="60" w:after="60"/>
                    <w:jc w:val="right"/>
                    <w:rPr>
                      <w:sz w:val="16"/>
                      <w:szCs w:val="16"/>
                    </w:rPr>
                  </w:pPr>
                  <w:r w:rsidRPr="00DE108C">
                    <w:rPr>
                      <w:sz w:val="16"/>
                      <w:szCs w:val="16"/>
                    </w:rPr>
                    <w:t>0.0%</w:t>
                  </w:r>
                </w:p>
              </w:tc>
            </w:tr>
          </w:tbl>
          <w:p w14:paraId="1427C229" w14:textId="59A9A281" w:rsidR="002D42C1" w:rsidRPr="00DE108C" w:rsidRDefault="002D42C1" w:rsidP="1CC86B10">
            <w:pPr>
              <w:rPr>
                <w:sz w:val="16"/>
                <w:szCs w:val="16"/>
              </w:rPr>
            </w:pPr>
            <w:r w:rsidRPr="00DE108C">
              <w:rPr>
                <w:sz w:val="16"/>
                <w:szCs w:val="16"/>
              </w:rPr>
              <w:t>Customer impacts are indicative only and exclude inflation, water corporation 2028 submission impacts and annual pass-throughs including desalinated water orders. Forecast customer bill impacts are estimated on the change in total Melbourne Water bulk costs, it is up to each individual water corporation on how this is passed onto households and businesses.</w:t>
            </w:r>
          </w:p>
          <w:p w14:paraId="00AF6F41" w14:textId="0DF7DCA8" w:rsidR="002D42C1" w:rsidRPr="00DE108C" w:rsidRDefault="002D42C1" w:rsidP="00ED094E">
            <w:pPr>
              <w:rPr>
                <w:sz w:val="16"/>
                <w:szCs w:val="16"/>
              </w:rPr>
            </w:pPr>
          </w:p>
        </w:tc>
      </w:tr>
    </w:tbl>
    <w:p w14:paraId="28DC1EF1" w14:textId="77777777" w:rsidR="002D42C1" w:rsidRPr="00DE108C" w:rsidRDefault="002D42C1" w:rsidP="00ED094E"/>
    <w:p w14:paraId="1F9BC830" w14:textId="77777777" w:rsidR="002D42C1" w:rsidRPr="00DE108C" w:rsidRDefault="002D42C1">
      <w:r w:rsidRPr="00DE108C">
        <w:br w:type="page"/>
      </w:r>
    </w:p>
    <w:p w14:paraId="365B9B9A" w14:textId="77777777" w:rsidR="002D42C1" w:rsidRPr="00DE108C" w:rsidRDefault="002D42C1" w:rsidP="00ED094E">
      <w:pPr>
        <w:pStyle w:val="Heading2"/>
      </w:pPr>
      <w:bookmarkStart w:id="1271" w:name="_Toc207892038"/>
      <w:bookmarkStart w:id="1272" w:name="_Toc207892950"/>
      <w:bookmarkStart w:id="1273" w:name="_Toc207853443"/>
      <w:r w:rsidRPr="00DE108C">
        <w:lastRenderedPageBreak/>
        <w:t>A.7 Westernport Water</w:t>
      </w:r>
      <w:bookmarkEnd w:id="1271"/>
      <w:bookmarkEnd w:id="1272"/>
      <w:bookmarkEnd w:id="1273"/>
    </w:p>
    <w:tbl>
      <w:tblPr>
        <w:tblStyle w:val="TableGrid"/>
        <w:tblW w:w="22361" w:type="dxa"/>
        <w:tblLook w:val="0480" w:firstRow="0" w:lastRow="0" w:firstColumn="1" w:lastColumn="0" w:noHBand="0" w:noVBand="1"/>
      </w:tblPr>
      <w:tblGrid>
        <w:gridCol w:w="1583"/>
        <w:gridCol w:w="10170"/>
        <w:gridCol w:w="10608"/>
      </w:tblGrid>
      <w:tr w:rsidR="002D42C1" w:rsidRPr="00DE108C" w14:paraId="0F5933FE" w14:textId="77777777" w:rsidTr="00F43FAD">
        <w:tc>
          <w:tcPr>
            <w:tcW w:w="1583" w:type="dxa"/>
            <w:shd w:val="clear" w:color="auto" w:fill="00428B" w:themeFill="text2"/>
          </w:tcPr>
          <w:p w14:paraId="736D2554" w14:textId="3E471FAA" w:rsidR="002D42C1" w:rsidRPr="00DE108C" w:rsidRDefault="002D42C1">
            <w:pPr>
              <w:rPr>
                <w:b/>
                <w:bCs/>
                <w:color w:val="FFFFFF" w:themeColor="background1"/>
                <w:sz w:val="16"/>
                <w:szCs w:val="16"/>
              </w:rPr>
            </w:pPr>
            <w:r w:rsidRPr="00DE108C">
              <w:rPr>
                <w:b/>
                <w:bCs/>
                <w:color w:val="FFFFFF" w:themeColor="background1"/>
                <w:sz w:val="16"/>
                <w:szCs w:val="16"/>
              </w:rPr>
              <w:t xml:space="preserve">How </w:t>
            </w:r>
            <w:r w:rsidRPr="6638ACE3">
              <w:rPr>
                <w:b/>
                <w:bCs/>
                <w:color w:val="FFFFFF" w:themeColor="background1"/>
                <w:sz w:val="16"/>
                <w:szCs w:val="16"/>
              </w:rPr>
              <w:t>we</w:t>
            </w:r>
            <w:r w:rsidR="71C53E88" w:rsidRPr="6638ACE3">
              <w:rPr>
                <w:b/>
                <w:bCs/>
                <w:color w:val="FFFFFF" w:themeColor="background1"/>
                <w:sz w:val="16"/>
                <w:szCs w:val="16"/>
              </w:rPr>
              <w:t xml:space="preserve"> have</w:t>
            </w:r>
            <w:r w:rsidRPr="00DE108C">
              <w:rPr>
                <w:b/>
                <w:bCs/>
                <w:color w:val="FFFFFF" w:themeColor="background1"/>
                <w:sz w:val="16"/>
                <w:szCs w:val="16"/>
              </w:rPr>
              <w:t xml:space="preserve"> worked with you</w:t>
            </w:r>
          </w:p>
        </w:tc>
        <w:tc>
          <w:tcPr>
            <w:tcW w:w="20778" w:type="dxa"/>
            <w:gridSpan w:val="2"/>
          </w:tcPr>
          <w:p w14:paraId="3D3E052C" w14:textId="15B73DAC" w:rsidR="002D42C1" w:rsidRPr="00DE108C" w:rsidRDefault="002D42C1">
            <w:pPr>
              <w:rPr>
                <w:sz w:val="16"/>
                <w:szCs w:val="16"/>
              </w:rPr>
            </w:pPr>
            <w:r w:rsidRPr="00DE108C">
              <w:rPr>
                <w:sz w:val="16"/>
                <w:szCs w:val="16"/>
              </w:rPr>
              <w:t xml:space="preserve">We have been working closely with Westernport Water (WpW) throughout the development of the </w:t>
            </w:r>
            <w:r w:rsidR="546F8C9E" w:rsidRPr="05351B88">
              <w:rPr>
                <w:sz w:val="16"/>
                <w:szCs w:val="16"/>
              </w:rPr>
              <w:t>P</w:t>
            </w:r>
            <w:r w:rsidRPr="05351B88">
              <w:rPr>
                <w:sz w:val="16"/>
                <w:szCs w:val="16"/>
              </w:rPr>
              <w:t xml:space="preserve">rice </w:t>
            </w:r>
            <w:r w:rsidR="68B31555" w:rsidRPr="05351B88">
              <w:rPr>
                <w:sz w:val="16"/>
                <w:szCs w:val="16"/>
              </w:rPr>
              <w:t>S</w:t>
            </w:r>
            <w:r w:rsidRPr="00DE108C">
              <w:rPr>
                <w:sz w:val="16"/>
                <w:szCs w:val="16"/>
              </w:rPr>
              <w:t xml:space="preserve">ubmission. WPW feedback was gathered through over 20 meetings of the </w:t>
            </w:r>
            <w:r w:rsidR="00AF7AC2">
              <w:rPr>
                <w:sz w:val="16"/>
                <w:szCs w:val="16"/>
              </w:rPr>
              <w:t>Regulatory and Tariff</w:t>
            </w:r>
            <w:r w:rsidRPr="00DE108C">
              <w:rPr>
                <w:sz w:val="16"/>
                <w:szCs w:val="16"/>
              </w:rPr>
              <w:t xml:space="preserve"> Forums and one-to-one meetings. We also ensured WPW end-use customers were heard directly through our community engagement program and WPW customers participating in our surveys. We have reflected the expectations of WPW as much as possible in our submission.</w:t>
            </w:r>
          </w:p>
        </w:tc>
      </w:tr>
      <w:tr w:rsidR="002D42C1" w:rsidRPr="00DE108C" w14:paraId="7D930ED7" w14:textId="77777777" w:rsidTr="00F43FAD">
        <w:trPr>
          <w:cnfStyle w:val="000000010000" w:firstRow="0" w:lastRow="0" w:firstColumn="0" w:lastColumn="0" w:oddVBand="0" w:evenVBand="0" w:oddHBand="0" w:evenHBand="1" w:firstRowFirstColumn="0" w:firstRowLastColumn="0" w:lastRowFirstColumn="0" w:lastRowLastColumn="0"/>
        </w:trPr>
        <w:tc>
          <w:tcPr>
            <w:tcW w:w="1583" w:type="dxa"/>
            <w:vMerge w:val="restart"/>
            <w:shd w:val="clear" w:color="auto" w:fill="00428B" w:themeFill="text2"/>
          </w:tcPr>
          <w:p w14:paraId="6C2C43EE" w14:textId="4E4E3371" w:rsidR="002D42C1" w:rsidRPr="00DE108C" w:rsidRDefault="002D42C1">
            <w:pPr>
              <w:rPr>
                <w:b/>
                <w:bCs/>
                <w:color w:val="FFFFFF" w:themeColor="background1"/>
                <w:sz w:val="16"/>
                <w:szCs w:val="16"/>
              </w:rPr>
            </w:pPr>
            <w:r w:rsidRPr="00DE108C">
              <w:rPr>
                <w:b/>
                <w:bCs/>
                <w:color w:val="FFFFFF" w:themeColor="background1"/>
                <w:sz w:val="16"/>
                <w:szCs w:val="16"/>
              </w:rPr>
              <w:t xml:space="preserve">Outcomes – how </w:t>
            </w:r>
            <w:r w:rsidRPr="6638ACE3">
              <w:rPr>
                <w:b/>
                <w:bCs/>
                <w:color w:val="FFFFFF" w:themeColor="background1"/>
                <w:sz w:val="16"/>
                <w:szCs w:val="16"/>
              </w:rPr>
              <w:t>we</w:t>
            </w:r>
            <w:r w:rsidR="1F22D8E5" w:rsidRPr="6638ACE3">
              <w:rPr>
                <w:b/>
                <w:bCs/>
                <w:color w:val="FFFFFF" w:themeColor="background1"/>
                <w:sz w:val="16"/>
                <w:szCs w:val="16"/>
              </w:rPr>
              <w:t xml:space="preserve"> are </w:t>
            </w:r>
            <w:r w:rsidRPr="00DE108C">
              <w:rPr>
                <w:b/>
                <w:bCs/>
                <w:color w:val="FFFFFF" w:themeColor="background1"/>
                <w:sz w:val="16"/>
                <w:szCs w:val="16"/>
              </w:rPr>
              <w:t>supporting you</w:t>
            </w:r>
          </w:p>
        </w:tc>
        <w:tc>
          <w:tcPr>
            <w:tcW w:w="10170" w:type="dxa"/>
            <w:shd w:val="clear" w:color="auto" w:fill="00428B" w:themeFill="text2"/>
          </w:tcPr>
          <w:p w14:paraId="7936E530" w14:textId="77777777" w:rsidR="002D42C1" w:rsidRPr="00DE108C" w:rsidRDefault="002D42C1">
            <w:pPr>
              <w:rPr>
                <w:b/>
                <w:bCs/>
                <w:color w:val="FFFFFF" w:themeColor="background1"/>
                <w:sz w:val="16"/>
                <w:szCs w:val="16"/>
              </w:rPr>
            </w:pPr>
            <w:r w:rsidRPr="00DE108C">
              <w:rPr>
                <w:b/>
                <w:bCs/>
                <w:color w:val="FFFFFF" w:themeColor="background1"/>
                <w:sz w:val="16"/>
                <w:szCs w:val="16"/>
              </w:rPr>
              <w:t>MW Outcome</w:t>
            </w:r>
          </w:p>
        </w:tc>
        <w:tc>
          <w:tcPr>
            <w:tcW w:w="10608" w:type="dxa"/>
            <w:shd w:val="clear" w:color="auto" w:fill="00428B" w:themeFill="text2"/>
          </w:tcPr>
          <w:p w14:paraId="4A0359A6" w14:textId="457F5967" w:rsidR="002D42C1" w:rsidRPr="00DE108C" w:rsidRDefault="002D42C1">
            <w:pPr>
              <w:rPr>
                <w:b/>
                <w:bCs/>
                <w:color w:val="FFFFFF" w:themeColor="background1"/>
                <w:sz w:val="16"/>
                <w:szCs w:val="16"/>
              </w:rPr>
            </w:pPr>
            <w:r w:rsidRPr="00DE108C">
              <w:rPr>
                <w:b/>
                <w:bCs/>
                <w:color w:val="FFFFFF" w:themeColor="background1"/>
                <w:sz w:val="16"/>
                <w:szCs w:val="16"/>
              </w:rPr>
              <w:t xml:space="preserve">Related </w:t>
            </w:r>
            <w:r w:rsidRPr="71480993">
              <w:rPr>
                <w:b/>
                <w:bCs/>
                <w:color w:val="FFFFFF" w:themeColor="background1"/>
                <w:sz w:val="16"/>
                <w:szCs w:val="16"/>
              </w:rPr>
              <w:t>W</w:t>
            </w:r>
            <w:r w:rsidR="31D9C522" w:rsidRPr="71480993">
              <w:rPr>
                <w:b/>
                <w:bCs/>
                <w:color w:val="FFFFFF" w:themeColor="background1"/>
                <w:sz w:val="16"/>
                <w:szCs w:val="16"/>
              </w:rPr>
              <w:t>p</w:t>
            </w:r>
            <w:r w:rsidRPr="71480993">
              <w:rPr>
                <w:b/>
                <w:bCs/>
                <w:color w:val="FFFFFF" w:themeColor="background1"/>
                <w:sz w:val="16"/>
                <w:szCs w:val="16"/>
              </w:rPr>
              <w:t>W</w:t>
            </w:r>
            <w:r w:rsidRPr="00DE108C">
              <w:rPr>
                <w:b/>
                <w:bCs/>
                <w:color w:val="FFFFFF" w:themeColor="background1"/>
                <w:sz w:val="16"/>
                <w:szCs w:val="16"/>
              </w:rPr>
              <w:t xml:space="preserve"> Outcomes</w:t>
            </w:r>
          </w:p>
        </w:tc>
      </w:tr>
      <w:tr w:rsidR="002D42C1" w:rsidRPr="00DE108C" w14:paraId="32C5BB0A" w14:textId="77777777" w:rsidTr="00F43FAD">
        <w:tc>
          <w:tcPr>
            <w:tcW w:w="1583" w:type="dxa"/>
            <w:vMerge/>
            <w:shd w:val="clear" w:color="auto" w:fill="00428B" w:themeFill="text2"/>
          </w:tcPr>
          <w:p w14:paraId="0DAD50A2" w14:textId="77777777" w:rsidR="002D42C1" w:rsidRPr="00DE108C" w:rsidRDefault="002D42C1">
            <w:pPr>
              <w:rPr>
                <w:b/>
                <w:bCs/>
                <w:color w:val="FFFFFF" w:themeColor="background1"/>
                <w:sz w:val="16"/>
                <w:szCs w:val="16"/>
              </w:rPr>
            </w:pPr>
          </w:p>
        </w:tc>
        <w:tc>
          <w:tcPr>
            <w:tcW w:w="10170" w:type="dxa"/>
          </w:tcPr>
          <w:p w14:paraId="4CFB1A83" w14:textId="77777777" w:rsidR="002D42C1" w:rsidRPr="00DE108C" w:rsidRDefault="002D42C1">
            <w:pPr>
              <w:rPr>
                <w:sz w:val="16"/>
                <w:szCs w:val="16"/>
              </w:rPr>
            </w:pPr>
            <w:r w:rsidRPr="00DE108C">
              <w:rPr>
                <w:sz w:val="16"/>
                <w:szCs w:val="16"/>
              </w:rPr>
              <w:t>Outcome 1: Safe and reliable bulk water supplies for now and the long term</w:t>
            </w:r>
          </w:p>
        </w:tc>
        <w:tc>
          <w:tcPr>
            <w:tcW w:w="10608" w:type="dxa"/>
          </w:tcPr>
          <w:p w14:paraId="5834EE40" w14:textId="77777777" w:rsidR="002D42C1" w:rsidRPr="00DE108C" w:rsidRDefault="002D42C1">
            <w:pPr>
              <w:rPr>
                <w:sz w:val="16"/>
                <w:szCs w:val="16"/>
              </w:rPr>
            </w:pPr>
            <w:r w:rsidRPr="00DE108C">
              <w:rPr>
                <w:sz w:val="16"/>
                <w:szCs w:val="16"/>
              </w:rPr>
              <w:t>Outcome 1: Reliable water and wastewater services</w:t>
            </w:r>
          </w:p>
          <w:p w14:paraId="01A50537" w14:textId="77777777" w:rsidR="002D42C1" w:rsidRPr="00DE108C" w:rsidRDefault="002D42C1">
            <w:pPr>
              <w:rPr>
                <w:sz w:val="16"/>
                <w:szCs w:val="16"/>
              </w:rPr>
            </w:pPr>
            <w:r w:rsidRPr="00DE108C">
              <w:rPr>
                <w:sz w:val="16"/>
                <w:szCs w:val="16"/>
              </w:rPr>
              <w:t>Outcome 2: Better tasting water</w:t>
            </w:r>
          </w:p>
        </w:tc>
      </w:tr>
      <w:tr w:rsidR="005421B4" w:rsidRPr="00DE108C" w14:paraId="3528E7F8" w14:textId="77777777" w:rsidTr="00F43FAD">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66A540FA" w14:textId="77777777" w:rsidR="002D42C1" w:rsidRPr="00DE108C" w:rsidRDefault="002D42C1">
            <w:pPr>
              <w:rPr>
                <w:b/>
                <w:bCs/>
                <w:color w:val="FFFFFF" w:themeColor="background1"/>
                <w:sz w:val="16"/>
                <w:szCs w:val="16"/>
              </w:rPr>
            </w:pPr>
          </w:p>
        </w:tc>
        <w:tc>
          <w:tcPr>
            <w:tcW w:w="10170" w:type="dxa"/>
          </w:tcPr>
          <w:p w14:paraId="6CBAB40F" w14:textId="77777777" w:rsidR="002D42C1" w:rsidRPr="00DE108C" w:rsidRDefault="002D42C1">
            <w:pPr>
              <w:rPr>
                <w:sz w:val="16"/>
                <w:szCs w:val="16"/>
              </w:rPr>
            </w:pPr>
            <w:r w:rsidRPr="00DE108C">
              <w:rPr>
                <w:sz w:val="16"/>
                <w:szCs w:val="16"/>
              </w:rPr>
              <w:t>Outcome 2: Environmentally sustainable and reliable bulk sewerage services</w:t>
            </w:r>
          </w:p>
        </w:tc>
        <w:tc>
          <w:tcPr>
            <w:tcW w:w="10608" w:type="dxa"/>
          </w:tcPr>
          <w:p w14:paraId="519AA7EC" w14:textId="77777777" w:rsidR="002D42C1" w:rsidRPr="00DE108C" w:rsidRDefault="002D42C1">
            <w:pPr>
              <w:rPr>
                <w:sz w:val="16"/>
                <w:szCs w:val="16"/>
              </w:rPr>
            </w:pPr>
            <w:r w:rsidRPr="00DE108C">
              <w:rPr>
                <w:sz w:val="16"/>
                <w:szCs w:val="16"/>
              </w:rPr>
              <w:t>Outcome 4: A more sustainable community</w:t>
            </w:r>
          </w:p>
        </w:tc>
      </w:tr>
      <w:tr w:rsidR="002D42C1" w:rsidRPr="00DE108C" w14:paraId="3AFDE026" w14:textId="77777777" w:rsidTr="00F43FAD">
        <w:tc>
          <w:tcPr>
            <w:tcW w:w="1583" w:type="dxa"/>
            <w:vMerge/>
            <w:shd w:val="clear" w:color="auto" w:fill="00428B" w:themeFill="text2"/>
          </w:tcPr>
          <w:p w14:paraId="7D57E9C2" w14:textId="77777777" w:rsidR="002D42C1" w:rsidRPr="00DE108C" w:rsidRDefault="002D42C1">
            <w:pPr>
              <w:rPr>
                <w:b/>
                <w:bCs/>
                <w:color w:val="FFFFFF" w:themeColor="background1"/>
                <w:sz w:val="16"/>
                <w:szCs w:val="16"/>
              </w:rPr>
            </w:pPr>
          </w:p>
        </w:tc>
        <w:tc>
          <w:tcPr>
            <w:tcW w:w="10170" w:type="dxa"/>
          </w:tcPr>
          <w:p w14:paraId="30AFC16C" w14:textId="77777777" w:rsidR="002D42C1" w:rsidRPr="00DE108C" w:rsidRDefault="002D42C1">
            <w:pPr>
              <w:rPr>
                <w:sz w:val="16"/>
                <w:szCs w:val="16"/>
              </w:rPr>
            </w:pPr>
            <w:r w:rsidRPr="00DE108C">
              <w:rPr>
                <w:sz w:val="16"/>
                <w:szCs w:val="16"/>
              </w:rPr>
              <w:t>Outcome 3: Healthy, resilient waterways</w:t>
            </w:r>
          </w:p>
        </w:tc>
        <w:tc>
          <w:tcPr>
            <w:tcW w:w="10608" w:type="dxa"/>
          </w:tcPr>
          <w:p w14:paraId="619C0F25" w14:textId="77777777" w:rsidR="002D42C1" w:rsidRPr="00DE108C" w:rsidRDefault="002D42C1">
            <w:pPr>
              <w:rPr>
                <w:sz w:val="16"/>
                <w:szCs w:val="16"/>
              </w:rPr>
            </w:pPr>
            <w:r w:rsidRPr="00DE108C">
              <w:rPr>
                <w:sz w:val="16"/>
                <w:szCs w:val="16"/>
              </w:rPr>
              <w:t>N/A</w:t>
            </w:r>
          </w:p>
        </w:tc>
      </w:tr>
      <w:tr w:rsidR="005421B4" w:rsidRPr="00DE108C" w14:paraId="108F2F3A" w14:textId="77777777" w:rsidTr="00F43FAD">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388CE640" w14:textId="77777777" w:rsidR="002D42C1" w:rsidRPr="00DE108C" w:rsidRDefault="002D42C1">
            <w:pPr>
              <w:rPr>
                <w:b/>
                <w:bCs/>
                <w:color w:val="FFFFFF" w:themeColor="background1"/>
                <w:sz w:val="16"/>
                <w:szCs w:val="16"/>
              </w:rPr>
            </w:pPr>
          </w:p>
        </w:tc>
        <w:tc>
          <w:tcPr>
            <w:tcW w:w="10170" w:type="dxa"/>
          </w:tcPr>
          <w:p w14:paraId="1069F3EE" w14:textId="77777777" w:rsidR="002D42C1" w:rsidRPr="00DE108C" w:rsidRDefault="002D42C1">
            <w:pPr>
              <w:rPr>
                <w:sz w:val="16"/>
                <w:szCs w:val="16"/>
              </w:rPr>
            </w:pPr>
            <w:r w:rsidRPr="00DE108C">
              <w:rPr>
                <w:sz w:val="16"/>
                <w:szCs w:val="16"/>
              </w:rPr>
              <w:t>Outcome 4: Urban drainage and flood resilience</w:t>
            </w:r>
          </w:p>
        </w:tc>
        <w:tc>
          <w:tcPr>
            <w:tcW w:w="10608" w:type="dxa"/>
          </w:tcPr>
          <w:p w14:paraId="4BBF9A4C" w14:textId="77777777" w:rsidR="002D42C1" w:rsidRPr="00DE108C" w:rsidRDefault="002D42C1">
            <w:pPr>
              <w:rPr>
                <w:sz w:val="16"/>
                <w:szCs w:val="16"/>
              </w:rPr>
            </w:pPr>
            <w:r w:rsidRPr="00DE108C">
              <w:rPr>
                <w:sz w:val="16"/>
                <w:szCs w:val="16"/>
              </w:rPr>
              <w:t>N/A</w:t>
            </w:r>
          </w:p>
        </w:tc>
      </w:tr>
      <w:tr w:rsidR="002D42C1" w:rsidRPr="00DE108C" w14:paraId="1D4ECA7B" w14:textId="77777777" w:rsidTr="00F43FAD">
        <w:tc>
          <w:tcPr>
            <w:tcW w:w="1583" w:type="dxa"/>
            <w:vMerge/>
            <w:shd w:val="clear" w:color="auto" w:fill="00428B" w:themeFill="text2"/>
          </w:tcPr>
          <w:p w14:paraId="601380D6" w14:textId="77777777" w:rsidR="002D42C1" w:rsidRPr="00DE108C" w:rsidRDefault="002D42C1">
            <w:pPr>
              <w:rPr>
                <w:b/>
                <w:bCs/>
                <w:color w:val="FFFFFF" w:themeColor="background1"/>
                <w:sz w:val="16"/>
                <w:szCs w:val="16"/>
              </w:rPr>
            </w:pPr>
          </w:p>
        </w:tc>
        <w:tc>
          <w:tcPr>
            <w:tcW w:w="10170" w:type="dxa"/>
          </w:tcPr>
          <w:p w14:paraId="6742777E" w14:textId="77777777" w:rsidR="002D42C1" w:rsidRPr="00DE108C" w:rsidRDefault="002D42C1">
            <w:pPr>
              <w:rPr>
                <w:sz w:val="16"/>
                <w:szCs w:val="16"/>
              </w:rPr>
            </w:pPr>
            <w:r w:rsidRPr="00DE108C">
              <w:rPr>
                <w:sz w:val="16"/>
                <w:szCs w:val="16"/>
              </w:rPr>
              <w:t>Outcome 5: A valued partner in water cycle services</w:t>
            </w:r>
          </w:p>
        </w:tc>
        <w:tc>
          <w:tcPr>
            <w:tcW w:w="10608" w:type="dxa"/>
          </w:tcPr>
          <w:p w14:paraId="7BEF103C" w14:textId="77777777" w:rsidR="002D42C1" w:rsidRPr="00DE108C" w:rsidRDefault="002D42C1">
            <w:pPr>
              <w:rPr>
                <w:sz w:val="16"/>
                <w:szCs w:val="16"/>
              </w:rPr>
            </w:pPr>
            <w:r w:rsidRPr="00DE108C">
              <w:rPr>
                <w:sz w:val="16"/>
                <w:szCs w:val="16"/>
              </w:rPr>
              <w:t>Outcome 3: Affordable and responsive services</w:t>
            </w:r>
          </w:p>
        </w:tc>
      </w:tr>
      <w:tr w:rsidR="002D42C1" w:rsidRPr="00DE108C" w14:paraId="4B0AB22C" w14:textId="77777777" w:rsidTr="00F43FAD">
        <w:trPr>
          <w:cnfStyle w:val="000000010000" w:firstRow="0" w:lastRow="0" w:firstColumn="0" w:lastColumn="0" w:oddVBand="0" w:evenVBand="0" w:oddHBand="0" w:evenHBand="1" w:firstRowFirstColumn="0" w:firstRowLastColumn="0" w:lastRowFirstColumn="0" w:lastRowLastColumn="0"/>
        </w:trPr>
        <w:tc>
          <w:tcPr>
            <w:tcW w:w="1583" w:type="dxa"/>
            <w:vMerge w:val="restart"/>
            <w:shd w:val="clear" w:color="auto" w:fill="00428B" w:themeFill="text2"/>
          </w:tcPr>
          <w:p w14:paraId="72BA8DBF" w14:textId="77777777" w:rsidR="002D42C1" w:rsidRPr="00DE108C" w:rsidRDefault="002D42C1">
            <w:pPr>
              <w:rPr>
                <w:b/>
                <w:bCs/>
                <w:color w:val="FFFFFF" w:themeColor="background1"/>
                <w:sz w:val="16"/>
                <w:szCs w:val="16"/>
              </w:rPr>
            </w:pPr>
            <w:r w:rsidRPr="00DE108C">
              <w:rPr>
                <w:b/>
                <w:bCs/>
                <w:color w:val="FFFFFF" w:themeColor="background1"/>
                <w:sz w:val="16"/>
                <w:szCs w:val="16"/>
              </w:rPr>
              <w:t>Addressing your key areas</w:t>
            </w:r>
          </w:p>
        </w:tc>
        <w:tc>
          <w:tcPr>
            <w:tcW w:w="10170" w:type="dxa"/>
            <w:shd w:val="clear" w:color="auto" w:fill="00428B" w:themeFill="text2"/>
          </w:tcPr>
          <w:p w14:paraId="79DCDA02" w14:textId="77777777" w:rsidR="002D42C1" w:rsidRPr="00DE108C" w:rsidRDefault="002D42C1">
            <w:pPr>
              <w:rPr>
                <w:b/>
                <w:bCs/>
                <w:color w:val="FFFFFF" w:themeColor="background1"/>
                <w:sz w:val="16"/>
                <w:szCs w:val="16"/>
              </w:rPr>
            </w:pPr>
            <w:r w:rsidRPr="00DE108C">
              <w:rPr>
                <w:b/>
                <w:bCs/>
                <w:color w:val="FFFFFF" w:themeColor="background1"/>
                <w:sz w:val="16"/>
                <w:szCs w:val="16"/>
              </w:rPr>
              <w:t>What we heard</w:t>
            </w:r>
          </w:p>
        </w:tc>
        <w:tc>
          <w:tcPr>
            <w:tcW w:w="10608" w:type="dxa"/>
            <w:shd w:val="clear" w:color="auto" w:fill="00428B" w:themeFill="text2"/>
          </w:tcPr>
          <w:p w14:paraId="28A48839" w14:textId="15D05B69" w:rsidR="002D42C1" w:rsidRPr="00DE108C" w:rsidRDefault="002D42C1">
            <w:pPr>
              <w:rPr>
                <w:b/>
                <w:bCs/>
                <w:color w:val="FFFFFF" w:themeColor="background1"/>
                <w:sz w:val="16"/>
                <w:szCs w:val="16"/>
              </w:rPr>
            </w:pPr>
            <w:r w:rsidRPr="00DE108C">
              <w:rPr>
                <w:b/>
                <w:bCs/>
                <w:color w:val="FFFFFF" w:themeColor="background1"/>
                <w:sz w:val="16"/>
                <w:szCs w:val="16"/>
              </w:rPr>
              <w:t xml:space="preserve">How </w:t>
            </w:r>
            <w:r w:rsidRPr="6638ACE3">
              <w:rPr>
                <w:b/>
                <w:bCs/>
                <w:color w:val="FFFFFF" w:themeColor="background1"/>
                <w:sz w:val="16"/>
                <w:szCs w:val="16"/>
              </w:rPr>
              <w:t>we</w:t>
            </w:r>
            <w:r w:rsidR="2E64A7C9" w:rsidRPr="6638ACE3">
              <w:rPr>
                <w:b/>
                <w:bCs/>
                <w:color w:val="FFFFFF" w:themeColor="background1"/>
                <w:sz w:val="16"/>
                <w:szCs w:val="16"/>
              </w:rPr>
              <w:t xml:space="preserve"> are</w:t>
            </w:r>
            <w:r w:rsidRPr="00DE108C">
              <w:rPr>
                <w:b/>
                <w:bCs/>
                <w:color w:val="FFFFFF" w:themeColor="background1"/>
                <w:sz w:val="16"/>
                <w:szCs w:val="16"/>
              </w:rPr>
              <w:t xml:space="preserve"> responding</w:t>
            </w:r>
          </w:p>
        </w:tc>
      </w:tr>
      <w:tr w:rsidR="002D42C1" w:rsidRPr="00DE108C" w14:paraId="39676D4F" w14:textId="77777777" w:rsidTr="00F43FAD">
        <w:tc>
          <w:tcPr>
            <w:tcW w:w="1583" w:type="dxa"/>
            <w:vMerge/>
            <w:shd w:val="clear" w:color="auto" w:fill="00428B" w:themeFill="text2"/>
          </w:tcPr>
          <w:p w14:paraId="7462160D" w14:textId="77777777" w:rsidR="002D42C1" w:rsidRPr="00DE108C" w:rsidRDefault="002D42C1">
            <w:pPr>
              <w:rPr>
                <w:b/>
                <w:bCs/>
                <w:color w:val="FFFFFF" w:themeColor="background1"/>
                <w:sz w:val="16"/>
                <w:szCs w:val="16"/>
              </w:rPr>
            </w:pPr>
          </w:p>
        </w:tc>
        <w:tc>
          <w:tcPr>
            <w:tcW w:w="10170" w:type="dxa"/>
          </w:tcPr>
          <w:p w14:paraId="71F4E948" w14:textId="3586505E" w:rsidR="002D42C1" w:rsidRPr="00DE108C" w:rsidRDefault="002D42C1">
            <w:pPr>
              <w:rPr>
                <w:sz w:val="16"/>
                <w:szCs w:val="16"/>
              </w:rPr>
            </w:pPr>
            <w:r w:rsidRPr="00DE108C">
              <w:rPr>
                <w:sz w:val="16"/>
                <w:szCs w:val="16"/>
              </w:rPr>
              <w:t>Item #1: Fair tariff reforms, including a higher variable water tariff that incentivises efficient investment and has MW taking on more demand risk, and a ‘user pays’ cost allocation</w:t>
            </w:r>
            <w:r w:rsidR="6A55C4F2" w:rsidRPr="0F6AB02C">
              <w:rPr>
                <w:sz w:val="16"/>
                <w:szCs w:val="16"/>
              </w:rPr>
              <w:t>.</w:t>
            </w:r>
          </w:p>
        </w:tc>
        <w:tc>
          <w:tcPr>
            <w:tcW w:w="10608" w:type="dxa"/>
          </w:tcPr>
          <w:p w14:paraId="5BA65309" w14:textId="77777777" w:rsidR="002D42C1" w:rsidRPr="00DE108C" w:rsidRDefault="002D42C1">
            <w:pPr>
              <w:rPr>
                <w:b/>
                <w:sz w:val="16"/>
                <w:szCs w:val="16"/>
              </w:rPr>
            </w:pPr>
            <w:r w:rsidRPr="00DE108C">
              <w:rPr>
                <w:b/>
                <w:bCs/>
                <w:sz w:val="16"/>
                <w:szCs w:val="16"/>
              </w:rPr>
              <w:t>Addressed</w:t>
            </w:r>
          </w:p>
          <w:p w14:paraId="16CC5F0F" w14:textId="0D864B80" w:rsidR="002D42C1" w:rsidRPr="00DE108C" w:rsidRDefault="002D42C1">
            <w:pPr>
              <w:rPr>
                <w:sz w:val="16"/>
                <w:szCs w:val="16"/>
              </w:rPr>
            </w:pPr>
            <w:r w:rsidRPr="00DE108C">
              <w:rPr>
                <w:sz w:val="16"/>
                <w:szCs w:val="16"/>
              </w:rPr>
              <w:t>Following extensive analysis and consultation, we are proposing a suite of tariff reforms that take interests consistent with W</w:t>
            </w:r>
            <w:r w:rsidR="007567D1" w:rsidRPr="00DE108C">
              <w:rPr>
                <w:sz w:val="16"/>
                <w:szCs w:val="16"/>
              </w:rPr>
              <w:t>p</w:t>
            </w:r>
            <w:r w:rsidRPr="00DE108C">
              <w:rPr>
                <w:sz w:val="16"/>
                <w:szCs w:val="16"/>
              </w:rPr>
              <w:t>W’s preferences and taking W</w:t>
            </w:r>
            <w:r w:rsidR="007567D1" w:rsidRPr="00DE108C">
              <w:rPr>
                <w:sz w:val="16"/>
                <w:szCs w:val="16"/>
              </w:rPr>
              <w:t>p</w:t>
            </w:r>
            <w:r w:rsidRPr="00DE108C">
              <w:rPr>
                <w:sz w:val="16"/>
                <w:szCs w:val="16"/>
              </w:rPr>
              <w:t xml:space="preserve">W’s customers into account. This includes moving to a higher variable water price, and allocating fixed charges based on historical usage rather than forecasts. </w:t>
            </w:r>
          </w:p>
        </w:tc>
      </w:tr>
      <w:tr w:rsidR="005421B4" w:rsidRPr="00DE108C" w14:paraId="4AE41F2C" w14:textId="77777777" w:rsidTr="00F43FAD">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4FD945A4" w14:textId="77777777" w:rsidR="002D42C1" w:rsidRPr="00DE108C" w:rsidRDefault="002D42C1">
            <w:pPr>
              <w:rPr>
                <w:b/>
                <w:bCs/>
                <w:color w:val="FFFFFF" w:themeColor="background1"/>
                <w:sz w:val="16"/>
                <w:szCs w:val="16"/>
              </w:rPr>
            </w:pPr>
          </w:p>
        </w:tc>
        <w:tc>
          <w:tcPr>
            <w:tcW w:w="10170" w:type="dxa"/>
          </w:tcPr>
          <w:p w14:paraId="5D518B87" w14:textId="5D14149D" w:rsidR="002D42C1" w:rsidRPr="00DE108C" w:rsidRDefault="002D42C1">
            <w:pPr>
              <w:rPr>
                <w:sz w:val="16"/>
                <w:szCs w:val="16"/>
              </w:rPr>
            </w:pPr>
            <w:r w:rsidRPr="00DE108C">
              <w:rPr>
                <w:sz w:val="16"/>
                <w:szCs w:val="16"/>
              </w:rPr>
              <w:t>Item #2: Consideration of transition arrangements for Westernport Water customers</w:t>
            </w:r>
            <w:r w:rsidR="7E166F68" w:rsidRPr="0F6AB02C">
              <w:rPr>
                <w:sz w:val="16"/>
                <w:szCs w:val="16"/>
              </w:rPr>
              <w:t>.</w:t>
            </w:r>
          </w:p>
        </w:tc>
        <w:tc>
          <w:tcPr>
            <w:tcW w:w="10608" w:type="dxa"/>
          </w:tcPr>
          <w:p w14:paraId="1C62A9EA" w14:textId="77777777" w:rsidR="002D42C1" w:rsidRPr="00DE108C" w:rsidRDefault="002D42C1">
            <w:pPr>
              <w:rPr>
                <w:b/>
                <w:sz w:val="16"/>
                <w:szCs w:val="16"/>
              </w:rPr>
            </w:pPr>
            <w:r w:rsidRPr="00DE108C">
              <w:rPr>
                <w:b/>
                <w:bCs/>
                <w:sz w:val="16"/>
                <w:szCs w:val="16"/>
              </w:rPr>
              <w:t>Addressed</w:t>
            </w:r>
          </w:p>
          <w:p w14:paraId="101D30C1" w14:textId="02447765" w:rsidR="002D42C1" w:rsidRPr="00DE108C" w:rsidRDefault="67DBD7B7">
            <w:pPr>
              <w:rPr>
                <w:sz w:val="16"/>
                <w:szCs w:val="16"/>
              </w:rPr>
            </w:pPr>
            <w:r w:rsidRPr="6C9656C6">
              <w:rPr>
                <w:sz w:val="16"/>
                <w:szCs w:val="16"/>
              </w:rPr>
              <w:t>WpW</w:t>
            </w:r>
            <w:r w:rsidR="002D42C1" w:rsidRPr="6C9656C6">
              <w:rPr>
                <w:sz w:val="16"/>
                <w:szCs w:val="16"/>
              </w:rPr>
              <w:t>’s</w:t>
            </w:r>
            <w:r w:rsidR="002D42C1" w:rsidRPr="00DE108C">
              <w:rPr>
                <w:sz w:val="16"/>
                <w:szCs w:val="16"/>
              </w:rPr>
              <w:t xml:space="preserve"> bulk water demands from the Melbourne Water system are forecast to be significantly higher than the historical average. </w:t>
            </w:r>
            <w:r w:rsidR="2DB5BCDA" w:rsidRPr="6387C846">
              <w:rPr>
                <w:sz w:val="16"/>
                <w:szCs w:val="16"/>
              </w:rPr>
              <w:t>T</w:t>
            </w:r>
            <w:r w:rsidR="002D42C1" w:rsidRPr="6387C846">
              <w:rPr>
                <w:sz w:val="16"/>
                <w:szCs w:val="16"/>
              </w:rPr>
              <w:t>ogether</w:t>
            </w:r>
            <w:r w:rsidR="002D42C1" w:rsidRPr="00DE108C">
              <w:rPr>
                <w:sz w:val="16"/>
                <w:szCs w:val="16"/>
              </w:rPr>
              <w:t xml:space="preserve"> with South-Central Reforms, </w:t>
            </w:r>
            <w:r w:rsidR="366FFFF7" w:rsidRPr="6387C846">
              <w:rPr>
                <w:sz w:val="16"/>
                <w:szCs w:val="16"/>
              </w:rPr>
              <w:t xml:space="preserve">this </w:t>
            </w:r>
            <w:r w:rsidR="002D42C1" w:rsidRPr="00DE108C">
              <w:rPr>
                <w:sz w:val="16"/>
                <w:szCs w:val="16"/>
              </w:rPr>
              <w:t xml:space="preserve">means that </w:t>
            </w:r>
            <w:r w:rsidR="43F3E4F3" w:rsidRPr="6C9656C6">
              <w:rPr>
                <w:sz w:val="16"/>
                <w:szCs w:val="16"/>
              </w:rPr>
              <w:t>WpW</w:t>
            </w:r>
            <w:r w:rsidR="002D42C1" w:rsidRPr="6C9656C6">
              <w:rPr>
                <w:sz w:val="16"/>
                <w:szCs w:val="16"/>
              </w:rPr>
              <w:t>’s</w:t>
            </w:r>
            <w:r w:rsidR="002D42C1" w:rsidRPr="00DE108C">
              <w:rPr>
                <w:sz w:val="16"/>
                <w:szCs w:val="16"/>
              </w:rPr>
              <w:t xml:space="preserve"> bulk charges will increase over time, albeit from a low base. Following extensive analysis and consultation, we have adopted the 10-year average utilisation for fixed water shares, and smoothed fixed water charges over the regulatory period on a NPV-neutral basis, which smooths entrance into the South-Central Pool for the connected regional water corporations </w:t>
            </w:r>
            <w:r w:rsidR="75E432C9" w:rsidRPr="409E23A3">
              <w:rPr>
                <w:sz w:val="16"/>
                <w:szCs w:val="16"/>
              </w:rPr>
              <w:t>(</w:t>
            </w:r>
            <w:r w:rsidR="002D42C1" w:rsidRPr="00DE108C">
              <w:rPr>
                <w:sz w:val="16"/>
                <w:szCs w:val="16"/>
              </w:rPr>
              <w:t>including W</w:t>
            </w:r>
            <w:r w:rsidR="007567D1" w:rsidRPr="00DE108C">
              <w:rPr>
                <w:sz w:val="16"/>
                <w:szCs w:val="16"/>
              </w:rPr>
              <w:t>p</w:t>
            </w:r>
            <w:r w:rsidR="002D42C1" w:rsidRPr="00DE108C">
              <w:rPr>
                <w:sz w:val="16"/>
                <w:szCs w:val="16"/>
              </w:rPr>
              <w:t>W</w:t>
            </w:r>
            <w:r w:rsidR="781A30C8" w:rsidRPr="409E23A3">
              <w:rPr>
                <w:sz w:val="16"/>
                <w:szCs w:val="16"/>
              </w:rPr>
              <w:t>)</w:t>
            </w:r>
            <w:r w:rsidR="002D42C1" w:rsidRPr="409E23A3">
              <w:rPr>
                <w:sz w:val="16"/>
                <w:szCs w:val="16"/>
              </w:rPr>
              <w:t>,</w:t>
            </w:r>
            <w:r w:rsidR="002D42C1" w:rsidRPr="00DE108C">
              <w:rPr>
                <w:sz w:val="16"/>
                <w:szCs w:val="16"/>
              </w:rPr>
              <w:t xml:space="preserve"> including a year-on-year bill increase based on expected demands, as a result of </w:t>
            </w:r>
            <w:r w:rsidR="002D42C1" w:rsidRPr="409E23A3">
              <w:rPr>
                <w:sz w:val="16"/>
                <w:szCs w:val="16"/>
              </w:rPr>
              <w:t>M</w:t>
            </w:r>
            <w:r w:rsidR="7C13906E" w:rsidRPr="409E23A3">
              <w:rPr>
                <w:sz w:val="16"/>
                <w:szCs w:val="16"/>
              </w:rPr>
              <w:t xml:space="preserve">elbourne </w:t>
            </w:r>
            <w:r w:rsidR="002D42C1" w:rsidRPr="409E23A3">
              <w:rPr>
                <w:sz w:val="16"/>
                <w:szCs w:val="16"/>
              </w:rPr>
              <w:t>W</w:t>
            </w:r>
            <w:r w:rsidR="73D42081" w:rsidRPr="409E23A3">
              <w:rPr>
                <w:sz w:val="16"/>
                <w:szCs w:val="16"/>
              </w:rPr>
              <w:t>ater</w:t>
            </w:r>
            <w:r w:rsidR="002D42C1" w:rsidRPr="409E23A3">
              <w:rPr>
                <w:sz w:val="16"/>
                <w:szCs w:val="16"/>
              </w:rPr>
              <w:t>’s</w:t>
            </w:r>
            <w:r w:rsidR="002D42C1" w:rsidRPr="00DE108C">
              <w:rPr>
                <w:sz w:val="16"/>
                <w:szCs w:val="16"/>
              </w:rPr>
              <w:t xml:space="preserve"> bulk charges of no more than 0.2%.</w:t>
            </w:r>
          </w:p>
        </w:tc>
      </w:tr>
      <w:tr w:rsidR="002D42C1" w:rsidRPr="00DE108C" w14:paraId="70A9A456" w14:textId="77777777" w:rsidTr="00F43FAD">
        <w:tc>
          <w:tcPr>
            <w:tcW w:w="1583" w:type="dxa"/>
            <w:vMerge/>
            <w:shd w:val="clear" w:color="auto" w:fill="00428B" w:themeFill="text2"/>
          </w:tcPr>
          <w:p w14:paraId="2C8CCAA1" w14:textId="77777777" w:rsidR="002D42C1" w:rsidRPr="00DE108C" w:rsidRDefault="002D42C1">
            <w:pPr>
              <w:rPr>
                <w:b/>
                <w:bCs/>
                <w:color w:val="FFFFFF" w:themeColor="background1"/>
                <w:sz w:val="16"/>
                <w:szCs w:val="16"/>
              </w:rPr>
            </w:pPr>
          </w:p>
        </w:tc>
        <w:tc>
          <w:tcPr>
            <w:tcW w:w="10170" w:type="dxa"/>
          </w:tcPr>
          <w:p w14:paraId="30464EB1" w14:textId="04AF5489" w:rsidR="002D42C1" w:rsidRPr="00DE108C" w:rsidRDefault="002D42C1">
            <w:pPr>
              <w:rPr>
                <w:sz w:val="16"/>
                <w:szCs w:val="16"/>
              </w:rPr>
            </w:pPr>
            <w:r w:rsidRPr="00DE108C">
              <w:rPr>
                <w:sz w:val="16"/>
                <w:szCs w:val="16"/>
              </w:rPr>
              <w:t>Item #3: Greater collaboration on planning</w:t>
            </w:r>
            <w:r w:rsidR="2F3000CD" w:rsidRPr="0F6AB02C">
              <w:rPr>
                <w:sz w:val="16"/>
                <w:szCs w:val="16"/>
              </w:rPr>
              <w:t>.</w:t>
            </w:r>
          </w:p>
        </w:tc>
        <w:tc>
          <w:tcPr>
            <w:tcW w:w="10608" w:type="dxa"/>
          </w:tcPr>
          <w:p w14:paraId="1445ABBA" w14:textId="77777777" w:rsidR="002D42C1" w:rsidRPr="00DE108C" w:rsidRDefault="002D42C1">
            <w:pPr>
              <w:rPr>
                <w:b/>
                <w:bCs/>
                <w:sz w:val="16"/>
                <w:szCs w:val="16"/>
              </w:rPr>
            </w:pPr>
            <w:r w:rsidRPr="00DE108C">
              <w:rPr>
                <w:b/>
                <w:bCs/>
                <w:sz w:val="16"/>
                <w:szCs w:val="16"/>
              </w:rPr>
              <w:t>Addressed</w:t>
            </w:r>
          </w:p>
          <w:p w14:paraId="4FD9C6BA" w14:textId="3498B8E3" w:rsidR="002D42C1" w:rsidRPr="00DE108C" w:rsidRDefault="002D42C1">
            <w:pPr>
              <w:rPr>
                <w:sz w:val="16"/>
                <w:szCs w:val="16"/>
              </w:rPr>
            </w:pPr>
            <w:r w:rsidRPr="00DE108C">
              <w:rPr>
                <w:sz w:val="16"/>
                <w:szCs w:val="16"/>
              </w:rPr>
              <w:t xml:space="preserve">Under Outcome 5, we commit to collaborating and co-creating plans with the water sector and playing a key role in delivering water solutions that addresses the challenges in future planning across Melbourne and climate change. We are committed to working with other businesses to complete a collaborative long-term capital and operating plan to support Urban Water and System Strategies and future water corporation and Melbourne Water </w:t>
            </w:r>
            <w:r w:rsidR="4BD4B5D0" w:rsidRPr="7D02A8F1">
              <w:rPr>
                <w:sz w:val="16"/>
                <w:szCs w:val="16"/>
              </w:rPr>
              <w:t>P</w:t>
            </w:r>
            <w:r w:rsidRPr="7D02A8F1">
              <w:rPr>
                <w:sz w:val="16"/>
                <w:szCs w:val="16"/>
              </w:rPr>
              <w:t xml:space="preserve">rice </w:t>
            </w:r>
            <w:r w:rsidR="3107CE71" w:rsidRPr="7D02A8F1">
              <w:rPr>
                <w:sz w:val="16"/>
                <w:szCs w:val="16"/>
              </w:rPr>
              <w:t>S</w:t>
            </w:r>
            <w:r w:rsidRPr="7D02A8F1">
              <w:rPr>
                <w:sz w:val="16"/>
                <w:szCs w:val="16"/>
              </w:rPr>
              <w:t>ubmissions</w:t>
            </w:r>
            <w:r w:rsidRPr="00DE108C">
              <w:rPr>
                <w:sz w:val="16"/>
                <w:szCs w:val="16"/>
              </w:rPr>
              <w:t>, as well as Integrated Water Management Forums.</w:t>
            </w:r>
          </w:p>
        </w:tc>
      </w:tr>
      <w:tr w:rsidR="005421B4" w:rsidRPr="00DE108C" w14:paraId="1EA6A654" w14:textId="77777777" w:rsidTr="00F43FAD">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37125E1F" w14:textId="77777777" w:rsidR="002D42C1" w:rsidRPr="00DE108C" w:rsidRDefault="002D42C1">
            <w:pPr>
              <w:rPr>
                <w:b/>
                <w:bCs/>
                <w:color w:val="FFFFFF" w:themeColor="background1"/>
                <w:sz w:val="16"/>
                <w:szCs w:val="16"/>
              </w:rPr>
            </w:pPr>
          </w:p>
        </w:tc>
        <w:tc>
          <w:tcPr>
            <w:tcW w:w="10170" w:type="dxa"/>
          </w:tcPr>
          <w:p w14:paraId="56B18DDF" w14:textId="5637F948" w:rsidR="002D42C1" w:rsidRPr="00DE108C" w:rsidRDefault="002D42C1">
            <w:pPr>
              <w:rPr>
                <w:sz w:val="16"/>
                <w:szCs w:val="16"/>
              </w:rPr>
            </w:pPr>
            <w:r w:rsidRPr="00DE108C">
              <w:rPr>
                <w:sz w:val="16"/>
                <w:szCs w:val="16"/>
              </w:rPr>
              <w:t xml:space="preserve">Item #4: </w:t>
            </w:r>
            <w:r w:rsidRPr="0F6AB02C">
              <w:rPr>
                <w:rStyle w:val="normaltextrun"/>
                <w:rFonts w:ascii="Verdana" w:hAnsi="Verdana" w:cs="Segoe UI"/>
                <w:sz w:val="16"/>
                <w:szCs w:val="16"/>
              </w:rPr>
              <w:t>Investing in ‘readiness’ for the next large scale water supply</w:t>
            </w:r>
            <w:r w:rsidR="5A25B27C" w:rsidRPr="0F6AB02C">
              <w:rPr>
                <w:rStyle w:val="normaltextrun"/>
                <w:rFonts w:ascii="Verdana" w:hAnsi="Verdana" w:cs="Segoe UI"/>
                <w:sz w:val="16"/>
                <w:szCs w:val="16"/>
              </w:rPr>
              <w:t>.</w:t>
            </w:r>
          </w:p>
        </w:tc>
        <w:tc>
          <w:tcPr>
            <w:tcW w:w="10608" w:type="dxa"/>
          </w:tcPr>
          <w:p w14:paraId="749C9035" w14:textId="77777777" w:rsidR="002D42C1" w:rsidRPr="00DE108C" w:rsidRDefault="002D42C1">
            <w:pPr>
              <w:rPr>
                <w:b/>
                <w:bCs/>
                <w:sz w:val="16"/>
                <w:szCs w:val="16"/>
              </w:rPr>
            </w:pPr>
            <w:r w:rsidRPr="00DE108C">
              <w:rPr>
                <w:b/>
                <w:bCs/>
                <w:sz w:val="16"/>
                <w:szCs w:val="16"/>
              </w:rPr>
              <w:t>Addressed</w:t>
            </w:r>
          </w:p>
          <w:p w14:paraId="3555262F" w14:textId="3DEA06A4" w:rsidR="002D42C1" w:rsidRPr="00DE108C" w:rsidRDefault="002D42C1">
            <w:pPr>
              <w:rPr>
                <w:sz w:val="16"/>
                <w:szCs w:val="16"/>
              </w:rPr>
            </w:pPr>
            <w:r w:rsidRPr="69316898">
              <w:rPr>
                <w:rStyle w:val="normaltextrun"/>
                <w:rFonts w:ascii="Verdana" w:hAnsi="Verdana" w:cs="Segoe UI"/>
                <w:sz w:val="16"/>
                <w:szCs w:val="16"/>
              </w:rPr>
              <w:t>We have included $250</w:t>
            </w:r>
            <w:r w:rsidR="0A295D4B" w:rsidRPr="69316898">
              <w:rPr>
                <w:rStyle w:val="normaltextrun"/>
                <w:rFonts w:ascii="Verdana" w:hAnsi="Verdana" w:cs="Segoe UI"/>
                <w:sz w:val="16"/>
                <w:szCs w:val="16"/>
              </w:rPr>
              <w:t xml:space="preserve"> </w:t>
            </w:r>
            <w:r w:rsidR="03868A8B" w:rsidRPr="282541D0">
              <w:rPr>
                <w:rStyle w:val="normaltextrun"/>
                <w:rFonts w:ascii="Verdana" w:hAnsi="Verdana" w:cs="Segoe UI"/>
                <w:sz w:val="16"/>
                <w:szCs w:val="16"/>
              </w:rPr>
              <w:t>million</w:t>
            </w:r>
            <w:r w:rsidRPr="69316898">
              <w:rPr>
                <w:rStyle w:val="normaltextrun"/>
                <w:rFonts w:ascii="Verdana" w:hAnsi="Verdana" w:cs="Segoe UI"/>
                <w:sz w:val="16"/>
                <w:szCs w:val="16"/>
              </w:rPr>
              <w:t xml:space="preserve"> of early planning to determine a preferred combination of water supply options for the future and ‘no regrets’ development costs for water transfer and treatment projects that are required for the next large</w:t>
            </w:r>
            <w:r w:rsidR="2C21D303" w:rsidRPr="7D02A8F1">
              <w:rPr>
                <w:rStyle w:val="normaltextrun"/>
                <w:rFonts w:ascii="Verdana" w:hAnsi="Verdana" w:cs="Segoe UI"/>
                <w:sz w:val="16"/>
                <w:szCs w:val="16"/>
              </w:rPr>
              <w:t>-</w:t>
            </w:r>
            <w:r w:rsidRPr="69316898">
              <w:rPr>
                <w:rStyle w:val="normaltextrun"/>
                <w:rFonts w:ascii="Verdana" w:hAnsi="Verdana" w:cs="Segoe UI"/>
                <w:sz w:val="16"/>
                <w:szCs w:val="16"/>
              </w:rPr>
              <w:t>scale water supply</w:t>
            </w:r>
            <w:r w:rsidRPr="00DE108C">
              <w:rPr>
                <w:sz w:val="16"/>
                <w:szCs w:val="16"/>
              </w:rPr>
              <w:t>.</w:t>
            </w:r>
          </w:p>
        </w:tc>
      </w:tr>
      <w:tr w:rsidR="002D42C1" w:rsidRPr="00DE108C" w14:paraId="1949F140" w14:textId="77777777" w:rsidTr="00F43FAD">
        <w:tc>
          <w:tcPr>
            <w:tcW w:w="1583" w:type="dxa"/>
            <w:vMerge/>
            <w:shd w:val="clear" w:color="auto" w:fill="00428B" w:themeFill="text2"/>
          </w:tcPr>
          <w:p w14:paraId="7A47A267" w14:textId="77777777" w:rsidR="002D42C1" w:rsidRPr="00DE108C" w:rsidRDefault="002D42C1">
            <w:pPr>
              <w:rPr>
                <w:b/>
                <w:bCs/>
                <w:color w:val="FFFFFF" w:themeColor="background1"/>
                <w:sz w:val="16"/>
                <w:szCs w:val="16"/>
              </w:rPr>
            </w:pPr>
          </w:p>
        </w:tc>
        <w:tc>
          <w:tcPr>
            <w:tcW w:w="10170" w:type="dxa"/>
          </w:tcPr>
          <w:p w14:paraId="292E4AF9" w14:textId="5CDCED1D" w:rsidR="002D42C1" w:rsidRPr="00DE108C" w:rsidRDefault="002D42C1">
            <w:pPr>
              <w:rPr>
                <w:sz w:val="16"/>
                <w:szCs w:val="16"/>
              </w:rPr>
            </w:pPr>
            <w:r w:rsidRPr="00DE108C">
              <w:rPr>
                <w:sz w:val="16"/>
                <w:szCs w:val="16"/>
              </w:rPr>
              <w:t>Item #5: Simplify customer Outcomes, and make it clear which outcome relates to which customer cohort</w:t>
            </w:r>
            <w:r w:rsidR="75ADCAFD" w:rsidRPr="0F6AB02C">
              <w:rPr>
                <w:sz w:val="16"/>
                <w:szCs w:val="16"/>
              </w:rPr>
              <w:t>.</w:t>
            </w:r>
          </w:p>
        </w:tc>
        <w:tc>
          <w:tcPr>
            <w:tcW w:w="10608" w:type="dxa"/>
          </w:tcPr>
          <w:p w14:paraId="6FFEE82E" w14:textId="77777777" w:rsidR="002D42C1" w:rsidRPr="00DE108C" w:rsidRDefault="002D42C1">
            <w:pPr>
              <w:rPr>
                <w:b/>
                <w:bCs/>
                <w:sz w:val="16"/>
                <w:szCs w:val="16"/>
              </w:rPr>
            </w:pPr>
            <w:r w:rsidRPr="00DE108C">
              <w:rPr>
                <w:b/>
                <w:bCs/>
                <w:sz w:val="16"/>
                <w:szCs w:val="16"/>
              </w:rPr>
              <w:t>Addressed</w:t>
            </w:r>
          </w:p>
          <w:p w14:paraId="211E0F9E" w14:textId="4D4B3693" w:rsidR="002D42C1" w:rsidRPr="00DE108C" w:rsidRDefault="002D42C1">
            <w:pPr>
              <w:rPr>
                <w:sz w:val="16"/>
                <w:szCs w:val="16"/>
              </w:rPr>
            </w:pPr>
            <w:r w:rsidRPr="00DE108C">
              <w:rPr>
                <w:sz w:val="16"/>
                <w:szCs w:val="16"/>
              </w:rPr>
              <w:lastRenderedPageBreak/>
              <w:t>Our new Outcomes reflect our core business activities, customer cohorts and key costs and investments. W</w:t>
            </w:r>
            <w:r w:rsidR="007567D1" w:rsidRPr="00DE108C">
              <w:rPr>
                <w:sz w:val="16"/>
                <w:szCs w:val="16"/>
              </w:rPr>
              <w:t>p</w:t>
            </w:r>
            <w:r w:rsidRPr="00DE108C">
              <w:rPr>
                <w:sz w:val="16"/>
                <w:szCs w:val="16"/>
              </w:rPr>
              <w:t>W will be covered by Outcomes 1 and 5 and asked for feedback when Melbourne Water is assessing its performance against these Outcomes during the regulatory period.</w:t>
            </w:r>
          </w:p>
        </w:tc>
      </w:tr>
      <w:tr w:rsidR="00A5757A" w:rsidRPr="00DE108C" w14:paraId="638B0683" w14:textId="77777777" w:rsidTr="00F43FAD">
        <w:trPr>
          <w:cnfStyle w:val="000000010000" w:firstRow="0" w:lastRow="0" w:firstColumn="0" w:lastColumn="0" w:oddVBand="0" w:evenVBand="0" w:oddHBand="0" w:evenHBand="1" w:firstRowFirstColumn="0" w:firstRowLastColumn="0" w:lastRowFirstColumn="0" w:lastRowLastColumn="0"/>
        </w:trPr>
        <w:tc>
          <w:tcPr>
            <w:tcW w:w="1583" w:type="dxa"/>
            <w:shd w:val="clear" w:color="auto" w:fill="00428B" w:themeFill="text2"/>
          </w:tcPr>
          <w:p w14:paraId="44B8D75A" w14:textId="77777777" w:rsidR="002D42C1" w:rsidRPr="00DE108C" w:rsidRDefault="002D42C1">
            <w:pPr>
              <w:rPr>
                <w:b/>
                <w:bCs/>
                <w:color w:val="FFFFFF" w:themeColor="background1"/>
                <w:sz w:val="16"/>
                <w:szCs w:val="16"/>
              </w:rPr>
            </w:pPr>
            <w:r w:rsidRPr="00DE108C">
              <w:rPr>
                <w:b/>
                <w:bCs/>
                <w:color w:val="FFFFFF" w:themeColor="background1"/>
                <w:sz w:val="16"/>
                <w:szCs w:val="16"/>
              </w:rPr>
              <w:lastRenderedPageBreak/>
              <w:t xml:space="preserve">Key projects, actions and commitments </w:t>
            </w:r>
          </w:p>
        </w:tc>
        <w:tc>
          <w:tcPr>
            <w:tcW w:w="20778" w:type="dxa"/>
            <w:gridSpan w:val="2"/>
          </w:tcPr>
          <w:p w14:paraId="022A6CE5" w14:textId="77777777" w:rsidR="002D42C1" w:rsidRPr="00DE108C" w:rsidRDefault="002D42C1">
            <w:pPr>
              <w:rPr>
                <w:sz w:val="16"/>
                <w:szCs w:val="16"/>
              </w:rPr>
            </w:pPr>
            <w:r w:rsidRPr="00DE108C">
              <w:rPr>
                <w:sz w:val="16"/>
                <w:szCs w:val="16"/>
              </w:rPr>
              <w:t>In PS26, we are committing to:</w:t>
            </w:r>
          </w:p>
          <w:tbl>
            <w:tblPr>
              <w:tblStyle w:val="MW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6733"/>
              <w:gridCol w:w="6733"/>
              <w:gridCol w:w="6733"/>
            </w:tblGrid>
            <w:tr w:rsidR="002D42C1" w:rsidRPr="00DE108C" w14:paraId="1B0B29B2" w14:textId="77777777">
              <w:tc>
                <w:tcPr>
                  <w:tcW w:w="6733" w:type="dxa"/>
                </w:tcPr>
                <w:p w14:paraId="30A02E76" w14:textId="77777777" w:rsidR="002D42C1" w:rsidRPr="00DE108C" w:rsidRDefault="002D42C1" w:rsidP="00C05BDA">
                  <w:pPr>
                    <w:pStyle w:val="Tablebullet"/>
                  </w:pPr>
                  <w:r w:rsidRPr="00DE108C">
                    <w:t>Collaborative planning</w:t>
                  </w:r>
                </w:p>
                <w:p w14:paraId="0C23313A" w14:textId="77777777" w:rsidR="002D42C1" w:rsidRPr="00DE108C" w:rsidRDefault="002D42C1" w:rsidP="00C05BDA">
                  <w:pPr>
                    <w:pStyle w:val="Tablebullet"/>
                  </w:pPr>
                  <w:r w:rsidRPr="00DE108C">
                    <w:t>Updating and modernising our Bulk Supply Agreements</w:t>
                  </w:r>
                </w:p>
              </w:tc>
              <w:tc>
                <w:tcPr>
                  <w:tcW w:w="6733" w:type="dxa"/>
                </w:tcPr>
                <w:p w14:paraId="3D2425B5" w14:textId="77777777" w:rsidR="002D42C1" w:rsidRPr="00DE108C" w:rsidRDefault="002D42C1" w:rsidP="00C05BDA">
                  <w:pPr>
                    <w:pStyle w:val="Tablebullet"/>
                  </w:pPr>
                  <w:r w:rsidRPr="00DE108C">
                    <w:t>Tracking our performance against a new water security measure</w:t>
                  </w:r>
                </w:p>
              </w:tc>
              <w:tc>
                <w:tcPr>
                  <w:tcW w:w="6733" w:type="dxa"/>
                </w:tcPr>
                <w:p w14:paraId="2EC76DF7" w14:textId="77777777" w:rsidR="002D42C1" w:rsidRPr="00DE108C" w:rsidRDefault="002D42C1" w:rsidP="00C05BDA">
                  <w:pPr>
                    <w:pStyle w:val="Tablebullet"/>
                  </w:pPr>
                  <w:r w:rsidRPr="00DE108C">
                    <w:t>Price smoothing</w:t>
                  </w:r>
                </w:p>
                <w:p w14:paraId="2BE2134D" w14:textId="7D3211DF" w:rsidR="002D42C1" w:rsidRPr="00B93FC7" w:rsidRDefault="002D42C1" w:rsidP="00C05BDA">
                  <w:pPr>
                    <w:pStyle w:val="Tablebullet"/>
                  </w:pPr>
                  <w:r w:rsidRPr="00DE108C">
                    <w:t>Fair tariff reforms</w:t>
                  </w:r>
                </w:p>
              </w:tc>
            </w:tr>
          </w:tbl>
          <w:p w14:paraId="164B5866" w14:textId="77777777" w:rsidR="002D42C1" w:rsidRPr="00DE108C" w:rsidRDefault="002D42C1">
            <w:pPr>
              <w:rPr>
                <w:b/>
                <w:bCs/>
                <w:sz w:val="16"/>
                <w:szCs w:val="16"/>
              </w:rPr>
            </w:pPr>
          </w:p>
        </w:tc>
      </w:tr>
      <w:tr w:rsidR="002D42C1" w:rsidRPr="00DE108C" w14:paraId="18F2924A" w14:textId="77777777" w:rsidTr="00F43FAD">
        <w:tc>
          <w:tcPr>
            <w:tcW w:w="1583" w:type="dxa"/>
            <w:vMerge w:val="restart"/>
            <w:shd w:val="clear" w:color="auto" w:fill="00428B" w:themeFill="text2"/>
          </w:tcPr>
          <w:p w14:paraId="6785B80A" w14:textId="77777777" w:rsidR="002D42C1" w:rsidRPr="00DE108C" w:rsidRDefault="002D42C1">
            <w:pPr>
              <w:rPr>
                <w:b/>
                <w:bCs/>
                <w:color w:val="FFFFFF" w:themeColor="background1"/>
                <w:sz w:val="16"/>
                <w:szCs w:val="16"/>
              </w:rPr>
            </w:pPr>
            <w:r w:rsidRPr="00DE108C">
              <w:rPr>
                <w:b/>
                <w:bCs/>
                <w:color w:val="FFFFFF" w:themeColor="background1"/>
                <w:sz w:val="16"/>
                <w:szCs w:val="16"/>
              </w:rPr>
              <w:t>Prices and bill impacts – how our prices impact you and your customers</w:t>
            </w:r>
          </w:p>
        </w:tc>
        <w:tc>
          <w:tcPr>
            <w:tcW w:w="10170" w:type="dxa"/>
            <w:shd w:val="clear" w:color="auto" w:fill="00428B" w:themeFill="text2"/>
          </w:tcPr>
          <w:p w14:paraId="0FF2396B" w14:textId="77777777" w:rsidR="002D42C1" w:rsidRPr="00DE108C" w:rsidRDefault="002D42C1">
            <w:pPr>
              <w:rPr>
                <w:b/>
                <w:bCs/>
                <w:color w:val="FFFFFF" w:themeColor="background1"/>
                <w:sz w:val="16"/>
                <w:szCs w:val="16"/>
              </w:rPr>
            </w:pPr>
            <w:r w:rsidRPr="00DE108C">
              <w:rPr>
                <w:b/>
                <w:bCs/>
                <w:color w:val="FFFFFF" w:themeColor="background1"/>
                <w:sz w:val="16"/>
                <w:szCs w:val="16"/>
              </w:rPr>
              <w:t>Bulk charges impact</w:t>
            </w:r>
          </w:p>
        </w:tc>
        <w:tc>
          <w:tcPr>
            <w:tcW w:w="10608" w:type="dxa"/>
            <w:shd w:val="clear" w:color="auto" w:fill="00428B" w:themeFill="text2"/>
          </w:tcPr>
          <w:p w14:paraId="5A9172EB" w14:textId="65AF2C75" w:rsidR="002D42C1" w:rsidRPr="00DE108C" w:rsidRDefault="002D42C1">
            <w:pPr>
              <w:rPr>
                <w:b/>
                <w:bCs/>
                <w:color w:val="FFFFFF" w:themeColor="background1"/>
                <w:sz w:val="16"/>
                <w:szCs w:val="16"/>
              </w:rPr>
            </w:pPr>
            <w:r w:rsidRPr="00DE108C">
              <w:rPr>
                <w:b/>
                <w:bCs/>
                <w:color w:val="FFFFFF" w:themeColor="background1"/>
                <w:sz w:val="16"/>
                <w:szCs w:val="16"/>
              </w:rPr>
              <w:t>End</w:t>
            </w:r>
            <w:r w:rsidR="15CD3AF7" w:rsidRPr="1BB6A249">
              <w:rPr>
                <w:b/>
                <w:bCs/>
                <w:color w:val="FFFFFF" w:themeColor="background1"/>
                <w:sz w:val="16"/>
                <w:szCs w:val="16"/>
              </w:rPr>
              <w:t>-</w:t>
            </w:r>
            <w:r w:rsidRPr="00DE108C">
              <w:rPr>
                <w:b/>
                <w:bCs/>
                <w:color w:val="FFFFFF" w:themeColor="background1"/>
                <w:sz w:val="16"/>
                <w:szCs w:val="16"/>
              </w:rPr>
              <w:t>use customer bill impact</w:t>
            </w:r>
          </w:p>
        </w:tc>
      </w:tr>
      <w:tr w:rsidR="005421B4" w:rsidRPr="00DE108C" w14:paraId="4F9B12B4" w14:textId="77777777" w:rsidTr="00F43FAD">
        <w:trPr>
          <w:cnfStyle w:val="000000010000" w:firstRow="0" w:lastRow="0" w:firstColumn="0" w:lastColumn="0" w:oddVBand="0" w:evenVBand="0" w:oddHBand="0" w:evenHBand="1" w:firstRowFirstColumn="0" w:firstRowLastColumn="0" w:lastRowFirstColumn="0" w:lastRowLastColumn="0"/>
        </w:trPr>
        <w:tc>
          <w:tcPr>
            <w:tcW w:w="1583" w:type="dxa"/>
            <w:vMerge/>
            <w:shd w:val="clear" w:color="auto" w:fill="00428B" w:themeFill="text2"/>
          </w:tcPr>
          <w:p w14:paraId="2CE2F075" w14:textId="77777777" w:rsidR="002D42C1" w:rsidRPr="00DE108C" w:rsidRDefault="002D42C1" w:rsidP="00ED094E">
            <w:pPr>
              <w:rPr>
                <w:b/>
                <w:bCs/>
                <w:color w:val="FFFFFF" w:themeColor="background1"/>
                <w:sz w:val="16"/>
                <w:szCs w:val="16"/>
              </w:rPr>
            </w:pPr>
          </w:p>
        </w:tc>
        <w:tc>
          <w:tcPr>
            <w:tcW w:w="10170" w:type="dxa"/>
          </w:tcPr>
          <w:p w14:paraId="192F8E99" w14:textId="280229DE" w:rsidR="002D42C1" w:rsidRPr="00DE108C" w:rsidRDefault="002D42C1" w:rsidP="00ED094E">
            <w:pPr>
              <w:rPr>
                <w:sz w:val="16"/>
                <w:szCs w:val="16"/>
              </w:rPr>
            </w:pPr>
            <w:r w:rsidRPr="00DE108C">
              <w:rPr>
                <w:sz w:val="16"/>
                <w:szCs w:val="16"/>
              </w:rPr>
              <w:t xml:space="preserve">Forecast total Melbourne Water bulk charges (excludes desalination orders), in </w:t>
            </w:r>
            <w:r w:rsidR="00054EAF">
              <w:rPr>
                <w:sz w:val="16"/>
                <w:szCs w:val="16"/>
              </w:rPr>
              <w:t xml:space="preserve">$millions, </w:t>
            </w:r>
            <w:r w:rsidR="00054EAF" w:rsidRPr="00CF6652">
              <w:rPr>
                <w:sz w:val="16"/>
                <w:szCs w:val="16"/>
              </w:rPr>
              <w:t>real 20</w:t>
            </w:r>
            <w:r w:rsidR="00054EAF">
              <w:rPr>
                <w:sz w:val="16"/>
                <w:szCs w:val="16"/>
              </w:rPr>
              <w:t>25-</w:t>
            </w:r>
            <w:r w:rsidR="00054EAF" w:rsidRPr="00CF6652">
              <w:rPr>
                <w:sz w:val="16"/>
                <w:szCs w:val="16"/>
              </w:rPr>
              <w:t>26</w:t>
            </w:r>
            <w:r w:rsidRPr="00DE108C">
              <w:rPr>
                <w:sz w:val="16"/>
                <w:szCs w:val="16"/>
              </w:rPr>
              <w:t xml:space="preserve"> (before inflation):</w:t>
            </w:r>
            <w:r w:rsidR="008C46DF">
              <w:rPr>
                <w:sz w:val="16"/>
                <w:szCs w:val="16"/>
              </w:rPr>
              <w:t xml:space="preserve"> </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1335"/>
              <w:gridCol w:w="1335"/>
              <w:gridCol w:w="1335"/>
              <w:gridCol w:w="1335"/>
              <w:gridCol w:w="1335"/>
              <w:gridCol w:w="1335"/>
            </w:tblGrid>
            <w:tr w:rsidR="002D42C1" w:rsidRPr="00DE108C" w14:paraId="2EE32BE1" w14:textId="77777777" w:rsidTr="00097A90">
              <w:trPr>
                <w:trHeight w:val="300"/>
              </w:trPr>
              <w:tc>
                <w:tcPr>
                  <w:tcW w:w="1335" w:type="dxa"/>
                  <w:tcBorders>
                    <w:top w:val="single" w:sz="6" w:space="0" w:color="4EC6FF"/>
                    <w:left w:val="nil"/>
                    <w:bottom w:val="single" w:sz="6" w:space="0" w:color="4EC6FF"/>
                    <w:right w:val="nil"/>
                  </w:tcBorders>
                  <w:hideMark/>
                </w:tcPr>
                <w:p w14:paraId="507E521B" w14:textId="6ABC160E" w:rsidR="002D42C1" w:rsidRPr="00DE108C" w:rsidRDefault="002D42C1" w:rsidP="00ED094E">
                  <w:pPr>
                    <w:spacing w:before="60" w:after="60"/>
                    <w:rPr>
                      <w:sz w:val="16"/>
                      <w:szCs w:val="16"/>
                    </w:rPr>
                  </w:pPr>
                  <w:r w:rsidRPr="00DE108C">
                    <w:rPr>
                      <w:b/>
                      <w:bCs/>
                      <w:sz w:val="16"/>
                      <w:szCs w:val="16"/>
                    </w:rPr>
                    <w:t>Rev</w:t>
                  </w:r>
                  <w:r w:rsidR="008C46DF">
                    <w:rPr>
                      <w:b/>
                      <w:bCs/>
                      <w:sz w:val="16"/>
                      <w:szCs w:val="16"/>
                    </w:rPr>
                    <w:t xml:space="preserve"> </w:t>
                  </w:r>
                </w:p>
              </w:tc>
              <w:tc>
                <w:tcPr>
                  <w:tcW w:w="1335" w:type="dxa"/>
                  <w:tcBorders>
                    <w:top w:val="single" w:sz="6" w:space="0" w:color="4EC6FF"/>
                    <w:left w:val="nil"/>
                    <w:bottom w:val="single" w:sz="6" w:space="0" w:color="4EC6FF"/>
                    <w:right w:val="nil"/>
                  </w:tcBorders>
                  <w:hideMark/>
                </w:tcPr>
                <w:p w14:paraId="1920BD70" w14:textId="443734B9" w:rsidR="002D42C1" w:rsidRPr="00DE108C" w:rsidRDefault="002D42C1" w:rsidP="00097A90">
                  <w:pPr>
                    <w:spacing w:before="60" w:after="60"/>
                    <w:jc w:val="center"/>
                    <w:rPr>
                      <w:sz w:val="16"/>
                      <w:szCs w:val="16"/>
                    </w:rPr>
                  </w:pPr>
                  <w:r w:rsidRPr="00DE108C">
                    <w:rPr>
                      <w:b/>
                      <w:bCs/>
                      <w:sz w:val="16"/>
                      <w:szCs w:val="16"/>
                    </w:rPr>
                    <w:t>2025-26</w:t>
                  </w:r>
                </w:p>
              </w:tc>
              <w:tc>
                <w:tcPr>
                  <w:tcW w:w="1335" w:type="dxa"/>
                  <w:tcBorders>
                    <w:top w:val="single" w:sz="6" w:space="0" w:color="4EC6FF"/>
                    <w:left w:val="nil"/>
                    <w:bottom w:val="single" w:sz="6" w:space="0" w:color="4EC6FF"/>
                    <w:right w:val="nil"/>
                  </w:tcBorders>
                  <w:hideMark/>
                </w:tcPr>
                <w:p w14:paraId="18102D2F" w14:textId="1B655884" w:rsidR="002D42C1" w:rsidRPr="00DE108C" w:rsidRDefault="002D42C1" w:rsidP="00097A90">
                  <w:pPr>
                    <w:spacing w:before="60" w:after="60"/>
                    <w:jc w:val="center"/>
                    <w:rPr>
                      <w:sz w:val="16"/>
                      <w:szCs w:val="16"/>
                    </w:rPr>
                  </w:pPr>
                  <w:r w:rsidRPr="00DE108C">
                    <w:rPr>
                      <w:b/>
                      <w:bCs/>
                      <w:sz w:val="16"/>
                      <w:szCs w:val="16"/>
                    </w:rPr>
                    <w:t>2026-27</w:t>
                  </w:r>
                </w:p>
              </w:tc>
              <w:tc>
                <w:tcPr>
                  <w:tcW w:w="1335" w:type="dxa"/>
                  <w:tcBorders>
                    <w:top w:val="single" w:sz="6" w:space="0" w:color="4EC6FF"/>
                    <w:left w:val="nil"/>
                    <w:bottom w:val="single" w:sz="6" w:space="0" w:color="4EC6FF"/>
                    <w:right w:val="nil"/>
                  </w:tcBorders>
                  <w:hideMark/>
                </w:tcPr>
                <w:p w14:paraId="3FA22018" w14:textId="47EC2FA5" w:rsidR="002D42C1" w:rsidRPr="00DE108C" w:rsidRDefault="002D42C1" w:rsidP="00097A90">
                  <w:pPr>
                    <w:spacing w:before="60" w:after="60"/>
                    <w:jc w:val="center"/>
                    <w:rPr>
                      <w:sz w:val="16"/>
                      <w:szCs w:val="16"/>
                    </w:rPr>
                  </w:pPr>
                  <w:r w:rsidRPr="00DE108C">
                    <w:rPr>
                      <w:b/>
                      <w:bCs/>
                      <w:sz w:val="16"/>
                      <w:szCs w:val="16"/>
                    </w:rPr>
                    <w:t>2027-28</w:t>
                  </w:r>
                </w:p>
              </w:tc>
              <w:tc>
                <w:tcPr>
                  <w:tcW w:w="1335" w:type="dxa"/>
                  <w:tcBorders>
                    <w:top w:val="single" w:sz="6" w:space="0" w:color="4EC6FF"/>
                    <w:left w:val="nil"/>
                    <w:bottom w:val="single" w:sz="6" w:space="0" w:color="4EC6FF"/>
                    <w:right w:val="nil"/>
                  </w:tcBorders>
                  <w:hideMark/>
                </w:tcPr>
                <w:p w14:paraId="49B5FF27" w14:textId="754E06BD" w:rsidR="002D42C1" w:rsidRPr="00DE108C" w:rsidRDefault="002D42C1" w:rsidP="00097A90">
                  <w:pPr>
                    <w:spacing w:before="60" w:after="60"/>
                    <w:jc w:val="center"/>
                    <w:rPr>
                      <w:sz w:val="16"/>
                      <w:szCs w:val="16"/>
                    </w:rPr>
                  </w:pPr>
                  <w:r w:rsidRPr="00DE108C">
                    <w:rPr>
                      <w:b/>
                      <w:bCs/>
                      <w:sz w:val="16"/>
                      <w:szCs w:val="16"/>
                    </w:rPr>
                    <w:t>2028-29</w:t>
                  </w:r>
                </w:p>
              </w:tc>
              <w:tc>
                <w:tcPr>
                  <w:tcW w:w="1335" w:type="dxa"/>
                  <w:tcBorders>
                    <w:top w:val="single" w:sz="6" w:space="0" w:color="4EC6FF"/>
                    <w:left w:val="nil"/>
                    <w:bottom w:val="single" w:sz="6" w:space="0" w:color="4EC6FF"/>
                    <w:right w:val="nil"/>
                  </w:tcBorders>
                  <w:hideMark/>
                </w:tcPr>
                <w:p w14:paraId="660A4B1D" w14:textId="467B5928" w:rsidR="002D42C1" w:rsidRPr="00DE108C" w:rsidRDefault="002D42C1" w:rsidP="00097A90">
                  <w:pPr>
                    <w:spacing w:before="60" w:after="60"/>
                    <w:jc w:val="center"/>
                    <w:rPr>
                      <w:sz w:val="16"/>
                      <w:szCs w:val="16"/>
                    </w:rPr>
                  </w:pPr>
                  <w:r w:rsidRPr="00DE108C">
                    <w:rPr>
                      <w:b/>
                      <w:bCs/>
                      <w:sz w:val="16"/>
                      <w:szCs w:val="16"/>
                    </w:rPr>
                    <w:t>2029-30</w:t>
                  </w:r>
                </w:p>
              </w:tc>
              <w:tc>
                <w:tcPr>
                  <w:tcW w:w="1335" w:type="dxa"/>
                  <w:tcBorders>
                    <w:top w:val="single" w:sz="6" w:space="0" w:color="4EC6FF"/>
                    <w:left w:val="nil"/>
                    <w:bottom w:val="single" w:sz="6" w:space="0" w:color="4EC6FF"/>
                    <w:right w:val="nil"/>
                  </w:tcBorders>
                  <w:hideMark/>
                </w:tcPr>
                <w:p w14:paraId="33F09078" w14:textId="0D773155" w:rsidR="002D42C1" w:rsidRPr="00DE108C" w:rsidRDefault="002D42C1" w:rsidP="00097A90">
                  <w:pPr>
                    <w:spacing w:before="60" w:after="60"/>
                    <w:jc w:val="center"/>
                    <w:rPr>
                      <w:sz w:val="16"/>
                      <w:szCs w:val="16"/>
                    </w:rPr>
                  </w:pPr>
                  <w:r w:rsidRPr="00DE108C">
                    <w:rPr>
                      <w:b/>
                      <w:bCs/>
                      <w:sz w:val="16"/>
                      <w:szCs w:val="16"/>
                    </w:rPr>
                    <w:t>2030-31</w:t>
                  </w:r>
                </w:p>
              </w:tc>
            </w:tr>
            <w:tr w:rsidR="002D42C1" w:rsidRPr="00DE108C" w14:paraId="4388D896" w14:textId="77777777" w:rsidTr="00097A90">
              <w:trPr>
                <w:trHeight w:val="300"/>
              </w:trPr>
              <w:tc>
                <w:tcPr>
                  <w:tcW w:w="1335" w:type="dxa"/>
                  <w:tcBorders>
                    <w:top w:val="single" w:sz="6" w:space="0" w:color="4EC6FF"/>
                    <w:left w:val="nil"/>
                    <w:bottom w:val="single" w:sz="6" w:space="0" w:color="4EC6FF"/>
                    <w:right w:val="nil"/>
                  </w:tcBorders>
                  <w:hideMark/>
                </w:tcPr>
                <w:p w14:paraId="5C1719DF" w14:textId="40C248BA"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7D48769F" w14:textId="32FCE3EE" w:rsidR="002D42C1" w:rsidRPr="00DE108C" w:rsidRDefault="002D42C1" w:rsidP="00097A90">
                  <w:pPr>
                    <w:spacing w:before="60" w:after="60"/>
                    <w:jc w:val="center"/>
                    <w:rPr>
                      <w:sz w:val="16"/>
                      <w:szCs w:val="16"/>
                    </w:rPr>
                  </w:pPr>
                  <w:r w:rsidRPr="00DE108C">
                    <w:rPr>
                      <w:sz w:val="16"/>
                      <w:szCs w:val="16"/>
                    </w:rPr>
                    <w:t>394</w:t>
                  </w:r>
                </w:p>
              </w:tc>
              <w:tc>
                <w:tcPr>
                  <w:tcW w:w="1335" w:type="dxa"/>
                  <w:tcBorders>
                    <w:top w:val="single" w:sz="6" w:space="0" w:color="4EC6FF"/>
                    <w:left w:val="nil"/>
                    <w:bottom w:val="single" w:sz="6" w:space="0" w:color="4EC6FF"/>
                    <w:right w:val="nil"/>
                  </w:tcBorders>
                  <w:vAlign w:val="center"/>
                  <w:hideMark/>
                </w:tcPr>
                <w:p w14:paraId="5FFBA034" w14:textId="4747C3BA" w:rsidR="002D42C1" w:rsidRPr="00DE108C" w:rsidRDefault="002D42C1" w:rsidP="00097A90">
                  <w:pPr>
                    <w:spacing w:before="60" w:after="60"/>
                    <w:jc w:val="center"/>
                    <w:rPr>
                      <w:sz w:val="16"/>
                      <w:szCs w:val="16"/>
                    </w:rPr>
                  </w:pPr>
                  <w:r w:rsidRPr="00DE108C">
                    <w:rPr>
                      <w:sz w:val="16"/>
                      <w:szCs w:val="16"/>
                    </w:rPr>
                    <w:t>405</w:t>
                  </w:r>
                </w:p>
              </w:tc>
              <w:tc>
                <w:tcPr>
                  <w:tcW w:w="1335" w:type="dxa"/>
                  <w:tcBorders>
                    <w:top w:val="single" w:sz="6" w:space="0" w:color="4EC6FF"/>
                    <w:left w:val="nil"/>
                    <w:bottom w:val="single" w:sz="6" w:space="0" w:color="4EC6FF"/>
                    <w:right w:val="nil"/>
                  </w:tcBorders>
                  <w:vAlign w:val="center"/>
                  <w:hideMark/>
                </w:tcPr>
                <w:p w14:paraId="533DE134" w14:textId="71A8E4FD" w:rsidR="002D42C1" w:rsidRPr="00DE108C" w:rsidRDefault="00097A90" w:rsidP="00097A90">
                  <w:pPr>
                    <w:spacing w:before="60" w:after="60"/>
                    <w:jc w:val="center"/>
                    <w:rPr>
                      <w:sz w:val="16"/>
                      <w:szCs w:val="16"/>
                    </w:rPr>
                  </w:pPr>
                  <w:r w:rsidRPr="00C92A0B">
                    <w:rPr>
                      <w:sz w:val="16"/>
                      <w:szCs w:val="16"/>
                    </w:rPr>
                    <w:t>426</w:t>
                  </w:r>
                </w:p>
              </w:tc>
              <w:tc>
                <w:tcPr>
                  <w:tcW w:w="1335" w:type="dxa"/>
                  <w:tcBorders>
                    <w:top w:val="single" w:sz="6" w:space="0" w:color="4EC6FF"/>
                    <w:left w:val="nil"/>
                    <w:bottom w:val="single" w:sz="6" w:space="0" w:color="4EC6FF"/>
                    <w:right w:val="nil"/>
                  </w:tcBorders>
                  <w:vAlign w:val="center"/>
                  <w:hideMark/>
                </w:tcPr>
                <w:p w14:paraId="07F55A77" w14:textId="1643A463" w:rsidR="002D42C1" w:rsidRPr="00DE108C" w:rsidRDefault="00097A90" w:rsidP="00097A90">
                  <w:pPr>
                    <w:spacing w:before="60" w:after="60"/>
                    <w:jc w:val="center"/>
                    <w:rPr>
                      <w:sz w:val="16"/>
                      <w:szCs w:val="16"/>
                    </w:rPr>
                  </w:pPr>
                  <w:r w:rsidRPr="0091606C">
                    <w:rPr>
                      <w:sz w:val="16"/>
                      <w:szCs w:val="16"/>
                    </w:rPr>
                    <w:t>444</w:t>
                  </w:r>
                </w:p>
              </w:tc>
              <w:tc>
                <w:tcPr>
                  <w:tcW w:w="1335" w:type="dxa"/>
                  <w:tcBorders>
                    <w:top w:val="single" w:sz="6" w:space="0" w:color="4EC6FF"/>
                    <w:left w:val="nil"/>
                    <w:bottom w:val="single" w:sz="6" w:space="0" w:color="4EC6FF"/>
                    <w:right w:val="nil"/>
                  </w:tcBorders>
                  <w:vAlign w:val="center"/>
                  <w:hideMark/>
                </w:tcPr>
                <w:p w14:paraId="6A9C4126" w14:textId="534DB695" w:rsidR="002D42C1" w:rsidRPr="00DE108C" w:rsidRDefault="002D42C1" w:rsidP="00097A90">
                  <w:pPr>
                    <w:spacing w:before="60" w:after="60"/>
                    <w:jc w:val="center"/>
                    <w:rPr>
                      <w:sz w:val="16"/>
                      <w:szCs w:val="16"/>
                    </w:rPr>
                  </w:pPr>
                  <w:r w:rsidRPr="00DE108C">
                    <w:rPr>
                      <w:sz w:val="16"/>
                      <w:szCs w:val="16"/>
                    </w:rPr>
                    <w:t>463</w:t>
                  </w:r>
                </w:p>
              </w:tc>
              <w:tc>
                <w:tcPr>
                  <w:tcW w:w="1335" w:type="dxa"/>
                  <w:tcBorders>
                    <w:top w:val="single" w:sz="6" w:space="0" w:color="4EC6FF"/>
                    <w:left w:val="nil"/>
                    <w:bottom w:val="single" w:sz="6" w:space="0" w:color="4EC6FF"/>
                    <w:right w:val="nil"/>
                  </w:tcBorders>
                  <w:vAlign w:val="center"/>
                  <w:hideMark/>
                </w:tcPr>
                <w:p w14:paraId="077C384F" w14:textId="418D74D1" w:rsidR="002D42C1" w:rsidRPr="00DE108C" w:rsidRDefault="00097A90" w:rsidP="00097A90">
                  <w:pPr>
                    <w:spacing w:before="60" w:after="60"/>
                    <w:jc w:val="center"/>
                    <w:rPr>
                      <w:sz w:val="16"/>
                      <w:szCs w:val="16"/>
                    </w:rPr>
                  </w:pPr>
                  <w:r w:rsidRPr="0091606C">
                    <w:rPr>
                      <w:sz w:val="16"/>
                      <w:szCs w:val="16"/>
                    </w:rPr>
                    <w:t>481</w:t>
                  </w:r>
                </w:p>
              </w:tc>
            </w:tr>
            <w:tr w:rsidR="002D42C1" w:rsidRPr="00DE108C" w14:paraId="148F5783" w14:textId="77777777" w:rsidTr="00097A90">
              <w:trPr>
                <w:trHeight w:val="300"/>
              </w:trPr>
              <w:tc>
                <w:tcPr>
                  <w:tcW w:w="1335" w:type="dxa"/>
                  <w:tcBorders>
                    <w:top w:val="single" w:sz="6" w:space="0" w:color="4EC6FF"/>
                    <w:left w:val="nil"/>
                    <w:bottom w:val="single" w:sz="6" w:space="0" w:color="4EC6FF"/>
                    <w:right w:val="nil"/>
                  </w:tcBorders>
                  <w:hideMark/>
                </w:tcPr>
                <w:p w14:paraId="73E9BA92" w14:textId="05B3F7F0"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68A76933" w14:textId="7B90E0C5" w:rsidR="002D42C1" w:rsidRPr="00DE108C" w:rsidRDefault="002D42C1" w:rsidP="00097A90">
                  <w:pPr>
                    <w:spacing w:before="60" w:after="60"/>
                    <w:jc w:val="center"/>
                    <w:rPr>
                      <w:sz w:val="16"/>
                      <w:szCs w:val="16"/>
                    </w:rPr>
                  </w:pPr>
                  <w:r w:rsidRPr="00DE108C">
                    <w:rPr>
                      <w:sz w:val="16"/>
                      <w:szCs w:val="16"/>
                    </w:rPr>
                    <w:t>572</w:t>
                  </w:r>
                </w:p>
              </w:tc>
              <w:tc>
                <w:tcPr>
                  <w:tcW w:w="1335" w:type="dxa"/>
                  <w:tcBorders>
                    <w:top w:val="single" w:sz="6" w:space="0" w:color="4EC6FF"/>
                    <w:left w:val="nil"/>
                    <w:bottom w:val="single" w:sz="6" w:space="0" w:color="4EC6FF"/>
                    <w:right w:val="nil"/>
                  </w:tcBorders>
                  <w:vAlign w:val="center"/>
                  <w:hideMark/>
                </w:tcPr>
                <w:p w14:paraId="797BB499" w14:textId="601C2F1C" w:rsidR="002D42C1" w:rsidRPr="00DE108C" w:rsidRDefault="002D42C1" w:rsidP="00097A90">
                  <w:pPr>
                    <w:spacing w:before="60" w:after="60"/>
                    <w:jc w:val="center"/>
                    <w:rPr>
                      <w:sz w:val="16"/>
                      <w:szCs w:val="16"/>
                    </w:rPr>
                  </w:pPr>
                  <w:r w:rsidRPr="00DE108C">
                    <w:rPr>
                      <w:sz w:val="16"/>
                      <w:szCs w:val="16"/>
                    </w:rPr>
                    <w:t>581</w:t>
                  </w:r>
                </w:p>
              </w:tc>
              <w:tc>
                <w:tcPr>
                  <w:tcW w:w="1335" w:type="dxa"/>
                  <w:tcBorders>
                    <w:top w:val="single" w:sz="6" w:space="0" w:color="4EC6FF"/>
                    <w:left w:val="nil"/>
                    <w:bottom w:val="single" w:sz="6" w:space="0" w:color="4EC6FF"/>
                    <w:right w:val="nil"/>
                  </w:tcBorders>
                  <w:vAlign w:val="center"/>
                  <w:hideMark/>
                </w:tcPr>
                <w:p w14:paraId="19CC4114" w14:textId="50221B25" w:rsidR="002D42C1" w:rsidRPr="00DE108C" w:rsidRDefault="00097A90" w:rsidP="00097A90">
                  <w:pPr>
                    <w:spacing w:before="60" w:after="60"/>
                    <w:jc w:val="center"/>
                    <w:rPr>
                      <w:sz w:val="16"/>
                      <w:szCs w:val="16"/>
                    </w:rPr>
                  </w:pPr>
                  <w:r w:rsidRPr="00C92A0B">
                    <w:rPr>
                      <w:sz w:val="16"/>
                      <w:szCs w:val="16"/>
                    </w:rPr>
                    <w:t>605</w:t>
                  </w:r>
                </w:p>
              </w:tc>
              <w:tc>
                <w:tcPr>
                  <w:tcW w:w="1335" w:type="dxa"/>
                  <w:tcBorders>
                    <w:top w:val="single" w:sz="6" w:space="0" w:color="4EC6FF"/>
                    <w:left w:val="nil"/>
                    <w:bottom w:val="single" w:sz="6" w:space="0" w:color="4EC6FF"/>
                    <w:right w:val="nil"/>
                  </w:tcBorders>
                  <w:vAlign w:val="center"/>
                  <w:hideMark/>
                </w:tcPr>
                <w:p w14:paraId="4BE95A88" w14:textId="6ADC0FEB" w:rsidR="002D42C1" w:rsidRPr="00DE108C" w:rsidRDefault="00097A90" w:rsidP="00097A90">
                  <w:pPr>
                    <w:spacing w:before="60" w:after="60"/>
                    <w:jc w:val="center"/>
                    <w:rPr>
                      <w:sz w:val="16"/>
                      <w:szCs w:val="16"/>
                    </w:rPr>
                  </w:pPr>
                  <w:r w:rsidRPr="0091606C">
                    <w:rPr>
                      <w:sz w:val="16"/>
                      <w:szCs w:val="16"/>
                    </w:rPr>
                    <w:t>615</w:t>
                  </w:r>
                </w:p>
              </w:tc>
              <w:tc>
                <w:tcPr>
                  <w:tcW w:w="1335" w:type="dxa"/>
                  <w:tcBorders>
                    <w:top w:val="single" w:sz="6" w:space="0" w:color="4EC6FF"/>
                    <w:left w:val="nil"/>
                    <w:bottom w:val="single" w:sz="6" w:space="0" w:color="4EC6FF"/>
                    <w:right w:val="nil"/>
                  </w:tcBorders>
                  <w:vAlign w:val="center"/>
                  <w:hideMark/>
                </w:tcPr>
                <w:p w14:paraId="5242EB12" w14:textId="316109F3" w:rsidR="002D42C1" w:rsidRPr="00DE108C" w:rsidRDefault="002D42C1" w:rsidP="00097A90">
                  <w:pPr>
                    <w:spacing w:before="60" w:after="60"/>
                    <w:jc w:val="center"/>
                    <w:rPr>
                      <w:sz w:val="16"/>
                      <w:szCs w:val="16"/>
                    </w:rPr>
                  </w:pPr>
                  <w:r w:rsidRPr="00DE108C">
                    <w:rPr>
                      <w:sz w:val="16"/>
                      <w:szCs w:val="16"/>
                    </w:rPr>
                    <w:t>626</w:t>
                  </w:r>
                </w:p>
              </w:tc>
              <w:tc>
                <w:tcPr>
                  <w:tcW w:w="1335" w:type="dxa"/>
                  <w:tcBorders>
                    <w:top w:val="single" w:sz="6" w:space="0" w:color="4EC6FF"/>
                    <w:left w:val="nil"/>
                    <w:bottom w:val="single" w:sz="6" w:space="0" w:color="4EC6FF"/>
                    <w:right w:val="nil"/>
                  </w:tcBorders>
                  <w:vAlign w:val="center"/>
                  <w:hideMark/>
                </w:tcPr>
                <w:p w14:paraId="6C40FF4E" w14:textId="681B6127" w:rsidR="002D42C1" w:rsidRPr="00DE108C" w:rsidRDefault="00097A90" w:rsidP="00097A90">
                  <w:pPr>
                    <w:spacing w:before="60" w:after="60"/>
                    <w:jc w:val="center"/>
                    <w:rPr>
                      <w:sz w:val="16"/>
                      <w:szCs w:val="16"/>
                    </w:rPr>
                  </w:pPr>
                  <w:r w:rsidRPr="00C92A0B">
                    <w:rPr>
                      <w:sz w:val="16"/>
                      <w:szCs w:val="16"/>
                    </w:rPr>
                    <w:t>637</w:t>
                  </w:r>
                </w:p>
              </w:tc>
            </w:tr>
            <w:tr w:rsidR="002D42C1" w:rsidRPr="00DE108C" w14:paraId="16E61151" w14:textId="77777777" w:rsidTr="00097A90">
              <w:trPr>
                <w:trHeight w:val="300"/>
              </w:trPr>
              <w:tc>
                <w:tcPr>
                  <w:tcW w:w="1335" w:type="dxa"/>
                  <w:tcBorders>
                    <w:top w:val="single" w:sz="6" w:space="0" w:color="4EC6FF"/>
                    <w:left w:val="nil"/>
                    <w:bottom w:val="single" w:sz="6" w:space="0" w:color="4EC6FF"/>
                    <w:right w:val="nil"/>
                  </w:tcBorders>
                  <w:hideMark/>
                </w:tcPr>
                <w:p w14:paraId="5A1CFFF3"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2593F26F" w14:textId="0B79A4BA" w:rsidR="002D42C1" w:rsidRPr="00DE108C" w:rsidRDefault="002D42C1" w:rsidP="00097A90">
                  <w:pPr>
                    <w:spacing w:before="60" w:after="60"/>
                    <w:jc w:val="center"/>
                    <w:rPr>
                      <w:sz w:val="16"/>
                      <w:szCs w:val="16"/>
                    </w:rPr>
                  </w:pPr>
                  <w:r w:rsidRPr="00DE108C">
                    <w:rPr>
                      <w:sz w:val="16"/>
                      <w:szCs w:val="16"/>
                    </w:rPr>
                    <w:t>570</w:t>
                  </w:r>
                </w:p>
              </w:tc>
              <w:tc>
                <w:tcPr>
                  <w:tcW w:w="1335" w:type="dxa"/>
                  <w:tcBorders>
                    <w:top w:val="single" w:sz="6" w:space="0" w:color="4EC6FF"/>
                    <w:left w:val="nil"/>
                    <w:bottom w:val="single" w:sz="6" w:space="0" w:color="4EC6FF"/>
                    <w:right w:val="nil"/>
                  </w:tcBorders>
                  <w:vAlign w:val="center"/>
                  <w:hideMark/>
                </w:tcPr>
                <w:p w14:paraId="37C8480B" w14:textId="2DDA2A83" w:rsidR="002D42C1" w:rsidRPr="00DE108C" w:rsidRDefault="002D42C1" w:rsidP="00097A90">
                  <w:pPr>
                    <w:spacing w:before="60" w:after="60"/>
                    <w:jc w:val="center"/>
                    <w:rPr>
                      <w:sz w:val="16"/>
                      <w:szCs w:val="16"/>
                    </w:rPr>
                  </w:pPr>
                  <w:r w:rsidRPr="00DE108C">
                    <w:rPr>
                      <w:sz w:val="16"/>
                      <w:szCs w:val="16"/>
                    </w:rPr>
                    <w:t>579</w:t>
                  </w:r>
                </w:p>
              </w:tc>
              <w:tc>
                <w:tcPr>
                  <w:tcW w:w="1335" w:type="dxa"/>
                  <w:tcBorders>
                    <w:top w:val="single" w:sz="6" w:space="0" w:color="4EC6FF"/>
                    <w:left w:val="nil"/>
                    <w:bottom w:val="single" w:sz="6" w:space="0" w:color="4EC6FF"/>
                    <w:right w:val="nil"/>
                  </w:tcBorders>
                  <w:vAlign w:val="center"/>
                  <w:hideMark/>
                </w:tcPr>
                <w:p w14:paraId="19809EEC" w14:textId="2D624EB0" w:rsidR="002D42C1" w:rsidRPr="00DE108C" w:rsidRDefault="002D42C1" w:rsidP="00097A90">
                  <w:pPr>
                    <w:spacing w:before="60" w:after="60"/>
                    <w:jc w:val="center"/>
                    <w:rPr>
                      <w:sz w:val="16"/>
                      <w:szCs w:val="16"/>
                    </w:rPr>
                  </w:pPr>
                  <w:r w:rsidRPr="00DE108C">
                    <w:rPr>
                      <w:sz w:val="16"/>
                      <w:szCs w:val="16"/>
                    </w:rPr>
                    <w:t>605</w:t>
                  </w:r>
                </w:p>
              </w:tc>
              <w:tc>
                <w:tcPr>
                  <w:tcW w:w="1335" w:type="dxa"/>
                  <w:tcBorders>
                    <w:top w:val="single" w:sz="6" w:space="0" w:color="4EC6FF"/>
                    <w:left w:val="nil"/>
                    <w:bottom w:val="single" w:sz="6" w:space="0" w:color="4EC6FF"/>
                    <w:right w:val="nil"/>
                  </w:tcBorders>
                  <w:vAlign w:val="center"/>
                  <w:hideMark/>
                </w:tcPr>
                <w:p w14:paraId="765D7DCD" w14:textId="32779909" w:rsidR="002D42C1" w:rsidRPr="00DE108C" w:rsidRDefault="002D42C1" w:rsidP="00097A90">
                  <w:pPr>
                    <w:spacing w:before="60" w:after="60"/>
                    <w:jc w:val="center"/>
                    <w:rPr>
                      <w:sz w:val="16"/>
                      <w:szCs w:val="16"/>
                    </w:rPr>
                  </w:pPr>
                  <w:r w:rsidRPr="00DE108C">
                    <w:rPr>
                      <w:sz w:val="16"/>
                      <w:szCs w:val="16"/>
                    </w:rPr>
                    <w:t>608</w:t>
                  </w:r>
                </w:p>
              </w:tc>
              <w:tc>
                <w:tcPr>
                  <w:tcW w:w="1335" w:type="dxa"/>
                  <w:tcBorders>
                    <w:top w:val="single" w:sz="6" w:space="0" w:color="4EC6FF"/>
                    <w:left w:val="nil"/>
                    <w:bottom w:val="single" w:sz="6" w:space="0" w:color="4EC6FF"/>
                    <w:right w:val="nil"/>
                  </w:tcBorders>
                  <w:vAlign w:val="center"/>
                  <w:hideMark/>
                </w:tcPr>
                <w:p w14:paraId="7BB018E8" w14:textId="1BF87F3F" w:rsidR="002D42C1" w:rsidRPr="00DE108C" w:rsidRDefault="00097A90" w:rsidP="00097A90">
                  <w:pPr>
                    <w:spacing w:before="60" w:after="60"/>
                    <w:jc w:val="center"/>
                    <w:rPr>
                      <w:sz w:val="16"/>
                      <w:szCs w:val="16"/>
                    </w:rPr>
                  </w:pPr>
                  <w:r w:rsidRPr="0091606C">
                    <w:rPr>
                      <w:sz w:val="16"/>
                      <w:szCs w:val="16"/>
                    </w:rPr>
                    <w:t>610</w:t>
                  </w:r>
                </w:p>
              </w:tc>
              <w:tc>
                <w:tcPr>
                  <w:tcW w:w="1335" w:type="dxa"/>
                  <w:tcBorders>
                    <w:top w:val="single" w:sz="6" w:space="0" w:color="4EC6FF"/>
                    <w:left w:val="nil"/>
                    <w:bottom w:val="single" w:sz="6" w:space="0" w:color="4EC6FF"/>
                    <w:right w:val="nil"/>
                  </w:tcBorders>
                  <w:vAlign w:val="center"/>
                  <w:hideMark/>
                </w:tcPr>
                <w:p w14:paraId="2DB86ACD" w14:textId="68F205BB" w:rsidR="002D42C1" w:rsidRPr="00DE108C" w:rsidRDefault="00097A90" w:rsidP="00097A90">
                  <w:pPr>
                    <w:spacing w:before="60" w:after="60"/>
                    <w:jc w:val="center"/>
                    <w:rPr>
                      <w:sz w:val="16"/>
                      <w:szCs w:val="16"/>
                    </w:rPr>
                  </w:pPr>
                  <w:r w:rsidRPr="00C92A0B">
                    <w:rPr>
                      <w:sz w:val="16"/>
                      <w:szCs w:val="16"/>
                    </w:rPr>
                    <w:t>612</w:t>
                  </w:r>
                </w:p>
              </w:tc>
            </w:tr>
            <w:tr w:rsidR="002D42C1" w:rsidRPr="00DE108C" w14:paraId="17D43E26" w14:textId="77777777" w:rsidTr="00097A90">
              <w:trPr>
                <w:trHeight w:val="300"/>
              </w:trPr>
              <w:tc>
                <w:tcPr>
                  <w:tcW w:w="1335" w:type="dxa"/>
                  <w:tcBorders>
                    <w:top w:val="single" w:sz="6" w:space="0" w:color="4EC6FF"/>
                    <w:left w:val="nil"/>
                    <w:bottom w:val="single" w:sz="6" w:space="0" w:color="4EC6FF"/>
                    <w:right w:val="nil"/>
                  </w:tcBorders>
                  <w:hideMark/>
                </w:tcPr>
                <w:p w14:paraId="133317E9" w14:textId="57786841"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2A290410" w14:textId="5B2492F6" w:rsidR="002D42C1" w:rsidRPr="00DE108C" w:rsidRDefault="002D42C1" w:rsidP="00097A90">
                  <w:pPr>
                    <w:spacing w:before="60" w:after="60"/>
                    <w:jc w:val="center"/>
                    <w:rPr>
                      <w:sz w:val="16"/>
                      <w:szCs w:val="16"/>
                    </w:rPr>
                  </w:pPr>
                  <w:r w:rsidRPr="00DE108C">
                    <w:rPr>
                      <w:sz w:val="16"/>
                      <w:szCs w:val="16"/>
                    </w:rPr>
                    <w:t>12.0</w:t>
                  </w:r>
                </w:p>
              </w:tc>
              <w:tc>
                <w:tcPr>
                  <w:tcW w:w="1335" w:type="dxa"/>
                  <w:tcBorders>
                    <w:top w:val="single" w:sz="6" w:space="0" w:color="4EC6FF"/>
                    <w:left w:val="nil"/>
                    <w:bottom w:val="single" w:sz="6" w:space="0" w:color="4EC6FF"/>
                    <w:right w:val="nil"/>
                  </w:tcBorders>
                  <w:vAlign w:val="center"/>
                  <w:hideMark/>
                </w:tcPr>
                <w:p w14:paraId="028D990E" w14:textId="59FFE93C" w:rsidR="002D42C1" w:rsidRPr="00DE108C" w:rsidRDefault="002D42C1" w:rsidP="00097A90">
                  <w:pPr>
                    <w:spacing w:before="60" w:after="60"/>
                    <w:jc w:val="center"/>
                    <w:rPr>
                      <w:sz w:val="16"/>
                      <w:szCs w:val="16"/>
                    </w:rPr>
                  </w:pPr>
                  <w:r w:rsidRPr="00DE108C">
                    <w:rPr>
                      <w:sz w:val="16"/>
                      <w:szCs w:val="16"/>
                    </w:rPr>
                    <w:t>10.7</w:t>
                  </w:r>
                </w:p>
              </w:tc>
              <w:tc>
                <w:tcPr>
                  <w:tcW w:w="1335" w:type="dxa"/>
                  <w:tcBorders>
                    <w:top w:val="single" w:sz="6" w:space="0" w:color="4EC6FF"/>
                    <w:left w:val="nil"/>
                    <w:bottom w:val="single" w:sz="6" w:space="0" w:color="4EC6FF"/>
                    <w:right w:val="nil"/>
                  </w:tcBorders>
                  <w:vAlign w:val="center"/>
                  <w:hideMark/>
                </w:tcPr>
                <w:p w14:paraId="0D356D41" w14:textId="2418DB0A"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55AD0ED0" w14:textId="2262EDCF"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6B1E14DF" w14:textId="56D4BF4A" w:rsidR="002D42C1" w:rsidRPr="00DE108C" w:rsidRDefault="002D42C1" w:rsidP="00097A90">
                  <w:pPr>
                    <w:spacing w:before="60" w:after="60"/>
                    <w:jc w:val="center"/>
                    <w:rPr>
                      <w:sz w:val="16"/>
                      <w:szCs w:val="16"/>
                    </w:rPr>
                  </w:pPr>
                  <w:r w:rsidRPr="00DE108C">
                    <w:rPr>
                      <w:sz w:val="16"/>
                      <w:szCs w:val="16"/>
                    </w:rPr>
                    <w:t>6.5</w:t>
                  </w:r>
                </w:p>
              </w:tc>
              <w:tc>
                <w:tcPr>
                  <w:tcW w:w="1335" w:type="dxa"/>
                  <w:tcBorders>
                    <w:top w:val="single" w:sz="6" w:space="0" w:color="4EC6FF"/>
                    <w:left w:val="nil"/>
                    <w:bottom w:val="single" w:sz="6" w:space="0" w:color="4EC6FF"/>
                    <w:right w:val="nil"/>
                  </w:tcBorders>
                  <w:vAlign w:val="center"/>
                  <w:hideMark/>
                </w:tcPr>
                <w:p w14:paraId="7C139F53" w14:textId="40F7A153" w:rsidR="002D42C1" w:rsidRPr="00DE108C" w:rsidRDefault="002D42C1" w:rsidP="00097A90">
                  <w:pPr>
                    <w:spacing w:before="60" w:after="60"/>
                    <w:jc w:val="center"/>
                    <w:rPr>
                      <w:sz w:val="16"/>
                      <w:szCs w:val="16"/>
                    </w:rPr>
                  </w:pPr>
                  <w:r w:rsidRPr="00DE108C">
                    <w:rPr>
                      <w:sz w:val="16"/>
                      <w:szCs w:val="16"/>
                    </w:rPr>
                    <w:t>7.5</w:t>
                  </w:r>
                </w:p>
              </w:tc>
            </w:tr>
            <w:tr w:rsidR="002D42C1" w:rsidRPr="00DE108C" w14:paraId="54C7C877" w14:textId="77777777" w:rsidTr="00097A90">
              <w:trPr>
                <w:trHeight w:val="300"/>
              </w:trPr>
              <w:tc>
                <w:tcPr>
                  <w:tcW w:w="1335" w:type="dxa"/>
                  <w:tcBorders>
                    <w:top w:val="single" w:sz="6" w:space="0" w:color="4EC6FF"/>
                    <w:left w:val="nil"/>
                    <w:bottom w:val="single" w:sz="6" w:space="0" w:color="4EC6FF"/>
                    <w:right w:val="nil"/>
                  </w:tcBorders>
                  <w:hideMark/>
                </w:tcPr>
                <w:p w14:paraId="4460E92F" w14:textId="7861E78D"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35" w:type="dxa"/>
                  <w:tcBorders>
                    <w:top w:val="single" w:sz="6" w:space="0" w:color="4EC6FF"/>
                    <w:left w:val="nil"/>
                    <w:bottom w:val="single" w:sz="6" w:space="0" w:color="4EC6FF"/>
                    <w:right w:val="nil"/>
                  </w:tcBorders>
                  <w:vAlign w:val="center"/>
                  <w:hideMark/>
                </w:tcPr>
                <w:p w14:paraId="54DE7E73" w14:textId="28E1802B"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76A5DB77" w14:textId="6223C74C" w:rsidR="002D42C1" w:rsidRPr="00DE108C" w:rsidRDefault="002D42C1" w:rsidP="00097A90">
                  <w:pPr>
                    <w:spacing w:before="60" w:after="60"/>
                    <w:jc w:val="center"/>
                    <w:rPr>
                      <w:sz w:val="16"/>
                      <w:szCs w:val="16"/>
                    </w:rPr>
                  </w:pPr>
                  <w:r w:rsidRPr="00DE108C">
                    <w:rPr>
                      <w:sz w:val="16"/>
                      <w:szCs w:val="16"/>
                    </w:rPr>
                    <w:t>1.2</w:t>
                  </w:r>
                </w:p>
              </w:tc>
              <w:tc>
                <w:tcPr>
                  <w:tcW w:w="1335" w:type="dxa"/>
                  <w:tcBorders>
                    <w:top w:val="single" w:sz="6" w:space="0" w:color="4EC6FF"/>
                    <w:left w:val="nil"/>
                    <w:bottom w:val="single" w:sz="6" w:space="0" w:color="4EC6FF"/>
                    <w:right w:val="nil"/>
                  </w:tcBorders>
                  <w:vAlign w:val="center"/>
                  <w:hideMark/>
                </w:tcPr>
                <w:p w14:paraId="53E14E54" w14:textId="7F80587A" w:rsidR="002D42C1" w:rsidRPr="00DE108C" w:rsidRDefault="002D42C1" w:rsidP="00097A90">
                  <w:pPr>
                    <w:spacing w:before="60" w:after="60"/>
                    <w:jc w:val="center"/>
                    <w:rPr>
                      <w:sz w:val="16"/>
                      <w:szCs w:val="16"/>
                    </w:rPr>
                  </w:pPr>
                  <w:r w:rsidRPr="00DE108C">
                    <w:rPr>
                      <w:sz w:val="16"/>
                      <w:szCs w:val="16"/>
                    </w:rPr>
                    <w:t>1.4</w:t>
                  </w:r>
                </w:p>
              </w:tc>
              <w:tc>
                <w:tcPr>
                  <w:tcW w:w="1335" w:type="dxa"/>
                  <w:tcBorders>
                    <w:top w:val="single" w:sz="6" w:space="0" w:color="4EC6FF"/>
                    <w:left w:val="nil"/>
                    <w:bottom w:val="single" w:sz="6" w:space="0" w:color="4EC6FF"/>
                    <w:right w:val="nil"/>
                  </w:tcBorders>
                  <w:vAlign w:val="center"/>
                  <w:hideMark/>
                </w:tcPr>
                <w:p w14:paraId="0586CE27" w14:textId="1E7DEB58" w:rsidR="002D42C1" w:rsidRPr="00DE108C" w:rsidRDefault="002D42C1" w:rsidP="00097A90">
                  <w:pPr>
                    <w:spacing w:before="60" w:after="60"/>
                    <w:jc w:val="center"/>
                    <w:rPr>
                      <w:sz w:val="16"/>
                      <w:szCs w:val="16"/>
                    </w:rPr>
                  </w:pPr>
                  <w:r w:rsidRPr="00DE108C">
                    <w:rPr>
                      <w:sz w:val="16"/>
                      <w:szCs w:val="16"/>
                    </w:rPr>
                    <w:t>1.6</w:t>
                  </w:r>
                </w:p>
              </w:tc>
              <w:tc>
                <w:tcPr>
                  <w:tcW w:w="1335" w:type="dxa"/>
                  <w:tcBorders>
                    <w:top w:val="single" w:sz="6" w:space="0" w:color="4EC6FF"/>
                    <w:left w:val="nil"/>
                    <w:bottom w:val="single" w:sz="6" w:space="0" w:color="4EC6FF"/>
                    <w:right w:val="nil"/>
                  </w:tcBorders>
                  <w:vAlign w:val="center"/>
                  <w:hideMark/>
                </w:tcPr>
                <w:p w14:paraId="1F9F5548" w14:textId="09099047" w:rsidR="002D42C1" w:rsidRPr="00DE108C" w:rsidRDefault="002D42C1" w:rsidP="00097A90">
                  <w:pPr>
                    <w:spacing w:before="60" w:after="60"/>
                    <w:jc w:val="center"/>
                    <w:rPr>
                      <w:sz w:val="16"/>
                      <w:szCs w:val="16"/>
                    </w:rPr>
                  </w:pPr>
                  <w:r w:rsidRPr="00DE108C">
                    <w:rPr>
                      <w:sz w:val="16"/>
                      <w:szCs w:val="16"/>
                    </w:rPr>
                    <w:t>1.9</w:t>
                  </w:r>
                </w:p>
              </w:tc>
              <w:tc>
                <w:tcPr>
                  <w:tcW w:w="1335" w:type="dxa"/>
                  <w:tcBorders>
                    <w:top w:val="single" w:sz="6" w:space="0" w:color="4EC6FF"/>
                    <w:left w:val="nil"/>
                    <w:bottom w:val="single" w:sz="6" w:space="0" w:color="4EC6FF"/>
                    <w:right w:val="nil"/>
                  </w:tcBorders>
                  <w:vAlign w:val="center"/>
                  <w:hideMark/>
                </w:tcPr>
                <w:p w14:paraId="3E977DF4" w14:textId="01705231" w:rsidR="002D42C1" w:rsidRPr="00DE108C" w:rsidRDefault="002D42C1" w:rsidP="00097A90">
                  <w:pPr>
                    <w:spacing w:before="60" w:after="60"/>
                    <w:jc w:val="center"/>
                    <w:rPr>
                      <w:sz w:val="16"/>
                      <w:szCs w:val="16"/>
                    </w:rPr>
                  </w:pPr>
                  <w:r w:rsidRPr="00DE108C">
                    <w:rPr>
                      <w:sz w:val="16"/>
                      <w:szCs w:val="16"/>
                    </w:rPr>
                    <w:t>2.2</w:t>
                  </w:r>
                </w:p>
              </w:tc>
            </w:tr>
            <w:tr w:rsidR="002D42C1" w:rsidRPr="00DE108C" w14:paraId="4797583D" w14:textId="77777777" w:rsidTr="00097A90">
              <w:trPr>
                <w:trHeight w:val="300"/>
              </w:trPr>
              <w:tc>
                <w:tcPr>
                  <w:tcW w:w="1335" w:type="dxa"/>
                  <w:tcBorders>
                    <w:top w:val="single" w:sz="6" w:space="0" w:color="4EC6FF"/>
                    <w:left w:val="nil"/>
                    <w:bottom w:val="single" w:sz="6" w:space="0" w:color="4EC6FF"/>
                    <w:right w:val="nil"/>
                  </w:tcBorders>
                  <w:shd w:val="clear" w:color="auto" w:fill="46C2D7" w:themeFill="accent3"/>
                  <w:hideMark/>
                </w:tcPr>
                <w:p w14:paraId="0F625A5F"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4B319985" w14:textId="25012A62"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48DB6732" w14:textId="49666AF9"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2412C7E0" w14:textId="44243B2B"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7F8AA6A0" w14:textId="11166BA2"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0527488E" w14:textId="40404892"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left w:val="nil"/>
                    <w:bottom w:val="single" w:sz="6" w:space="0" w:color="4EC6FF"/>
                    <w:right w:val="nil"/>
                  </w:tcBorders>
                  <w:shd w:val="clear" w:color="auto" w:fill="46C2D7" w:themeFill="accent3"/>
                  <w:vAlign w:val="center"/>
                  <w:hideMark/>
                </w:tcPr>
                <w:p w14:paraId="4F172FF3" w14:textId="3AD28866" w:rsidR="002D42C1" w:rsidRPr="00DE108C" w:rsidRDefault="002D42C1" w:rsidP="00097A90">
                  <w:pPr>
                    <w:spacing w:before="60" w:after="60"/>
                    <w:jc w:val="center"/>
                    <w:rPr>
                      <w:sz w:val="16"/>
                      <w:szCs w:val="16"/>
                    </w:rPr>
                  </w:pPr>
                  <w:r w:rsidRPr="00DE108C">
                    <w:rPr>
                      <w:sz w:val="16"/>
                      <w:szCs w:val="16"/>
                    </w:rPr>
                    <w:t>0.8</w:t>
                  </w:r>
                </w:p>
              </w:tc>
            </w:tr>
            <w:tr w:rsidR="002D42C1" w:rsidRPr="00DE108C" w14:paraId="7E995542" w14:textId="77777777" w:rsidTr="00097A90">
              <w:trPr>
                <w:trHeight w:val="300"/>
              </w:trPr>
              <w:tc>
                <w:tcPr>
                  <w:tcW w:w="1335" w:type="dxa"/>
                  <w:tcBorders>
                    <w:top w:val="single" w:sz="6" w:space="0" w:color="4EC6FF"/>
                    <w:left w:val="nil"/>
                    <w:bottom w:val="single" w:sz="6" w:space="0" w:color="4EC6FF"/>
                    <w:right w:val="nil"/>
                  </w:tcBorders>
                  <w:hideMark/>
                </w:tcPr>
                <w:p w14:paraId="142109A2" w14:textId="77777777"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35" w:type="dxa"/>
                  <w:tcBorders>
                    <w:top w:val="single" w:sz="6" w:space="0" w:color="4EC6FF"/>
                    <w:left w:val="nil"/>
                    <w:bottom w:val="single" w:sz="6" w:space="0" w:color="4EC6FF"/>
                    <w:right w:val="nil"/>
                  </w:tcBorders>
                  <w:vAlign w:val="center"/>
                  <w:hideMark/>
                </w:tcPr>
                <w:p w14:paraId="527B4DCA" w14:textId="357ED801" w:rsidR="002D42C1" w:rsidRPr="00DE108C" w:rsidRDefault="002D42C1" w:rsidP="00097A90">
                  <w:pPr>
                    <w:spacing w:before="60" w:after="60"/>
                    <w:jc w:val="center"/>
                    <w:rPr>
                      <w:sz w:val="16"/>
                      <w:szCs w:val="16"/>
                    </w:rPr>
                  </w:pPr>
                  <w:r w:rsidRPr="00DE108C">
                    <w:rPr>
                      <w:sz w:val="16"/>
                      <w:szCs w:val="16"/>
                    </w:rPr>
                    <w:t>1.5</w:t>
                  </w:r>
                </w:p>
              </w:tc>
              <w:tc>
                <w:tcPr>
                  <w:tcW w:w="1335" w:type="dxa"/>
                  <w:tcBorders>
                    <w:top w:val="single" w:sz="6" w:space="0" w:color="4EC6FF"/>
                    <w:left w:val="nil"/>
                    <w:bottom w:val="single" w:sz="6" w:space="0" w:color="4EC6FF"/>
                    <w:right w:val="nil"/>
                  </w:tcBorders>
                  <w:vAlign w:val="center"/>
                  <w:hideMark/>
                </w:tcPr>
                <w:p w14:paraId="5F64123A" w14:textId="2A367C11"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1D1C1EBA" w14:textId="169F08DC" w:rsidR="002D42C1" w:rsidRPr="00DE108C" w:rsidRDefault="002D42C1" w:rsidP="00097A90">
                  <w:pPr>
                    <w:spacing w:before="60" w:after="60"/>
                    <w:jc w:val="center"/>
                    <w:rPr>
                      <w:sz w:val="16"/>
                      <w:szCs w:val="16"/>
                    </w:rPr>
                  </w:pPr>
                  <w:r w:rsidRPr="00DE108C">
                    <w:rPr>
                      <w:sz w:val="16"/>
                      <w:szCs w:val="16"/>
                    </w:rPr>
                    <w:t>0.6</w:t>
                  </w:r>
                </w:p>
              </w:tc>
              <w:tc>
                <w:tcPr>
                  <w:tcW w:w="1335" w:type="dxa"/>
                  <w:tcBorders>
                    <w:top w:val="single" w:sz="6" w:space="0" w:color="4EC6FF"/>
                    <w:left w:val="nil"/>
                    <w:bottom w:val="single" w:sz="6" w:space="0" w:color="4EC6FF"/>
                    <w:right w:val="nil"/>
                  </w:tcBorders>
                  <w:vAlign w:val="center"/>
                  <w:hideMark/>
                </w:tcPr>
                <w:p w14:paraId="5AD38F60" w14:textId="659B4492" w:rsidR="002D42C1" w:rsidRPr="00DE108C" w:rsidRDefault="002D42C1" w:rsidP="00097A90">
                  <w:pPr>
                    <w:spacing w:before="60" w:after="60"/>
                    <w:jc w:val="center"/>
                    <w:rPr>
                      <w:sz w:val="16"/>
                      <w:szCs w:val="16"/>
                    </w:rPr>
                  </w:pPr>
                  <w:r w:rsidRPr="00DE108C">
                    <w:rPr>
                      <w:sz w:val="16"/>
                      <w:szCs w:val="16"/>
                    </w:rPr>
                    <w:t>0.7</w:t>
                  </w:r>
                </w:p>
              </w:tc>
              <w:tc>
                <w:tcPr>
                  <w:tcW w:w="1335" w:type="dxa"/>
                  <w:tcBorders>
                    <w:top w:val="single" w:sz="6" w:space="0" w:color="4EC6FF"/>
                    <w:left w:val="nil"/>
                    <w:bottom w:val="single" w:sz="6" w:space="0" w:color="4EC6FF"/>
                    <w:right w:val="nil"/>
                  </w:tcBorders>
                  <w:vAlign w:val="center"/>
                  <w:hideMark/>
                </w:tcPr>
                <w:p w14:paraId="01302C7F" w14:textId="4489E822" w:rsidR="002D42C1" w:rsidRPr="00DE108C" w:rsidRDefault="002D42C1" w:rsidP="00097A90">
                  <w:pPr>
                    <w:spacing w:before="60" w:after="60"/>
                    <w:jc w:val="center"/>
                    <w:rPr>
                      <w:sz w:val="16"/>
                      <w:szCs w:val="16"/>
                    </w:rPr>
                  </w:pPr>
                  <w:r w:rsidRPr="00DE108C">
                    <w:rPr>
                      <w:sz w:val="16"/>
                      <w:szCs w:val="16"/>
                    </w:rPr>
                    <w:t>0.8</w:t>
                  </w:r>
                </w:p>
              </w:tc>
              <w:tc>
                <w:tcPr>
                  <w:tcW w:w="1335" w:type="dxa"/>
                  <w:tcBorders>
                    <w:top w:val="single" w:sz="6" w:space="0" w:color="4EC6FF"/>
                    <w:left w:val="nil"/>
                    <w:bottom w:val="single" w:sz="6" w:space="0" w:color="4EC6FF"/>
                    <w:right w:val="nil"/>
                  </w:tcBorders>
                  <w:vAlign w:val="center"/>
                  <w:hideMark/>
                </w:tcPr>
                <w:p w14:paraId="3027B6B7" w14:textId="5114927E" w:rsidR="002D42C1" w:rsidRPr="00DE108C" w:rsidRDefault="002D42C1" w:rsidP="00097A90">
                  <w:pPr>
                    <w:spacing w:before="60" w:after="60"/>
                    <w:jc w:val="center"/>
                    <w:rPr>
                      <w:sz w:val="16"/>
                      <w:szCs w:val="16"/>
                    </w:rPr>
                  </w:pPr>
                  <w:r w:rsidRPr="00DE108C">
                    <w:rPr>
                      <w:sz w:val="16"/>
                      <w:szCs w:val="16"/>
                    </w:rPr>
                    <w:t>0.8</w:t>
                  </w:r>
                </w:p>
              </w:tc>
            </w:tr>
          </w:tbl>
          <w:p w14:paraId="5B68B4F5" w14:textId="77777777" w:rsidR="002D42C1" w:rsidRPr="00DE108C" w:rsidRDefault="002D42C1" w:rsidP="00ED094E">
            <w:pPr>
              <w:rPr>
                <w:sz w:val="16"/>
                <w:szCs w:val="16"/>
              </w:rPr>
            </w:pPr>
            <w:r w:rsidRPr="00DE108C">
              <w:rPr>
                <w:sz w:val="16"/>
                <w:szCs w:val="16"/>
              </w:rPr>
              <w:t> </w:t>
            </w:r>
          </w:p>
          <w:p w14:paraId="5AF2F37E" w14:textId="77777777" w:rsidR="002D42C1" w:rsidRPr="00DE108C" w:rsidRDefault="002D42C1" w:rsidP="00ED094E">
            <w:pPr>
              <w:rPr>
                <w:sz w:val="16"/>
                <w:szCs w:val="16"/>
              </w:rPr>
            </w:pPr>
          </w:p>
        </w:tc>
        <w:tc>
          <w:tcPr>
            <w:tcW w:w="10608" w:type="dxa"/>
          </w:tcPr>
          <w:p w14:paraId="35741678" w14:textId="77777777" w:rsidR="002D42C1" w:rsidRPr="00DE108C" w:rsidRDefault="002D42C1" w:rsidP="00ED094E">
            <w:pPr>
              <w:rPr>
                <w:sz w:val="16"/>
                <w:szCs w:val="16"/>
              </w:rPr>
            </w:pPr>
            <w:r w:rsidRPr="00DE108C">
              <w:rPr>
                <w:sz w:val="16"/>
                <w:szCs w:val="16"/>
              </w:rPr>
              <w:t>Typical year-on-year household bill impacts relative to inflation, as a result of Melbourne Water’s proposal are summarised below: </w:t>
            </w:r>
          </w:p>
          <w:tbl>
            <w:tblPr>
              <w:tblW w:w="9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1365"/>
              <w:gridCol w:w="1365"/>
              <w:gridCol w:w="1365"/>
              <w:gridCol w:w="1365"/>
              <w:gridCol w:w="1365"/>
              <w:gridCol w:w="1365"/>
            </w:tblGrid>
            <w:tr w:rsidR="002D42C1" w:rsidRPr="00DE108C" w14:paraId="11F3C197" w14:textId="77777777" w:rsidTr="00ED094E">
              <w:trPr>
                <w:trHeight w:val="300"/>
              </w:trPr>
              <w:tc>
                <w:tcPr>
                  <w:tcW w:w="1365" w:type="dxa"/>
                  <w:tcBorders>
                    <w:top w:val="single" w:sz="6" w:space="0" w:color="4EC6FF"/>
                    <w:left w:val="nil"/>
                    <w:bottom w:val="single" w:sz="6" w:space="0" w:color="4EC6FF"/>
                    <w:right w:val="nil"/>
                  </w:tcBorders>
                  <w:hideMark/>
                </w:tcPr>
                <w:p w14:paraId="418ED070" w14:textId="77777777" w:rsidR="002D42C1" w:rsidRPr="00DE108C" w:rsidRDefault="002D42C1" w:rsidP="00ED094E">
                  <w:pPr>
                    <w:spacing w:before="60" w:after="60"/>
                    <w:rPr>
                      <w:sz w:val="16"/>
                      <w:szCs w:val="16"/>
                    </w:rPr>
                  </w:pPr>
                  <w:r w:rsidRPr="00DE108C">
                    <w:rPr>
                      <w:b/>
                      <w:bCs/>
                      <w:sz w:val="16"/>
                      <w:szCs w:val="16"/>
                    </w:rPr>
                    <w:t>Bills</w:t>
                  </w:r>
                  <w:r w:rsidRPr="00DE108C">
                    <w:rPr>
                      <w:sz w:val="16"/>
                      <w:szCs w:val="16"/>
                    </w:rPr>
                    <w:t> </w:t>
                  </w:r>
                </w:p>
              </w:tc>
              <w:tc>
                <w:tcPr>
                  <w:tcW w:w="1365" w:type="dxa"/>
                  <w:tcBorders>
                    <w:top w:val="single" w:sz="6" w:space="0" w:color="4EC6FF"/>
                    <w:left w:val="nil"/>
                    <w:bottom w:val="single" w:sz="6" w:space="0" w:color="4EC6FF"/>
                    <w:right w:val="nil"/>
                  </w:tcBorders>
                  <w:hideMark/>
                </w:tcPr>
                <w:p w14:paraId="1EDF202C" w14:textId="560BD3F2" w:rsidR="002D42C1" w:rsidRPr="00DE108C" w:rsidRDefault="002D42C1" w:rsidP="008A11C9">
                  <w:pPr>
                    <w:spacing w:before="60" w:after="60"/>
                    <w:jc w:val="center"/>
                    <w:rPr>
                      <w:sz w:val="16"/>
                      <w:szCs w:val="16"/>
                    </w:rPr>
                  </w:pPr>
                  <w:r w:rsidRPr="00DE108C">
                    <w:rPr>
                      <w:b/>
                      <w:bCs/>
                      <w:sz w:val="16"/>
                      <w:szCs w:val="16"/>
                    </w:rPr>
                    <w:t>2025-26</w:t>
                  </w:r>
                </w:p>
              </w:tc>
              <w:tc>
                <w:tcPr>
                  <w:tcW w:w="1365" w:type="dxa"/>
                  <w:tcBorders>
                    <w:top w:val="single" w:sz="6" w:space="0" w:color="4EC6FF"/>
                    <w:left w:val="nil"/>
                    <w:bottom w:val="single" w:sz="6" w:space="0" w:color="4EC6FF"/>
                    <w:right w:val="nil"/>
                  </w:tcBorders>
                  <w:hideMark/>
                </w:tcPr>
                <w:p w14:paraId="70E1F666" w14:textId="7CF49691" w:rsidR="002D42C1" w:rsidRPr="00DE108C" w:rsidRDefault="002D42C1" w:rsidP="008A11C9">
                  <w:pPr>
                    <w:spacing w:before="60" w:after="60"/>
                    <w:jc w:val="center"/>
                    <w:rPr>
                      <w:sz w:val="16"/>
                      <w:szCs w:val="16"/>
                    </w:rPr>
                  </w:pPr>
                  <w:r w:rsidRPr="00DE108C">
                    <w:rPr>
                      <w:b/>
                      <w:bCs/>
                      <w:sz w:val="16"/>
                      <w:szCs w:val="16"/>
                    </w:rPr>
                    <w:t>2026-27</w:t>
                  </w:r>
                </w:p>
              </w:tc>
              <w:tc>
                <w:tcPr>
                  <w:tcW w:w="1365" w:type="dxa"/>
                  <w:tcBorders>
                    <w:top w:val="single" w:sz="6" w:space="0" w:color="4EC6FF"/>
                    <w:left w:val="nil"/>
                    <w:bottom w:val="single" w:sz="6" w:space="0" w:color="4EC6FF"/>
                    <w:right w:val="nil"/>
                  </w:tcBorders>
                  <w:hideMark/>
                </w:tcPr>
                <w:p w14:paraId="27B68CA9" w14:textId="36F943DE" w:rsidR="002D42C1" w:rsidRPr="00DE108C" w:rsidRDefault="002D42C1" w:rsidP="008A11C9">
                  <w:pPr>
                    <w:spacing w:before="60" w:after="60"/>
                    <w:jc w:val="center"/>
                    <w:rPr>
                      <w:sz w:val="16"/>
                      <w:szCs w:val="16"/>
                    </w:rPr>
                  </w:pPr>
                  <w:r w:rsidRPr="00DE108C">
                    <w:rPr>
                      <w:b/>
                      <w:bCs/>
                      <w:sz w:val="16"/>
                      <w:szCs w:val="16"/>
                    </w:rPr>
                    <w:t>2027-28</w:t>
                  </w:r>
                </w:p>
              </w:tc>
              <w:tc>
                <w:tcPr>
                  <w:tcW w:w="1365" w:type="dxa"/>
                  <w:tcBorders>
                    <w:top w:val="single" w:sz="6" w:space="0" w:color="4EC6FF"/>
                    <w:left w:val="nil"/>
                    <w:bottom w:val="single" w:sz="6" w:space="0" w:color="4EC6FF"/>
                    <w:right w:val="nil"/>
                  </w:tcBorders>
                  <w:hideMark/>
                </w:tcPr>
                <w:p w14:paraId="213EEE90" w14:textId="00AC2C25" w:rsidR="002D42C1" w:rsidRPr="00DE108C" w:rsidRDefault="002D42C1" w:rsidP="008A11C9">
                  <w:pPr>
                    <w:spacing w:before="60" w:after="60"/>
                    <w:jc w:val="center"/>
                    <w:rPr>
                      <w:sz w:val="16"/>
                      <w:szCs w:val="16"/>
                    </w:rPr>
                  </w:pPr>
                  <w:r w:rsidRPr="00DE108C">
                    <w:rPr>
                      <w:b/>
                      <w:bCs/>
                      <w:sz w:val="16"/>
                      <w:szCs w:val="16"/>
                    </w:rPr>
                    <w:t>2028-29</w:t>
                  </w:r>
                </w:p>
              </w:tc>
              <w:tc>
                <w:tcPr>
                  <w:tcW w:w="1365" w:type="dxa"/>
                  <w:tcBorders>
                    <w:top w:val="single" w:sz="6" w:space="0" w:color="4EC6FF"/>
                    <w:left w:val="nil"/>
                    <w:bottom w:val="single" w:sz="6" w:space="0" w:color="4EC6FF"/>
                    <w:right w:val="nil"/>
                  </w:tcBorders>
                  <w:hideMark/>
                </w:tcPr>
                <w:p w14:paraId="0652C283" w14:textId="1FD9E216" w:rsidR="002D42C1" w:rsidRPr="00DE108C" w:rsidRDefault="002D42C1" w:rsidP="008A11C9">
                  <w:pPr>
                    <w:spacing w:before="60" w:after="60"/>
                    <w:jc w:val="center"/>
                    <w:rPr>
                      <w:sz w:val="16"/>
                      <w:szCs w:val="16"/>
                    </w:rPr>
                  </w:pPr>
                  <w:r w:rsidRPr="00DE108C">
                    <w:rPr>
                      <w:b/>
                      <w:bCs/>
                      <w:sz w:val="16"/>
                      <w:szCs w:val="16"/>
                    </w:rPr>
                    <w:t>2029-30</w:t>
                  </w:r>
                </w:p>
              </w:tc>
              <w:tc>
                <w:tcPr>
                  <w:tcW w:w="1365" w:type="dxa"/>
                  <w:tcBorders>
                    <w:top w:val="single" w:sz="6" w:space="0" w:color="4EC6FF"/>
                    <w:left w:val="nil"/>
                    <w:bottom w:val="single" w:sz="6" w:space="0" w:color="4EC6FF"/>
                    <w:right w:val="nil"/>
                  </w:tcBorders>
                  <w:hideMark/>
                </w:tcPr>
                <w:p w14:paraId="2FFCD7E9" w14:textId="4EE53D89" w:rsidR="002D42C1" w:rsidRPr="00DE108C" w:rsidRDefault="002D42C1" w:rsidP="008A11C9">
                  <w:pPr>
                    <w:spacing w:before="60" w:after="60"/>
                    <w:jc w:val="center"/>
                    <w:rPr>
                      <w:sz w:val="16"/>
                      <w:szCs w:val="16"/>
                    </w:rPr>
                  </w:pPr>
                  <w:r w:rsidRPr="00DE108C">
                    <w:rPr>
                      <w:b/>
                      <w:bCs/>
                      <w:sz w:val="16"/>
                      <w:szCs w:val="16"/>
                    </w:rPr>
                    <w:t>2030-31</w:t>
                  </w:r>
                </w:p>
              </w:tc>
            </w:tr>
            <w:tr w:rsidR="002D42C1" w:rsidRPr="00DE108C" w14:paraId="3A4CC813" w14:textId="77777777" w:rsidTr="00ED094E">
              <w:trPr>
                <w:trHeight w:val="300"/>
              </w:trPr>
              <w:tc>
                <w:tcPr>
                  <w:tcW w:w="1365" w:type="dxa"/>
                  <w:tcBorders>
                    <w:top w:val="single" w:sz="6" w:space="0" w:color="4EC6FF"/>
                    <w:left w:val="nil"/>
                    <w:bottom w:val="single" w:sz="6" w:space="0" w:color="4EC6FF"/>
                    <w:right w:val="nil"/>
                  </w:tcBorders>
                  <w:hideMark/>
                </w:tcPr>
                <w:p w14:paraId="4F567D52" w14:textId="28DEB0DE" w:rsidR="002D42C1" w:rsidRPr="00DE108C" w:rsidRDefault="002D42C1" w:rsidP="00ED094E">
                  <w:pPr>
                    <w:spacing w:before="60" w:after="60"/>
                    <w:rPr>
                      <w:sz w:val="16"/>
                      <w:szCs w:val="16"/>
                    </w:rPr>
                  </w:pPr>
                  <w:r w:rsidRPr="00DE108C">
                    <w:rPr>
                      <w:b/>
                      <w:bCs/>
                      <w:sz w:val="16"/>
                      <w:szCs w:val="16"/>
                    </w:rPr>
                    <w:t>GWW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441286DC" w14:textId="77777777" w:rsidR="002D42C1" w:rsidRPr="00DE108C" w:rsidRDefault="002D42C1" w:rsidP="008A11C9">
                  <w:pPr>
                    <w:spacing w:before="60" w:after="60"/>
                    <w:jc w:val="right"/>
                    <w:rPr>
                      <w:sz w:val="16"/>
                      <w:szCs w:val="16"/>
                    </w:rPr>
                  </w:pPr>
                  <w:r w:rsidRPr="00DE108C">
                    <w:rPr>
                      <w:sz w:val="16"/>
                      <w:szCs w:val="16"/>
                    </w:rPr>
                    <w:t>$1,110 </w:t>
                  </w:r>
                </w:p>
              </w:tc>
              <w:tc>
                <w:tcPr>
                  <w:tcW w:w="1365" w:type="dxa"/>
                  <w:tcBorders>
                    <w:top w:val="single" w:sz="6" w:space="0" w:color="4EC6FF"/>
                    <w:left w:val="nil"/>
                    <w:bottom w:val="single" w:sz="6" w:space="0" w:color="4EC6FF"/>
                    <w:right w:val="nil"/>
                  </w:tcBorders>
                  <w:vAlign w:val="center"/>
                  <w:hideMark/>
                </w:tcPr>
                <w:p w14:paraId="15CC781F" w14:textId="25B0E288"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6028FAB4" w14:textId="2C31226A"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1F26A322" w14:textId="0A7FDB4A" w:rsidR="002D42C1" w:rsidRPr="00DE108C" w:rsidRDefault="008A11C9" w:rsidP="008A11C9">
                  <w:pPr>
                    <w:spacing w:before="60" w:after="60"/>
                    <w:jc w:val="right"/>
                    <w:rPr>
                      <w:sz w:val="16"/>
                      <w:szCs w:val="16"/>
                    </w:rPr>
                  </w:pPr>
                  <w:r w:rsidRPr="0091606C">
                    <w:rPr>
                      <w:rFonts w:eastAsiaTheme="minorEastAsia"/>
                      <w:sz w:val="16"/>
                      <w:szCs w:val="16"/>
                    </w:rPr>
                    <w:t>0</w:t>
                  </w:r>
                  <w:r w:rsidRPr="0091606C">
                    <w:rPr>
                      <w:color w:val="auto"/>
                      <w:sz w:val="16"/>
                      <w:szCs w:val="16"/>
                    </w:rPr>
                    <w:t>.9</w:t>
                  </w:r>
                  <w:r w:rsidRPr="0091606C">
                    <w:rPr>
                      <w:rFonts w:eastAsiaTheme="minorEastAsia"/>
                      <w:sz w:val="16"/>
                      <w:szCs w:val="16"/>
                    </w:rPr>
                    <w:t>%</w:t>
                  </w:r>
                </w:p>
              </w:tc>
              <w:tc>
                <w:tcPr>
                  <w:tcW w:w="1365" w:type="dxa"/>
                  <w:tcBorders>
                    <w:top w:val="single" w:sz="6" w:space="0" w:color="4EC6FF"/>
                    <w:left w:val="nil"/>
                    <w:bottom w:val="single" w:sz="6" w:space="0" w:color="4EC6FF"/>
                    <w:right w:val="nil"/>
                  </w:tcBorders>
                  <w:vAlign w:val="center"/>
                  <w:hideMark/>
                </w:tcPr>
                <w:p w14:paraId="284D1DBA" w14:textId="043CDF8B" w:rsidR="002D42C1" w:rsidRPr="00DE108C" w:rsidRDefault="002D42C1" w:rsidP="008A11C9">
                  <w:pPr>
                    <w:spacing w:before="60" w:after="60"/>
                    <w:jc w:val="right"/>
                    <w:rPr>
                      <w:sz w:val="16"/>
                      <w:szCs w:val="16"/>
                    </w:rPr>
                  </w:pPr>
                  <w:r w:rsidRPr="00DE108C">
                    <w:rPr>
                      <w:sz w:val="16"/>
                      <w:szCs w:val="16"/>
                    </w:rPr>
                    <w:t>0.9%</w:t>
                  </w:r>
                </w:p>
              </w:tc>
              <w:tc>
                <w:tcPr>
                  <w:tcW w:w="1365" w:type="dxa"/>
                  <w:tcBorders>
                    <w:top w:val="single" w:sz="6" w:space="0" w:color="4EC6FF"/>
                    <w:left w:val="nil"/>
                    <w:bottom w:val="single" w:sz="6" w:space="0" w:color="4EC6FF"/>
                    <w:right w:val="nil"/>
                  </w:tcBorders>
                  <w:vAlign w:val="center"/>
                  <w:hideMark/>
                </w:tcPr>
                <w:p w14:paraId="317A4243" w14:textId="1736F45B" w:rsidR="002D42C1" w:rsidRPr="00DE108C" w:rsidRDefault="002D42C1" w:rsidP="008A11C9">
                  <w:pPr>
                    <w:spacing w:before="60" w:after="60"/>
                    <w:jc w:val="right"/>
                    <w:rPr>
                      <w:sz w:val="16"/>
                      <w:szCs w:val="16"/>
                    </w:rPr>
                  </w:pPr>
                  <w:r w:rsidRPr="0091606C">
                    <w:rPr>
                      <w:rFonts w:eastAsiaTheme="minorEastAsia"/>
                      <w:sz w:val="16"/>
                      <w:szCs w:val="16"/>
                    </w:rPr>
                    <w:t>0.</w:t>
                  </w:r>
                  <w:r w:rsidR="008A11C9" w:rsidRPr="0091606C">
                    <w:rPr>
                      <w:color w:val="auto"/>
                      <w:sz w:val="16"/>
                      <w:szCs w:val="16"/>
                    </w:rPr>
                    <w:t>8</w:t>
                  </w:r>
                  <w:r w:rsidR="008A11C9" w:rsidRPr="0091606C">
                    <w:rPr>
                      <w:rFonts w:eastAsiaTheme="minorEastAsia"/>
                      <w:sz w:val="16"/>
                      <w:szCs w:val="16"/>
                    </w:rPr>
                    <w:t>%</w:t>
                  </w:r>
                </w:p>
              </w:tc>
            </w:tr>
            <w:tr w:rsidR="002D42C1" w:rsidRPr="00DE108C" w14:paraId="75DC54CC" w14:textId="77777777" w:rsidTr="00ED094E">
              <w:trPr>
                <w:trHeight w:val="300"/>
              </w:trPr>
              <w:tc>
                <w:tcPr>
                  <w:tcW w:w="1365" w:type="dxa"/>
                  <w:tcBorders>
                    <w:top w:val="single" w:sz="6" w:space="0" w:color="4EC6FF"/>
                    <w:left w:val="nil"/>
                    <w:bottom w:val="single" w:sz="6" w:space="0" w:color="4EC6FF"/>
                    <w:right w:val="nil"/>
                  </w:tcBorders>
                  <w:hideMark/>
                </w:tcPr>
                <w:p w14:paraId="2EA46289" w14:textId="2202C440" w:rsidR="002D42C1" w:rsidRPr="00DE108C" w:rsidRDefault="002D42C1" w:rsidP="00ED094E">
                  <w:pPr>
                    <w:spacing w:before="60" w:after="60"/>
                    <w:rPr>
                      <w:sz w:val="16"/>
                      <w:szCs w:val="16"/>
                    </w:rPr>
                  </w:pPr>
                  <w:r w:rsidRPr="00DE108C">
                    <w:rPr>
                      <w:b/>
                      <w:bCs/>
                      <w:sz w:val="16"/>
                      <w:szCs w:val="16"/>
                    </w:rPr>
                    <w:t>SEW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7364EF3E" w14:textId="77777777" w:rsidR="002D42C1" w:rsidRPr="00DE108C" w:rsidRDefault="002D42C1" w:rsidP="008A11C9">
                  <w:pPr>
                    <w:spacing w:before="60" w:after="60"/>
                    <w:jc w:val="right"/>
                    <w:rPr>
                      <w:sz w:val="16"/>
                      <w:szCs w:val="16"/>
                    </w:rPr>
                  </w:pPr>
                  <w:r w:rsidRPr="00DE108C">
                    <w:rPr>
                      <w:sz w:val="16"/>
                      <w:szCs w:val="16"/>
                    </w:rPr>
                    <w:t>$1,057 </w:t>
                  </w:r>
                </w:p>
              </w:tc>
              <w:tc>
                <w:tcPr>
                  <w:tcW w:w="1365" w:type="dxa"/>
                  <w:tcBorders>
                    <w:top w:val="single" w:sz="6" w:space="0" w:color="4EC6FF"/>
                    <w:left w:val="nil"/>
                    <w:bottom w:val="single" w:sz="6" w:space="0" w:color="4EC6FF"/>
                    <w:right w:val="nil"/>
                  </w:tcBorders>
                  <w:vAlign w:val="center"/>
                  <w:hideMark/>
                </w:tcPr>
                <w:p w14:paraId="023B16B0" w14:textId="7A5D5C1B"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2FE2067A" w14:textId="1D0ED387"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0D1F3411" w14:textId="0B56E427" w:rsidR="002D42C1" w:rsidRPr="00DE108C" w:rsidRDefault="002D42C1" w:rsidP="008A11C9">
                  <w:pPr>
                    <w:spacing w:before="60" w:after="60"/>
                    <w:jc w:val="right"/>
                    <w:rPr>
                      <w:sz w:val="16"/>
                      <w:szCs w:val="16"/>
                    </w:rPr>
                  </w:pPr>
                  <w:r w:rsidRPr="00DE108C">
                    <w:rPr>
                      <w:sz w:val="16"/>
                      <w:szCs w:val="16"/>
                    </w:rPr>
                    <w:t>0.</w:t>
                  </w:r>
                  <w:r w:rsidR="001471D2" w:rsidRPr="00510FDD">
                    <w:rPr>
                      <w:color w:val="auto"/>
                      <w:sz w:val="16"/>
                      <w:szCs w:val="16"/>
                    </w:rPr>
                    <w:t>1</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011D2E12" w14:textId="5B41EC6A"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577D1D5D" w14:textId="1F5F5546" w:rsidR="002D42C1" w:rsidRPr="00DE108C" w:rsidRDefault="002D42C1" w:rsidP="008A11C9">
                  <w:pPr>
                    <w:spacing w:before="60" w:after="60"/>
                    <w:jc w:val="right"/>
                    <w:rPr>
                      <w:sz w:val="16"/>
                      <w:szCs w:val="16"/>
                    </w:rPr>
                  </w:pPr>
                  <w:r w:rsidRPr="00DE108C">
                    <w:rPr>
                      <w:sz w:val="16"/>
                      <w:szCs w:val="16"/>
                    </w:rPr>
                    <w:t>0.1%</w:t>
                  </w:r>
                </w:p>
              </w:tc>
            </w:tr>
            <w:tr w:rsidR="002D42C1" w:rsidRPr="00DE108C" w14:paraId="2BD61C6C" w14:textId="77777777" w:rsidTr="00ED094E">
              <w:trPr>
                <w:trHeight w:val="300"/>
              </w:trPr>
              <w:tc>
                <w:tcPr>
                  <w:tcW w:w="1365" w:type="dxa"/>
                  <w:tcBorders>
                    <w:top w:val="single" w:sz="6" w:space="0" w:color="4EC6FF"/>
                    <w:left w:val="nil"/>
                    <w:bottom w:val="single" w:sz="6" w:space="0" w:color="4EC6FF"/>
                    <w:right w:val="nil"/>
                  </w:tcBorders>
                  <w:hideMark/>
                </w:tcPr>
                <w:p w14:paraId="20ADFD83" w14:textId="77777777" w:rsidR="002D42C1" w:rsidRPr="00DE108C" w:rsidRDefault="002D42C1" w:rsidP="00ED094E">
                  <w:pPr>
                    <w:spacing w:before="60" w:after="60"/>
                    <w:rPr>
                      <w:sz w:val="16"/>
                      <w:szCs w:val="16"/>
                    </w:rPr>
                  </w:pPr>
                  <w:r w:rsidRPr="00DE108C">
                    <w:rPr>
                      <w:b/>
                      <w:bCs/>
                      <w:sz w:val="16"/>
                      <w:szCs w:val="16"/>
                    </w:rPr>
                    <w:t>YVW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4DE3578A" w14:textId="77777777" w:rsidR="002D42C1" w:rsidRPr="00DE108C" w:rsidRDefault="002D42C1" w:rsidP="008A11C9">
                  <w:pPr>
                    <w:spacing w:before="60" w:after="60"/>
                    <w:jc w:val="right"/>
                    <w:rPr>
                      <w:sz w:val="16"/>
                      <w:szCs w:val="16"/>
                    </w:rPr>
                  </w:pPr>
                  <w:r w:rsidRPr="00DE108C">
                    <w:rPr>
                      <w:sz w:val="16"/>
                      <w:szCs w:val="16"/>
                    </w:rPr>
                    <w:t>$1,114 </w:t>
                  </w:r>
                </w:p>
              </w:tc>
              <w:tc>
                <w:tcPr>
                  <w:tcW w:w="1365" w:type="dxa"/>
                  <w:tcBorders>
                    <w:top w:val="single" w:sz="6" w:space="0" w:color="4EC6FF"/>
                    <w:left w:val="nil"/>
                    <w:bottom w:val="single" w:sz="6" w:space="0" w:color="4EC6FF"/>
                    <w:right w:val="nil"/>
                  </w:tcBorders>
                  <w:vAlign w:val="center"/>
                  <w:hideMark/>
                </w:tcPr>
                <w:p w14:paraId="25A237E1" w14:textId="3D1D6CA2" w:rsidR="002D42C1" w:rsidRPr="00DE108C" w:rsidRDefault="002D42C1" w:rsidP="008A11C9">
                  <w:pPr>
                    <w:spacing w:before="60" w:after="60"/>
                    <w:jc w:val="right"/>
                    <w:rPr>
                      <w:sz w:val="16"/>
                      <w:szCs w:val="16"/>
                    </w:rPr>
                  </w:pPr>
                  <w:r w:rsidRPr="00510FDD">
                    <w:rPr>
                      <w:rFonts w:eastAsiaTheme="minorEastAsia" w:cstheme="minorBidi"/>
                      <w:sz w:val="16"/>
                      <w:szCs w:val="16"/>
                      <w:lang w:val="en-US"/>
                    </w:rPr>
                    <w:t>-</w:t>
                  </w:r>
                </w:p>
              </w:tc>
              <w:tc>
                <w:tcPr>
                  <w:tcW w:w="1365" w:type="dxa"/>
                  <w:tcBorders>
                    <w:top w:val="single" w:sz="6" w:space="0" w:color="4EC6FF"/>
                    <w:left w:val="nil"/>
                    <w:bottom w:val="single" w:sz="6" w:space="0" w:color="4EC6FF"/>
                    <w:right w:val="nil"/>
                  </w:tcBorders>
                  <w:vAlign w:val="center"/>
                  <w:hideMark/>
                </w:tcPr>
                <w:p w14:paraId="5B46780C" w14:textId="44959453" w:rsidR="002D42C1" w:rsidRPr="00DE108C" w:rsidRDefault="002D42C1" w:rsidP="008A11C9">
                  <w:pPr>
                    <w:spacing w:before="60" w:after="60"/>
                    <w:jc w:val="right"/>
                    <w:rPr>
                      <w:sz w:val="16"/>
                      <w:szCs w:val="16"/>
                    </w:rPr>
                  </w:pPr>
                  <w:r w:rsidRPr="00DE108C">
                    <w:rPr>
                      <w:sz w:val="16"/>
                      <w:szCs w:val="16"/>
                    </w:rPr>
                    <w:t>1.5%</w:t>
                  </w:r>
                </w:p>
              </w:tc>
              <w:tc>
                <w:tcPr>
                  <w:tcW w:w="1365" w:type="dxa"/>
                  <w:tcBorders>
                    <w:top w:val="single" w:sz="6" w:space="0" w:color="4EC6FF"/>
                    <w:left w:val="nil"/>
                    <w:bottom w:val="single" w:sz="6" w:space="0" w:color="4EC6FF"/>
                    <w:right w:val="nil"/>
                  </w:tcBorders>
                  <w:vAlign w:val="center"/>
                  <w:hideMark/>
                </w:tcPr>
                <w:p w14:paraId="39783EE0" w14:textId="67DF3B97" w:rsidR="002D42C1" w:rsidRPr="00DE108C" w:rsidRDefault="002D42C1" w:rsidP="008A11C9">
                  <w:pPr>
                    <w:spacing w:before="60" w:after="60"/>
                    <w:jc w:val="right"/>
                    <w:rPr>
                      <w:sz w:val="16"/>
                      <w:szCs w:val="16"/>
                    </w:rPr>
                  </w:pPr>
                  <w:r w:rsidRPr="0091606C">
                    <w:rPr>
                      <w:rFonts w:eastAsiaTheme="minorEastAsia"/>
                      <w:sz w:val="16"/>
                      <w:szCs w:val="16"/>
                    </w:rPr>
                    <w:t>-0.</w:t>
                  </w:r>
                  <w:r w:rsidR="008A11C9" w:rsidRPr="0091606C">
                    <w:rPr>
                      <w:color w:val="auto"/>
                      <w:sz w:val="16"/>
                      <w:szCs w:val="16"/>
                    </w:rPr>
                    <w:t>7</w:t>
                  </w:r>
                  <w:r w:rsidR="008A11C9" w:rsidRPr="0091606C">
                    <w:rPr>
                      <w:rFonts w:eastAsiaTheme="minorEastAsia"/>
                      <w:sz w:val="16"/>
                      <w:szCs w:val="16"/>
                    </w:rPr>
                    <w:t>%</w:t>
                  </w:r>
                </w:p>
              </w:tc>
              <w:tc>
                <w:tcPr>
                  <w:tcW w:w="1365" w:type="dxa"/>
                  <w:tcBorders>
                    <w:top w:val="single" w:sz="6" w:space="0" w:color="4EC6FF"/>
                    <w:left w:val="nil"/>
                    <w:bottom w:val="single" w:sz="6" w:space="0" w:color="4EC6FF"/>
                    <w:right w:val="nil"/>
                  </w:tcBorders>
                  <w:vAlign w:val="center"/>
                  <w:hideMark/>
                </w:tcPr>
                <w:p w14:paraId="5510DB09" w14:textId="2000608D"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7</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02AFC2F0" w14:textId="039F027F"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8</w:t>
                  </w:r>
                  <w:r w:rsidRPr="00DE108C">
                    <w:rPr>
                      <w:sz w:val="16"/>
                      <w:szCs w:val="16"/>
                    </w:rPr>
                    <w:t>%</w:t>
                  </w:r>
                </w:p>
              </w:tc>
            </w:tr>
            <w:tr w:rsidR="002D42C1" w:rsidRPr="00DE108C" w14:paraId="25B8F4FF" w14:textId="77777777" w:rsidTr="00ED094E">
              <w:trPr>
                <w:trHeight w:val="300"/>
              </w:trPr>
              <w:tc>
                <w:tcPr>
                  <w:tcW w:w="1365" w:type="dxa"/>
                  <w:tcBorders>
                    <w:top w:val="single" w:sz="6" w:space="0" w:color="4EC6FF"/>
                    <w:left w:val="nil"/>
                    <w:bottom w:val="single" w:sz="6" w:space="0" w:color="4EC6FF"/>
                    <w:right w:val="nil"/>
                  </w:tcBorders>
                  <w:hideMark/>
                </w:tcPr>
                <w:p w14:paraId="500D2DA8" w14:textId="3BDB7138" w:rsidR="002D42C1" w:rsidRPr="00DE108C" w:rsidRDefault="002D42C1" w:rsidP="00ED094E">
                  <w:pPr>
                    <w:spacing w:before="60" w:after="60"/>
                    <w:rPr>
                      <w:sz w:val="16"/>
                      <w:szCs w:val="16"/>
                    </w:rPr>
                  </w:pPr>
                  <w:r w:rsidRPr="00DE108C">
                    <w:rPr>
                      <w:b/>
                      <w:bCs/>
                      <w:sz w:val="16"/>
                      <w:szCs w:val="16"/>
                    </w:rPr>
                    <w:t>BW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249D6F62" w14:textId="77777777" w:rsidR="002D42C1" w:rsidRPr="00DE108C" w:rsidRDefault="002D42C1" w:rsidP="008A11C9">
                  <w:pPr>
                    <w:spacing w:before="60" w:after="60"/>
                    <w:jc w:val="right"/>
                    <w:rPr>
                      <w:sz w:val="16"/>
                      <w:szCs w:val="16"/>
                    </w:rPr>
                  </w:pPr>
                  <w:r w:rsidRPr="00DE108C">
                    <w:rPr>
                      <w:sz w:val="16"/>
                      <w:szCs w:val="16"/>
                    </w:rPr>
                    <w:t>$1,183 </w:t>
                  </w:r>
                </w:p>
              </w:tc>
              <w:tc>
                <w:tcPr>
                  <w:tcW w:w="1365" w:type="dxa"/>
                  <w:tcBorders>
                    <w:top w:val="single" w:sz="6" w:space="0" w:color="4EC6FF"/>
                    <w:left w:val="nil"/>
                    <w:bottom w:val="single" w:sz="6" w:space="0" w:color="4EC6FF"/>
                    <w:right w:val="nil"/>
                  </w:tcBorders>
                  <w:vAlign w:val="center"/>
                  <w:hideMark/>
                </w:tcPr>
                <w:p w14:paraId="46C6C4EA" w14:textId="39C13E3B" w:rsidR="002D42C1" w:rsidRPr="00DE108C" w:rsidRDefault="002D42C1" w:rsidP="008A11C9">
                  <w:pPr>
                    <w:spacing w:before="60" w:after="60"/>
                    <w:jc w:val="right"/>
                    <w:rPr>
                      <w:sz w:val="16"/>
                      <w:szCs w:val="16"/>
                    </w:rPr>
                  </w:pPr>
                  <w:r w:rsidRPr="00DE108C">
                    <w:rPr>
                      <w:sz w:val="16"/>
                      <w:szCs w:val="16"/>
                    </w:rPr>
                    <w:t>-0.3%</w:t>
                  </w:r>
                </w:p>
              </w:tc>
              <w:tc>
                <w:tcPr>
                  <w:tcW w:w="1365" w:type="dxa"/>
                  <w:tcBorders>
                    <w:top w:val="single" w:sz="6" w:space="0" w:color="4EC6FF"/>
                    <w:left w:val="nil"/>
                    <w:bottom w:val="single" w:sz="6" w:space="0" w:color="4EC6FF"/>
                    <w:right w:val="nil"/>
                  </w:tcBorders>
                  <w:vAlign w:val="center"/>
                  <w:hideMark/>
                </w:tcPr>
                <w:p w14:paraId="527D1555" w14:textId="6D06B7C8"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23A82CEE" w14:textId="722B99FA"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05D07224" w14:textId="74B03A56"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vAlign w:val="center"/>
                  <w:hideMark/>
                </w:tcPr>
                <w:p w14:paraId="28B79417" w14:textId="4830A1B6" w:rsidR="002D42C1" w:rsidRPr="00DE108C" w:rsidRDefault="002D42C1" w:rsidP="008A11C9">
                  <w:pPr>
                    <w:spacing w:before="60" w:after="60"/>
                    <w:jc w:val="right"/>
                    <w:rPr>
                      <w:sz w:val="16"/>
                      <w:szCs w:val="16"/>
                    </w:rPr>
                  </w:pPr>
                  <w:r w:rsidRPr="00DE108C">
                    <w:rPr>
                      <w:sz w:val="16"/>
                      <w:szCs w:val="16"/>
                    </w:rPr>
                    <w:t>0.4%</w:t>
                  </w:r>
                </w:p>
              </w:tc>
            </w:tr>
            <w:tr w:rsidR="002D42C1" w:rsidRPr="00DE108C" w14:paraId="70C04B54" w14:textId="77777777" w:rsidTr="00ED094E">
              <w:trPr>
                <w:trHeight w:val="300"/>
              </w:trPr>
              <w:tc>
                <w:tcPr>
                  <w:tcW w:w="1365" w:type="dxa"/>
                  <w:tcBorders>
                    <w:top w:val="single" w:sz="6" w:space="0" w:color="4EC6FF"/>
                    <w:left w:val="nil"/>
                    <w:bottom w:val="single" w:sz="6" w:space="0" w:color="4EC6FF"/>
                    <w:right w:val="nil"/>
                  </w:tcBorders>
                  <w:hideMark/>
                </w:tcPr>
                <w:p w14:paraId="439BAEC8" w14:textId="6AFFCD00" w:rsidR="002D42C1" w:rsidRPr="00DE108C" w:rsidRDefault="002D42C1" w:rsidP="00ED094E">
                  <w:pPr>
                    <w:spacing w:before="60" w:after="60"/>
                    <w:rPr>
                      <w:sz w:val="16"/>
                      <w:szCs w:val="16"/>
                    </w:rPr>
                  </w:pPr>
                  <w:r w:rsidRPr="00DE108C">
                    <w:rPr>
                      <w:b/>
                      <w:bCs/>
                      <w:sz w:val="16"/>
                      <w:szCs w:val="16"/>
                    </w:rPr>
                    <w:t>SGW</w:t>
                  </w:r>
                  <w:r w:rsidR="008C46DF">
                    <w:rPr>
                      <w:b/>
                      <w:bCs/>
                      <w:sz w:val="16"/>
                      <w:szCs w:val="16"/>
                    </w:rPr>
                    <w:t xml:space="preserve"> </w:t>
                  </w:r>
                </w:p>
              </w:tc>
              <w:tc>
                <w:tcPr>
                  <w:tcW w:w="1365" w:type="dxa"/>
                  <w:tcBorders>
                    <w:top w:val="single" w:sz="6" w:space="0" w:color="4EC6FF"/>
                    <w:left w:val="nil"/>
                    <w:bottom w:val="single" w:sz="6" w:space="0" w:color="4EC6FF"/>
                    <w:right w:val="nil"/>
                  </w:tcBorders>
                  <w:vAlign w:val="center"/>
                  <w:hideMark/>
                </w:tcPr>
                <w:p w14:paraId="468D07D2" w14:textId="77777777" w:rsidR="002D42C1" w:rsidRPr="00DE108C" w:rsidRDefault="002D42C1" w:rsidP="008A11C9">
                  <w:pPr>
                    <w:spacing w:before="60" w:after="60"/>
                    <w:jc w:val="right"/>
                    <w:rPr>
                      <w:sz w:val="16"/>
                      <w:szCs w:val="16"/>
                    </w:rPr>
                  </w:pPr>
                  <w:r w:rsidRPr="00DE108C">
                    <w:rPr>
                      <w:sz w:val="16"/>
                      <w:szCs w:val="16"/>
                    </w:rPr>
                    <w:t>$1,405 </w:t>
                  </w:r>
                </w:p>
              </w:tc>
              <w:tc>
                <w:tcPr>
                  <w:tcW w:w="1365" w:type="dxa"/>
                  <w:tcBorders>
                    <w:top w:val="single" w:sz="6" w:space="0" w:color="4EC6FF"/>
                    <w:left w:val="nil"/>
                    <w:bottom w:val="single" w:sz="6" w:space="0" w:color="4EC6FF"/>
                    <w:right w:val="nil"/>
                  </w:tcBorders>
                  <w:vAlign w:val="center"/>
                  <w:hideMark/>
                </w:tcPr>
                <w:p w14:paraId="2B71E2F9" w14:textId="0DBD19B7" w:rsidR="002D42C1" w:rsidRPr="00DE108C" w:rsidRDefault="002D42C1" w:rsidP="008A11C9">
                  <w:pPr>
                    <w:spacing w:before="60" w:after="60"/>
                    <w:jc w:val="right"/>
                    <w:rPr>
                      <w:sz w:val="16"/>
                      <w:szCs w:val="16"/>
                    </w:rPr>
                  </w:pPr>
                  <w:r w:rsidRPr="00DE108C">
                    <w:rPr>
                      <w:sz w:val="16"/>
                      <w:szCs w:val="16"/>
                    </w:rPr>
                    <w:t>1.6%</w:t>
                  </w:r>
                </w:p>
              </w:tc>
              <w:tc>
                <w:tcPr>
                  <w:tcW w:w="1365" w:type="dxa"/>
                  <w:tcBorders>
                    <w:top w:val="single" w:sz="6" w:space="0" w:color="4EC6FF"/>
                    <w:left w:val="nil"/>
                    <w:bottom w:val="single" w:sz="6" w:space="0" w:color="4EC6FF"/>
                    <w:right w:val="nil"/>
                  </w:tcBorders>
                  <w:vAlign w:val="center"/>
                  <w:hideMark/>
                </w:tcPr>
                <w:p w14:paraId="4B1D4293" w14:textId="7C1DEC36" w:rsidR="002D42C1" w:rsidRPr="00DE108C" w:rsidRDefault="002D42C1" w:rsidP="008A11C9">
                  <w:pPr>
                    <w:spacing w:before="60" w:after="60"/>
                    <w:jc w:val="right"/>
                    <w:rPr>
                      <w:sz w:val="16"/>
                      <w:szCs w:val="16"/>
                    </w:rPr>
                  </w:pPr>
                  <w:r w:rsidRPr="00DE108C">
                    <w:rPr>
                      <w:sz w:val="16"/>
                      <w:szCs w:val="16"/>
                    </w:rPr>
                    <w:t>0.6%</w:t>
                  </w:r>
                </w:p>
              </w:tc>
              <w:tc>
                <w:tcPr>
                  <w:tcW w:w="1365" w:type="dxa"/>
                  <w:tcBorders>
                    <w:top w:val="single" w:sz="6" w:space="0" w:color="4EC6FF"/>
                    <w:left w:val="nil"/>
                    <w:bottom w:val="single" w:sz="6" w:space="0" w:color="4EC6FF"/>
                    <w:right w:val="nil"/>
                  </w:tcBorders>
                  <w:vAlign w:val="center"/>
                  <w:hideMark/>
                </w:tcPr>
                <w:p w14:paraId="3C8FCC42" w14:textId="321F4F48" w:rsidR="002D42C1" w:rsidRPr="00DE108C" w:rsidRDefault="002D42C1" w:rsidP="008A11C9">
                  <w:pPr>
                    <w:spacing w:before="60" w:after="60"/>
                    <w:jc w:val="right"/>
                    <w:rPr>
                      <w:sz w:val="16"/>
                      <w:szCs w:val="16"/>
                    </w:rPr>
                  </w:pPr>
                  <w:r w:rsidRPr="00DE108C">
                    <w:rPr>
                      <w:sz w:val="16"/>
                      <w:szCs w:val="16"/>
                    </w:rPr>
                    <w:t>0.7%</w:t>
                  </w:r>
                </w:p>
              </w:tc>
              <w:tc>
                <w:tcPr>
                  <w:tcW w:w="1365" w:type="dxa"/>
                  <w:tcBorders>
                    <w:top w:val="single" w:sz="6" w:space="0" w:color="4EC6FF"/>
                    <w:left w:val="nil"/>
                    <w:bottom w:val="single" w:sz="6" w:space="0" w:color="4EC6FF"/>
                    <w:right w:val="nil"/>
                  </w:tcBorders>
                  <w:vAlign w:val="center"/>
                  <w:hideMark/>
                </w:tcPr>
                <w:p w14:paraId="739BC50F" w14:textId="5B8A8156" w:rsidR="002D42C1" w:rsidRPr="00DE108C" w:rsidRDefault="002D42C1" w:rsidP="008A11C9">
                  <w:pPr>
                    <w:spacing w:before="60" w:after="60"/>
                    <w:jc w:val="right"/>
                    <w:rPr>
                      <w:sz w:val="16"/>
                      <w:szCs w:val="16"/>
                    </w:rPr>
                  </w:pPr>
                  <w:r w:rsidRPr="00DE108C">
                    <w:rPr>
                      <w:sz w:val="16"/>
                      <w:szCs w:val="16"/>
                    </w:rPr>
                    <w:t>0.9%</w:t>
                  </w:r>
                </w:p>
              </w:tc>
              <w:tc>
                <w:tcPr>
                  <w:tcW w:w="1365" w:type="dxa"/>
                  <w:tcBorders>
                    <w:top w:val="single" w:sz="6" w:space="0" w:color="4EC6FF"/>
                    <w:left w:val="nil"/>
                    <w:bottom w:val="single" w:sz="6" w:space="0" w:color="4EC6FF"/>
                    <w:right w:val="nil"/>
                  </w:tcBorders>
                  <w:vAlign w:val="center"/>
                  <w:hideMark/>
                </w:tcPr>
                <w:p w14:paraId="39E3BC6C" w14:textId="27FD8C13" w:rsidR="002D42C1" w:rsidRPr="00DE108C" w:rsidRDefault="002D42C1" w:rsidP="008A11C9">
                  <w:pPr>
                    <w:spacing w:before="60" w:after="60"/>
                    <w:jc w:val="right"/>
                    <w:rPr>
                      <w:sz w:val="16"/>
                      <w:szCs w:val="16"/>
                    </w:rPr>
                  </w:pPr>
                  <w:r w:rsidRPr="00DE108C">
                    <w:rPr>
                      <w:sz w:val="16"/>
                      <w:szCs w:val="16"/>
                    </w:rPr>
                    <w:t>1.1%</w:t>
                  </w:r>
                </w:p>
              </w:tc>
            </w:tr>
            <w:tr w:rsidR="002D42C1" w:rsidRPr="00DE108C" w14:paraId="20369BA8" w14:textId="77777777" w:rsidTr="00ED094E">
              <w:trPr>
                <w:trHeight w:val="300"/>
              </w:trPr>
              <w:tc>
                <w:tcPr>
                  <w:tcW w:w="1365" w:type="dxa"/>
                  <w:tcBorders>
                    <w:top w:val="single" w:sz="6" w:space="0" w:color="4EC6FF"/>
                    <w:left w:val="nil"/>
                    <w:bottom w:val="single" w:sz="6" w:space="0" w:color="4EC6FF"/>
                    <w:right w:val="nil"/>
                  </w:tcBorders>
                  <w:shd w:val="clear" w:color="auto" w:fill="46C2D7" w:themeFill="accent3"/>
                  <w:hideMark/>
                </w:tcPr>
                <w:p w14:paraId="1C16DC64" w14:textId="77777777" w:rsidR="002D42C1" w:rsidRPr="00DE108C" w:rsidRDefault="002D42C1" w:rsidP="00ED094E">
                  <w:pPr>
                    <w:spacing w:before="60" w:after="60"/>
                    <w:rPr>
                      <w:sz w:val="16"/>
                      <w:szCs w:val="16"/>
                    </w:rPr>
                  </w:pPr>
                  <w:r w:rsidRPr="00DE108C">
                    <w:rPr>
                      <w:b/>
                      <w:bCs/>
                      <w:sz w:val="16"/>
                      <w:szCs w:val="16"/>
                    </w:rPr>
                    <w:t>WpW</w:t>
                  </w:r>
                  <w:r w:rsidRPr="00DE108C">
                    <w:rPr>
                      <w:sz w:val="16"/>
                      <w:szCs w:val="16"/>
                    </w:rPr>
                    <w:t> </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34119A02" w14:textId="77777777" w:rsidR="002D42C1" w:rsidRPr="00DE108C" w:rsidRDefault="002D42C1" w:rsidP="008A11C9">
                  <w:pPr>
                    <w:spacing w:before="60" w:after="60"/>
                    <w:jc w:val="right"/>
                    <w:rPr>
                      <w:sz w:val="16"/>
                      <w:szCs w:val="16"/>
                    </w:rPr>
                  </w:pPr>
                  <w:r w:rsidRPr="00DE108C">
                    <w:rPr>
                      <w:sz w:val="16"/>
                      <w:szCs w:val="16"/>
                    </w:rPr>
                    <w:t>$1,394 </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224E029D" w14:textId="1CEF174E" w:rsidR="002D42C1" w:rsidRPr="00DE108C" w:rsidRDefault="002D42C1" w:rsidP="008A11C9">
                  <w:pPr>
                    <w:spacing w:before="60" w:after="60"/>
                    <w:jc w:val="right"/>
                    <w:rPr>
                      <w:sz w:val="16"/>
                      <w:szCs w:val="16"/>
                    </w:rPr>
                  </w:pPr>
                  <w:r w:rsidRPr="00DE108C">
                    <w:rPr>
                      <w:sz w:val="16"/>
                      <w:szCs w:val="16"/>
                    </w:rPr>
                    <w:t>-</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25C70A3E" w14:textId="77AFF4BF"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5FE0B1C1" w14:textId="12E78C73" w:rsidR="002D42C1" w:rsidRPr="00DE108C" w:rsidRDefault="002D42C1" w:rsidP="008A11C9">
                  <w:pPr>
                    <w:spacing w:before="60" w:after="60"/>
                    <w:jc w:val="right"/>
                    <w:rPr>
                      <w:sz w:val="16"/>
                      <w:szCs w:val="16"/>
                    </w:rPr>
                  </w:pPr>
                  <w:r w:rsidRPr="00DE108C">
                    <w:rPr>
                      <w:sz w:val="16"/>
                      <w:szCs w:val="16"/>
                    </w:rPr>
                    <w:t>0.1%</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4A103305" w14:textId="27AA0AFB" w:rsidR="002D42C1" w:rsidRPr="00DE108C" w:rsidRDefault="002D42C1" w:rsidP="008A11C9">
                  <w:pPr>
                    <w:spacing w:before="60" w:after="60"/>
                    <w:jc w:val="right"/>
                    <w:rPr>
                      <w:sz w:val="16"/>
                      <w:szCs w:val="16"/>
                    </w:rPr>
                  </w:pPr>
                  <w:r w:rsidRPr="00DE108C">
                    <w:rPr>
                      <w:sz w:val="16"/>
                      <w:szCs w:val="16"/>
                    </w:rPr>
                    <w:t>0.2%</w:t>
                  </w:r>
                </w:p>
              </w:tc>
              <w:tc>
                <w:tcPr>
                  <w:tcW w:w="1365" w:type="dxa"/>
                  <w:tcBorders>
                    <w:top w:val="single" w:sz="6" w:space="0" w:color="4EC6FF"/>
                    <w:left w:val="nil"/>
                    <w:bottom w:val="single" w:sz="6" w:space="0" w:color="4EC6FF"/>
                    <w:right w:val="nil"/>
                  </w:tcBorders>
                  <w:shd w:val="clear" w:color="auto" w:fill="46C2D7" w:themeFill="accent3"/>
                  <w:vAlign w:val="center"/>
                  <w:hideMark/>
                </w:tcPr>
                <w:p w14:paraId="6A8234F5" w14:textId="1BFF833A" w:rsidR="002D42C1" w:rsidRPr="00DE108C" w:rsidRDefault="002D42C1" w:rsidP="008A11C9">
                  <w:pPr>
                    <w:spacing w:before="60" w:after="60"/>
                    <w:jc w:val="right"/>
                    <w:rPr>
                      <w:sz w:val="16"/>
                      <w:szCs w:val="16"/>
                    </w:rPr>
                  </w:pPr>
                  <w:r w:rsidRPr="00DE108C">
                    <w:rPr>
                      <w:sz w:val="16"/>
                      <w:szCs w:val="16"/>
                    </w:rPr>
                    <w:t>0.2%</w:t>
                  </w:r>
                </w:p>
              </w:tc>
            </w:tr>
            <w:tr w:rsidR="002D42C1" w:rsidRPr="00DE108C" w14:paraId="35F45B7D" w14:textId="77777777" w:rsidTr="00ED094E">
              <w:trPr>
                <w:trHeight w:val="300"/>
              </w:trPr>
              <w:tc>
                <w:tcPr>
                  <w:tcW w:w="1365" w:type="dxa"/>
                  <w:tcBorders>
                    <w:top w:val="single" w:sz="6" w:space="0" w:color="4EC6FF"/>
                    <w:left w:val="nil"/>
                    <w:bottom w:val="single" w:sz="6" w:space="0" w:color="4EC6FF"/>
                    <w:right w:val="nil"/>
                  </w:tcBorders>
                  <w:hideMark/>
                </w:tcPr>
                <w:p w14:paraId="69FE5126" w14:textId="77777777" w:rsidR="002D42C1" w:rsidRPr="00DE108C" w:rsidRDefault="002D42C1" w:rsidP="00ED094E">
                  <w:pPr>
                    <w:spacing w:before="60" w:after="60"/>
                    <w:rPr>
                      <w:sz w:val="16"/>
                      <w:szCs w:val="16"/>
                    </w:rPr>
                  </w:pPr>
                  <w:r w:rsidRPr="00DE108C">
                    <w:rPr>
                      <w:b/>
                      <w:bCs/>
                      <w:sz w:val="16"/>
                      <w:szCs w:val="16"/>
                    </w:rPr>
                    <w:t>GW</w:t>
                  </w:r>
                  <w:r w:rsidRPr="00DE108C">
                    <w:rPr>
                      <w:sz w:val="16"/>
                      <w:szCs w:val="16"/>
                    </w:rPr>
                    <w:t> </w:t>
                  </w:r>
                </w:p>
              </w:tc>
              <w:tc>
                <w:tcPr>
                  <w:tcW w:w="1365" w:type="dxa"/>
                  <w:tcBorders>
                    <w:top w:val="single" w:sz="6" w:space="0" w:color="4EC6FF"/>
                    <w:left w:val="nil"/>
                    <w:bottom w:val="single" w:sz="6" w:space="0" w:color="4EC6FF"/>
                    <w:right w:val="nil"/>
                  </w:tcBorders>
                  <w:vAlign w:val="center"/>
                  <w:hideMark/>
                </w:tcPr>
                <w:p w14:paraId="5C7C05D4" w14:textId="77777777" w:rsidR="002D42C1" w:rsidRPr="00DE108C" w:rsidRDefault="002D42C1" w:rsidP="008A11C9">
                  <w:pPr>
                    <w:spacing w:before="60" w:after="60"/>
                    <w:jc w:val="right"/>
                    <w:rPr>
                      <w:sz w:val="16"/>
                      <w:szCs w:val="16"/>
                    </w:rPr>
                  </w:pPr>
                  <w:r w:rsidRPr="00DE108C">
                    <w:rPr>
                      <w:sz w:val="16"/>
                      <w:szCs w:val="16"/>
                    </w:rPr>
                    <w:t>$1,492 </w:t>
                  </w:r>
                </w:p>
              </w:tc>
              <w:tc>
                <w:tcPr>
                  <w:tcW w:w="1365" w:type="dxa"/>
                  <w:tcBorders>
                    <w:top w:val="single" w:sz="6" w:space="0" w:color="4EC6FF"/>
                    <w:left w:val="nil"/>
                    <w:bottom w:val="single" w:sz="6" w:space="0" w:color="4EC6FF"/>
                    <w:right w:val="nil"/>
                  </w:tcBorders>
                  <w:vAlign w:val="center"/>
                  <w:hideMark/>
                </w:tcPr>
                <w:p w14:paraId="1CF88CDB" w14:textId="533050E5" w:rsidR="002D42C1" w:rsidRPr="00DE108C" w:rsidRDefault="002D42C1" w:rsidP="008A11C9">
                  <w:pPr>
                    <w:spacing w:before="60" w:after="60"/>
                    <w:jc w:val="right"/>
                    <w:rPr>
                      <w:sz w:val="16"/>
                      <w:szCs w:val="16"/>
                    </w:rPr>
                  </w:pPr>
                  <w:r w:rsidRPr="00510FDD">
                    <w:rPr>
                      <w:color w:val="auto"/>
                      <w:sz w:val="16"/>
                      <w:szCs w:val="16"/>
                    </w:rPr>
                    <w:t>-</w:t>
                  </w:r>
                  <w:r w:rsidRPr="00DE108C">
                    <w:rPr>
                      <w:sz w:val="16"/>
                      <w:szCs w:val="16"/>
                    </w:rPr>
                    <w:t>0.</w:t>
                  </w:r>
                  <w:r w:rsidRPr="00510FDD">
                    <w:rPr>
                      <w:color w:val="auto"/>
                      <w:sz w:val="16"/>
                      <w:szCs w:val="16"/>
                    </w:rPr>
                    <w:t>8</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0640642F" w14:textId="2826ECDB" w:rsidR="002D42C1" w:rsidRPr="00DE108C" w:rsidRDefault="002D42C1" w:rsidP="008A11C9">
                  <w:pPr>
                    <w:spacing w:before="60" w:after="60"/>
                    <w:jc w:val="right"/>
                    <w:rPr>
                      <w:sz w:val="16"/>
                      <w:szCs w:val="16"/>
                    </w:rPr>
                  </w:pPr>
                  <w:r w:rsidRPr="00DE108C">
                    <w:rPr>
                      <w:sz w:val="16"/>
                      <w:szCs w:val="16"/>
                    </w:rPr>
                    <w:t>0.0%</w:t>
                  </w:r>
                </w:p>
              </w:tc>
              <w:tc>
                <w:tcPr>
                  <w:tcW w:w="1365" w:type="dxa"/>
                  <w:tcBorders>
                    <w:top w:val="single" w:sz="6" w:space="0" w:color="4EC6FF"/>
                    <w:left w:val="nil"/>
                    <w:bottom w:val="single" w:sz="6" w:space="0" w:color="4EC6FF"/>
                    <w:right w:val="nil"/>
                  </w:tcBorders>
                  <w:vAlign w:val="center"/>
                  <w:hideMark/>
                </w:tcPr>
                <w:p w14:paraId="6F502282" w14:textId="1576AD0B" w:rsidR="002D42C1" w:rsidRPr="00DE108C" w:rsidRDefault="002D42C1" w:rsidP="008A11C9">
                  <w:pPr>
                    <w:spacing w:before="60" w:after="60"/>
                    <w:jc w:val="right"/>
                    <w:rPr>
                      <w:sz w:val="16"/>
                      <w:szCs w:val="16"/>
                    </w:rPr>
                  </w:pPr>
                  <w:r w:rsidRPr="00DE108C">
                    <w:rPr>
                      <w:sz w:val="16"/>
                      <w:szCs w:val="16"/>
                    </w:rPr>
                    <w:t>0.</w:t>
                  </w:r>
                  <w:r w:rsidRPr="00510FDD">
                    <w:rPr>
                      <w:color w:val="auto"/>
                      <w:sz w:val="16"/>
                      <w:szCs w:val="16"/>
                    </w:rPr>
                    <w:t>1</w:t>
                  </w:r>
                  <w:r w:rsidRPr="00DE108C">
                    <w:rPr>
                      <w:sz w:val="16"/>
                      <w:szCs w:val="16"/>
                    </w:rPr>
                    <w:t>%</w:t>
                  </w:r>
                </w:p>
              </w:tc>
              <w:tc>
                <w:tcPr>
                  <w:tcW w:w="1365" w:type="dxa"/>
                  <w:tcBorders>
                    <w:top w:val="single" w:sz="6" w:space="0" w:color="4EC6FF"/>
                    <w:left w:val="nil"/>
                    <w:bottom w:val="single" w:sz="6" w:space="0" w:color="4EC6FF"/>
                    <w:right w:val="nil"/>
                  </w:tcBorders>
                  <w:vAlign w:val="center"/>
                  <w:hideMark/>
                </w:tcPr>
                <w:p w14:paraId="7048C158" w14:textId="1F2C72B2" w:rsidR="002D42C1" w:rsidRPr="00DE108C" w:rsidRDefault="002D42C1" w:rsidP="008A11C9">
                  <w:pPr>
                    <w:spacing w:before="60" w:after="60"/>
                    <w:jc w:val="right"/>
                    <w:rPr>
                      <w:sz w:val="16"/>
                      <w:szCs w:val="16"/>
                    </w:rPr>
                  </w:pPr>
                  <w:r w:rsidRPr="00DE108C">
                    <w:rPr>
                      <w:sz w:val="16"/>
                      <w:szCs w:val="16"/>
                    </w:rPr>
                    <w:t>0.0%</w:t>
                  </w:r>
                </w:p>
              </w:tc>
              <w:tc>
                <w:tcPr>
                  <w:tcW w:w="1365" w:type="dxa"/>
                  <w:tcBorders>
                    <w:top w:val="single" w:sz="6" w:space="0" w:color="4EC6FF"/>
                    <w:left w:val="nil"/>
                    <w:bottom w:val="single" w:sz="6" w:space="0" w:color="4EC6FF"/>
                    <w:right w:val="nil"/>
                  </w:tcBorders>
                  <w:vAlign w:val="center"/>
                  <w:hideMark/>
                </w:tcPr>
                <w:p w14:paraId="322E515E" w14:textId="2A8CC349" w:rsidR="002D42C1" w:rsidRPr="00DE108C" w:rsidRDefault="002D42C1" w:rsidP="008A11C9">
                  <w:pPr>
                    <w:spacing w:before="60" w:after="60"/>
                    <w:jc w:val="right"/>
                    <w:rPr>
                      <w:sz w:val="16"/>
                      <w:szCs w:val="16"/>
                    </w:rPr>
                  </w:pPr>
                  <w:r w:rsidRPr="00DE108C">
                    <w:rPr>
                      <w:sz w:val="16"/>
                      <w:szCs w:val="16"/>
                    </w:rPr>
                    <w:t>0.0%</w:t>
                  </w:r>
                </w:p>
              </w:tc>
            </w:tr>
          </w:tbl>
          <w:p w14:paraId="1F7E75E1" w14:textId="28DB1491" w:rsidR="002D42C1" w:rsidRPr="00DE108C" w:rsidRDefault="002D42C1" w:rsidP="6638ACE3">
            <w:pPr>
              <w:rPr>
                <w:sz w:val="16"/>
                <w:szCs w:val="16"/>
              </w:rPr>
            </w:pPr>
            <w:r w:rsidRPr="6638ACE3">
              <w:rPr>
                <w:sz w:val="16"/>
                <w:szCs w:val="16"/>
              </w:rPr>
              <w:t>Customer impacts are indicative only and exclude inflation, water corporation 2028 submission impacts and annual pass-throughs</w:t>
            </w:r>
            <w:r w:rsidR="49DB7EFC" w:rsidRPr="1BB6A249">
              <w:rPr>
                <w:sz w:val="16"/>
                <w:szCs w:val="16"/>
              </w:rPr>
              <w:t>,</w:t>
            </w:r>
            <w:r w:rsidRPr="6638ACE3">
              <w:rPr>
                <w:sz w:val="16"/>
                <w:szCs w:val="16"/>
              </w:rPr>
              <w:t xml:space="preserve"> including desalinated water orders. Forecast customer bill impacts are estimated on the change in total Melbourne Water bulk costs, it is up to each individual water corporation on how this is passed onto households and businesses.</w:t>
            </w:r>
          </w:p>
          <w:p w14:paraId="7A66AA2A" w14:textId="4B5B4475" w:rsidR="002D42C1" w:rsidRPr="00DE108C" w:rsidRDefault="002D42C1" w:rsidP="00ED094E">
            <w:pPr>
              <w:rPr>
                <w:sz w:val="16"/>
                <w:szCs w:val="16"/>
              </w:rPr>
            </w:pPr>
          </w:p>
        </w:tc>
      </w:tr>
    </w:tbl>
    <w:p w14:paraId="0B297091" w14:textId="77777777" w:rsidR="002D42C1" w:rsidRPr="00DE108C" w:rsidRDefault="002D42C1" w:rsidP="00ED094E"/>
    <w:p w14:paraId="4FD010BD" w14:textId="77777777" w:rsidR="002D42C1" w:rsidRPr="00DE108C" w:rsidRDefault="002D42C1" w:rsidP="00ED094E">
      <w:pPr>
        <w:sectPr w:rsidR="002D42C1" w:rsidRPr="00DE108C" w:rsidSect="002D42C1">
          <w:pgSz w:w="23811" w:h="16838" w:orient="landscape" w:code="8"/>
          <w:pgMar w:top="720" w:right="720" w:bottom="720" w:left="720" w:header="567" w:footer="680" w:gutter="0"/>
          <w:cols w:space="708"/>
          <w:docGrid w:linePitch="360"/>
        </w:sectPr>
      </w:pPr>
    </w:p>
    <w:p w14:paraId="7C1F06FC" w14:textId="77777777" w:rsidR="002D42C1" w:rsidRPr="00DE108C" w:rsidRDefault="002D42C1" w:rsidP="00ED094E"/>
    <w:p w14:paraId="4D5BFA11" w14:textId="77777777" w:rsidR="002D42C1" w:rsidRPr="00DE108C" w:rsidRDefault="002D42C1" w:rsidP="00ED094E">
      <w:pPr>
        <w:pStyle w:val="Heading1"/>
        <w:rPr>
          <w:sz w:val="32"/>
          <w:szCs w:val="36"/>
        </w:rPr>
      </w:pPr>
      <w:bookmarkStart w:id="1274" w:name="_Toc207892951"/>
      <w:bookmarkStart w:id="1275" w:name="_Toc207853444"/>
      <w:bookmarkStart w:id="1276" w:name="_Toc210229048"/>
      <w:r w:rsidRPr="00DE108C">
        <w:rPr>
          <w:sz w:val="32"/>
          <w:szCs w:val="36"/>
        </w:rPr>
        <w:t>Appendix B: Outcomes measures and targets</w:t>
      </w:r>
      <w:bookmarkEnd w:id="1274"/>
      <w:bookmarkEnd w:id="1275"/>
      <w:bookmarkEnd w:id="1276"/>
    </w:p>
    <w:p w14:paraId="5C953637" w14:textId="77777777" w:rsidR="002D42C1" w:rsidRPr="00DE108C" w:rsidRDefault="002D42C1" w:rsidP="00ED094E">
      <w:r w:rsidRPr="00DE108C">
        <w:t>The table below summarises our measures, and their proposed targets for the 2026-31 period. Note at the time of submission only actual data is available for 2023-24 and 2024-25.</w:t>
      </w:r>
    </w:p>
    <w:p w14:paraId="634DC63A" w14:textId="77777777" w:rsidR="002D42C1" w:rsidRPr="00DE108C" w:rsidRDefault="002D42C1" w:rsidP="00ED094E">
      <w:pPr>
        <w:pStyle w:val="Caption"/>
      </w:pPr>
      <w:bookmarkStart w:id="1277" w:name="_Toc207893129"/>
      <w:bookmarkStart w:id="1278" w:name="_Toc208490653"/>
      <w:bookmarkStart w:id="1279" w:name="_Toc208490991"/>
      <w:bookmarkStart w:id="1280" w:name="_Toc208911149"/>
      <w:bookmarkStart w:id="1281" w:name="_Toc210051455"/>
      <w:r w:rsidRPr="00DE108C">
        <w:t>Table B.1: Our proposed customer Outcome measure and targets in detail</w:t>
      </w:r>
      <w:bookmarkEnd w:id="1277"/>
      <w:bookmarkEnd w:id="1278"/>
      <w:bookmarkEnd w:id="1279"/>
      <w:bookmarkEnd w:id="1280"/>
      <w:bookmarkEnd w:id="1281"/>
    </w:p>
    <w:tbl>
      <w:tblPr>
        <w:tblStyle w:val="MWTableGrid"/>
        <w:tblW w:w="5000" w:type="pct"/>
        <w:tblLook w:val="04A0" w:firstRow="1" w:lastRow="0" w:firstColumn="1" w:lastColumn="0" w:noHBand="0" w:noVBand="1"/>
      </w:tblPr>
      <w:tblGrid>
        <w:gridCol w:w="2101"/>
        <w:gridCol w:w="2029"/>
        <w:gridCol w:w="3390"/>
        <w:gridCol w:w="1619"/>
        <w:gridCol w:w="2004"/>
        <w:gridCol w:w="1418"/>
        <w:gridCol w:w="1418"/>
        <w:gridCol w:w="1422"/>
        <w:gridCol w:w="1418"/>
        <w:gridCol w:w="1418"/>
        <w:gridCol w:w="1418"/>
        <w:gridCol w:w="1418"/>
        <w:gridCol w:w="1288"/>
      </w:tblGrid>
      <w:tr w:rsidR="00556A0D" w:rsidRPr="00DE108C" w14:paraId="3BBC1574" w14:textId="77777777" w:rsidTr="00911FF9">
        <w:trPr>
          <w:cnfStyle w:val="100000000000" w:firstRow="1" w:lastRow="0" w:firstColumn="0" w:lastColumn="0" w:oddVBand="0" w:evenVBand="0" w:oddHBand="0" w:evenHBand="0" w:firstRowFirstColumn="0" w:firstRowLastColumn="0" w:lastRowFirstColumn="0" w:lastRowLastColumn="0"/>
          <w:trHeight w:val="300"/>
        </w:trPr>
        <w:tc>
          <w:tcPr>
            <w:tcW w:w="470" w:type="pct"/>
            <w:vMerge w:val="restart"/>
          </w:tcPr>
          <w:p w14:paraId="39BA8EA4" w14:textId="77777777" w:rsidR="002D42C1" w:rsidRPr="00DE108C" w:rsidRDefault="002D42C1" w:rsidP="00ED094E">
            <w:pPr>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Outcome</w:t>
            </w:r>
          </w:p>
          <w:p w14:paraId="44FEEED0" w14:textId="77777777" w:rsidR="002D42C1" w:rsidRPr="00DE108C" w:rsidRDefault="002D42C1" w:rsidP="00ED094E">
            <w:pPr>
              <w:rPr>
                <w:rFonts w:asciiTheme="majorHAnsi" w:hAnsiTheme="majorHAnsi"/>
                <w:b/>
                <w:color w:val="FFFFFF" w:themeColor="background1"/>
                <w:sz w:val="16"/>
                <w:szCs w:val="16"/>
              </w:rPr>
            </w:pPr>
          </w:p>
        </w:tc>
        <w:tc>
          <w:tcPr>
            <w:tcW w:w="454" w:type="pct"/>
            <w:vMerge w:val="restart"/>
          </w:tcPr>
          <w:p w14:paraId="031C751D" w14:textId="77777777" w:rsidR="002D42C1" w:rsidRPr="00DE108C" w:rsidRDefault="002D42C1" w:rsidP="00ED094E">
            <w:pPr>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Theme</w:t>
            </w:r>
          </w:p>
          <w:p w14:paraId="75C57AF3" w14:textId="77777777" w:rsidR="002D42C1" w:rsidRPr="00DE108C" w:rsidRDefault="002D42C1" w:rsidP="00ED094E">
            <w:pPr>
              <w:rPr>
                <w:rFonts w:asciiTheme="majorHAnsi" w:hAnsiTheme="majorHAnsi"/>
                <w:b/>
                <w:color w:val="FFFFFF" w:themeColor="background1"/>
                <w:sz w:val="16"/>
                <w:szCs w:val="16"/>
              </w:rPr>
            </w:pPr>
          </w:p>
        </w:tc>
        <w:tc>
          <w:tcPr>
            <w:tcW w:w="758" w:type="pct"/>
            <w:vMerge w:val="restart"/>
          </w:tcPr>
          <w:p w14:paraId="340ABCEF" w14:textId="77777777" w:rsidR="002D42C1" w:rsidRPr="00DE108C" w:rsidRDefault="002D42C1" w:rsidP="00ED094E">
            <w:pPr>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Measure</w:t>
            </w:r>
          </w:p>
          <w:p w14:paraId="1AFEE296" w14:textId="77777777" w:rsidR="002D42C1" w:rsidRPr="00DE108C" w:rsidRDefault="002D42C1" w:rsidP="00ED094E">
            <w:pPr>
              <w:rPr>
                <w:rFonts w:asciiTheme="majorHAnsi" w:hAnsiTheme="majorHAnsi"/>
                <w:b/>
                <w:color w:val="FFFFFF" w:themeColor="background1"/>
                <w:sz w:val="16"/>
                <w:szCs w:val="16"/>
              </w:rPr>
            </w:pPr>
          </w:p>
        </w:tc>
        <w:tc>
          <w:tcPr>
            <w:tcW w:w="362" w:type="pct"/>
            <w:vMerge w:val="restart"/>
          </w:tcPr>
          <w:p w14:paraId="3F474C17" w14:textId="77777777" w:rsidR="002D42C1" w:rsidRPr="00DE108C" w:rsidRDefault="002D42C1" w:rsidP="00ED094E">
            <w:pPr>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Unit</w:t>
            </w:r>
          </w:p>
          <w:p w14:paraId="2D3EDFA7" w14:textId="77777777" w:rsidR="002D42C1" w:rsidRPr="00DE108C" w:rsidRDefault="002D42C1" w:rsidP="00ED094E">
            <w:pPr>
              <w:rPr>
                <w:rFonts w:asciiTheme="majorHAnsi" w:hAnsiTheme="majorHAnsi"/>
                <w:b/>
                <w:color w:val="FFFFFF" w:themeColor="background1"/>
                <w:sz w:val="16"/>
                <w:szCs w:val="16"/>
              </w:rPr>
            </w:pPr>
          </w:p>
        </w:tc>
        <w:tc>
          <w:tcPr>
            <w:tcW w:w="448" w:type="pct"/>
            <w:vMerge w:val="restart"/>
          </w:tcPr>
          <w:p w14:paraId="6016E694" w14:textId="77777777" w:rsidR="002D42C1" w:rsidRPr="00DE108C" w:rsidRDefault="002D42C1" w:rsidP="00ED094E">
            <w:pPr>
              <w:rPr>
                <w:rFonts w:asciiTheme="majorHAnsi" w:hAnsiTheme="majorHAnsi"/>
                <w:b/>
                <w:color w:val="FFFFFF" w:themeColor="background1"/>
                <w:sz w:val="16"/>
                <w:szCs w:val="16"/>
              </w:rPr>
            </w:pPr>
          </w:p>
        </w:tc>
        <w:tc>
          <w:tcPr>
            <w:tcW w:w="952" w:type="pct"/>
            <w:gridSpan w:val="3"/>
          </w:tcPr>
          <w:p w14:paraId="69989E98" w14:textId="77777777" w:rsidR="002D42C1" w:rsidRPr="00DE108C" w:rsidRDefault="002D42C1" w:rsidP="00ED094E">
            <w:pPr>
              <w:jc w:val="center"/>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Current regulatory period</w:t>
            </w:r>
          </w:p>
        </w:tc>
        <w:tc>
          <w:tcPr>
            <w:tcW w:w="1556" w:type="pct"/>
            <w:gridSpan w:val="5"/>
          </w:tcPr>
          <w:p w14:paraId="1F091D77" w14:textId="77777777" w:rsidR="002D42C1" w:rsidRPr="00DE108C" w:rsidRDefault="002D42C1" w:rsidP="00ED094E">
            <w:pPr>
              <w:jc w:val="center"/>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Next regulatory period</w:t>
            </w:r>
          </w:p>
        </w:tc>
      </w:tr>
      <w:tr w:rsidR="006D65BA" w:rsidRPr="00DE108C" w14:paraId="02BBD16B" w14:textId="77777777" w:rsidTr="00ED094E">
        <w:trPr>
          <w:trHeight w:val="300"/>
        </w:trPr>
        <w:tc>
          <w:tcPr>
            <w:tcW w:w="470" w:type="pct"/>
            <w:vMerge/>
          </w:tcPr>
          <w:p w14:paraId="398FD7F6" w14:textId="77777777" w:rsidR="002D42C1" w:rsidRPr="00DE108C" w:rsidRDefault="002D42C1" w:rsidP="00ED094E">
            <w:pPr>
              <w:rPr>
                <w:rFonts w:asciiTheme="majorHAnsi" w:hAnsiTheme="majorHAnsi"/>
                <w:b/>
                <w:color w:val="FFFFFF" w:themeColor="background1"/>
                <w:sz w:val="16"/>
                <w:szCs w:val="16"/>
              </w:rPr>
            </w:pPr>
          </w:p>
        </w:tc>
        <w:tc>
          <w:tcPr>
            <w:tcW w:w="454" w:type="pct"/>
            <w:vMerge/>
          </w:tcPr>
          <w:p w14:paraId="5E5CC385" w14:textId="77777777" w:rsidR="002D42C1" w:rsidRPr="00DE108C" w:rsidRDefault="002D42C1" w:rsidP="00ED094E">
            <w:pPr>
              <w:rPr>
                <w:rFonts w:asciiTheme="majorHAnsi" w:hAnsiTheme="majorHAnsi"/>
                <w:b/>
                <w:color w:val="FFFFFF" w:themeColor="background1"/>
                <w:sz w:val="16"/>
                <w:szCs w:val="16"/>
              </w:rPr>
            </w:pPr>
          </w:p>
        </w:tc>
        <w:tc>
          <w:tcPr>
            <w:tcW w:w="758" w:type="pct"/>
            <w:vMerge/>
          </w:tcPr>
          <w:p w14:paraId="27C5A647" w14:textId="77777777" w:rsidR="002D42C1" w:rsidRPr="00DE108C" w:rsidRDefault="002D42C1" w:rsidP="00ED094E">
            <w:pPr>
              <w:rPr>
                <w:rFonts w:asciiTheme="majorHAnsi" w:hAnsiTheme="majorHAnsi"/>
                <w:b/>
                <w:color w:val="FFFFFF" w:themeColor="background1"/>
                <w:sz w:val="16"/>
                <w:szCs w:val="16"/>
              </w:rPr>
            </w:pPr>
          </w:p>
        </w:tc>
        <w:tc>
          <w:tcPr>
            <w:tcW w:w="362" w:type="pct"/>
            <w:vMerge/>
          </w:tcPr>
          <w:p w14:paraId="6488A6EA" w14:textId="77777777" w:rsidR="002D42C1" w:rsidRPr="00DE108C" w:rsidRDefault="002D42C1" w:rsidP="00ED094E">
            <w:pPr>
              <w:rPr>
                <w:rFonts w:asciiTheme="majorHAnsi" w:hAnsiTheme="majorHAnsi"/>
                <w:b/>
                <w:color w:val="FFFFFF" w:themeColor="background1"/>
                <w:sz w:val="16"/>
                <w:szCs w:val="16"/>
              </w:rPr>
            </w:pPr>
          </w:p>
        </w:tc>
        <w:tc>
          <w:tcPr>
            <w:tcW w:w="448" w:type="pct"/>
            <w:vMerge/>
          </w:tcPr>
          <w:p w14:paraId="697856E4" w14:textId="77777777" w:rsidR="002D42C1" w:rsidRPr="00DE108C" w:rsidRDefault="002D42C1" w:rsidP="00ED094E">
            <w:pPr>
              <w:rPr>
                <w:rFonts w:asciiTheme="majorHAnsi" w:hAnsiTheme="majorHAnsi"/>
                <w:b/>
                <w:color w:val="FFFFFF" w:themeColor="background1"/>
                <w:sz w:val="16"/>
                <w:szCs w:val="16"/>
              </w:rPr>
            </w:pPr>
          </w:p>
        </w:tc>
        <w:tc>
          <w:tcPr>
            <w:tcW w:w="317" w:type="pct"/>
            <w:shd w:val="clear" w:color="auto" w:fill="00428B" w:themeFill="accent1"/>
          </w:tcPr>
          <w:p w14:paraId="48AA5AA5" w14:textId="77777777" w:rsidR="002D42C1" w:rsidRPr="00DE108C" w:rsidRDefault="002D42C1" w:rsidP="00ED094E">
            <w:pPr>
              <w:jc w:val="righ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2023-24</w:t>
            </w:r>
          </w:p>
        </w:tc>
        <w:tc>
          <w:tcPr>
            <w:tcW w:w="317" w:type="pct"/>
            <w:shd w:val="clear" w:color="auto" w:fill="00428B" w:themeFill="accent1"/>
          </w:tcPr>
          <w:p w14:paraId="4A644269" w14:textId="77777777" w:rsidR="002D42C1" w:rsidRPr="00DE108C" w:rsidRDefault="002D42C1" w:rsidP="00ED094E">
            <w:pPr>
              <w:jc w:val="righ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2024-25</w:t>
            </w:r>
          </w:p>
        </w:tc>
        <w:tc>
          <w:tcPr>
            <w:tcW w:w="317" w:type="pct"/>
            <w:shd w:val="clear" w:color="auto" w:fill="00428B" w:themeFill="accent1"/>
          </w:tcPr>
          <w:p w14:paraId="03548127" w14:textId="77777777" w:rsidR="002D42C1" w:rsidRPr="00DE108C" w:rsidRDefault="002D42C1" w:rsidP="00ED094E">
            <w:pPr>
              <w:jc w:val="righ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2025-26</w:t>
            </w:r>
          </w:p>
        </w:tc>
        <w:tc>
          <w:tcPr>
            <w:tcW w:w="317" w:type="pct"/>
            <w:shd w:val="clear" w:color="auto" w:fill="00428B" w:themeFill="accent1"/>
          </w:tcPr>
          <w:p w14:paraId="5BEB61D3" w14:textId="77777777" w:rsidR="002D42C1" w:rsidRPr="00DE108C" w:rsidRDefault="002D42C1" w:rsidP="00ED094E">
            <w:pPr>
              <w:jc w:val="righ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2026-27</w:t>
            </w:r>
          </w:p>
        </w:tc>
        <w:tc>
          <w:tcPr>
            <w:tcW w:w="317" w:type="pct"/>
            <w:shd w:val="clear" w:color="auto" w:fill="00428B" w:themeFill="accent1"/>
          </w:tcPr>
          <w:p w14:paraId="7014BF62" w14:textId="77777777" w:rsidR="002D42C1" w:rsidRPr="00DE108C" w:rsidRDefault="002D42C1" w:rsidP="00ED094E">
            <w:pPr>
              <w:jc w:val="righ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2027-28</w:t>
            </w:r>
          </w:p>
        </w:tc>
        <w:tc>
          <w:tcPr>
            <w:tcW w:w="317" w:type="pct"/>
            <w:shd w:val="clear" w:color="auto" w:fill="00428B" w:themeFill="accent1"/>
          </w:tcPr>
          <w:p w14:paraId="66FEFA60" w14:textId="77777777" w:rsidR="002D42C1" w:rsidRPr="00DE108C" w:rsidRDefault="002D42C1" w:rsidP="00ED094E">
            <w:pPr>
              <w:jc w:val="righ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2028-29</w:t>
            </w:r>
          </w:p>
        </w:tc>
        <w:tc>
          <w:tcPr>
            <w:tcW w:w="317" w:type="pct"/>
            <w:shd w:val="clear" w:color="auto" w:fill="00428B" w:themeFill="accent1"/>
          </w:tcPr>
          <w:p w14:paraId="5ED824BE" w14:textId="77777777" w:rsidR="002D42C1" w:rsidRPr="00DE108C" w:rsidRDefault="002D42C1" w:rsidP="00ED094E">
            <w:pPr>
              <w:jc w:val="righ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2029-30</w:t>
            </w:r>
          </w:p>
        </w:tc>
        <w:tc>
          <w:tcPr>
            <w:tcW w:w="287" w:type="pct"/>
            <w:shd w:val="clear" w:color="auto" w:fill="00428B" w:themeFill="accent1"/>
          </w:tcPr>
          <w:p w14:paraId="25066E22" w14:textId="77777777" w:rsidR="002D42C1" w:rsidRPr="00DE108C" w:rsidRDefault="002D42C1" w:rsidP="00ED094E">
            <w:pPr>
              <w:jc w:val="right"/>
              <w:rPr>
                <w:rFonts w:asciiTheme="majorHAnsi" w:hAnsiTheme="majorHAnsi"/>
                <w:b/>
                <w:color w:val="FFFFFF" w:themeColor="background1"/>
                <w:sz w:val="16"/>
                <w:szCs w:val="16"/>
              </w:rPr>
            </w:pPr>
            <w:r w:rsidRPr="00DE108C">
              <w:rPr>
                <w:rFonts w:asciiTheme="majorHAnsi" w:hAnsiTheme="majorHAnsi"/>
                <w:b/>
                <w:color w:val="FFFFFF" w:themeColor="background1"/>
                <w:sz w:val="16"/>
                <w:szCs w:val="16"/>
              </w:rPr>
              <w:t>2030-31</w:t>
            </w:r>
          </w:p>
        </w:tc>
      </w:tr>
      <w:tr w:rsidR="0069661E" w:rsidRPr="00DE108C" w14:paraId="63668227"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val="restart"/>
          </w:tcPr>
          <w:p w14:paraId="7A5D98C9" w14:textId="30EFBCC4" w:rsidR="002D42C1" w:rsidRPr="00DE108C" w:rsidRDefault="002D42C1" w:rsidP="00ED094E">
            <w:pPr>
              <w:rPr>
                <w:rFonts w:asciiTheme="majorHAnsi" w:hAnsiTheme="majorHAnsi"/>
                <w:b/>
                <w:sz w:val="16"/>
                <w:szCs w:val="16"/>
              </w:rPr>
            </w:pPr>
            <w:r w:rsidRPr="00DE108C">
              <w:rPr>
                <w:rFonts w:asciiTheme="majorHAnsi" w:hAnsiTheme="majorHAnsi"/>
                <w:b/>
                <w:sz w:val="16"/>
                <w:szCs w:val="16"/>
              </w:rPr>
              <w:t>Outcome 1</w:t>
            </w:r>
            <w:r w:rsidRPr="00DE108C">
              <w:rPr>
                <w:rFonts w:asciiTheme="majorHAnsi" w:hAnsiTheme="majorHAnsi"/>
                <w:sz w:val="16"/>
                <w:szCs w:val="16"/>
              </w:rPr>
              <w:br/>
            </w:r>
            <w:r w:rsidRPr="00DE108C">
              <w:rPr>
                <w:rFonts w:asciiTheme="majorHAnsi" w:hAnsiTheme="majorHAnsi"/>
                <w:b/>
                <w:sz w:val="16"/>
                <w:szCs w:val="16"/>
              </w:rPr>
              <w:t xml:space="preserve">Safe and reliable bulk water supplies </w:t>
            </w:r>
            <w:r w:rsidR="00CD2990">
              <w:rPr>
                <w:rFonts w:asciiTheme="majorHAnsi" w:hAnsiTheme="majorHAnsi"/>
                <w:b/>
                <w:sz w:val="16"/>
                <w:szCs w:val="16"/>
              </w:rPr>
              <w:t xml:space="preserve">for </w:t>
            </w:r>
            <w:r w:rsidRPr="00DE108C">
              <w:rPr>
                <w:rFonts w:asciiTheme="majorHAnsi" w:hAnsiTheme="majorHAnsi"/>
                <w:b/>
                <w:sz w:val="16"/>
                <w:szCs w:val="16"/>
              </w:rPr>
              <w:t>now and the long term</w:t>
            </w:r>
          </w:p>
        </w:tc>
        <w:tc>
          <w:tcPr>
            <w:tcW w:w="454" w:type="pct"/>
            <w:vMerge w:val="restart"/>
          </w:tcPr>
          <w:p w14:paraId="73BB4996"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Providing safe drinking water</w:t>
            </w:r>
          </w:p>
        </w:tc>
        <w:tc>
          <w:tcPr>
            <w:tcW w:w="758" w:type="pct"/>
            <w:vMerge w:val="restart"/>
          </w:tcPr>
          <w:p w14:paraId="7302E5EB"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Number of</w:t>
            </w:r>
            <w:r w:rsidRPr="41906B66">
              <w:rPr>
                <w:rFonts w:asciiTheme="majorHAnsi" w:hAnsiTheme="majorHAnsi"/>
                <w:i/>
                <w:sz w:val="16"/>
                <w:szCs w:val="16"/>
              </w:rPr>
              <w:t xml:space="preserve"> Safe Drinking Water Act </w:t>
            </w:r>
            <w:r w:rsidRPr="00DE108C">
              <w:rPr>
                <w:rFonts w:asciiTheme="majorHAnsi" w:hAnsiTheme="majorHAnsi"/>
                <w:sz w:val="16"/>
                <w:szCs w:val="16"/>
              </w:rPr>
              <w:t>non-compliances (water sampling and audit)</w:t>
            </w:r>
          </w:p>
        </w:tc>
        <w:tc>
          <w:tcPr>
            <w:tcW w:w="362" w:type="pct"/>
            <w:vMerge w:val="restart"/>
          </w:tcPr>
          <w:p w14:paraId="513B4DE6"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Number</w:t>
            </w:r>
          </w:p>
        </w:tc>
        <w:tc>
          <w:tcPr>
            <w:tcW w:w="448" w:type="pct"/>
          </w:tcPr>
          <w:p w14:paraId="6B284F30"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0472CE17"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43590054"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486E644A"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4E0A598D"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7E1A5AE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541F14BB"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476B33A8"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287" w:type="pct"/>
          </w:tcPr>
          <w:p w14:paraId="76A9992E"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r>
      <w:tr w:rsidR="002D42C1" w:rsidRPr="00DE108C" w14:paraId="7D5EA954" w14:textId="77777777" w:rsidTr="00ED094E">
        <w:trPr>
          <w:trHeight w:val="300"/>
        </w:trPr>
        <w:tc>
          <w:tcPr>
            <w:tcW w:w="470" w:type="pct"/>
            <w:vMerge/>
          </w:tcPr>
          <w:p w14:paraId="6E9C0987" w14:textId="77777777" w:rsidR="002D42C1" w:rsidRPr="00DE108C" w:rsidRDefault="002D42C1" w:rsidP="00ED094E">
            <w:pPr>
              <w:rPr>
                <w:rFonts w:asciiTheme="majorHAnsi" w:hAnsiTheme="majorHAnsi"/>
                <w:b/>
                <w:sz w:val="16"/>
                <w:szCs w:val="16"/>
              </w:rPr>
            </w:pPr>
          </w:p>
        </w:tc>
        <w:tc>
          <w:tcPr>
            <w:tcW w:w="454" w:type="pct"/>
            <w:vMerge/>
          </w:tcPr>
          <w:p w14:paraId="73266771" w14:textId="77777777" w:rsidR="002D42C1" w:rsidRPr="00DE108C" w:rsidRDefault="002D42C1" w:rsidP="00ED094E">
            <w:pPr>
              <w:rPr>
                <w:rFonts w:asciiTheme="majorHAnsi" w:hAnsiTheme="majorHAnsi"/>
                <w:sz w:val="16"/>
                <w:szCs w:val="16"/>
              </w:rPr>
            </w:pPr>
          </w:p>
        </w:tc>
        <w:tc>
          <w:tcPr>
            <w:tcW w:w="758" w:type="pct"/>
            <w:vMerge/>
          </w:tcPr>
          <w:p w14:paraId="235B4D5E" w14:textId="77777777" w:rsidR="002D42C1" w:rsidRPr="00DE108C" w:rsidRDefault="002D42C1" w:rsidP="00ED094E">
            <w:pPr>
              <w:rPr>
                <w:rFonts w:asciiTheme="majorHAnsi" w:hAnsiTheme="majorHAnsi"/>
                <w:sz w:val="16"/>
                <w:szCs w:val="16"/>
              </w:rPr>
            </w:pPr>
          </w:p>
        </w:tc>
        <w:tc>
          <w:tcPr>
            <w:tcW w:w="362" w:type="pct"/>
            <w:vMerge/>
          </w:tcPr>
          <w:p w14:paraId="00B3D79C" w14:textId="77777777" w:rsidR="002D42C1" w:rsidRPr="00DE108C" w:rsidRDefault="002D42C1" w:rsidP="00ED094E">
            <w:pPr>
              <w:rPr>
                <w:rFonts w:asciiTheme="majorHAnsi" w:hAnsiTheme="majorHAnsi"/>
                <w:sz w:val="16"/>
                <w:szCs w:val="16"/>
              </w:rPr>
            </w:pPr>
          </w:p>
        </w:tc>
        <w:tc>
          <w:tcPr>
            <w:tcW w:w="448" w:type="pct"/>
          </w:tcPr>
          <w:p w14:paraId="0E632197"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0C0C4DE4"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0</w:t>
            </w:r>
          </w:p>
        </w:tc>
        <w:tc>
          <w:tcPr>
            <w:tcW w:w="317" w:type="pct"/>
          </w:tcPr>
          <w:p w14:paraId="4F14CD00"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0</w:t>
            </w:r>
          </w:p>
        </w:tc>
        <w:tc>
          <w:tcPr>
            <w:tcW w:w="317" w:type="pct"/>
          </w:tcPr>
          <w:p w14:paraId="6C095ECA" w14:textId="77777777" w:rsidR="002D42C1" w:rsidRPr="00DE108C" w:rsidRDefault="002D42C1" w:rsidP="00ED094E">
            <w:pPr>
              <w:jc w:val="right"/>
              <w:rPr>
                <w:rFonts w:asciiTheme="majorHAnsi" w:hAnsiTheme="majorHAnsi"/>
                <w:sz w:val="16"/>
                <w:szCs w:val="16"/>
              </w:rPr>
            </w:pPr>
          </w:p>
        </w:tc>
        <w:tc>
          <w:tcPr>
            <w:tcW w:w="317" w:type="pct"/>
          </w:tcPr>
          <w:p w14:paraId="3E864F30" w14:textId="77777777" w:rsidR="002D42C1" w:rsidRPr="00DE108C" w:rsidRDefault="002D42C1" w:rsidP="00ED094E">
            <w:pPr>
              <w:jc w:val="right"/>
              <w:rPr>
                <w:rFonts w:asciiTheme="majorHAnsi" w:hAnsiTheme="majorHAnsi"/>
                <w:sz w:val="16"/>
                <w:szCs w:val="16"/>
              </w:rPr>
            </w:pPr>
          </w:p>
        </w:tc>
        <w:tc>
          <w:tcPr>
            <w:tcW w:w="317" w:type="pct"/>
          </w:tcPr>
          <w:p w14:paraId="4198BC2E" w14:textId="77777777" w:rsidR="002D42C1" w:rsidRPr="00DE108C" w:rsidRDefault="002D42C1" w:rsidP="00ED094E">
            <w:pPr>
              <w:jc w:val="right"/>
              <w:rPr>
                <w:rFonts w:asciiTheme="majorHAnsi" w:hAnsiTheme="majorHAnsi"/>
                <w:sz w:val="16"/>
                <w:szCs w:val="16"/>
              </w:rPr>
            </w:pPr>
          </w:p>
        </w:tc>
        <w:tc>
          <w:tcPr>
            <w:tcW w:w="317" w:type="pct"/>
          </w:tcPr>
          <w:p w14:paraId="1B77FF17" w14:textId="77777777" w:rsidR="002D42C1" w:rsidRPr="00DE108C" w:rsidRDefault="002D42C1" w:rsidP="00ED094E">
            <w:pPr>
              <w:jc w:val="right"/>
              <w:rPr>
                <w:rFonts w:asciiTheme="majorHAnsi" w:hAnsiTheme="majorHAnsi"/>
                <w:sz w:val="16"/>
                <w:szCs w:val="16"/>
              </w:rPr>
            </w:pPr>
          </w:p>
        </w:tc>
        <w:tc>
          <w:tcPr>
            <w:tcW w:w="317" w:type="pct"/>
          </w:tcPr>
          <w:p w14:paraId="6581C8AE" w14:textId="77777777" w:rsidR="002D42C1" w:rsidRPr="00DE108C" w:rsidRDefault="002D42C1" w:rsidP="00ED094E">
            <w:pPr>
              <w:jc w:val="right"/>
              <w:rPr>
                <w:rFonts w:asciiTheme="majorHAnsi" w:hAnsiTheme="majorHAnsi"/>
                <w:sz w:val="16"/>
                <w:szCs w:val="16"/>
              </w:rPr>
            </w:pPr>
          </w:p>
        </w:tc>
        <w:tc>
          <w:tcPr>
            <w:tcW w:w="287" w:type="pct"/>
          </w:tcPr>
          <w:p w14:paraId="3EFCA54F" w14:textId="77777777" w:rsidR="002D42C1" w:rsidRPr="00DE108C" w:rsidRDefault="002D42C1" w:rsidP="00ED094E">
            <w:pPr>
              <w:jc w:val="right"/>
              <w:rPr>
                <w:rFonts w:asciiTheme="majorHAnsi" w:hAnsiTheme="majorHAnsi"/>
                <w:sz w:val="16"/>
                <w:szCs w:val="16"/>
              </w:rPr>
            </w:pPr>
          </w:p>
        </w:tc>
      </w:tr>
      <w:tr w:rsidR="0069661E" w:rsidRPr="00DE108C" w14:paraId="318932A2"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tcPr>
          <w:p w14:paraId="3392EF5B" w14:textId="77777777" w:rsidR="002D42C1" w:rsidRPr="00DE108C" w:rsidRDefault="002D42C1" w:rsidP="00ED094E">
            <w:pPr>
              <w:rPr>
                <w:rFonts w:asciiTheme="majorHAnsi" w:hAnsiTheme="majorHAnsi"/>
                <w:b/>
                <w:sz w:val="16"/>
                <w:szCs w:val="16"/>
              </w:rPr>
            </w:pPr>
          </w:p>
        </w:tc>
        <w:tc>
          <w:tcPr>
            <w:tcW w:w="454" w:type="pct"/>
            <w:vMerge w:val="restart"/>
          </w:tcPr>
          <w:p w14:paraId="26F54902" w14:textId="77777777" w:rsidR="002D42C1" w:rsidRPr="00DE108C" w:rsidRDefault="002D42C1" w:rsidP="00ED094E">
            <w:pPr>
              <w:rPr>
                <w:rFonts w:asciiTheme="majorHAnsi" w:hAnsiTheme="majorHAnsi"/>
                <w:sz w:val="16"/>
                <w:szCs w:val="16"/>
              </w:rPr>
            </w:pPr>
            <w:r w:rsidRPr="00DE108C">
              <w:rPr>
                <w:rFonts w:asciiTheme="majorHAnsi" w:hAnsiTheme="majorHAnsi"/>
                <w:color w:val="auto"/>
                <w:sz w:val="16"/>
                <w:szCs w:val="16"/>
              </w:rPr>
              <w:t>Improving our water service reliability and resilience</w:t>
            </w:r>
          </w:p>
        </w:tc>
        <w:tc>
          <w:tcPr>
            <w:tcW w:w="758" w:type="pct"/>
            <w:vMerge w:val="restart"/>
          </w:tcPr>
          <w:p w14:paraId="2AFE8820" w14:textId="382403A2" w:rsidR="002D42C1" w:rsidRPr="00DE108C" w:rsidRDefault="002D42C1" w:rsidP="00ED094E">
            <w:pPr>
              <w:rPr>
                <w:rFonts w:asciiTheme="majorHAnsi" w:hAnsiTheme="majorHAnsi"/>
                <w:sz w:val="16"/>
                <w:szCs w:val="16"/>
              </w:rPr>
            </w:pPr>
            <w:r w:rsidRPr="00DE108C">
              <w:rPr>
                <w:rFonts w:asciiTheme="majorHAnsi" w:hAnsiTheme="majorHAnsi"/>
                <w:sz w:val="16"/>
                <w:szCs w:val="16"/>
              </w:rPr>
              <w:t xml:space="preserve">Percentage of time compliant with water </w:t>
            </w:r>
            <w:r w:rsidR="00720095">
              <w:rPr>
                <w:rFonts w:asciiTheme="majorHAnsi" w:hAnsiTheme="majorHAnsi"/>
                <w:sz w:val="16"/>
                <w:szCs w:val="16"/>
              </w:rPr>
              <w:t>corporation</w:t>
            </w:r>
            <w:r w:rsidRPr="00DE108C">
              <w:rPr>
                <w:rFonts w:asciiTheme="majorHAnsi" w:hAnsiTheme="majorHAnsi"/>
                <w:sz w:val="16"/>
                <w:szCs w:val="16"/>
              </w:rPr>
              <w:t xml:space="preserve"> pressure requirements (cumulative across the year)</w:t>
            </w:r>
          </w:p>
        </w:tc>
        <w:tc>
          <w:tcPr>
            <w:tcW w:w="362" w:type="pct"/>
            <w:vMerge w:val="restart"/>
          </w:tcPr>
          <w:p w14:paraId="01B90886"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Percentage</w:t>
            </w:r>
          </w:p>
        </w:tc>
        <w:tc>
          <w:tcPr>
            <w:tcW w:w="448" w:type="pct"/>
          </w:tcPr>
          <w:p w14:paraId="3288A870"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3FB2AD87"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99.9%</w:t>
            </w:r>
          </w:p>
        </w:tc>
        <w:tc>
          <w:tcPr>
            <w:tcW w:w="317" w:type="pct"/>
          </w:tcPr>
          <w:p w14:paraId="44B7E08B"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99.9%</w:t>
            </w:r>
          </w:p>
        </w:tc>
        <w:tc>
          <w:tcPr>
            <w:tcW w:w="317" w:type="pct"/>
          </w:tcPr>
          <w:p w14:paraId="5D2E1FCB"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99.9%</w:t>
            </w:r>
          </w:p>
        </w:tc>
        <w:tc>
          <w:tcPr>
            <w:tcW w:w="317" w:type="pct"/>
          </w:tcPr>
          <w:p w14:paraId="4D868CC8"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99.9%</w:t>
            </w:r>
          </w:p>
        </w:tc>
        <w:tc>
          <w:tcPr>
            <w:tcW w:w="317" w:type="pct"/>
          </w:tcPr>
          <w:p w14:paraId="3DD3ACE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99.9%</w:t>
            </w:r>
          </w:p>
        </w:tc>
        <w:tc>
          <w:tcPr>
            <w:tcW w:w="317" w:type="pct"/>
          </w:tcPr>
          <w:p w14:paraId="7C9DB285"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99.9%</w:t>
            </w:r>
          </w:p>
        </w:tc>
        <w:tc>
          <w:tcPr>
            <w:tcW w:w="317" w:type="pct"/>
          </w:tcPr>
          <w:p w14:paraId="48D6A1E2"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99.9%</w:t>
            </w:r>
          </w:p>
        </w:tc>
        <w:tc>
          <w:tcPr>
            <w:tcW w:w="287" w:type="pct"/>
          </w:tcPr>
          <w:p w14:paraId="6D0D47D2"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99.9%</w:t>
            </w:r>
          </w:p>
        </w:tc>
      </w:tr>
      <w:tr w:rsidR="002D42C1" w:rsidRPr="00DE108C" w14:paraId="27454551" w14:textId="77777777" w:rsidTr="00ED094E">
        <w:trPr>
          <w:trHeight w:val="300"/>
        </w:trPr>
        <w:tc>
          <w:tcPr>
            <w:tcW w:w="470" w:type="pct"/>
            <w:vMerge/>
          </w:tcPr>
          <w:p w14:paraId="776847B1" w14:textId="77777777" w:rsidR="002D42C1" w:rsidRPr="00DE108C" w:rsidRDefault="002D42C1" w:rsidP="00ED094E">
            <w:pPr>
              <w:rPr>
                <w:rFonts w:asciiTheme="majorHAnsi" w:hAnsiTheme="majorHAnsi"/>
                <w:b/>
                <w:sz w:val="16"/>
                <w:szCs w:val="16"/>
              </w:rPr>
            </w:pPr>
          </w:p>
        </w:tc>
        <w:tc>
          <w:tcPr>
            <w:tcW w:w="454" w:type="pct"/>
            <w:vMerge/>
          </w:tcPr>
          <w:p w14:paraId="76933F25" w14:textId="77777777" w:rsidR="002D42C1" w:rsidRPr="00DE108C" w:rsidRDefault="002D42C1" w:rsidP="00ED094E">
            <w:pPr>
              <w:rPr>
                <w:rFonts w:asciiTheme="majorHAnsi" w:hAnsiTheme="majorHAnsi"/>
                <w:color w:val="auto"/>
                <w:sz w:val="16"/>
                <w:szCs w:val="16"/>
              </w:rPr>
            </w:pPr>
          </w:p>
        </w:tc>
        <w:tc>
          <w:tcPr>
            <w:tcW w:w="758" w:type="pct"/>
            <w:vMerge/>
          </w:tcPr>
          <w:p w14:paraId="09EA5360" w14:textId="77777777" w:rsidR="002D42C1" w:rsidRPr="00DE108C" w:rsidRDefault="002D42C1" w:rsidP="00ED094E">
            <w:pPr>
              <w:rPr>
                <w:rFonts w:asciiTheme="majorHAnsi" w:hAnsiTheme="majorHAnsi"/>
                <w:sz w:val="16"/>
                <w:szCs w:val="16"/>
              </w:rPr>
            </w:pPr>
          </w:p>
        </w:tc>
        <w:tc>
          <w:tcPr>
            <w:tcW w:w="362" w:type="pct"/>
            <w:vMerge/>
          </w:tcPr>
          <w:p w14:paraId="7D8D30C2" w14:textId="77777777" w:rsidR="002D42C1" w:rsidRPr="00DE108C" w:rsidRDefault="002D42C1" w:rsidP="00ED094E">
            <w:pPr>
              <w:rPr>
                <w:rFonts w:asciiTheme="majorHAnsi" w:hAnsiTheme="majorHAnsi"/>
                <w:sz w:val="16"/>
                <w:szCs w:val="16"/>
              </w:rPr>
            </w:pPr>
          </w:p>
        </w:tc>
        <w:tc>
          <w:tcPr>
            <w:tcW w:w="448" w:type="pct"/>
          </w:tcPr>
          <w:p w14:paraId="2C948D18"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59F5AD0E"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100.0%</w:t>
            </w:r>
          </w:p>
        </w:tc>
        <w:tc>
          <w:tcPr>
            <w:tcW w:w="317" w:type="pct"/>
          </w:tcPr>
          <w:p w14:paraId="40FCDC09"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99.9%</w:t>
            </w:r>
          </w:p>
        </w:tc>
        <w:tc>
          <w:tcPr>
            <w:tcW w:w="317" w:type="pct"/>
          </w:tcPr>
          <w:p w14:paraId="3F9218F7" w14:textId="77777777" w:rsidR="002D42C1" w:rsidRPr="00DE108C" w:rsidRDefault="002D42C1" w:rsidP="00ED094E">
            <w:pPr>
              <w:jc w:val="right"/>
              <w:rPr>
                <w:rFonts w:asciiTheme="majorHAnsi" w:hAnsiTheme="majorHAnsi"/>
                <w:sz w:val="16"/>
                <w:szCs w:val="16"/>
              </w:rPr>
            </w:pPr>
          </w:p>
        </w:tc>
        <w:tc>
          <w:tcPr>
            <w:tcW w:w="317" w:type="pct"/>
          </w:tcPr>
          <w:p w14:paraId="62D49172" w14:textId="77777777" w:rsidR="002D42C1" w:rsidRPr="00DE108C" w:rsidRDefault="002D42C1" w:rsidP="00ED094E">
            <w:pPr>
              <w:jc w:val="right"/>
              <w:rPr>
                <w:rFonts w:asciiTheme="majorHAnsi" w:hAnsiTheme="majorHAnsi"/>
                <w:sz w:val="16"/>
                <w:szCs w:val="16"/>
              </w:rPr>
            </w:pPr>
          </w:p>
        </w:tc>
        <w:tc>
          <w:tcPr>
            <w:tcW w:w="317" w:type="pct"/>
          </w:tcPr>
          <w:p w14:paraId="0FDCBAD4" w14:textId="77777777" w:rsidR="002D42C1" w:rsidRPr="00DE108C" w:rsidRDefault="002D42C1" w:rsidP="00ED094E">
            <w:pPr>
              <w:jc w:val="right"/>
              <w:rPr>
                <w:rFonts w:asciiTheme="majorHAnsi" w:hAnsiTheme="majorHAnsi"/>
                <w:sz w:val="16"/>
                <w:szCs w:val="16"/>
              </w:rPr>
            </w:pPr>
          </w:p>
        </w:tc>
        <w:tc>
          <w:tcPr>
            <w:tcW w:w="317" w:type="pct"/>
          </w:tcPr>
          <w:p w14:paraId="21F80686" w14:textId="77777777" w:rsidR="002D42C1" w:rsidRPr="00DE108C" w:rsidRDefault="002D42C1" w:rsidP="00ED094E">
            <w:pPr>
              <w:jc w:val="right"/>
              <w:rPr>
                <w:rFonts w:asciiTheme="majorHAnsi" w:hAnsiTheme="majorHAnsi"/>
                <w:sz w:val="16"/>
                <w:szCs w:val="16"/>
              </w:rPr>
            </w:pPr>
          </w:p>
        </w:tc>
        <w:tc>
          <w:tcPr>
            <w:tcW w:w="317" w:type="pct"/>
          </w:tcPr>
          <w:p w14:paraId="431EFC4D" w14:textId="77777777" w:rsidR="002D42C1" w:rsidRPr="00DE108C" w:rsidRDefault="002D42C1" w:rsidP="00ED094E">
            <w:pPr>
              <w:jc w:val="right"/>
              <w:rPr>
                <w:rFonts w:asciiTheme="majorHAnsi" w:hAnsiTheme="majorHAnsi"/>
                <w:sz w:val="16"/>
                <w:szCs w:val="16"/>
              </w:rPr>
            </w:pPr>
          </w:p>
        </w:tc>
        <w:tc>
          <w:tcPr>
            <w:tcW w:w="287" w:type="pct"/>
          </w:tcPr>
          <w:p w14:paraId="16C1E39A" w14:textId="77777777" w:rsidR="002D42C1" w:rsidRPr="00DE108C" w:rsidRDefault="002D42C1" w:rsidP="00ED094E">
            <w:pPr>
              <w:jc w:val="right"/>
              <w:rPr>
                <w:rFonts w:asciiTheme="majorHAnsi" w:hAnsiTheme="majorHAnsi"/>
                <w:sz w:val="16"/>
                <w:szCs w:val="16"/>
              </w:rPr>
            </w:pPr>
          </w:p>
        </w:tc>
      </w:tr>
      <w:tr w:rsidR="0069661E" w:rsidRPr="00DE108C" w14:paraId="054B55EE"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tcPr>
          <w:p w14:paraId="2780FB03" w14:textId="77777777" w:rsidR="002D42C1" w:rsidRPr="00DE108C" w:rsidRDefault="002D42C1" w:rsidP="00ED094E">
            <w:pPr>
              <w:rPr>
                <w:rFonts w:asciiTheme="majorHAnsi" w:hAnsiTheme="majorHAnsi"/>
                <w:b/>
                <w:sz w:val="16"/>
                <w:szCs w:val="16"/>
              </w:rPr>
            </w:pPr>
          </w:p>
        </w:tc>
        <w:tc>
          <w:tcPr>
            <w:tcW w:w="454" w:type="pct"/>
            <w:vMerge w:val="restart"/>
          </w:tcPr>
          <w:p w14:paraId="1A2A599D" w14:textId="77777777" w:rsidR="002D42C1" w:rsidRPr="00DE108C" w:rsidRDefault="002D42C1" w:rsidP="00ED094E">
            <w:pPr>
              <w:rPr>
                <w:rFonts w:asciiTheme="majorHAnsi" w:hAnsiTheme="majorHAnsi"/>
                <w:sz w:val="16"/>
                <w:szCs w:val="16"/>
              </w:rPr>
            </w:pPr>
            <w:r w:rsidRPr="00DE108C">
              <w:rPr>
                <w:rFonts w:asciiTheme="majorHAnsi" w:hAnsiTheme="majorHAnsi"/>
                <w:color w:val="auto"/>
                <w:sz w:val="16"/>
                <w:szCs w:val="16"/>
              </w:rPr>
              <w:t>Improving Melbourne’s water supply security</w:t>
            </w:r>
          </w:p>
        </w:tc>
        <w:tc>
          <w:tcPr>
            <w:tcW w:w="758" w:type="pct"/>
            <w:vMerge w:val="restart"/>
          </w:tcPr>
          <w:p w14:paraId="65BCA65D" w14:textId="5F2B2055" w:rsidR="002D42C1" w:rsidRPr="00DE108C" w:rsidRDefault="002D42C1" w:rsidP="00ED094E">
            <w:pPr>
              <w:rPr>
                <w:rFonts w:asciiTheme="majorHAnsi" w:hAnsiTheme="majorHAnsi"/>
                <w:sz w:val="16"/>
                <w:szCs w:val="16"/>
              </w:rPr>
            </w:pPr>
            <w:r w:rsidRPr="00DE108C">
              <w:rPr>
                <w:rFonts w:asciiTheme="majorHAnsi" w:hAnsiTheme="majorHAnsi"/>
                <w:sz w:val="16"/>
                <w:szCs w:val="16"/>
              </w:rPr>
              <w:t xml:space="preserve">Percentage of transfer system losses as a percentage of water supplied to </w:t>
            </w:r>
            <w:r w:rsidR="00720095">
              <w:rPr>
                <w:rFonts w:asciiTheme="majorHAnsi" w:hAnsiTheme="majorHAnsi"/>
                <w:sz w:val="16"/>
                <w:szCs w:val="16"/>
              </w:rPr>
              <w:t>water corporations</w:t>
            </w:r>
          </w:p>
        </w:tc>
        <w:tc>
          <w:tcPr>
            <w:tcW w:w="362" w:type="pct"/>
            <w:vMerge w:val="restart"/>
          </w:tcPr>
          <w:p w14:paraId="11471ED2"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Percentage</w:t>
            </w:r>
          </w:p>
        </w:tc>
        <w:tc>
          <w:tcPr>
            <w:tcW w:w="448" w:type="pct"/>
          </w:tcPr>
          <w:p w14:paraId="70761A61"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7DDEEF00"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 xml:space="preserve">&lt;1% </w:t>
            </w:r>
          </w:p>
        </w:tc>
        <w:tc>
          <w:tcPr>
            <w:tcW w:w="317" w:type="pct"/>
          </w:tcPr>
          <w:p w14:paraId="6C83C543"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 xml:space="preserve">&lt;1% </w:t>
            </w:r>
          </w:p>
        </w:tc>
        <w:tc>
          <w:tcPr>
            <w:tcW w:w="317" w:type="pct"/>
          </w:tcPr>
          <w:p w14:paraId="16339BB2"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 xml:space="preserve">&lt;1% </w:t>
            </w:r>
          </w:p>
        </w:tc>
        <w:tc>
          <w:tcPr>
            <w:tcW w:w="317" w:type="pct"/>
          </w:tcPr>
          <w:p w14:paraId="54E8B4F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 xml:space="preserve">&lt;1% </w:t>
            </w:r>
          </w:p>
        </w:tc>
        <w:tc>
          <w:tcPr>
            <w:tcW w:w="317" w:type="pct"/>
          </w:tcPr>
          <w:p w14:paraId="7E73FFA9"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 xml:space="preserve">&lt;1% </w:t>
            </w:r>
          </w:p>
        </w:tc>
        <w:tc>
          <w:tcPr>
            <w:tcW w:w="317" w:type="pct"/>
          </w:tcPr>
          <w:p w14:paraId="4323E79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 xml:space="preserve">&lt;1% </w:t>
            </w:r>
          </w:p>
        </w:tc>
        <w:tc>
          <w:tcPr>
            <w:tcW w:w="317" w:type="pct"/>
          </w:tcPr>
          <w:p w14:paraId="53793731"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 xml:space="preserve">&lt;1% </w:t>
            </w:r>
          </w:p>
        </w:tc>
        <w:tc>
          <w:tcPr>
            <w:tcW w:w="287" w:type="pct"/>
          </w:tcPr>
          <w:p w14:paraId="6C4745BD"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 xml:space="preserve">&lt;1% </w:t>
            </w:r>
          </w:p>
        </w:tc>
      </w:tr>
      <w:tr w:rsidR="002D42C1" w:rsidRPr="00DE108C" w14:paraId="28CE092C" w14:textId="77777777" w:rsidTr="00ED094E">
        <w:trPr>
          <w:trHeight w:val="300"/>
        </w:trPr>
        <w:tc>
          <w:tcPr>
            <w:tcW w:w="470" w:type="pct"/>
            <w:vMerge/>
          </w:tcPr>
          <w:p w14:paraId="362C3F16" w14:textId="77777777" w:rsidR="002D42C1" w:rsidRPr="00DE108C" w:rsidRDefault="002D42C1" w:rsidP="00ED094E">
            <w:pPr>
              <w:rPr>
                <w:rFonts w:asciiTheme="majorHAnsi" w:hAnsiTheme="majorHAnsi"/>
                <w:b/>
                <w:sz w:val="16"/>
                <w:szCs w:val="16"/>
              </w:rPr>
            </w:pPr>
          </w:p>
        </w:tc>
        <w:tc>
          <w:tcPr>
            <w:tcW w:w="454" w:type="pct"/>
            <w:vMerge/>
          </w:tcPr>
          <w:p w14:paraId="5A7D0E99" w14:textId="77777777" w:rsidR="002D42C1" w:rsidRPr="00DE108C" w:rsidRDefault="002D42C1" w:rsidP="00ED094E">
            <w:pPr>
              <w:rPr>
                <w:rFonts w:asciiTheme="majorHAnsi" w:hAnsiTheme="majorHAnsi"/>
                <w:color w:val="auto"/>
                <w:sz w:val="16"/>
                <w:szCs w:val="16"/>
              </w:rPr>
            </w:pPr>
          </w:p>
        </w:tc>
        <w:tc>
          <w:tcPr>
            <w:tcW w:w="758" w:type="pct"/>
            <w:vMerge/>
          </w:tcPr>
          <w:p w14:paraId="0AA5FB19" w14:textId="77777777" w:rsidR="002D42C1" w:rsidRPr="00DE108C" w:rsidRDefault="002D42C1" w:rsidP="00ED094E">
            <w:pPr>
              <w:rPr>
                <w:rFonts w:asciiTheme="majorHAnsi" w:hAnsiTheme="majorHAnsi"/>
                <w:sz w:val="16"/>
                <w:szCs w:val="16"/>
              </w:rPr>
            </w:pPr>
          </w:p>
        </w:tc>
        <w:tc>
          <w:tcPr>
            <w:tcW w:w="362" w:type="pct"/>
            <w:vMerge/>
          </w:tcPr>
          <w:p w14:paraId="1C9E96B2" w14:textId="77777777" w:rsidR="002D42C1" w:rsidRPr="00DE108C" w:rsidRDefault="002D42C1" w:rsidP="00ED094E">
            <w:pPr>
              <w:rPr>
                <w:rFonts w:asciiTheme="majorHAnsi" w:hAnsiTheme="majorHAnsi"/>
                <w:sz w:val="16"/>
                <w:szCs w:val="16"/>
              </w:rPr>
            </w:pPr>
          </w:p>
        </w:tc>
        <w:tc>
          <w:tcPr>
            <w:tcW w:w="448" w:type="pct"/>
          </w:tcPr>
          <w:p w14:paraId="0B07EF60"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4A76FF01"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0.96%</w:t>
            </w:r>
          </w:p>
        </w:tc>
        <w:tc>
          <w:tcPr>
            <w:tcW w:w="317" w:type="pct"/>
          </w:tcPr>
          <w:p w14:paraId="5221ADFE" w14:textId="77777777" w:rsidR="002D42C1" w:rsidRPr="00DE108C" w:rsidRDefault="002D42C1" w:rsidP="00ED094E">
            <w:pPr>
              <w:jc w:val="right"/>
              <w:rPr>
                <w:rFonts w:asciiTheme="majorHAnsi" w:hAnsiTheme="majorHAnsi"/>
                <w:sz w:val="16"/>
                <w:szCs w:val="16"/>
              </w:rPr>
            </w:pPr>
            <w:r w:rsidRPr="00DE108C">
              <w:rPr>
                <w:rFonts w:asciiTheme="majorHAnsi" w:eastAsia="Aptos" w:hAnsiTheme="majorHAnsi" w:cs="Aptos"/>
                <w:sz w:val="16"/>
                <w:szCs w:val="16"/>
              </w:rPr>
              <w:t>0.92%</w:t>
            </w:r>
          </w:p>
        </w:tc>
        <w:tc>
          <w:tcPr>
            <w:tcW w:w="317" w:type="pct"/>
          </w:tcPr>
          <w:p w14:paraId="711CC0F0" w14:textId="77777777" w:rsidR="002D42C1" w:rsidRPr="00DE108C" w:rsidRDefault="002D42C1" w:rsidP="00ED094E">
            <w:pPr>
              <w:jc w:val="right"/>
              <w:rPr>
                <w:rFonts w:asciiTheme="majorHAnsi" w:hAnsiTheme="majorHAnsi"/>
                <w:sz w:val="16"/>
                <w:szCs w:val="16"/>
              </w:rPr>
            </w:pPr>
          </w:p>
        </w:tc>
        <w:tc>
          <w:tcPr>
            <w:tcW w:w="317" w:type="pct"/>
          </w:tcPr>
          <w:p w14:paraId="7722A4F4" w14:textId="77777777" w:rsidR="002D42C1" w:rsidRPr="00DE108C" w:rsidRDefault="002D42C1" w:rsidP="00ED094E">
            <w:pPr>
              <w:jc w:val="right"/>
              <w:rPr>
                <w:rFonts w:asciiTheme="majorHAnsi" w:hAnsiTheme="majorHAnsi"/>
                <w:sz w:val="16"/>
                <w:szCs w:val="16"/>
              </w:rPr>
            </w:pPr>
          </w:p>
        </w:tc>
        <w:tc>
          <w:tcPr>
            <w:tcW w:w="317" w:type="pct"/>
          </w:tcPr>
          <w:p w14:paraId="071F28E5" w14:textId="77777777" w:rsidR="002D42C1" w:rsidRPr="00DE108C" w:rsidRDefault="002D42C1" w:rsidP="00ED094E">
            <w:pPr>
              <w:jc w:val="right"/>
              <w:rPr>
                <w:rFonts w:asciiTheme="majorHAnsi" w:hAnsiTheme="majorHAnsi"/>
                <w:sz w:val="16"/>
                <w:szCs w:val="16"/>
              </w:rPr>
            </w:pPr>
          </w:p>
        </w:tc>
        <w:tc>
          <w:tcPr>
            <w:tcW w:w="317" w:type="pct"/>
          </w:tcPr>
          <w:p w14:paraId="51707D3B" w14:textId="77777777" w:rsidR="002D42C1" w:rsidRPr="00DE108C" w:rsidRDefault="002D42C1" w:rsidP="00ED094E">
            <w:pPr>
              <w:jc w:val="right"/>
              <w:rPr>
                <w:rFonts w:asciiTheme="majorHAnsi" w:hAnsiTheme="majorHAnsi"/>
                <w:sz w:val="16"/>
                <w:szCs w:val="16"/>
              </w:rPr>
            </w:pPr>
          </w:p>
        </w:tc>
        <w:tc>
          <w:tcPr>
            <w:tcW w:w="317" w:type="pct"/>
          </w:tcPr>
          <w:p w14:paraId="6381286F" w14:textId="77777777" w:rsidR="002D42C1" w:rsidRPr="00DE108C" w:rsidRDefault="002D42C1" w:rsidP="00ED094E">
            <w:pPr>
              <w:jc w:val="right"/>
              <w:rPr>
                <w:rFonts w:asciiTheme="majorHAnsi" w:hAnsiTheme="majorHAnsi"/>
                <w:sz w:val="16"/>
                <w:szCs w:val="16"/>
              </w:rPr>
            </w:pPr>
          </w:p>
        </w:tc>
        <w:tc>
          <w:tcPr>
            <w:tcW w:w="287" w:type="pct"/>
          </w:tcPr>
          <w:p w14:paraId="6CF908A8" w14:textId="77777777" w:rsidR="002D42C1" w:rsidRPr="00DE108C" w:rsidRDefault="002D42C1" w:rsidP="00ED094E">
            <w:pPr>
              <w:jc w:val="right"/>
              <w:rPr>
                <w:rFonts w:asciiTheme="majorHAnsi" w:hAnsiTheme="majorHAnsi"/>
                <w:sz w:val="16"/>
                <w:szCs w:val="16"/>
              </w:rPr>
            </w:pPr>
          </w:p>
        </w:tc>
      </w:tr>
      <w:tr w:rsidR="0069661E" w:rsidRPr="00DE108C" w14:paraId="1BE7ADF2"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tcPr>
          <w:p w14:paraId="0342A572" w14:textId="77777777" w:rsidR="002D42C1" w:rsidRPr="00DE108C" w:rsidRDefault="002D42C1">
            <w:pPr>
              <w:rPr>
                <w:rFonts w:asciiTheme="majorHAnsi" w:hAnsiTheme="majorHAnsi"/>
                <w:sz w:val="16"/>
                <w:szCs w:val="16"/>
              </w:rPr>
            </w:pPr>
          </w:p>
        </w:tc>
        <w:tc>
          <w:tcPr>
            <w:tcW w:w="454" w:type="pct"/>
            <w:vMerge/>
          </w:tcPr>
          <w:p w14:paraId="2ED1AC54" w14:textId="77777777" w:rsidR="002D42C1" w:rsidRPr="00DE108C" w:rsidRDefault="002D42C1">
            <w:pPr>
              <w:rPr>
                <w:rFonts w:asciiTheme="majorHAnsi" w:hAnsiTheme="majorHAnsi"/>
                <w:sz w:val="16"/>
                <w:szCs w:val="16"/>
              </w:rPr>
            </w:pPr>
          </w:p>
        </w:tc>
        <w:tc>
          <w:tcPr>
            <w:tcW w:w="758" w:type="pct"/>
            <w:vMerge w:val="restart"/>
          </w:tcPr>
          <w:p w14:paraId="3CCCE8E9" w14:textId="77777777" w:rsidR="002D42C1" w:rsidRPr="00DE108C" w:rsidRDefault="002D42C1" w:rsidP="00ED094E">
            <w:pPr>
              <w:rPr>
                <w:rFonts w:asciiTheme="majorHAnsi" w:eastAsia="Aptos" w:hAnsiTheme="majorHAnsi" w:cs="Aptos"/>
                <w:sz w:val="16"/>
                <w:szCs w:val="16"/>
              </w:rPr>
            </w:pPr>
            <w:r w:rsidRPr="00DE108C">
              <w:rPr>
                <w:rFonts w:asciiTheme="majorHAnsi" w:eastAsia="Verdana" w:hAnsiTheme="majorHAnsi" w:cs="Verdana"/>
                <w:color w:val="231F20"/>
                <w:sz w:val="16"/>
                <w:szCs w:val="16"/>
              </w:rPr>
              <w:t>Conduct detailed investigations to progress the critical path for new large-scale water infrastructure.</w:t>
            </w:r>
          </w:p>
        </w:tc>
        <w:tc>
          <w:tcPr>
            <w:tcW w:w="362" w:type="pct"/>
            <w:vMerge w:val="restart"/>
          </w:tcPr>
          <w:p w14:paraId="1C100DAF"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On Track / Not Met</w:t>
            </w:r>
          </w:p>
        </w:tc>
        <w:tc>
          <w:tcPr>
            <w:tcW w:w="448" w:type="pct"/>
          </w:tcPr>
          <w:p w14:paraId="2EE9C0A7"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5890847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No Target</w:t>
            </w:r>
          </w:p>
        </w:tc>
        <w:tc>
          <w:tcPr>
            <w:tcW w:w="317" w:type="pct"/>
          </w:tcPr>
          <w:p w14:paraId="3B375D44"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No Target</w:t>
            </w:r>
          </w:p>
        </w:tc>
        <w:tc>
          <w:tcPr>
            <w:tcW w:w="317" w:type="pct"/>
          </w:tcPr>
          <w:p w14:paraId="5601D9D6"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No Target</w:t>
            </w:r>
          </w:p>
        </w:tc>
        <w:tc>
          <w:tcPr>
            <w:tcW w:w="317" w:type="pct"/>
          </w:tcPr>
          <w:p w14:paraId="200EC24F"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On Track</w:t>
            </w:r>
          </w:p>
        </w:tc>
        <w:tc>
          <w:tcPr>
            <w:tcW w:w="317" w:type="pct"/>
          </w:tcPr>
          <w:p w14:paraId="714102D3"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On Track</w:t>
            </w:r>
          </w:p>
        </w:tc>
        <w:tc>
          <w:tcPr>
            <w:tcW w:w="317" w:type="pct"/>
          </w:tcPr>
          <w:p w14:paraId="66164658"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On Track</w:t>
            </w:r>
          </w:p>
        </w:tc>
        <w:tc>
          <w:tcPr>
            <w:tcW w:w="317" w:type="pct"/>
          </w:tcPr>
          <w:p w14:paraId="7F959B2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On Track</w:t>
            </w:r>
          </w:p>
        </w:tc>
        <w:tc>
          <w:tcPr>
            <w:tcW w:w="287" w:type="pct"/>
          </w:tcPr>
          <w:p w14:paraId="296ED4D5"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Met</w:t>
            </w:r>
          </w:p>
        </w:tc>
      </w:tr>
      <w:tr w:rsidR="002D42C1" w:rsidRPr="00DE108C" w14:paraId="1F2EC2FA" w14:textId="77777777" w:rsidTr="00ED094E">
        <w:trPr>
          <w:trHeight w:val="300"/>
        </w:trPr>
        <w:tc>
          <w:tcPr>
            <w:tcW w:w="470" w:type="pct"/>
            <w:vMerge/>
          </w:tcPr>
          <w:p w14:paraId="2208EA18" w14:textId="77777777" w:rsidR="002D42C1" w:rsidRPr="00DE108C" w:rsidRDefault="002D42C1">
            <w:pPr>
              <w:rPr>
                <w:rFonts w:asciiTheme="majorHAnsi" w:hAnsiTheme="majorHAnsi"/>
                <w:sz w:val="16"/>
                <w:szCs w:val="16"/>
              </w:rPr>
            </w:pPr>
          </w:p>
        </w:tc>
        <w:tc>
          <w:tcPr>
            <w:tcW w:w="454" w:type="pct"/>
            <w:vMerge/>
          </w:tcPr>
          <w:p w14:paraId="4B0951A4" w14:textId="77777777" w:rsidR="002D42C1" w:rsidRPr="00DE108C" w:rsidRDefault="002D42C1">
            <w:pPr>
              <w:rPr>
                <w:rFonts w:asciiTheme="majorHAnsi" w:hAnsiTheme="majorHAnsi"/>
                <w:sz w:val="16"/>
                <w:szCs w:val="16"/>
              </w:rPr>
            </w:pPr>
          </w:p>
        </w:tc>
        <w:tc>
          <w:tcPr>
            <w:tcW w:w="758" w:type="pct"/>
            <w:vMerge/>
          </w:tcPr>
          <w:p w14:paraId="3F8DDFE3" w14:textId="77777777" w:rsidR="002D42C1" w:rsidRPr="00DE108C" w:rsidRDefault="002D42C1">
            <w:pPr>
              <w:rPr>
                <w:rFonts w:asciiTheme="majorHAnsi" w:hAnsiTheme="majorHAnsi"/>
                <w:sz w:val="16"/>
                <w:szCs w:val="16"/>
              </w:rPr>
            </w:pPr>
          </w:p>
        </w:tc>
        <w:tc>
          <w:tcPr>
            <w:tcW w:w="362" w:type="pct"/>
            <w:vMerge/>
          </w:tcPr>
          <w:p w14:paraId="40D2E31A" w14:textId="77777777" w:rsidR="002D42C1" w:rsidRPr="00DE108C" w:rsidRDefault="002D42C1">
            <w:pPr>
              <w:rPr>
                <w:rFonts w:asciiTheme="majorHAnsi" w:hAnsiTheme="majorHAnsi"/>
                <w:sz w:val="16"/>
                <w:szCs w:val="16"/>
              </w:rPr>
            </w:pPr>
          </w:p>
        </w:tc>
        <w:tc>
          <w:tcPr>
            <w:tcW w:w="448" w:type="pct"/>
          </w:tcPr>
          <w:p w14:paraId="755F3BE7"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6189F67D"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N/A</w:t>
            </w:r>
          </w:p>
        </w:tc>
        <w:tc>
          <w:tcPr>
            <w:tcW w:w="317" w:type="pct"/>
          </w:tcPr>
          <w:p w14:paraId="04C21712"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N/A</w:t>
            </w:r>
          </w:p>
        </w:tc>
        <w:tc>
          <w:tcPr>
            <w:tcW w:w="317" w:type="pct"/>
          </w:tcPr>
          <w:p w14:paraId="24FBB21B" w14:textId="77777777" w:rsidR="002D42C1" w:rsidRPr="00DE108C" w:rsidRDefault="002D42C1" w:rsidP="00ED094E">
            <w:pPr>
              <w:jc w:val="right"/>
              <w:rPr>
                <w:rFonts w:asciiTheme="majorHAnsi" w:hAnsiTheme="majorHAnsi"/>
                <w:b/>
                <w:sz w:val="16"/>
                <w:szCs w:val="16"/>
              </w:rPr>
            </w:pPr>
          </w:p>
        </w:tc>
        <w:tc>
          <w:tcPr>
            <w:tcW w:w="317" w:type="pct"/>
          </w:tcPr>
          <w:p w14:paraId="66EC81DC" w14:textId="77777777" w:rsidR="002D42C1" w:rsidRPr="00DE108C" w:rsidRDefault="002D42C1" w:rsidP="00ED094E">
            <w:pPr>
              <w:jc w:val="right"/>
              <w:rPr>
                <w:rFonts w:asciiTheme="majorHAnsi" w:hAnsiTheme="majorHAnsi"/>
                <w:b/>
                <w:sz w:val="16"/>
                <w:szCs w:val="16"/>
              </w:rPr>
            </w:pPr>
          </w:p>
        </w:tc>
        <w:tc>
          <w:tcPr>
            <w:tcW w:w="317" w:type="pct"/>
          </w:tcPr>
          <w:p w14:paraId="1A3EBCC6" w14:textId="77777777" w:rsidR="002D42C1" w:rsidRPr="00DE108C" w:rsidRDefault="002D42C1" w:rsidP="00ED094E">
            <w:pPr>
              <w:jc w:val="right"/>
              <w:rPr>
                <w:rFonts w:asciiTheme="majorHAnsi" w:hAnsiTheme="majorHAnsi"/>
                <w:b/>
                <w:sz w:val="16"/>
                <w:szCs w:val="16"/>
              </w:rPr>
            </w:pPr>
          </w:p>
        </w:tc>
        <w:tc>
          <w:tcPr>
            <w:tcW w:w="317" w:type="pct"/>
          </w:tcPr>
          <w:p w14:paraId="73DCC853" w14:textId="77777777" w:rsidR="002D42C1" w:rsidRPr="00DE108C" w:rsidRDefault="002D42C1" w:rsidP="00ED094E">
            <w:pPr>
              <w:jc w:val="right"/>
              <w:rPr>
                <w:rFonts w:asciiTheme="majorHAnsi" w:hAnsiTheme="majorHAnsi"/>
                <w:b/>
                <w:sz w:val="16"/>
                <w:szCs w:val="16"/>
              </w:rPr>
            </w:pPr>
          </w:p>
        </w:tc>
        <w:tc>
          <w:tcPr>
            <w:tcW w:w="317" w:type="pct"/>
          </w:tcPr>
          <w:p w14:paraId="77FE1488" w14:textId="77777777" w:rsidR="002D42C1" w:rsidRPr="00DE108C" w:rsidRDefault="002D42C1" w:rsidP="00ED094E">
            <w:pPr>
              <w:jc w:val="right"/>
              <w:rPr>
                <w:rFonts w:asciiTheme="majorHAnsi" w:hAnsiTheme="majorHAnsi"/>
                <w:b/>
                <w:sz w:val="16"/>
                <w:szCs w:val="16"/>
              </w:rPr>
            </w:pPr>
          </w:p>
        </w:tc>
        <w:tc>
          <w:tcPr>
            <w:tcW w:w="287" w:type="pct"/>
          </w:tcPr>
          <w:p w14:paraId="69669353" w14:textId="77777777" w:rsidR="002D42C1" w:rsidRPr="00DE108C" w:rsidRDefault="002D42C1" w:rsidP="00ED094E">
            <w:pPr>
              <w:jc w:val="right"/>
              <w:rPr>
                <w:rFonts w:asciiTheme="majorHAnsi" w:hAnsiTheme="majorHAnsi"/>
                <w:b/>
                <w:sz w:val="16"/>
                <w:szCs w:val="16"/>
              </w:rPr>
            </w:pPr>
          </w:p>
        </w:tc>
      </w:tr>
      <w:tr w:rsidR="0069661E" w:rsidRPr="00DE108C" w14:paraId="7B4A3726"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val="restart"/>
          </w:tcPr>
          <w:p w14:paraId="5FFAB2E8" w14:textId="3084F5B2" w:rsidR="002D42C1" w:rsidRPr="00DE108C" w:rsidRDefault="002D42C1" w:rsidP="00ED094E">
            <w:pPr>
              <w:rPr>
                <w:rFonts w:asciiTheme="majorHAnsi" w:hAnsiTheme="majorHAnsi"/>
                <w:b/>
                <w:sz w:val="16"/>
                <w:szCs w:val="16"/>
              </w:rPr>
            </w:pPr>
            <w:r w:rsidRPr="00DE108C">
              <w:rPr>
                <w:rFonts w:asciiTheme="majorHAnsi" w:hAnsiTheme="majorHAnsi"/>
                <w:b/>
                <w:sz w:val="16"/>
                <w:szCs w:val="16"/>
              </w:rPr>
              <w:t>Outcome 2</w:t>
            </w:r>
            <w:r w:rsidRPr="00DE108C">
              <w:rPr>
                <w:rFonts w:asciiTheme="majorHAnsi" w:hAnsiTheme="majorHAnsi"/>
                <w:sz w:val="16"/>
                <w:szCs w:val="16"/>
              </w:rPr>
              <w:br/>
            </w:r>
            <w:r w:rsidRPr="00DE108C">
              <w:rPr>
                <w:rFonts w:asciiTheme="majorHAnsi" w:hAnsiTheme="majorHAnsi"/>
                <w:b/>
                <w:sz w:val="16"/>
                <w:szCs w:val="16"/>
              </w:rPr>
              <w:t xml:space="preserve">Environmentally sustainable </w:t>
            </w:r>
            <w:r w:rsidR="00CD2990">
              <w:rPr>
                <w:rFonts w:asciiTheme="majorHAnsi" w:hAnsiTheme="majorHAnsi"/>
                <w:b/>
                <w:sz w:val="16"/>
                <w:szCs w:val="16"/>
              </w:rPr>
              <w:t xml:space="preserve">and reliable </w:t>
            </w:r>
            <w:r w:rsidRPr="00DE108C">
              <w:rPr>
                <w:rFonts w:asciiTheme="majorHAnsi" w:hAnsiTheme="majorHAnsi"/>
                <w:b/>
                <w:sz w:val="16"/>
                <w:szCs w:val="16"/>
              </w:rPr>
              <w:t>bulk sewerage services</w:t>
            </w:r>
          </w:p>
        </w:tc>
        <w:tc>
          <w:tcPr>
            <w:tcW w:w="454" w:type="pct"/>
            <w:vMerge w:val="restart"/>
          </w:tcPr>
          <w:p w14:paraId="2FAE5010"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Augmenting our Eastern Treatment Plant to meet growth and improve system resilience</w:t>
            </w:r>
          </w:p>
        </w:tc>
        <w:tc>
          <w:tcPr>
            <w:tcW w:w="758" w:type="pct"/>
            <w:vMerge w:val="restart"/>
          </w:tcPr>
          <w:p w14:paraId="4D425139"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Non-compliances with our EPA licence conditions for all effluent discharge limits at Eastern Treatment Plant</w:t>
            </w:r>
          </w:p>
        </w:tc>
        <w:tc>
          <w:tcPr>
            <w:tcW w:w="362" w:type="pct"/>
            <w:vMerge w:val="restart"/>
          </w:tcPr>
          <w:p w14:paraId="0432E8A1"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Number</w:t>
            </w:r>
          </w:p>
        </w:tc>
        <w:tc>
          <w:tcPr>
            <w:tcW w:w="448" w:type="pct"/>
          </w:tcPr>
          <w:p w14:paraId="301311B3"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669AD61E"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5D1531C9"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1123D3A6"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267B42CD"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61BE6E7D"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61A19E34"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103F2735"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287" w:type="pct"/>
          </w:tcPr>
          <w:p w14:paraId="61CFC876"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r>
      <w:tr w:rsidR="002D42C1" w:rsidRPr="00DE108C" w14:paraId="3D9164EB" w14:textId="77777777" w:rsidTr="00ED094E">
        <w:trPr>
          <w:trHeight w:val="300"/>
        </w:trPr>
        <w:tc>
          <w:tcPr>
            <w:tcW w:w="470" w:type="pct"/>
            <w:vMerge/>
          </w:tcPr>
          <w:p w14:paraId="6932964D" w14:textId="77777777" w:rsidR="002D42C1" w:rsidRPr="00DE108C" w:rsidRDefault="002D42C1" w:rsidP="00ED094E">
            <w:pPr>
              <w:rPr>
                <w:rFonts w:asciiTheme="majorHAnsi" w:hAnsiTheme="majorHAnsi"/>
                <w:b/>
                <w:sz w:val="16"/>
                <w:szCs w:val="16"/>
              </w:rPr>
            </w:pPr>
          </w:p>
        </w:tc>
        <w:tc>
          <w:tcPr>
            <w:tcW w:w="454" w:type="pct"/>
            <w:vMerge/>
          </w:tcPr>
          <w:p w14:paraId="54BCFE95" w14:textId="77777777" w:rsidR="002D42C1" w:rsidRPr="00DE108C" w:rsidRDefault="002D42C1" w:rsidP="00ED094E">
            <w:pPr>
              <w:rPr>
                <w:rFonts w:asciiTheme="majorHAnsi" w:hAnsiTheme="majorHAnsi"/>
                <w:sz w:val="16"/>
                <w:szCs w:val="16"/>
              </w:rPr>
            </w:pPr>
          </w:p>
        </w:tc>
        <w:tc>
          <w:tcPr>
            <w:tcW w:w="758" w:type="pct"/>
            <w:vMerge/>
          </w:tcPr>
          <w:p w14:paraId="717F8892" w14:textId="77777777" w:rsidR="002D42C1" w:rsidRPr="00DE108C" w:rsidRDefault="002D42C1" w:rsidP="00ED094E">
            <w:pPr>
              <w:rPr>
                <w:rFonts w:asciiTheme="majorHAnsi" w:hAnsiTheme="majorHAnsi"/>
                <w:sz w:val="16"/>
                <w:szCs w:val="16"/>
              </w:rPr>
            </w:pPr>
          </w:p>
        </w:tc>
        <w:tc>
          <w:tcPr>
            <w:tcW w:w="362" w:type="pct"/>
            <w:vMerge/>
          </w:tcPr>
          <w:p w14:paraId="44A73F33" w14:textId="77777777" w:rsidR="002D42C1" w:rsidRPr="00DE108C" w:rsidRDefault="002D42C1" w:rsidP="00ED094E">
            <w:pPr>
              <w:rPr>
                <w:rFonts w:asciiTheme="majorHAnsi" w:hAnsiTheme="majorHAnsi"/>
                <w:sz w:val="16"/>
                <w:szCs w:val="16"/>
              </w:rPr>
            </w:pPr>
          </w:p>
        </w:tc>
        <w:tc>
          <w:tcPr>
            <w:tcW w:w="448" w:type="pct"/>
          </w:tcPr>
          <w:p w14:paraId="5F307299"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60A94713"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0</w:t>
            </w:r>
          </w:p>
        </w:tc>
        <w:tc>
          <w:tcPr>
            <w:tcW w:w="317" w:type="pct"/>
          </w:tcPr>
          <w:p w14:paraId="59188888"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0</w:t>
            </w:r>
          </w:p>
        </w:tc>
        <w:tc>
          <w:tcPr>
            <w:tcW w:w="317" w:type="pct"/>
          </w:tcPr>
          <w:p w14:paraId="1D3AA113" w14:textId="77777777" w:rsidR="002D42C1" w:rsidRPr="00DE108C" w:rsidRDefault="002D42C1" w:rsidP="00ED094E">
            <w:pPr>
              <w:jc w:val="right"/>
              <w:rPr>
                <w:rFonts w:asciiTheme="majorHAnsi" w:hAnsiTheme="majorHAnsi"/>
                <w:sz w:val="16"/>
                <w:szCs w:val="16"/>
              </w:rPr>
            </w:pPr>
          </w:p>
        </w:tc>
        <w:tc>
          <w:tcPr>
            <w:tcW w:w="317" w:type="pct"/>
          </w:tcPr>
          <w:p w14:paraId="6D421D4E" w14:textId="77777777" w:rsidR="002D42C1" w:rsidRPr="00DE108C" w:rsidRDefault="002D42C1" w:rsidP="00ED094E">
            <w:pPr>
              <w:jc w:val="right"/>
              <w:rPr>
                <w:rFonts w:asciiTheme="majorHAnsi" w:hAnsiTheme="majorHAnsi"/>
                <w:sz w:val="16"/>
                <w:szCs w:val="16"/>
              </w:rPr>
            </w:pPr>
          </w:p>
        </w:tc>
        <w:tc>
          <w:tcPr>
            <w:tcW w:w="317" w:type="pct"/>
          </w:tcPr>
          <w:p w14:paraId="1C6B3D83" w14:textId="77777777" w:rsidR="002D42C1" w:rsidRPr="00DE108C" w:rsidRDefault="002D42C1" w:rsidP="00ED094E">
            <w:pPr>
              <w:jc w:val="right"/>
              <w:rPr>
                <w:rFonts w:asciiTheme="majorHAnsi" w:hAnsiTheme="majorHAnsi"/>
                <w:sz w:val="16"/>
                <w:szCs w:val="16"/>
              </w:rPr>
            </w:pPr>
          </w:p>
        </w:tc>
        <w:tc>
          <w:tcPr>
            <w:tcW w:w="317" w:type="pct"/>
          </w:tcPr>
          <w:p w14:paraId="59238DF3" w14:textId="77777777" w:rsidR="002D42C1" w:rsidRPr="00DE108C" w:rsidRDefault="002D42C1" w:rsidP="00ED094E">
            <w:pPr>
              <w:jc w:val="right"/>
              <w:rPr>
                <w:rFonts w:asciiTheme="majorHAnsi" w:hAnsiTheme="majorHAnsi"/>
                <w:sz w:val="16"/>
                <w:szCs w:val="16"/>
              </w:rPr>
            </w:pPr>
          </w:p>
        </w:tc>
        <w:tc>
          <w:tcPr>
            <w:tcW w:w="317" w:type="pct"/>
          </w:tcPr>
          <w:p w14:paraId="4409886E" w14:textId="77777777" w:rsidR="002D42C1" w:rsidRPr="00DE108C" w:rsidRDefault="002D42C1" w:rsidP="00ED094E">
            <w:pPr>
              <w:jc w:val="right"/>
              <w:rPr>
                <w:rFonts w:asciiTheme="majorHAnsi" w:hAnsiTheme="majorHAnsi"/>
                <w:sz w:val="16"/>
                <w:szCs w:val="16"/>
              </w:rPr>
            </w:pPr>
          </w:p>
        </w:tc>
        <w:tc>
          <w:tcPr>
            <w:tcW w:w="287" w:type="pct"/>
          </w:tcPr>
          <w:p w14:paraId="3CC3C60B" w14:textId="77777777" w:rsidR="002D42C1" w:rsidRPr="00DE108C" w:rsidRDefault="002D42C1" w:rsidP="00ED094E">
            <w:pPr>
              <w:jc w:val="right"/>
              <w:rPr>
                <w:rFonts w:asciiTheme="majorHAnsi" w:hAnsiTheme="majorHAnsi"/>
                <w:sz w:val="16"/>
                <w:szCs w:val="16"/>
              </w:rPr>
            </w:pPr>
          </w:p>
        </w:tc>
      </w:tr>
      <w:tr w:rsidR="0069661E" w:rsidRPr="00DE108C" w14:paraId="65B96072" w14:textId="77777777" w:rsidTr="00B46F82">
        <w:trPr>
          <w:cnfStyle w:val="000000010000" w:firstRow="0" w:lastRow="0" w:firstColumn="0" w:lastColumn="0" w:oddVBand="0" w:evenVBand="0" w:oddHBand="0" w:evenHBand="1" w:firstRowFirstColumn="0" w:firstRowLastColumn="0" w:lastRowFirstColumn="0" w:lastRowLastColumn="0"/>
          <w:trHeight w:val="1346"/>
        </w:trPr>
        <w:tc>
          <w:tcPr>
            <w:tcW w:w="470" w:type="pct"/>
            <w:vMerge/>
          </w:tcPr>
          <w:p w14:paraId="0DD96BCF" w14:textId="77777777" w:rsidR="002D42C1" w:rsidRPr="00DE108C" w:rsidRDefault="002D42C1" w:rsidP="00ED094E">
            <w:pPr>
              <w:rPr>
                <w:rFonts w:asciiTheme="majorHAnsi" w:hAnsiTheme="majorHAnsi"/>
                <w:b/>
                <w:sz w:val="16"/>
                <w:szCs w:val="16"/>
              </w:rPr>
            </w:pPr>
          </w:p>
        </w:tc>
        <w:tc>
          <w:tcPr>
            <w:tcW w:w="454" w:type="pct"/>
            <w:vMerge/>
          </w:tcPr>
          <w:p w14:paraId="69098EE8" w14:textId="77777777" w:rsidR="002D42C1" w:rsidRPr="00DE108C" w:rsidRDefault="002D42C1" w:rsidP="00ED094E">
            <w:pPr>
              <w:rPr>
                <w:rFonts w:asciiTheme="majorHAnsi" w:hAnsiTheme="majorHAnsi"/>
                <w:sz w:val="16"/>
                <w:szCs w:val="16"/>
              </w:rPr>
            </w:pPr>
          </w:p>
        </w:tc>
        <w:tc>
          <w:tcPr>
            <w:tcW w:w="758" w:type="pct"/>
            <w:vMerge w:val="restart"/>
          </w:tcPr>
          <w:p w14:paraId="2EBC48A7"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Net amount of greenhouse gas emissions (CO</w:t>
            </w:r>
            <w:r w:rsidRPr="00197385">
              <w:rPr>
                <w:rFonts w:asciiTheme="majorHAnsi" w:hAnsiTheme="majorHAnsi"/>
                <w:sz w:val="16"/>
                <w:szCs w:val="16"/>
                <w:vertAlign w:val="subscript"/>
              </w:rPr>
              <w:t>2</w:t>
            </w:r>
            <w:r w:rsidRPr="00DE108C">
              <w:rPr>
                <w:rFonts w:asciiTheme="majorHAnsi" w:hAnsiTheme="majorHAnsi"/>
                <w:sz w:val="16"/>
                <w:szCs w:val="16"/>
              </w:rPr>
              <w:t>-e) produced at all sites</w:t>
            </w:r>
          </w:p>
        </w:tc>
        <w:tc>
          <w:tcPr>
            <w:tcW w:w="362" w:type="pct"/>
            <w:vMerge w:val="restart"/>
          </w:tcPr>
          <w:p w14:paraId="083BF781" w14:textId="26FD9FD7" w:rsidR="002D42C1" w:rsidRPr="00DE108C" w:rsidRDefault="002D42C1" w:rsidP="00ED094E">
            <w:pPr>
              <w:rPr>
                <w:rFonts w:asciiTheme="majorHAnsi" w:hAnsiTheme="majorHAnsi"/>
                <w:sz w:val="16"/>
                <w:szCs w:val="16"/>
              </w:rPr>
            </w:pPr>
            <w:r w:rsidRPr="00DE108C">
              <w:rPr>
                <w:rFonts w:asciiTheme="majorHAnsi" w:hAnsiTheme="majorHAnsi"/>
                <w:sz w:val="16"/>
                <w:szCs w:val="16"/>
              </w:rPr>
              <w:t>Kiloton</w:t>
            </w:r>
            <w:r w:rsidR="0093393F">
              <w:rPr>
                <w:rFonts w:asciiTheme="majorHAnsi" w:hAnsiTheme="majorHAnsi"/>
                <w:sz w:val="16"/>
                <w:szCs w:val="16"/>
              </w:rPr>
              <w:t>nes</w:t>
            </w:r>
            <w:r w:rsidRPr="00DE108C">
              <w:rPr>
                <w:rFonts w:asciiTheme="majorHAnsi" w:hAnsiTheme="majorHAnsi"/>
                <w:sz w:val="16"/>
                <w:szCs w:val="16"/>
              </w:rPr>
              <w:t xml:space="preserve"> (kT) of CO</w:t>
            </w:r>
            <w:r w:rsidRPr="00197385">
              <w:rPr>
                <w:rFonts w:asciiTheme="majorHAnsi" w:hAnsiTheme="majorHAnsi"/>
                <w:sz w:val="16"/>
                <w:szCs w:val="16"/>
                <w:vertAlign w:val="subscript"/>
              </w:rPr>
              <w:t>2</w:t>
            </w:r>
            <w:r w:rsidRPr="00DE108C">
              <w:rPr>
                <w:rFonts w:asciiTheme="majorHAnsi" w:hAnsiTheme="majorHAnsi"/>
                <w:sz w:val="16"/>
                <w:szCs w:val="16"/>
              </w:rPr>
              <w:t>e</w:t>
            </w:r>
          </w:p>
        </w:tc>
        <w:tc>
          <w:tcPr>
            <w:tcW w:w="448" w:type="pct"/>
          </w:tcPr>
          <w:p w14:paraId="7F92B240"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39CD4FC4"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On track</w:t>
            </w:r>
          </w:p>
        </w:tc>
        <w:tc>
          <w:tcPr>
            <w:tcW w:w="317" w:type="pct"/>
          </w:tcPr>
          <w:p w14:paraId="1479D844"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&lt;204.38 kT</w:t>
            </w:r>
          </w:p>
        </w:tc>
        <w:tc>
          <w:tcPr>
            <w:tcW w:w="317" w:type="pct"/>
          </w:tcPr>
          <w:p w14:paraId="216A55D0"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&lt;204.38 kT</w:t>
            </w:r>
          </w:p>
        </w:tc>
        <w:tc>
          <w:tcPr>
            <w:tcW w:w="317" w:type="pct"/>
          </w:tcPr>
          <w:p w14:paraId="076ACD61"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&lt;204.38 kT of CO2e net total reportable Scope 2 emissions</w:t>
            </w:r>
          </w:p>
          <w:p w14:paraId="2755BA49"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 kT of CO2e net total reportable Scope 1 emissions</w:t>
            </w:r>
          </w:p>
        </w:tc>
        <w:tc>
          <w:tcPr>
            <w:tcW w:w="317" w:type="pct"/>
          </w:tcPr>
          <w:p w14:paraId="1ED85744"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&lt;204.38 kT of CO2e net total reportable Scope 2 emissions</w:t>
            </w:r>
          </w:p>
          <w:p w14:paraId="6C988FE3"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 kT of CO2e net total reportable Scope 1 emissions</w:t>
            </w:r>
          </w:p>
          <w:p w14:paraId="33D4DC8B" w14:textId="77777777" w:rsidR="002D42C1" w:rsidRPr="00DE108C" w:rsidRDefault="002D42C1" w:rsidP="00ED094E">
            <w:pPr>
              <w:jc w:val="right"/>
              <w:rPr>
                <w:rFonts w:asciiTheme="majorHAnsi" w:hAnsiTheme="majorHAnsi"/>
                <w:b/>
                <w:sz w:val="16"/>
                <w:szCs w:val="16"/>
              </w:rPr>
            </w:pPr>
          </w:p>
        </w:tc>
        <w:tc>
          <w:tcPr>
            <w:tcW w:w="317" w:type="pct"/>
          </w:tcPr>
          <w:p w14:paraId="081D9BB0"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&lt;204.38 kT of CO2e net total reportable Scope 2 emissions</w:t>
            </w:r>
          </w:p>
          <w:p w14:paraId="72EA6495"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 kT of CO2e net total reportable Scope 1 emissions</w:t>
            </w:r>
          </w:p>
          <w:p w14:paraId="2521AA6E" w14:textId="77777777" w:rsidR="002D42C1" w:rsidRPr="00DE108C" w:rsidRDefault="002D42C1" w:rsidP="00ED094E">
            <w:pPr>
              <w:jc w:val="right"/>
              <w:rPr>
                <w:rFonts w:asciiTheme="majorHAnsi" w:hAnsiTheme="majorHAnsi"/>
                <w:b/>
                <w:sz w:val="16"/>
                <w:szCs w:val="16"/>
              </w:rPr>
            </w:pPr>
          </w:p>
        </w:tc>
        <w:tc>
          <w:tcPr>
            <w:tcW w:w="317" w:type="pct"/>
          </w:tcPr>
          <w:p w14:paraId="17941302"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 xml:space="preserve">0 kT of CO2e net total reportable Scope 1 </w:t>
            </w:r>
            <w:r w:rsidRPr="00DE108C">
              <w:rPr>
                <w:rFonts w:asciiTheme="majorHAnsi" w:hAnsiTheme="majorHAnsi"/>
                <w:b/>
                <w:bCs/>
                <w:sz w:val="16"/>
                <w:szCs w:val="16"/>
              </w:rPr>
              <w:t xml:space="preserve">and 2 </w:t>
            </w:r>
            <w:r w:rsidRPr="00DE108C">
              <w:rPr>
                <w:rFonts w:asciiTheme="majorHAnsi" w:hAnsiTheme="majorHAnsi"/>
                <w:b/>
                <w:sz w:val="16"/>
                <w:szCs w:val="16"/>
              </w:rPr>
              <w:t>emissions</w:t>
            </w:r>
          </w:p>
          <w:p w14:paraId="26A9ED6C" w14:textId="77777777" w:rsidR="002D42C1" w:rsidRPr="00DE108C" w:rsidRDefault="002D42C1" w:rsidP="00ED094E">
            <w:pPr>
              <w:jc w:val="right"/>
              <w:rPr>
                <w:rFonts w:asciiTheme="majorHAnsi" w:hAnsiTheme="majorHAnsi"/>
                <w:b/>
                <w:sz w:val="16"/>
                <w:szCs w:val="16"/>
              </w:rPr>
            </w:pPr>
          </w:p>
        </w:tc>
        <w:tc>
          <w:tcPr>
            <w:tcW w:w="287" w:type="pct"/>
          </w:tcPr>
          <w:p w14:paraId="60061CD4" w14:textId="77777777" w:rsidR="002D42C1" w:rsidRPr="00DE108C" w:rsidRDefault="002D42C1" w:rsidP="00ED094E">
            <w:pPr>
              <w:jc w:val="right"/>
              <w:rPr>
                <w:rFonts w:asciiTheme="majorHAnsi" w:hAnsiTheme="majorHAnsi"/>
                <w:b/>
                <w:bCs/>
                <w:sz w:val="16"/>
                <w:szCs w:val="16"/>
              </w:rPr>
            </w:pPr>
            <w:r w:rsidRPr="00DE108C">
              <w:rPr>
                <w:rFonts w:asciiTheme="majorHAnsi" w:hAnsiTheme="majorHAnsi"/>
                <w:b/>
                <w:bCs/>
                <w:sz w:val="16"/>
                <w:szCs w:val="16"/>
              </w:rPr>
              <w:t>&lt;0 kT of CO2e net total reportable Scope 1 and 2 emissions</w:t>
            </w:r>
          </w:p>
          <w:p w14:paraId="658CCDA0" w14:textId="77777777" w:rsidR="002D42C1" w:rsidRPr="00DE108C" w:rsidRDefault="002D42C1" w:rsidP="00ED094E">
            <w:pPr>
              <w:jc w:val="right"/>
              <w:rPr>
                <w:rFonts w:asciiTheme="majorHAnsi" w:hAnsiTheme="majorHAnsi"/>
                <w:b/>
                <w:sz w:val="16"/>
                <w:szCs w:val="16"/>
              </w:rPr>
            </w:pPr>
          </w:p>
        </w:tc>
      </w:tr>
      <w:tr w:rsidR="002D42C1" w:rsidRPr="00DE108C" w14:paraId="16E0EE43" w14:textId="77777777" w:rsidTr="00ED094E">
        <w:trPr>
          <w:trHeight w:val="300"/>
        </w:trPr>
        <w:tc>
          <w:tcPr>
            <w:tcW w:w="470" w:type="pct"/>
            <w:vMerge/>
          </w:tcPr>
          <w:p w14:paraId="13B5CFC8" w14:textId="77777777" w:rsidR="002D42C1" w:rsidRPr="00DE108C" w:rsidRDefault="002D42C1" w:rsidP="00ED094E">
            <w:pPr>
              <w:rPr>
                <w:rFonts w:asciiTheme="majorHAnsi" w:hAnsiTheme="majorHAnsi"/>
                <w:b/>
                <w:sz w:val="16"/>
                <w:szCs w:val="16"/>
              </w:rPr>
            </w:pPr>
          </w:p>
        </w:tc>
        <w:tc>
          <w:tcPr>
            <w:tcW w:w="454" w:type="pct"/>
            <w:vMerge w:val="restart"/>
          </w:tcPr>
          <w:p w14:paraId="40F0E161"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Transitioning our Western Treatment Plant to meet growth and limit impacts</w:t>
            </w:r>
          </w:p>
        </w:tc>
        <w:tc>
          <w:tcPr>
            <w:tcW w:w="758" w:type="pct"/>
            <w:vMerge/>
          </w:tcPr>
          <w:p w14:paraId="74032924" w14:textId="77777777" w:rsidR="002D42C1" w:rsidRPr="00DE108C" w:rsidRDefault="002D42C1" w:rsidP="00ED094E">
            <w:pPr>
              <w:rPr>
                <w:rFonts w:asciiTheme="majorHAnsi" w:hAnsiTheme="majorHAnsi"/>
                <w:sz w:val="16"/>
                <w:szCs w:val="16"/>
              </w:rPr>
            </w:pPr>
          </w:p>
        </w:tc>
        <w:tc>
          <w:tcPr>
            <w:tcW w:w="362" w:type="pct"/>
            <w:vMerge/>
          </w:tcPr>
          <w:p w14:paraId="384E414A" w14:textId="77777777" w:rsidR="002D42C1" w:rsidRPr="00DE108C" w:rsidRDefault="002D42C1" w:rsidP="00ED094E">
            <w:pPr>
              <w:rPr>
                <w:rFonts w:asciiTheme="majorHAnsi" w:hAnsiTheme="majorHAnsi"/>
                <w:sz w:val="16"/>
                <w:szCs w:val="16"/>
              </w:rPr>
            </w:pPr>
          </w:p>
        </w:tc>
        <w:tc>
          <w:tcPr>
            <w:tcW w:w="448" w:type="pct"/>
          </w:tcPr>
          <w:p w14:paraId="2D2B8D6C"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7ADD4465"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On track</w:t>
            </w:r>
          </w:p>
        </w:tc>
        <w:tc>
          <w:tcPr>
            <w:tcW w:w="317" w:type="pct"/>
          </w:tcPr>
          <w:p w14:paraId="1595C091"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204.38 kt</w:t>
            </w:r>
          </w:p>
        </w:tc>
        <w:tc>
          <w:tcPr>
            <w:tcW w:w="317" w:type="pct"/>
          </w:tcPr>
          <w:p w14:paraId="2D09477B" w14:textId="77777777" w:rsidR="002D42C1" w:rsidRPr="00DE108C" w:rsidRDefault="002D42C1" w:rsidP="00ED094E">
            <w:pPr>
              <w:jc w:val="right"/>
              <w:rPr>
                <w:rFonts w:asciiTheme="majorHAnsi" w:hAnsiTheme="majorHAnsi"/>
                <w:sz w:val="16"/>
                <w:szCs w:val="16"/>
              </w:rPr>
            </w:pPr>
          </w:p>
        </w:tc>
        <w:tc>
          <w:tcPr>
            <w:tcW w:w="317" w:type="pct"/>
          </w:tcPr>
          <w:p w14:paraId="5807F420" w14:textId="77777777" w:rsidR="002D42C1" w:rsidRPr="00DE108C" w:rsidRDefault="002D42C1" w:rsidP="00ED094E">
            <w:pPr>
              <w:jc w:val="right"/>
              <w:rPr>
                <w:rFonts w:asciiTheme="majorHAnsi" w:hAnsiTheme="majorHAnsi"/>
                <w:sz w:val="16"/>
                <w:szCs w:val="16"/>
              </w:rPr>
            </w:pPr>
          </w:p>
        </w:tc>
        <w:tc>
          <w:tcPr>
            <w:tcW w:w="317" w:type="pct"/>
          </w:tcPr>
          <w:p w14:paraId="442D638A" w14:textId="77777777" w:rsidR="002D42C1" w:rsidRPr="00DE108C" w:rsidRDefault="002D42C1" w:rsidP="00ED094E">
            <w:pPr>
              <w:jc w:val="right"/>
              <w:rPr>
                <w:rFonts w:asciiTheme="majorHAnsi" w:hAnsiTheme="majorHAnsi"/>
                <w:sz w:val="16"/>
                <w:szCs w:val="16"/>
              </w:rPr>
            </w:pPr>
          </w:p>
        </w:tc>
        <w:tc>
          <w:tcPr>
            <w:tcW w:w="317" w:type="pct"/>
          </w:tcPr>
          <w:p w14:paraId="1C507EE6" w14:textId="77777777" w:rsidR="002D42C1" w:rsidRPr="00DE108C" w:rsidRDefault="002D42C1" w:rsidP="00ED094E">
            <w:pPr>
              <w:jc w:val="right"/>
              <w:rPr>
                <w:rFonts w:asciiTheme="majorHAnsi" w:hAnsiTheme="majorHAnsi"/>
                <w:sz w:val="16"/>
                <w:szCs w:val="16"/>
              </w:rPr>
            </w:pPr>
          </w:p>
        </w:tc>
        <w:tc>
          <w:tcPr>
            <w:tcW w:w="317" w:type="pct"/>
          </w:tcPr>
          <w:p w14:paraId="57210842" w14:textId="77777777" w:rsidR="002D42C1" w:rsidRPr="00DE108C" w:rsidRDefault="002D42C1" w:rsidP="00ED094E">
            <w:pPr>
              <w:jc w:val="right"/>
              <w:rPr>
                <w:rFonts w:asciiTheme="majorHAnsi" w:hAnsiTheme="majorHAnsi"/>
                <w:sz w:val="16"/>
                <w:szCs w:val="16"/>
              </w:rPr>
            </w:pPr>
          </w:p>
        </w:tc>
        <w:tc>
          <w:tcPr>
            <w:tcW w:w="287" w:type="pct"/>
          </w:tcPr>
          <w:p w14:paraId="2946A97D" w14:textId="77777777" w:rsidR="002D42C1" w:rsidRPr="00DE108C" w:rsidRDefault="002D42C1" w:rsidP="00ED094E">
            <w:pPr>
              <w:jc w:val="right"/>
              <w:rPr>
                <w:rFonts w:asciiTheme="majorHAnsi" w:hAnsiTheme="majorHAnsi"/>
                <w:sz w:val="16"/>
                <w:szCs w:val="16"/>
              </w:rPr>
            </w:pPr>
          </w:p>
        </w:tc>
      </w:tr>
      <w:tr w:rsidR="0069661E" w:rsidRPr="00DE108C" w14:paraId="2771BB0F"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tcPr>
          <w:p w14:paraId="4E214F9D" w14:textId="77777777" w:rsidR="002D42C1" w:rsidRPr="00DE108C" w:rsidRDefault="002D42C1" w:rsidP="00ED094E">
            <w:pPr>
              <w:rPr>
                <w:rFonts w:asciiTheme="majorHAnsi" w:hAnsiTheme="majorHAnsi"/>
                <w:b/>
                <w:sz w:val="16"/>
                <w:szCs w:val="16"/>
              </w:rPr>
            </w:pPr>
          </w:p>
        </w:tc>
        <w:tc>
          <w:tcPr>
            <w:tcW w:w="454" w:type="pct"/>
            <w:vMerge/>
          </w:tcPr>
          <w:p w14:paraId="6EF81A9D" w14:textId="77777777" w:rsidR="002D42C1" w:rsidRPr="00DE108C" w:rsidRDefault="002D42C1" w:rsidP="00ED094E">
            <w:pPr>
              <w:rPr>
                <w:rFonts w:asciiTheme="majorHAnsi" w:hAnsiTheme="majorHAnsi"/>
                <w:sz w:val="16"/>
                <w:szCs w:val="16"/>
              </w:rPr>
            </w:pPr>
          </w:p>
        </w:tc>
        <w:tc>
          <w:tcPr>
            <w:tcW w:w="758" w:type="pct"/>
            <w:vMerge w:val="restart"/>
          </w:tcPr>
          <w:p w14:paraId="3F21FE68"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Non-compliances with our EPA licence conditions for all effluent discharge limits at Western Treatment Plant</w:t>
            </w:r>
          </w:p>
        </w:tc>
        <w:tc>
          <w:tcPr>
            <w:tcW w:w="362" w:type="pct"/>
            <w:vMerge w:val="restart"/>
          </w:tcPr>
          <w:p w14:paraId="1629C1E9"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Number</w:t>
            </w:r>
          </w:p>
        </w:tc>
        <w:tc>
          <w:tcPr>
            <w:tcW w:w="448" w:type="pct"/>
          </w:tcPr>
          <w:p w14:paraId="5B00D139"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49675FC8"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1DD260F6"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2ADE8706"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35EEB9D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225D0E1B"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66F2EBD6"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104E5C44"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287" w:type="pct"/>
          </w:tcPr>
          <w:p w14:paraId="29366948"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r>
      <w:tr w:rsidR="002D42C1" w:rsidRPr="00DE108C" w14:paraId="0E5E74FB" w14:textId="77777777" w:rsidTr="00ED094E">
        <w:trPr>
          <w:trHeight w:val="300"/>
        </w:trPr>
        <w:tc>
          <w:tcPr>
            <w:tcW w:w="470" w:type="pct"/>
            <w:vMerge/>
          </w:tcPr>
          <w:p w14:paraId="5122085D" w14:textId="77777777" w:rsidR="002D42C1" w:rsidRPr="00DE108C" w:rsidRDefault="002D42C1" w:rsidP="00ED094E">
            <w:pPr>
              <w:rPr>
                <w:rFonts w:asciiTheme="majorHAnsi" w:hAnsiTheme="majorHAnsi"/>
                <w:b/>
                <w:sz w:val="16"/>
                <w:szCs w:val="16"/>
              </w:rPr>
            </w:pPr>
          </w:p>
        </w:tc>
        <w:tc>
          <w:tcPr>
            <w:tcW w:w="454" w:type="pct"/>
            <w:vMerge/>
          </w:tcPr>
          <w:p w14:paraId="21A7B06D" w14:textId="77777777" w:rsidR="002D42C1" w:rsidRPr="00DE108C" w:rsidRDefault="002D42C1" w:rsidP="00ED094E">
            <w:pPr>
              <w:rPr>
                <w:rFonts w:asciiTheme="majorHAnsi" w:hAnsiTheme="majorHAnsi"/>
                <w:sz w:val="16"/>
                <w:szCs w:val="16"/>
              </w:rPr>
            </w:pPr>
          </w:p>
        </w:tc>
        <w:tc>
          <w:tcPr>
            <w:tcW w:w="758" w:type="pct"/>
            <w:vMerge/>
          </w:tcPr>
          <w:p w14:paraId="39281ADE" w14:textId="77777777" w:rsidR="002D42C1" w:rsidRPr="00DE108C" w:rsidRDefault="002D42C1" w:rsidP="00ED094E">
            <w:pPr>
              <w:rPr>
                <w:rFonts w:asciiTheme="majorHAnsi" w:hAnsiTheme="majorHAnsi"/>
                <w:sz w:val="16"/>
                <w:szCs w:val="16"/>
              </w:rPr>
            </w:pPr>
          </w:p>
        </w:tc>
        <w:tc>
          <w:tcPr>
            <w:tcW w:w="362" w:type="pct"/>
            <w:vMerge/>
          </w:tcPr>
          <w:p w14:paraId="529B853F" w14:textId="77777777" w:rsidR="002D42C1" w:rsidRPr="00DE108C" w:rsidRDefault="002D42C1" w:rsidP="00ED094E">
            <w:pPr>
              <w:rPr>
                <w:rFonts w:asciiTheme="majorHAnsi" w:hAnsiTheme="majorHAnsi"/>
                <w:sz w:val="16"/>
                <w:szCs w:val="16"/>
              </w:rPr>
            </w:pPr>
          </w:p>
        </w:tc>
        <w:tc>
          <w:tcPr>
            <w:tcW w:w="448" w:type="pct"/>
          </w:tcPr>
          <w:p w14:paraId="3353B07B"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2CA63C6C"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0</w:t>
            </w:r>
          </w:p>
        </w:tc>
        <w:tc>
          <w:tcPr>
            <w:tcW w:w="317" w:type="pct"/>
          </w:tcPr>
          <w:p w14:paraId="0068B7A1"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0</w:t>
            </w:r>
          </w:p>
        </w:tc>
        <w:tc>
          <w:tcPr>
            <w:tcW w:w="317" w:type="pct"/>
          </w:tcPr>
          <w:p w14:paraId="4C595E66" w14:textId="77777777" w:rsidR="002D42C1" w:rsidRPr="00DE108C" w:rsidRDefault="002D42C1" w:rsidP="00ED094E">
            <w:pPr>
              <w:jc w:val="right"/>
              <w:rPr>
                <w:rFonts w:asciiTheme="majorHAnsi" w:hAnsiTheme="majorHAnsi"/>
                <w:sz w:val="16"/>
                <w:szCs w:val="16"/>
              </w:rPr>
            </w:pPr>
          </w:p>
        </w:tc>
        <w:tc>
          <w:tcPr>
            <w:tcW w:w="317" w:type="pct"/>
          </w:tcPr>
          <w:p w14:paraId="1B8750C4" w14:textId="77777777" w:rsidR="002D42C1" w:rsidRPr="00DE108C" w:rsidRDefault="002D42C1" w:rsidP="00ED094E">
            <w:pPr>
              <w:jc w:val="right"/>
              <w:rPr>
                <w:rFonts w:asciiTheme="majorHAnsi" w:hAnsiTheme="majorHAnsi"/>
                <w:sz w:val="16"/>
                <w:szCs w:val="16"/>
              </w:rPr>
            </w:pPr>
          </w:p>
        </w:tc>
        <w:tc>
          <w:tcPr>
            <w:tcW w:w="317" w:type="pct"/>
          </w:tcPr>
          <w:p w14:paraId="31322BAC" w14:textId="77777777" w:rsidR="002D42C1" w:rsidRPr="00DE108C" w:rsidRDefault="002D42C1" w:rsidP="00ED094E">
            <w:pPr>
              <w:jc w:val="right"/>
              <w:rPr>
                <w:rFonts w:asciiTheme="majorHAnsi" w:hAnsiTheme="majorHAnsi"/>
                <w:sz w:val="16"/>
                <w:szCs w:val="16"/>
              </w:rPr>
            </w:pPr>
          </w:p>
        </w:tc>
        <w:tc>
          <w:tcPr>
            <w:tcW w:w="317" w:type="pct"/>
          </w:tcPr>
          <w:p w14:paraId="6CC22F5C" w14:textId="77777777" w:rsidR="002D42C1" w:rsidRPr="00DE108C" w:rsidRDefault="002D42C1" w:rsidP="00ED094E">
            <w:pPr>
              <w:jc w:val="right"/>
              <w:rPr>
                <w:rFonts w:asciiTheme="majorHAnsi" w:hAnsiTheme="majorHAnsi"/>
                <w:sz w:val="16"/>
                <w:szCs w:val="16"/>
              </w:rPr>
            </w:pPr>
          </w:p>
        </w:tc>
        <w:tc>
          <w:tcPr>
            <w:tcW w:w="317" w:type="pct"/>
          </w:tcPr>
          <w:p w14:paraId="709FE05E" w14:textId="77777777" w:rsidR="002D42C1" w:rsidRPr="00DE108C" w:rsidRDefault="002D42C1" w:rsidP="00ED094E">
            <w:pPr>
              <w:jc w:val="right"/>
              <w:rPr>
                <w:rFonts w:asciiTheme="majorHAnsi" w:hAnsiTheme="majorHAnsi"/>
                <w:sz w:val="16"/>
                <w:szCs w:val="16"/>
              </w:rPr>
            </w:pPr>
          </w:p>
        </w:tc>
        <w:tc>
          <w:tcPr>
            <w:tcW w:w="287" w:type="pct"/>
          </w:tcPr>
          <w:p w14:paraId="406F7168" w14:textId="77777777" w:rsidR="002D42C1" w:rsidRPr="00DE108C" w:rsidRDefault="002D42C1" w:rsidP="00ED094E">
            <w:pPr>
              <w:jc w:val="right"/>
              <w:rPr>
                <w:rFonts w:asciiTheme="majorHAnsi" w:hAnsiTheme="majorHAnsi"/>
                <w:sz w:val="16"/>
                <w:szCs w:val="16"/>
              </w:rPr>
            </w:pPr>
          </w:p>
        </w:tc>
      </w:tr>
      <w:tr w:rsidR="0069661E" w:rsidRPr="00DE108C" w14:paraId="6A7453A7"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tcPr>
          <w:p w14:paraId="58BA7EA0" w14:textId="77777777" w:rsidR="002D42C1" w:rsidRPr="00DE108C" w:rsidRDefault="002D42C1" w:rsidP="00ED094E">
            <w:pPr>
              <w:rPr>
                <w:rFonts w:asciiTheme="majorHAnsi" w:hAnsiTheme="majorHAnsi"/>
                <w:b/>
                <w:sz w:val="16"/>
                <w:szCs w:val="16"/>
              </w:rPr>
            </w:pPr>
          </w:p>
        </w:tc>
        <w:tc>
          <w:tcPr>
            <w:tcW w:w="454" w:type="pct"/>
            <w:vMerge w:val="restart"/>
          </w:tcPr>
          <w:p w14:paraId="059897DF"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Improving the reliability and resilience of our sewerage transfer network</w:t>
            </w:r>
          </w:p>
        </w:tc>
        <w:tc>
          <w:tcPr>
            <w:tcW w:w="758" w:type="pct"/>
            <w:vMerge w:val="restart"/>
          </w:tcPr>
          <w:p w14:paraId="4A06EE06"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Number of sewer spills across our transfer network due to system failure</w:t>
            </w:r>
          </w:p>
        </w:tc>
        <w:tc>
          <w:tcPr>
            <w:tcW w:w="362" w:type="pct"/>
            <w:vMerge w:val="restart"/>
          </w:tcPr>
          <w:p w14:paraId="06E635DF"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Number</w:t>
            </w:r>
          </w:p>
        </w:tc>
        <w:tc>
          <w:tcPr>
            <w:tcW w:w="448" w:type="pct"/>
          </w:tcPr>
          <w:p w14:paraId="48AD6FBF"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40A4D405"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0E66914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0FE0BD0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3BC11DD2"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7AA1DE6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2EDECCF9"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346A2A20"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287" w:type="pct"/>
          </w:tcPr>
          <w:p w14:paraId="67DED3E8"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r>
      <w:tr w:rsidR="002D42C1" w:rsidRPr="00DE108C" w14:paraId="1670D8A6" w14:textId="77777777" w:rsidTr="00ED094E">
        <w:trPr>
          <w:trHeight w:val="300"/>
        </w:trPr>
        <w:tc>
          <w:tcPr>
            <w:tcW w:w="470" w:type="pct"/>
            <w:vMerge/>
          </w:tcPr>
          <w:p w14:paraId="0BBA2ED9" w14:textId="77777777" w:rsidR="002D42C1" w:rsidRPr="00DE108C" w:rsidRDefault="002D42C1" w:rsidP="00ED094E">
            <w:pPr>
              <w:rPr>
                <w:rFonts w:asciiTheme="majorHAnsi" w:hAnsiTheme="majorHAnsi"/>
                <w:b/>
                <w:sz w:val="16"/>
                <w:szCs w:val="16"/>
              </w:rPr>
            </w:pPr>
          </w:p>
        </w:tc>
        <w:tc>
          <w:tcPr>
            <w:tcW w:w="454" w:type="pct"/>
            <w:vMerge/>
          </w:tcPr>
          <w:p w14:paraId="00A3F402" w14:textId="77777777" w:rsidR="002D42C1" w:rsidRPr="00DE108C" w:rsidRDefault="002D42C1" w:rsidP="00ED094E">
            <w:pPr>
              <w:rPr>
                <w:rFonts w:asciiTheme="majorHAnsi" w:hAnsiTheme="majorHAnsi"/>
                <w:sz w:val="16"/>
                <w:szCs w:val="16"/>
              </w:rPr>
            </w:pPr>
          </w:p>
        </w:tc>
        <w:tc>
          <w:tcPr>
            <w:tcW w:w="758" w:type="pct"/>
            <w:vMerge/>
          </w:tcPr>
          <w:p w14:paraId="2CD4948B" w14:textId="77777777" w:rsidR="002D42C1" w:rsidRPr="00DE108C" w:rsidRDefault="002D42C1" w:rsidP="00ED094E">
            <w:pPr>
              <w:rPr>
                <w:rFonts w:asciiTheme="majorHAnsi" w:hAnsiTheme="majorHAnsi"/>
                <w:sz w:val="16"/>
                <w:szCs w:val="16"/>
              </w:rPr>
            </w:pPr>
          </w:p>
        </w:tc>
        <w:tc>
          <w:tcPr>
            <w:tcW w:w="362" w:type="pct"/>
            <w:vMerge/>
          </w:tcPr>
          <w:p w14:paraId="72536B97" w14:textId="77777777" w:rsidR="002D42C1" w:rsidRPr="00DE108C" w:rsidRDefault="002D42C1" w:rsidP="00ED094E">
            <w:pPr>
              <w:rPr>
                <w:rFonts w:asciiTheme="majorHAnsi" w:hAnsiTheme="majorHAnsi"/>
                <w:sz w:val="16"/>
                <w:szCs w:val="16"/>
              </w:rPr>
            </w:pPr>
          </w:p>
        </w:tc>
        <w:tc>
          <w:tcPr>
            <w:tcW w:w="448" w:type="pct"/>
          </w:tcPr>
          <w:p w14:paraId="0553760F"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6DE4D26C"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0</w:t>
            </w:r>
          </w:p>
        </w:tc>
        <w:tc>
          <w:tcPr>
            <w:tcW w:w="317" w:type="pct"/>
          </w:tcPr>
          <w:p w14:paraId="7E69632E"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0</w:t>
            </w:r>
          </w:p>
        </w:tc>
        <w:tc>
          <w:tcPr>
            <w:tcW w:w="317" w:type="pct"/>
          </w:tcPr>
          <w:p w14:paraId="2C0ED5EC" w14:textId="77777777" w:rsidR="002D42C1" w:rsidRPr="00DE108C" w:rsidRDefault="002D42C1" w:rsidP="00ED094E">
            <w:pPr>
              <w:jc w:val="right"/>
              <w:rPr>
                <w:rFonts w:asciiTheme="majorHAnsi" w:hAnsiTheme="majorHAnsi"/>
                <w:sz w:val="16"/>
                <w:szCs w:val="16"/>
              </w:rPr>
            </w:pPr>
          </w:p>
        </w:tc>
        <w:tc>
          <w:tcPr>
            <w:tcW w:w="317" w:type="pct"/>
          </w:tcPr>
          <w:p w14:paraId="50317C1A" w14:textId="77777777" w:rsidR="002D42C1" w:rsidRPr="00DE108C" w:rsidRDefault="002D42C1" w:rsidP="00ED094E">
            <w:pPr>
              <w:jc w:val="right"/>
              <w:rPr>
                <w:rFonts w:asciiTheme="majorHAnsi" w:hAnsiTheme="majorHAnsi"/>
                <w:sz w:val="16"/>
                <w:szCs w:val="16"/>
              </w:rPr>
            </w:pPr>
          </w:p>
        </w:tc>
        <w:tc>
          <w:tcPr>
            <w:tcW w:w="317" w:type="pct"/>
          </w:tcPr>
          <w:p w14:paraId="1572C239" w14:textId="77777777" w:rsidR="002D42C1" w:rsidRPr="00DE108C" w:rsidRDefault="002D42C1" w:rsidP="00ED094E">
            <w:pPr>
              <w:jc w:val="right"/>
              <w:rPr>
                <w:rFonts w:asciiTheme="majorHAnsi" w:hAnsiTheme="majorHAnsi"/>
                <w:sz w:val="16"/>
                <w:szCs w:val="16"/>
              </w:rPr>
            </w:pPr>
          </w:p>
        </w:tc>
        <w:tc>
          <w:tcPr>
            <w:tcW w:w="317" w:type="pct"/>
          </w:tcPr>
          <w:p w14:paraId="6E91B0D6" w14:textId="77777777" w:rsidR="002D42C1" w:rsidRPr="00DE108C" w:rsidRDefault="002D42C1" w:rsidP="00ED094E">
            <w:pPr>
              <w:jc w:val="right"/>
              <w:rPr>
                <w:rFonts w:asciiTheme="majorHAnsi" w:hAnsiTheme="majorHAnsi"/>
                <w:sz w:val="16"/>
                <w:szCs w:val="16"/>
              </w:rPr>
            </w:pPr>
          </w:p>
        </w:tc>
        <w:tc>
          <w:tcPr>
            <w:tcW w:w="317" w:type="pct"/>
          </w:tcPr>
          <w:p w14:paraId="663A016B" w14:textId="77777777" w:rsidR="002D42C1" w:rsidRPr="00DE108C" w:rsidRDefault="002D42C1" w:rsidP="00ED094E">
            <w:pPr>
              <w:jc w:val="right"/>
              <w:rPr>
                <w:rFonts w:asciiTheme="majorHAnsi" w:hAnsiTheme="majorHAnsi"/>
                <w:sz w:val="16"/>
                <w:szCs w:val="16"/>
              </w:rPr>
            </w:pPr>
          </w:p>
        </w:tc>
        <w:tc>
          <w:tcPr>
            <w:tcW w:w="287" w:type="pct"/>
          </w:tcPr>
          <w:p w14:paraId="5A55537D" w14:textId="77777777" w:rsidR="002D42C1" w:rsidRPr="00DE108C" w:rsidRDefault="002D42C1" w:rsidP="00ED094E">
            <w:pPr>
              <w:jc w:val="right"/>
              <w:rPr>
                <w:rFonts w:asciiTheme="majorHAnsi" w:hAnsiTheme="majorHAnsi"/>
                <w:sz w:val="16"/>
                <w:szCs w:val="16"/>
              </w:rPr>
            </w:pPr>
          </w:p>
        </w:tc>
      </w:tr>
      <w:tr w:rsidR="0069661E" w:rsidRPr="00DE108C" w14:paraId="5E83979E"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tcPr>
          <w:p w14:paraId="023423E9" w14:textId="77777777" w:rsidR="002D42C1" w:rsidRPr="00DE108C" w:rsidRDefault="002D42C1" w:rsidP="00ED094E">
            <w:pPr>
              <w:rPr>
                <w:rFonts w:asciiTheme="majorHAnsi" w:hAnsiTheme="majorHAnsi"/>
                <w:b/>
                <w:sz w:val="16"/>
                <w:szCs w:val="16"/>
              </w:rPr>
            </w:pPr>
          </w:p>
        </w:tc>
        <w:tc>
          <w:tcPr>
            <w:tcW w:w="454" w:type="pct"/>
            <w:vMerge/>
          </w:tcPr>
          <w:p w14:paraId="25525FB0" w14:textId="77777777" w:rsidR="002D42C1" w:rsidRPr="00DE108C" w:rsidRDefault="002D42C1" w:rsidP="00ED094E">
            <w:pPr>
              <w:rPr>
                <w:rFonts w:asciiTheme="majorHAnsi" w:hAnsiTheme="majorHAnsi"/>
                <w:sz w:val="16"/>
                <w:szCs w:val="16"/>
              </w:rPr>
            </w:pPr>
          </w:p>
        </w:tc>
        <w:tc>
          <w:tcPr>
            <w:tcW w:w="758" w:type="pct"/>
            <w:vMerge w:val="restart"/>
          </w:tcPr>
          <w:p w14:paraId="642DA5B3"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Volume of sewer spills across our transfer network due to system failure</w:t>
            </w:r>
          </w:p>
        </w:tc>
        <w:tc>
          <w:tcPr>
            <w:tcW w:w="362" w:type="pct"/>
            <w:vMerge w:val="restart"/>
          </w:tcPr>
          <w:p w14:paraId="463AAECD"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Megalitres (ML)</w:t>
            </w:r>
          </w:p>
        </w:tc>
        <w:tc>
          <w:tcPr>
            <w:tcW w:w="448" w:type="pct"/>
          </w:tcPr>
          <w:p w14:paraId="5450C217"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3932E178"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70008EC2"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6071A455"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02BA3476"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3C7B55B4"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6293B521"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317" w:type="pct"/>
          </w:tcPr>
          <w:p w14:paraId="5798A28E"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c>
          <w:tcPr>
            <w:tcW w:w="287" w:type="pct"/>
          </w:tcPr>
          <w:p w14:paraId="15A10D30"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0</w:t>
            </w:r>
          </w:p>
        </w:tc>
      </w:tr>
      <w:tr w:rsidR="002D42C1" w:rsidRPr="00DE108C" w14:paraId="581FD6ED" w14:textId="77777777" w:rsidTr="00ED094E">
        <w:trPr>
          <w:trHeight w:val="300"/>
        </w:trPr>
        <w:tc>
          <w:tcPr>
            <w:tcW w:w="470" w:type="pct"/>
            <w:vMerge/>
          </w:tcPr>
          <w:p w14:paraId="795C768A" w14:textId="77777777" w:rsidR="002D42C1" w:rsidRPr="00DE108C" w:rsidRDefault="002D42C1" w:rsidP="00ED094E">
            <w:pPr>
              <w:rPr>
                <w:rFonts w:asciiTheme="majorHAnsi" w:hAnsiTheme="majorHAnsi"/>
                <w:b/>
                <w:sz w:val="16"/>
                <w:szCs w:val="16"/>
              </w:rPr>
            </w:pPr>
          </w:p>
        </w:tc>
        <w:tc>
          <w:tcPr>
            <w:tcW w:w="454" w:type="pct"/>
            <w:vMerge/>
          </w:tcPr>
          <w:p w14:paraId="6B3C8CC8" w14:textId="77777777" w:rsidR="002D42C1" w:rsidRPr="00DE108C" w:rsidRDefault="002D42C1" w:rsidP="00ED094E">
            <w:pPr>
              <w:rPr>
                <w:rFonts w:asciiTheme="majorHAnsi" w:hAnsiTheme="majorHAnsi"/>
                <w:sz w:val="16"/>
                <w:szCs w:val="16"/>
              </w:rPr>
            </w:pPr>
          </w:p>
        </w:tc>
        <w:tc>
          <w:tcPr>
            <w:tcW w:w="758" w:type="pct"/>
            <w:vMerge/>
          </w:tcPr>
          <w:p w14:paraId="0CF1D037" w14:textId="77777777" w:rsidR="002D42C1" w:rsidRPr="00DE108C" w:rsidRDefault="002D42C1" w:rsidP="00ED094E">
            <w:pPr>
              <w:rPr>
                <w:rFonts w:asciiTheme="majorHAnsi" w:hAnsiTheme="majorHAnsi"/>
                <w:sz w:val="16"/>
                <w:szCs w:val="16"/>
              </w:rPr>
            </w:pPr>
          </w:p>
        </w:tc>
        <w:tc>
          <w:tcPr>
            <w:tcW w:w="362" w:type="pct"/>
            <w:vMerge/>
          </w:tcPr>
          <w:p w14:paraId="33CD95B0" w14:textId="77777777" w:rsidR="002D42C1" w:rsidRPr="00DE108C" w:rsidRDefault="002D42C1" w:rsidP="00ED094E">
            <w:pPr>
              <w:rPr>
                <w:rFonts w:asciiTheme="majorHAnsi" w:hAnsiTheme="majorHAnsi"/>
                <w:sz w:val="16"/>
                <w:szCs w:val="16"/>
              </w:rPr>
            </w:pPr>
          </w:p>
        </w:tc>
        <w:tc>
          <w:tcPr>
            <w:tcW w:w="448" w:type="pct"/>
          </w:tcPr>
          <w:p w14:paraId="70F45441"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68514137"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0</w:t>
            </w:r>
          </w:p>
        </w:tc>
        <w:tc>
          <w:tcPr>
            <w:tcW w:w="317" w:type="pct"/>
          </w:tcPr>
          <w:p w14:paraId="103FC1B6"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0</w:t>
            </w:r>
          </w:p>
        </w:tc>
        <w:tc>
          <w:tcPr>
            <w:tcW w:w="317" w:type="pct"/>
          </w:tcPr>
          <w:p w14:paraId="78F717B7" w14:textId="77777777" w:rsidR="002D42C1" w:rsidRPr="00DE108C" w:rsidRDefault="002D42C1" w:rsidP="00ED094E">
            <w:pPr>
              <w:jc w:val="right"/>
              <w:rPr>
                <w:rFonts w:asciiTheme="majorHAnsi" w:hAnsiTheme="majorHAnsi"/>
                <w:sz w:val="16"/>
                <w:szCs w:val="16"/>
              </w:rPr>
            </w:pPr>
          </w:p>
        </w:tc>
        <w:tc>
          <w:tcPr>
            <w:tcW w:w="317" w:type="pct"/>
          </w:tcPr>
          <w:p w14:paraId="3A55B4F4" w14:textId="77777777" w:rsidR="002D42C1" w:rsidRPr="00DE108C" w:rsidRDefault="002D42C1" w:rsidP="00ED094E">
            <w:pPr>
              <w:jc w:val="right"/>
              <w:rPr>
                <w:rFonts w:asciiTheme="majorHAnsi" w:hAnsiTheme="majorHAnsi"/>
                <w:sz w:val="16"/>
                <w:szCs w:val="16"/>
              </w:rPr>
            </w:pPr>
          </w:p>
        </w:tc>
        <w:tc>
          <w:tcPr>
            <w:tcW w:w="317" w:type="pct"/>
          </w:tcPr>
          <w:p w14:paraId="050BB6A8" w14:textId="77777777" w:rsidR="002D42C1" w:rsidRPr="00DE108C" w:rsidRDefault="002D42C1" w:rsidP="00ED094E">
            <w:pPr>
              <w:jc w:val="right"/>
              <w:rPr>
                <w:rFonts w:asciiTheme="majorHAnsi" w:hAnsiTheme="majorHAnsi"/>
                <w:sz w:val="16"/>
                <w:szCs w:val="16"/>
              </w:rPr>
            </w:pPr>
          </w:p>
        </w:tc>
        <w:tc>
          <w:tcPr>
            <w:tcW w:w="317" w:type="pct"/>
          </w:tcPr>
          <w:p w14:paraId="2D6AFF7C" w14:textId="77777777" w:rsidR="002D42C1" w:rsidRPr="00DE108C" w:rsidRDefault="002D42C1" w:rsidP="00ED094E">
            <w:pPr>
              <w:jc w:val="right"/>
              <w:rPr>
                <w:rFonts w:asciiTheme="majorHAnsi" w:hAnsiTheme="majorHAnsi"/>
                <w:sz w:val="16"/>
                <w:szCs w:val="16"/>
              </w:rPr>
            </w:pPr>
          </w:p>
        </w:tc>
        <w:tc>
          <w:tcPr>
            <w:tcW w:w="317" w:type="pct"/>
          </w:tcPr>
          <w:p w14:paraId="7CD7F137" w14:textId="77777777" w:rsidR="002D42C1" w:rsidRPr="00DE108C" w:rsidRDefault="002D42C1" w:rsidP="00ED094E">
            <w:pPr>
              <w:jc w:val="right"/>
              <w:rPr>
                <w:rFonts w:asciiTheme="majorHAnsi" w:hAnsiTheme="majorHAnsi"/>
                <w:sz w:val="16"/>
                <w:szCs w:val="16"/>
              </w:rPr>
            </w:pPr>
          </w:p>
        </w:tc>
        <w:tc>
          <w:tcPr>
            <w:tcW w:w="287" w:type="pct"/>
          </w:tcPr>
          <w:p w14:paraId="034DBB87" w14:textId="77777777" w:rsidR="002D42C1" w:rsidRPr="00DE108C" w:rsidRDefault="002D42C1" w:rsidP="00ED094E">
            <w:pPr>
              <w:jc w:val="right"/>
              <w:rPr>
                <w:rFonts w:asciiTheme="majorHAnsi" w:hAnsiTheme="majorHAnsi"/>
                <w:sz w:val="16"/>
                <w:szCs w:val="16"/>
              </w:rPr>
            </w:pPr>
          </w:p>
        </w:tc>
      </w:tr>
      <w:tr w:rsidR="0069661E" w:rsidRPr="00DE108C" w14:paraId="78A81B20"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val="restart"/>
          </w:tcPr>
          <w:p w14:paraId="5885145F" w14:textId="77777777" w:rsidR="002D42C1" w:rsidRPr="00DE108C" w:rsidRDefault="002D42C1" w:rsidP="00ED094E">
            <w:pPr>
              <w:rPr>
                <w:rFonts w:asciiTheme="majorHAnsi" w:hAnsiTheme="majorHAnsi"/>
                <w:b/>
                <w:sz w:val="16"/>
                <w:szCs w:val="16"/>
              </w:rPr>
            </w:pPr>
            <w:r w:rsidRPr="00DE108C">
              <w:rPr>
                <w:rFonts w:asciiTheme="majorHAnsi" w:hAnsiTheme="majorHAnsi"/>
                <w:b/>
                <w:sz w:val="16"/>
                <w:szCs w:val="16"/>
              </w:rPr>
              <w:t>Outcome 3</w:t>
            </w:r>
            <w:r w:rsidRPr="00DE108C">
              <w:rPr>
                <w:rFonts w:asciiTheme="majorHAnsi" w:hAnsiTheme="majorHAnsi"/>
                <w:sz w:val="16"/>
                <w:szCs w:val="16"/>
              </w:rPr>
              <w:br/>
            </w:r>
            <w:r w:rsidRPr="00DE108C">
              <w:rPr>
                <w:rFonts w:asciiTheme="majorHAnsi" w:hAnsiTheme="majorHAnsi"/>
                <w:b/>
                <w:sz w:val="16"/>
                <w:szCs w:val="16"/>
              </w:rPr>
              <w:t>Healthy, resilient waterways</w:t>
            </w:r>
          </w:p>
        </w:tc>
        <w:tc>
          <w:tcPr>
            <w:tcW w:w="454" w:type="pct"/>
            <w:vMerge w:val="restart"/>
          </w:tcPr>
          <w:p w14:paraId="046B5BEE"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Protecting and enhancing nature along our waterways and land so nature can thrive</w:t>
            </w:r>
          </w:p>
        </w:tc>
        <w:tc>
          <w:tcPr>
            <w:tcW w:w="758" w:type="pct"/>
            <w:vMerge w:val="restart"/>
          </w:tcPr>
          <w:p w14:paraId="25B25DA7"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Length (kms) along waterways managed for ecological benefit (cumulative)</w:t>
            </w:r>
          </w:p>
        </w:tc>
        <w:tc>
          <w:tcPr>
            <w:tcW w:w="362" w:type="pct"/>
            <w:vMerge w:val="restart"/>
          </w:tcPr>
          <w:p w14:paraId="46BF9F3E"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Kilometres (km)</w:t>
            </w:r>
          </w:p>
        </w:tc>
        <w:tc>
          <w:tcPr>
            <w:tcW w:w="448" w:type="pct"/>
          </w:tcPr>
          <w:p w14:paraId="404CE39E"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60C4F2EC"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b/>
                <w:sz w:val="16"/>
                <w:szCs w:val="16"/>
              </w:rPr>
              <w:t>No Target</w:t>
            </w:r>
          </w:p>
        </w:tc>
        <w:tc>
          <w:tcPr>
            <w:tcW w:w="317" w:type="pct"/>
          </w:tcPr>
          <w:p w14:paraId="7EA82F5B"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b/>
                <w:sz w:val="16"/>
                <w:szCs w:val="16"/>
              </w:rPr>
              <w:t>No Target</w:t>
            </w:r>
          </w:p>
        </w:tc>
        <w:tc>
          <w:tcPr>
            <w:tcW w:w="317" w:type="pct"/>
          </w:tcPr>
          <w:p w14:paraId="152DBE48"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b/>
                <w:sz w:val="16"/>
                <w:szCs w:val="16"/>
              </w:rPr>
              <w:t>No Target</w:t>
            </w:r>
          </w:p>
        </w:tc>
        <w:tc>
          <w:tcPr>
            <w:tcW w:w="317" w:type="pct"/>
          </w:tcPr>
          <w:p w14:paraId="16E98C54"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b/>
                <w:sz w:val="16"/>
                <w:szCs w:val="16"/>
              </w:rPr>
              <w:t>75</w:t>
            </w:r>
          </w:p>
        </w:tc>
        <w:tc>
          <w:tcPr>
            <w:tcW w:w="317" w:type="pct"/>
          </w:tcPr>
          <w:p w14:paraId="18B92086" w14:textId="77777777" w:rsidR="002D42C1" w:rsidRPr="00DE108C" w:rsidRDefault="002D42C1" w:rsidP="00ED094E">
            <w:pPr>
              <w:spacing w:after="0"/>
              <w:jc w:val="right"/>
              <w:rPr>
                <w:sz w:val="16"/>
                <w:szCs w:val="16"/>
              </w:rPr>
            </w:pPr>
            <w:r w:rsidRPr="00DE108C">
              <w:rPr>
                <w:rFonts w:asciiTheme="majorHAnsi" w:eastAsia="Aptos" w:hAnsiTheme="majorHAnsi" w:cs="Aptos"/>
                <w:b/>
                <w:bCs/>
                <w:sz w:val="16"/>
                <w:szCs w:val="16"/>
              </w:rPr>
              <w:t>272</w:t>
            </w:r>
          </w:p>
        </w:tc>
        <w:tc>
          <w:tcPr>
            <w:tcW w:w="317" w:type="pct"/>
          </w:tcPr>
          <w:p w14:paraId="11217C64"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b/>
                <w:sz w:val="16"/>
                <w:szCs w:val="16"/>
              </w:rPr>
              <w:t>378</w:t>
            </w:r>
          </w:p>
        </w:tc>
        <w:tc>
          <w:tcPr>
            <w:tcW w:w="317" w:type="pct"/>
          </w:tcPr>
          <w:p w14:paraId="4CADB549"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b/>
                <w:sz w:val="16"/>
                <w:szCs w:val="16"/>
              </w:rPr>
              <w:t>536</w:t>
            </w:r>
          </w:p>
        </w:tc>
        <w:tc>
          <w:tcPr>
            <w:tcW w:w="287" w:type="pct"/>
          </w:tcPr>
          <w:p w14:paraId="3F108AC2"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b/>
                <w:sz w:val="16"/>
                <w:szCs w:val="16"/>
              </w:rPr>
              <w:t>608</w:t>
            </w:r>
          </w:p>
        </w:tc>
      </w:tr>
      <w:tr w:rsidR="002D42C1" w:rsidRPr="00DE108C" w14:paraId="44AC36CC" w14:textId="77777777" w:rsidTr="00ED094E">
        <w:trPr>
          <w:trHeight w:val="300"/>
        </w:trPr>
        <w:tc>
          <w:tcPr>
            <w:tcW w:w="470" w:type="pct"/>
            <w:vMerge/>
          </w:tcPr>
          <w:p w14:paraId="642594FB" w14:textId="77777777" w:rsidR="002D42C1" w:rsidRPr="00DE108C" w:rsidRDefault="002D42C1" w:rsidP="00ED094E">
            <w:pPr>
              <w:rPr>
                <w:rFonts w:asciiTheme="majorHAnsi" w:hAnsiTheme="majorHAnsi"/>
                <w:b/>
                <w:sz w:val="16"/>
                <w:szCs w:val="16"/>
              </w:rPr>
            </w:pPr>
          </w:p>
        </w:tc>
        <w:tc>
          <w:tcPr>
            <w:tcW w:w="454" w:type="pct"/>
            <w:vMerge/>
          </w:tcPr>
          <w:p w14:paraId="10D152DA" w14:textId="77777777" w:rsidR="002D42C1" w:rsidRPr="00DE108C" w:rsidRDefault="002D42C1" w:rsidP="00ED094E">
            <w:pPr>
              <w:rPr>
                <w:rFonts w:asciiTheme="majorHAnsi" w:hAnsiTheme="majorHAnsi"/>
                <w:sz w:val="16"/>
                <w:szCs w:val="16"/>
              </w:rPr>
            </w:pPr>
          </w:p>
        </w:tc>
        <w:tc>
          <w:tcPr>
            <w:tcW w:w="758" w:type="pct"/>
            <w:vMerge/>
          </w:tcPr>
          <w:p w14:paraId="49643DBA" w14:textId="77777777" w:rsidR="002D42C1" w:rsidRPr="00DE108C" w:rsidRDefault="002D42C1" w:rsidP="00ED094E">
            <w:pPr>
              <w:rPr>
                <w:rFonts w:asciiTheme="majorHAnsi" w:hAnsiTheme="majorHAnsi"/>
                <w:sz w:val="16"/>
                <w:szCs w:val="16"/>
              </w:rPr>
            </w:pPr>
          </w:p>
        </w:tc>
        <w:tc>
          <w:tcPr>
            <w:tcW w:w="362" w:type="pct"/>
            <w:vMerge/>
          </w:tcPr>
          <w:p w14:paraId="25A0DBD1" w14:textId="77777777" w:rsidR="002D42C1" w:rsidRPr="00DE108C" w:rsidRDefault="002D42C1" w:rsidP="00ED094E">
            <w:pPr>
              <w:rPr>
                <w:rFonts w:asciiTheme="majorHAnsi" w:hAnsiTheme="majorHAnsi"/>
                <w:sz w:val="16"/>
                <w:szCs w:val="16"/>
              </w:rPr>
            </w:pPr>
          </w:p>
        </w:tc>
        <w:tc>
          <w:tcPr>
            <w:tcW w:w="448" w:type="pct"/>
          </w:tcPr>
          <w:p w14:paraId="271DB333"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39706FF0"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sz w:val="16"/>
                <w:szCs w:val="16"/>
              </w:rPr>
              <w:t>295</w:t>
            </w:r>
          </w:p>
        </w:tc>
        <w:tc>
          <w:tcPr>
            <w:tcW w:w="317" w:type="pct"/>
          </w:tcPr>
          <w:p w14:paraId="29831DCF"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sz w:val="16"/>
                <w:szCs w:val="16"/>
              </w:rPr>
              <w:t>384</w:t>
            </w:r>
          </w:p>
        </w:tc>
        <w:tc>
          <w:tcPr>
            <w:tcW w:w="317" w:type="pct"/>
          </w:tcPr>
          <w:p w14:paraId="261B5CF3"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sz w:val="16"/>
                <w:szCs w:val="16"/>
              </w:rPr>
              <w:t>491</w:t>
            </w:r>
          </w:p>
        </w:tc>
        <w:tc>
          <w:tcPr>
            <w:tcW w:w="317" w:type="pct"/>
          </w:tcPr>
          <w:p w14:paraId="02C9AC73"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sz w:val="16"/>
                <w:szCs w:val="16"/>
              </w:rPr>
              <w:t xml:space="preserve"> </w:t>
            </w:r>
          </w:p>
        </w:tc>
        <w:tc>
          <w:tcPr>
            <w:tcW w:w="317" w:type="pct"/>
          </w:tcPr>
          <w:p w14:paraId="0DE966E9"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sz w:val="16"/>
                <w:szCs w:val="16"/>
              </w:rPr>
              <w:t xml:space="preserve"> </w:t>
            </w:r>
          </w:p>
        </w:tc>
        <w:tc>
          <w:tcPr>
            <w:tcW w:w="317" w:type="pct"/>
          </w:tcPr>
          <w:p w14:paraId="4E1DB5CA"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sz w:val="16"/>
                <w:szCs w:val="16"/>
              </w:rPr>
              <w:t xml:space="preserve"> </w:t>
            </w:r>
          </w:p>
        </w:tc>
        <w:tc>
          <w:tcPr>
            <w:tcW w:w="317" w:type="pct"/>
          </w:tcPr>
          <w:p w14:paraId="64D3D940"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sz w:val="16"/>
                <w:szCs w:val="16"/>
              </w:rPr>
              <w:t xml:space="preserve"> </w:t>
            </w:r>
          </w:p>
        </w:tc>
        <w:tc>
          <w:tcPr>
            <w:tcW w:w="287" w:type="pct"/>
          </w:tcPr>
          <w:p w14:paraId="2E426868" w14:textId="77777777" w:rsidR="002D42C1" w:rsidRPr="00DE108C" w:rsidRDefault="002D42C1" w:rsidP="00ED094E">
            <w:pPr>
              <w:spacing w:after="0"/>
              <w:jc w:val="right"/>
              <w:rPr>
                <w:rFonts w:asciiTheme="majorHAnsi" w:eastAsia="Aptos" w:hAnsiTheme="majorHAnsi" w:cs="Aptos"/>
                <w:sz w:val="16"/>
                <w:szCs w:val="16"/>
              </w:rPr>
            </w:pPr>
          </w:p>
        </w:tc>
      </w:tr>
      <w:tr w:rsidR="0069661E" w:rsidRPr="00DE108C" w14:paraId="7ED51CBE"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tcPr>
          <w:p w14:paraId="1DBF01DC" w14:textId="77777777" w:rsidR="002D42C1" w:rsidRPr="00DE108C" w:rsidRDefault="002D42C1" w:rsidP="00ED094E">
            <w:pPr>
              <w:rPr>
                <w:rFonts w:asciiTheme="majorHAnsi" w:hAnsiTheme="majorHAnsi"/>
                <w:b/>
                <w:sz w:val="16"/>
                <w:szCs w:val="16"/>
              </w:rPr>
            </w:pPr>
          </w:p>
        </w:tc>
        <w:tc>
          <w:tcPr>
            <w:tcW w:w="454" w:type="pct"/>
            <w:vMerge/>
          </w:tcPr>
          <w:p w14:paraId="43B70EEB" w14:textId="77777777" w:rsidR="002D42C1" w:rsidRPr="00DE108C" w:rsidRDefault="002D42C1" w:rsidP="00ED094E">
            <w:pPr>
              <w:rPr>
                <w:rFonts w:asciiTheme="majorHAnsi" w:hAnsiTheme="majorHAnsi"/>
                <w:sz w:val="16"/>
                <w:szCs w:val="16"/>
              </w:rPr>
            </w:pPr>
          </w:p>
        </w:tc>
        <w:tc>
          <w:tcPr>
            <w:tcW w:w="758" w:type="pct"/>
            <w:vMerge w:val="restart"/>
          </w:tcPr>
          <w:p w14:paraId="60C41779" w14:textId="77777777" w:rsidR="002D42C1" w:rsidRPr="00DE108C" w:rsidRDefault="002D42C1" w:rsidP="00046796">
            <w:pPr>
              <w:rPr>
                <w:rFonts w:asciiTheme="majorHAnsi" w:hAnsiTheme="majorHAnsi"/>
                <w:sz w:val="16"/>
                <w:szCs w:val="16"/>
              </w:rPr>
            </w:pPr>
            <w:r w:rsidRPr="00DE108C">
              <w:rPr>
                <w:rFonts w:asciiTheme="majorHAnsi" w:hAnsiTheme="majorHAnsi"/>
                <w:sz w:val="16"/>
                <w:szCs w:val="16"/>
              </w:rPr>
              <w:t>Number of projects funded within the waterways and drainage incentives program</w:t>
            </w:r>
          </w:p>
        </w:tc>
        <w:tc>
          <w:tcPr>
            <w:tcW w:w="362" w:type="pct"/>
            <w:vMerge w:val="restart"/>
          </w:tcPr>
          <w:p w14:paraId="5DC56F72"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Number</w:t>
            </w:r>
          </w:p>
        </w:tc>
        <w:tc>
          <w:tcPr>
            <w:tcW w:w="448" w:type="pct"/>
          </w:tcPr>
          <w:p w14:paraId="7A51573B"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1D8C6514" w14:textId="7B9FD4DE"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w:t>
            </w:r>
            <w:r w:rsidR="00AF4342" w:rsidRPr="00DE108C">
              <w:rPr>
                <w:rFonts w:asciiTheme="majorHAnsi" w:hAnsiTheme="majorHAnsi"/>
                <w:b/>
                <w:sz w:val="16"/>
                <w:szCs w:val="16"/>
              </w:rPr>
              <w:t>,</w:t>
            </w:r>
            <w:r w:rsidRPr="00DE108C">
              <w:rPr>
                <w:rFonts w:asciiTheme="majorHAnsi" w:hAnsiTheme="majorHAnsi"/>
                <w:b/>
                <w:sz w:val="16"/>
                <w:szCs w:val="16"/>
              </w:rPr>
              <w:t>000</w:t>
            </w:r>
          </w:p>
        </w:tc>
        <w:tc>
          <w:tcPr>
            <w:tcW w:w="317" w:type="pct"/>
          </w:tcPr>
          <w:p w14:paraId="2E0E6072" w14:textId="11CB6AEA"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w:t>
            </w:r>
            <w:r w:rsidR="00AF4342" w:rsidRPr="00DE108C">
              <w:rPr>
                <w:rFonts w:asciiTheme="majorHAnsi" w:hAnsiTheme="majorHAnsi"/>
                <w:b/>
                <w:sz w:val="16"/>
                <w:szCs w:val="16"/>
              </w:rPr>
              <w:t>,</w:t>
            </w:r>
            <w:r w:rsidRPr="00DE108C">
              <w:rPr>
                <w:rFonts w:asciiTheme="majorHAnsi" w:hAnsiTheme="majorHAnsi"/>
                <w:b/>
                <w:sz w:val="16"/>
                <w:szCs w:val="16"/>
              </w:rPr>
              <w:t>000</w:t>
            </w:r>
          </w:p>
        </w:tc>
        <w:tc>
          <w:tcPr>
            <w:tcW w:w="317" w:type="pct"/>
          </w:tcPr>
          <w:p w14:paraId="7896C762" w14:textId="4D8A003A"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w:t>
            </w:r>
            <w:r w:rsidR="00AF4342" w:rsidRPr="00DE108C">
              <w:rPr>
                <w:rFonts w:asciiTheme="majorHAnsi" w:hAnsiTheme="majorHAnsi"/>
                <w:b/>
                <w:sz w:val="16"/>
                <w:szCs w:val="16"/>
              </w:rPr>
              <w:t>,</w:t>
            </w:r>
            <w:r w:rsidRPr="00DE108C">
              <w:rPr>
                <w:rFonts w:asciiTheme="majorHAnsi" w:hAnsiTheme="majorHAnsi"/>
                <w:b/>
                <w:sz w:val="16"/>
                <w:szCs w:val="16"/>
              </w:rPr>
              <w:t>000</w:t>
            </w:r>
          </w:p>
        </w:tc>
        <w:tc>
          <w:tcPr>
            <w:tcW w:w="317" w:type="pct"/>
          </w:tcPr>
          <w:p w14:paraId="4B6BEFDD" w14:textId="42379FF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w:t>
            </w:r>
            <w:r w:rsidR="00AF4342" w:rsidRPr="00DE108C">
              <w:rPr>
                <w:rFonts w:asciiTheme="majorHAnsi" w:hAnsiTheme="majorHAnsi"/>
                <w:b/>
                <w:sz w:val="16"/>
                <w:szCs w:val="16"/>
              </w:rPr>
              <w:t>,</w:t>
            </w:r>
            <w:r w:rsidRPr="00DE108C">
              <w:rPr>
                <w:rFonts w:asciiTheme="majorHAnsi" w:hAnsiTheme="majorHAnsi"/>
                <w:b/>
                <w:sz w:val="16"/>
                <w:szCs w:val="16"/>
              </w:rPr>
              <w:t>000</w:t>
            </w:r>
          </w:p>
        </w:tc>
        <w:tc>
          <w:tcPr>
            <w:tcW w:w="317" w:type="pct"/>
          </w:tcPr>
          <w:p w14:paraId="06DDD578" w14:textId="6B0099F9"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w:t>
            </w:r>
            <w:r w:rsidR="00AF4342" w:rsidRPr="00DE108C">
              <w:rPr>
                <w:rFonts w:asciiTheme="majorHAnsi" w:hAnsiTheme="majorHAnsi"/>
                <w:b/>
                <w:sz w:val="16"/>
                <w:szCs w:val="16"/>
              </w:rPr>
              <w:t>,</w:t>
            </w:r>
            <w:r w:rsidRPr="00DE108C">
              <w:rPr>
                <w:rFonts w:asciiTheme="majorHAnsi" w:hAnsiTheme="majorHAnsi"/>
                <w:b/>
                <w:sz w:val="16"/>
                <w:szCs w:val="16"/>
              </w:rPr>
              <w:t>000</w:t>
            </w:r>
          </w:p>
        </w:tc>
        <w:tc>
          <w:tcPr>
            <w:tcW w:w="317" w:type="pct"/>
          </w:tcPr>
          <w:p w14:paraId="07530A74" w14:textId="111FDE18"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w:t>
            </w:r>
            <w:r w:rsidR="00AF4342" w:rsidRPr="00DE108C">
              <w:rPr>
                <w:rFonts w:asciiTheme="majorHAnsi" w:hAnsiTheme="majorHAnsi"/>
                <w:b/>
                <w:sz w:val="16"/>
                <w:szCs w:val="16"/>
              </w:rPr>
              <w:t>,</w:t>
            </w:r>
            <w:r w:rsidRPr="00DE108C">
              <w:rPr>
                <w:rFonts w:asciiTheme="majorHAnsi" w:hAnsiTheme="majorHAnsi"/>
                <w:b/>
                <w:sz w:val="16"/>
                <w:szCs w:val="16"/>
              </w:rPr>
              <w:t>000</w:t>
            </w:r>
          </w:p>
        </w:tc>
        <w:tc>
          <w:tcPr>
            <w:tcW w:w="317" w:type="pct"/>
          </w:tcPr>
          <w:p w14:paraId="17C4BDEA" w14:textId="0E980348"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w:t>
            </w:r>
            <w:r w:rsidR="00AF4342" w:rsidRPr="00DE108C">
              <w:rPr>
                <w:rFonts w:asciiTheme="majorHAnsi" w:hAnsiTheme="majorHAnsi"/>
                <w:b/>
                <w:sz w:val="16"/>
                <w:szCs w:val="16"/>
              </w:rPr>
              <w:t>,</w:t>
            </w:r>
            <w:r w:rsidRPr="00DE108C">
              <w:rPr>
                <w:rFonts w:asciiTheme="majorHAnsi" w:hAnsiTheme="majorHAnsi"/>
                <w:b/>
                <w:sz w:val="16"/>
                <w:szCs w:val="16"/>
              </w:rPr>
              <w:t>000</w:t>
            </w:r>
          </w:p>
        </w:tc>
        <w:tc>
          <w:tcPr>
            <w:tcW w:w="287" w:type="pct"/>
          </w:tcPr>
          <w:p w14:paraId="71B66F34" w14:textId="78C29C59"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w:t>
            </w:r>
            <w:r w:rsidR="00AF4342" w:rsidRPr="00DE108C">
              <w:rPr>
                <w:rFonts w:asciiTheme="majorHAnsi" w:hAnsiTheme="majorHAnsi"/>
                <w:b/>
                <w:sz w:val="16"/>
                <w:szCs w:val="16"/>
              </w:rPr>
              <w:t>,</w:t>
            </w:r>
            <w:r w:rsidRPr="00DE108C">
              <w:rPr>
                <w:rFonts w:asciiTheme="majorHAnsi" w:hAnsiTheme="majorHAnsi"/>
                <w:b/>
                <w:sz w:val="16"/>
                <w:szCs w:val="16"/>
              </w:rPr>
              <w:t>000</w:t>
            </w:r>
          </w:p>
        </w:tc>
      </w:tr>
      <w:tr w:rsidR="002D42C1" w:rsidRPr="00DE108C" w14:paraId="4C6C4850" w14:textId="77777777" w:rsidTr="00ED094E">
        <w:trPr>
          <w:trHeight w:val="300"/>
        </w:trPr>
        <w:tc>
          <w:tcPr>
            <w:tcW w:w="470" w:type="pct"/>
            <w:vMerge/>
          </w:tcPr>
          <w:p w14:paraId="50BC92CB" w14:textId="77777777" w:rsidR="002D42C1" w:rsidRPr="00DE108C" w:rsidRDefault="002D42C1" w:rsidP="00ED094E">
            <w:pPr>
              <w:rPr>
                <w:rFonts w:asciiTheme="majorHAnsi" w:hAnsiTheme="majorHAnsi"/>
                <w:b/>
                <w:sz w:val="16"/>
                <w:szCs w:val="16"/>
              </w:rPr>
            </w:pPr>
          </w:p>
        </w:tc>
        <w:tc>
          <w:tcPr>
            <w:tcW w:w="454" w:type="pct"/>
            <w:vMerge/>
          </w:tcPr>
          <w:p w14:paraId="6D5853A1" w14:textId="77777777" w:rsidR="002D42C1" w:rsidRPr="00DE108C" w:rsidRDefault="002D42C1" w:rsidP="00ED094E">
            <w:pPr>
              <w:rPr>
                <w:rFonts w:asciiTheme="majorHAnsi" w:hAnsiTheme="majorHAnsi"/>
                <w:sz w:val="16"/>
                <w:szCs w:val="16"/>
              </w:rPr>
            </w:pPr>
          </w:p>
        </w:tc>
        <w:tc>
          <w:tcPr>
            <w:tcW w:w="758" w:type="pct"/>
            <w:vMerge/>
          </w:tcPr>
          <w:p w14:paraId="708D382E" w14:textId="77777777" w:rsidR="002D42C1" w:rsidRPr="00DE108C" w:rsidRDefault="002D42C1" w:rsidP="00ED094E">
            <w:pPr>
              <w:rPr>
                <w:rFonts w:asciiTheme="majorHAnsi" w:hAnsiTheme="majorHAnsi"/>
                <w:sz w:val="16"/>
                <w:szCs w:val="16"/>
              </w:rPr>
            </w:pPr>
          </w:p>
        </w:tc>
        <w:tc>
          <w:tcPr>
            <w:tcW w:w="362" w:type="pct"/>
            <w:vMerge/>
          </w:tcPr>
          <w:p w14:paraId="74B11DBD" w14:textId="77777777" w:rsidR="002D42C1" w:rsidRPr="00DE108C" w:rsidRDefault="002D42C1" w:rsidP="00ED094E">
            <w:pPr>
              <w:rPr>
                <w:rFonts w:asciiTheme="majorHAnsi" w:hAnsiTheme="majorHAnsi"/>
                <w:sz w:val="16"/>
                <w:szCs w:val="16"/>
              </w:rPr>
            </w:pPr>
          </w:p>
        </w:tc>
        <w:tc>
          <w:tcPr>
            <w:tcW w:w="448" w:type="pct"/>
          </w:tcPr>
          <w:p w14:paraId="49CEE48E"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2122F008" w14:textId="3DB632E6"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1</w:t>
            </w:r>
            <w:r w:rsidR="00AF4342" w:rsidRPr="00DE108C">
              <w:rPr>
                <w:rFonts w:asciiTheme="majorHAnsi" w:hAnsiTheme="majorHAnsi"/>
                <w:sz w:val="16"/>
                <w:szCs w:val="16"/>
              </w:rPr>
              <w:t>,</w:t>
            </w:r>
            <w:r w:rsidRPr="00DE108C">
              <w:rPr>
                <w:rFonts w:asciiTheme="majorHAnsi" w:hAnsiTheme="majorHAnsi"/>
                <w:sz w:val="16"/>
                <w:szCs w:val="16"/>
              </w:rPr>
              <w:t>057</w:t>
            </w:r>
          </w:p>
        </w:tc>
        <w:tc>
          <w:tcPr>
            <w:tcW w:w="317" w:type="pct"/>
          </w:tcPr>
          <w:p w14:paraId="545F3194" w14:textId="43D13FD1"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1</w:t>
            </w:r>
            <w:r w:rsidR="00AF4342" w:rsidRPr="00DE108C">
              <w:rPr>
                <w:rFonts w:asciiTheme="majorHAnsi" w:hAnsiTheme="majorHAnsi"/>
                <w:sz w:val="16"/>
                <w:szCs w:val="16"/>
              </w:rPr>
              <w:t>,</w:t>
            </w:r>
            <w:r w:rsidRPr="00DE108C">
              <w:rPr>
                <w:rFonts w:asciiTheme="majorHAnsi" w:hAnsiTheme="majorHAnsi"/>
                <w:sz w:val="16"/>
                <w:szCs w:val="16"/>
              </w:rPr>
              <w:t>25</w:t>
            </w:r>
            <w:r w:rsidR="009006A0" w:rsidRPr="00DE108C">
              <w:rPr>
                <w:rFonts w:asciiTheme="majorHAnsi" w:hAnsiTheme="majorHAnsi"/>
                <w:sz w:val="16"/>
                <w:szCs w:val="16"/>
              </w:rPr>
              <w:t>4</w:t>
            </w:r>
          </w:p>
        </w:tc>
        <w:tc>
          <w:tcPr>
            <w:tcW w:w="317" w:type="pct"/>
          </w:tcPr>
          <w:p w14:paraId="62FDF054" w14:textId="77777777" w:rsidR="002D42C1" w:rsidRPr="00DE108C" w:rsidRDefault="002D42C1" w:rsidP="00ED094E">
            <w:pPr>
              <w:jc w:val="right"/>
              <w:rPr>
                <w:rFonts w:asciiTheme="majorHAnsi" w:hAnsiTheme="majorHAnsi"/>
                <w:sz w:val="16"/>
                <w:szCs w:val="16"/>
              </w:rPr>
            </w:pPr>
          </w:p>
        </w:tc>
        <w:tc>
          <w:tcPr>
            <w:tcW w:w="317" w:type="pct"/>
          </w:tcPr>
          <w:p w14:paraId="42F9A021" w14:textId="77777777" w:rsidR="002D42C1" w:rsidRPr="00DE108C" w:rsidRDefault="002D42C1" w:rsidP="00ED094E">
            <w:pPr>
              <w:jc w:val="right"/>
              <w:rPr>
                <w:rFonts w:asciiTheme="majorHAnsi" w:hAnsiTheme="majorHAnsi"/>
                <w:sz w:val="16"/>
                <w:szCs w:val="16"/>
              </w:rPr>
            </w:pPr>
          </w:p>
        </w:tc>
        <w:tc>
          <w:tcPr>
            <w:tcW w:w="317" w:type="pct"/>
          </w:tcPr>
          <w:p w14:paraId="7D80F51D" w14:textId="77777777" w:rsidR="002D42C1" w:rsidRPr="00DE108C" w:rsidRDefault="002D42C1" w:rsidP="00ED094E">
            <w:pPr>
              <w:jc w:val="right"/>
              <w:rPr>
                <w:rFonts w:asciiTheme="majorHAnsi" w:hAnsiTheme="majorHAnsi"/>
                <w:sz w:val="16"/>
                <w:szCs w:val="16"/>
              </w:rPr>
            </w:pPr>
          </w:p>
        </w:tc>
        <w:tc>
          <w:tcPr>
            <w:tcW w:w="317" w:type="pct"/>
          </w:tcPr>
          <w:p w14:paraId="574865A6" w14:textId="77777777" w:rsidR="002D42C1" w:rsidRPr="00DE108C" w:rsidRDefault="002D42C1" w:rsidP="00ED094E">
            <w:pPr>
              <w:jc w:val="right"/>
              <w:rPr>
                <w:rFonts w:asciiTheme="majorHAnsi" w:hAnsiTheme="majorHAnsi"/>
                <w:sz w:val="16"/>
                <w:szCs w:val="16"/>
              </w:rPr>
            </w:pPr>
          </w:p>
        </w:tc>
        <w:tc>
          <w:tcPr>
            <w:tcW w:w="317" w:type="pct"/>
          </w:tcPr>
          <w:p w14:paraId="0F7084EC" w14:textId="77777777" w:rsidR="002D42C1" w:rsidRPr="00DE108C" w:rsidRDefault="002D42C1" w:rsidP="00ED094E">
            <w:pPr>
              <w:jc w:val="right"/>
              <w:rPr>
                <w:rFonts w:asciiTheme="majorHAnsi" w:hAnsiTheme="majorHAnsi"/>
                <w:sz w:val="16"/>
                <w:szCs w:val="16"/>
              </w:rPr>
            </w:pPr>
          </w:p>
        </w:tc>
        <w:tc>
          <w:tcPr>
            <w:tcW w:w="287" w:type="pct"/>
          </w:tcPr>
          <w:p w14:paraId="6AA80F9F" w14:textId="77777777" w:rsidR="002D42C1" w:rsidRPr="00DE108C" w:rsidRDefault="002D42C1" w:rsidP="00ED094E">
            <w:pPr>
              <w:jc w:val="right"/>
              <w:rPr>
                <w:rFonts w:asciiTheme="majorHAnsi" w:hAnsiTheme="majorHAnsi"/>
                <w:sz w:val="16"/>
                <w:szCs w:val="16"/>
              </w:rPr>
            </w:pPr>
          </w:p>
        </w:tc>
      </w:tr>
      <w:tr w:rsidR="0069661E" w:rsidRPr="00DE108C" w14:paraId="3C9CDCEA"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tcPr>
          <w:p w14:paraId="711F0112" w14:textId="77777777" w:rsidR="002D42C1" w:rsidRPr="00DE108C" w:rsidRDefault="002D42C1" w:rsidP="00ED094E">
            <w:pPr>
              <w:rPr>
                <w:rFonts w:asciiTheme="majorHAnsi" w:hAnsiTheme="majorHAnsi"/>
                <w:b/>
                <w:sz w:val="16"/>
                <w:szCs w:val="16"/>
              </w:rPr>
            </w:pPr>
          </w:p>
        </w:tc>
        <w:tc>
          <w:tcPr>
            <w:tcW w:w="454" w:type="pct"/>
            <w:vMerge w:val="restart"/>
          </w:tcPr>
          <w:p w14:paraId="4D7911D7"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Maintaining healthy waterways so that they remain vibrant places for our community</w:t>
            </w:r>
          </w:p>
        </w:tc>
        <w:tc>
          <w:tcPr>
            <w:tcW w:w="758" w:type="pct"/>
            <w:vMerge w:val="restart"/>
          </w:tcPr>
          <w:p w14:paraId="38AE3A26"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Overall satisfaction with our Waterways Service</w:t>
            </w:r>
          </w:p>
        </w:tc>
        <w:tc>
          <w:tcPr>
            <w:tcW w:w="362" w:type="pct"/>
            <w:vMerge w:val="restart"/>
          </w:tcPr>
          <w:p w14:paraId="0EF9A3DE"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Percentage</w:t>
            </w:r>
          </w:p>
        </w:tc>
        <w:tc>
          <w:tcPr>
            <w:tcW w:w="448" w:type="pct"/>
          </w:tcPr>
          <w:p w14:paraId="1A1029E2"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79237959"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≥85%</w:t>
            </w:r>
          </w:p>
        </w:tc>
        <w:tc>
          <w:tcPr>
            <w:tcW w:w="317" w:type="pct"/>
          </w:tcPr>
          <w:p w14:paraId="60F338A7"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≥85%</w:t>
            </w:r>
          </w:p>
        </w:tc>
        <w:tc>
          <w:tcPr>
            <w:tcW w:w="317" w:type="pct"/>
          </w:tcPr>
          <w:p w14:paraId="6DD1391B"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≥85%</w:t>
            </w:r>
          </w:p>
        </w:tc>
        <w:tc>
          <w:tcPr>
            <w:tcW w:w="317" w:type="pct"/>
          </w:tcPr>
          <w:p w14:paraId="0E88A3DE"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≥85%</w:t>
            </w:r>
          </w:p>
        </w:tc>
        <w:tc>
          <w:tcPr>
            <w:tcW w:w="317" w:type="pct"/>
          </w:tcPr>
          <w:p w14:paraId="2B033439"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≥85%</w:t>
            </w:r>
          </w:p>
        </w:tc>
        <w:tc>
          <w:tcPr>
            <w:tcW w:w="317" w:type="pct"/>
          </w:tcPr>
          <w:p w14:paraId="34F72781"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≥85%</w:t>
            </w:r>
          </w:p>
        </w:tc>
        <w:tc>
          <w:tcPr>
            <w:tcW w:w="317" w:type="pct"/>
          </w:tcPr>
          <w:p w14:paraId="08B34D91"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≥85%</w:t>
            </w:r>
          </w:p>
        </w:tc>
        <w:tc>
          <w:tcPr>
            <w:tcW w:w="287" w:type="pct"/>
          </w:tcPr>
          <w:p w14:paraId="61B37503"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≥85%</w:t>
            </w:r>
          </w:p>
        </w:tc>
      </w:tr>
      <w:tr w:rsidR="002D42C1" w:rsidRPr="00DE108C" w14:paraId="27E213FC" w14:textId="77777777" w:rsidTr="00ED094E">
        <w:trPr>
          <w:trHeight w:val="300"/>
        </w:trPr>
        <w:tc>
          <w:tcPr>
            <w:tcW w:w="470" w:type="pct"/>
            <w:vMerge/>
          </w:tcPr>
          <w:p w14:paraId="68D3DB44" w14:textId="77777777" w:rsidR="002D42C1" w:rsidRPr="00DE108C" w:rsidRDefault="002D42C1" w:rsidP="00ED094E">
            <w:pPr>
              <w:rPr>
                <w:rFonts w:asciiTheme="majorHAnsi" w:hAnsiTheme="majorHAnsi"/>
                <w:b/>
                <w:sz w:val="16"/>
                <w:szCs w:val="16"/>
              </w:rPr>
            </w:pPr>
          </w:p>
        </w:tc>
        <w:tc>
          <w:tcPr>
            <w:tcW w:w="454" w:type="pct"/>
            <w:vMerge/>
          </w:tcPr>
          <w:p w14:paraId="228FACE0" w14:textId="77777777" w:rsidR="002D42C1" w:rsidRPr="00DE108C" w:rsidRDefault="002D42C1" w:rsidP="00ED094E">
            <w:pPr>
              <w:rPr>
                <w:rFonts w:asciiTheme="majorHAnsi" w:hAnsiTheme="majorHAnsi"/>
                <w:sz w:val="16"/>
                <w:szCs w:val="16"/>
              </w:rPr>
            </w:pPr>
          </w:p>
        </w:tc>
        <w:tc>
          <w:tcPr>
            <w:tcW w:w="758" w:type="pct"/>
            <w:vMerge/>
          </w:tcPr>
          <w:p w14:paraId="7CE7D9CC" w14:textId="77777777" w:rsidR="002D42C1" w:rsidRPr="00DE108C" w:rsidRDefault="002D42C1" w:rsidP="00ED094E">
            <w:pPr>
              <w:rPr>
                <w:rFonts w:asciiTheme="majorHAnsi" w:hAnsiTheme="majorHAnsi"/>
                <w:sz w:val="16"/>
                <w:szCs w:val="16"/>
              </w:rPr>
            </w:pPr>
          </w:p>
        </w:tc>
        <w:tc>
          <w:tcPr>
            <w:tcW w:w="362" w:type="pct"/>
            <w:vMerge/>
          </w:tcPr>
          <w:p w14:paraId="659B71CD" w14:textId="77777777" w:rsidR="002D42C1" w:rsidRPr="00DE108C" w:rsidRDefault="002D42C1" w:rsidP="00ED094E">
            <w:pPr>
              <w:rPr>
                <w:rFonts w:asciiTheme="majorHAnsi" w:hAnsiTheme="majorHAnsi"/>
                <w:sz w:val="16"/>
                <w:szCs w:val="16"/>
              </w:rPr>
            </w:pPr>
          </w:p>
        </w:tc>
        <w:tc>
          <w:tcPr>
            <w:tcW w:w="448" w:type="pct"/>
          </w:tcPr>
          <w:p w14:paraId="1769A7B5"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4B538340"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92%</w:t>
            </w:r>
          </w:p>
        </w:tc>
        <w:tc>
          <w:tcPr>
            <w:tcW w:w="317" w:type="pct"/>
          </w:tcPr>
          <w:p w14:paraId="5DDF0670"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91%</w:t>
            </w:r>
          </w:p>
        </w:tc>
        <w:tc>
          <w:tcPr>
            <w:tcW w:w="317" w:type="pct"/>
          </w:tcPr>
          <w:p w14:paraId="5006EEDF" w14:textId="77777777" w:rsidR="002D42C1" w:rsidRPr="00DE108C" w:rsidRDefault="002D42C1" w:rsidP="00ED094E">
            <w:pPr>
              <w:jc w:val="right"/>
              <w:rPr>
                <w:rFonts w:asciiTheme="majorHAnsi" w:hAnsiTheme="majorHAnsi"/>
                <w:sz w:val="16"/>
                <w:szCs w:val="16"/>
              </w:rPr>
            </w:pPr>
          </w:p>
        </w:tc>
        <w:tc>
          <w:tcPr>
            <w:tcW w:w="317" w:type="pct"/>
          </w:tcPr>
          <w:p w14:paraId="3506C857" w14:textId="77777777" w:rsidR="002D42C1" w:rsidRPr="00DE108C" w:rsidRDefault="002D42C1" w:rsidP="00ED094E">
            <w:pPr>
              <w:jc w:val="right"/>
              <w:rPr>
                <w:rFonts w:asciiTheme="majorHAnsi" w:hAnsiTheme="majorHAnsi"/>
                <w:sz w:val="16"/>
                <w:szCs w:val="16"/>
              </w:rPr>
            </w:pPr>
          </w:p>
        </w:tc>
        <w:tc>
          <w:tcPr>
            <w:tcW w:w="317" w:type="pct"/>
          </w:tcPr>
          <w:p w14:paraId="60407796" w14:textId="77777777" w:rsidR="002D42C1" w:rsidRPr="00DE108C" w:rsidRDefault="002D42C1" w:rsidP="00ED094E">
            <w:pPr>
              <w:jc w:val="right"/>
              <w:rPr>
                <w:rFonts w:asciiTheme="majorHAnsi" w:hAnsiTheme="majorHAnsi"/>
                <w:sz w:val="16"/>
                <w:szCs w:val="16"/>
              </w:rPr>
            </w:pPr>
          </w:p>
        </w:tc>
        <w:tc>
          <w:tcPr>
            <w:tcW w:w="317" w:type="pct"/>
          </w:tcPr>
          <w:p w14:paraId="2438A85C" w14:textId="77777777" w:rsidR="002D42C1" w:rsidRPr="00DE108C" w:rsidRDefault="002D42C1" w:rsidP="00ED094E">
            <w:pPr>
              <w:jc w:val="right"/>
              <w:rPr>
                <w:rFonts w:asciiTheme="majorHAnsi" w:hAnsiTheme="majorHAnsi"/>
                <w:sz w:val="16"/>
                <w:szCs w:val="16"/>
              </w:rPr>
            </w:pPr>
          </w:p>
        </w:tc>
        <w:tc>
          <w:tcPr>
            <w:tcW w:w="317" w:type="pct"/>
          </w:tcPr>
          <w:p w14:paraId="2C9F965B" w14:textId="77777777" w:rsidR="002D42C1" w:rsidRPr="00DE108C" w:rsidRDefault="002D42C1" w:rsidP="00ED094E">
            <w:pPr>
              <w:jc w:val="right"/>
              <w:rPr>
                <w:rFonts w:asciiTheme="majorHAnsi" w:hAnsiTheme="majorHAnsi"/>
                <w:sz w:val="16"/>
                <w:szCs w:val="16"/>
              </w:rPr>
            </w:pPr>
          </w:p>
        </w:tc>
        <w:tc>
          <w:tcPr>
            <w:tcW w:w="287" w:type="pct"/>
          </w:tcPr>
          <w:p w14:paraId="0157FF19" w14:textId="77777777" w:rsidR="002D42C1" w:rsidRPr="00DE108C" w:rsidRDefault="002D42C1" w:rsidP="00ED094E">
            <w:pPr>
              <w:jc w:val="right"/>
              <w:rPr>
                <w:rFonts w:asciiTheme="majorHAnsi" w:hAnsiTheme="majorHAnsi"/>
                <w:sz w:val="16"/>
                <w:szCs w:val="16"/>
              </w:rPr>
            </w:pPr>
          </w:p>
        </w:tc>
      </w:tr>
      <w:tr w:rsidR="0069661E" w:rsidRPr="00DE108C" w14:paraId="2D5A70F2"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val="restart"/>
          </w:tcPr>
          <w:p w14:paraId="27258357" w14:textId="77777777" w:rsidR="002D42C1" w:rsidRPr="00DE108C" w:rsidRDefault="002D42C1" w:rsidP="00ED094E">
            <w:pPr>
              <w:rPr>
                <w:rFonts w:asciiTheme="majorHAnsi" w:hAnsiTheme="majorHAnsi"/>
                <w:b/>
                <w:sz w:val="16"/>
                <w:szCs w:val="16"/>
              </w:rPr>
            </w:pPr>
            <w:r w:rsidRPr="00DE108C">
              <w:rPr>
                <w:rFonts w:asciiTheme="majorHAnsi" w:hAnsiTheme="majorHAnsi"/>
                <w:b/>
                <w:sz w:val="16"/>
                <w:szCs w:val="16"/>
              </w:rPr>
              <w:t>Outcome 4</w:t>
            </w:r>
            <w:r w:rsidRPr="00DE108C">
              <w:rPr>
                <w:rFonts w:asciiTheme="majorHAnsi" w:hAnsiTheme="majorHAnsi"/>
                <w:sz w:val="16"/>
                <w:szCs w:val="16"/>
              </w:rPr>
              <w:br/>
            </w:r>
            <w:r w:rsidRPr="00DE108C">
              <w:rPr>
                <w:rFonts w:asciiTheme="majorHAnsi" w:hAnsiTheme="majorHAnsi"/>
                <w:b/>
                <w:sz w:val="16"/>
                <w:szCs w:val="16"/>
              </w:rPr>
              <w:t>Urban drainage and flood resilience</w:t>
            </w:r>
          </w:p>
        </w:tc>
        <w:tc>
          <w:tcPr>
            <w:tcW w:w="454" w:type="pct"/>
            <w:vMerge w:val="restart"/>
          </w:tcPr>
          <w:p w14:paraId="652C68F2"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Improving Melbourne’s flood resilience through effective planning and managing of our urban drainage system</w:t>
            </w:r>
          </w:p>
        </w:tc>
        <w:tc>
          <w:tcPr>
            <w:tcW w:w="758" w:type="pct"/>
            <w:vMerge w:val="restart"/>
          </w:tcPr>
          <w:p w14:paraId="73C30748"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Average estimated flood damages reduced as a result of Melbourne Water’s programs</w:t>
            </w:r>
          </w:p>
        </w:tc>
        <w:tc>
          <w:tcPr>
            <w:tcW w:w="362" w:type="pct"/>
            <w:vMerge w:val="restart"/>
          </w:tcPr>
          <w:p w14:paraId="1BFB44F4"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$m 2025-26 Real (cumulative)</w:t>
            </w:r>
          </w:p>
        </w:tc>
        <w:tc>
          <w:tcPr>
            <w:tcW w:w="448" w:type="pct"/>
          </w:tcPr>
          <w:p w14:paraId="1190F86B"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0196E80F"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$63</w:t>
            </w:r>
          </w:p>
        </w:tc>
        <w:tc>
          <w:tcPr>
            <w:tcW w:w="317" w:type="pct"/>
          </w:tcPr>
          <w:p w14:paraId="155129FE"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 xml:space="preserve"> $109</w:t>
            </w:r>
          </w:p>
        </w:tc>
        <w:tc>
          <w:tcPr>
            <w:tcW w:w="317" w:type="pct"/>
          </w:tcPr>
          <w:p w14:paraId="65C4C4FF"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$155</w:t>
            </w:r>
          </w:p>
        </w:tc>
        <w:tc>
          <w:tcPr>
            <w:tcW w:w="317" w:type="pct"/>
          </w:tcPr>
          <w:p w14:paraId="48C65A2B"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$75</w:t>
            </w:r>
          </w:p>
        </w:tc>
        <w:tc>
          <w:tcPr>
            <w:tcW w:w="317" w:type="pct"/>
          </w:tcPr>
          <w:p w14:paraId="7C7DF896"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$150</w:t>
            </w:r>
          </w:p>
        </w:tc>
        <w:tc>
          <w:tcPr>
            <w:tcW w:w="317" w:type="pct"/>
          </w:tcPr>
          <w:p w14:paraId="07B691F3"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$226</w:t>
            </w:r>
          </w:p>
        </w:tc>
        <w:tc>
          <w:tcPr>
            <w:tcW w:w="317" w:type="pct"/>
          </w:tcPr>
          <w:p w14:paraId="0209C9B5"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$301</w:t>
            </w:r>
          </w:p>
        </w:tc>
        <w:tc>
          <w:tcPr>
            <w:tcW w:w="287" w:type="pct"/>
          </w:tcPr>
          <w:p w14:paraId="4C8BE198"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$390</w:t>
            </w:r>
          </w:p>
        </w:tc>
      </w:tr>
      <w:tr w:rsidR="002D42C1" w:rsidRPr="00DE108C" w14:paraId="4534803C" w14:textId="77777777" w:rsidTr="00ED094E">
        <w:trPr>
          <w:trHeight w:val="300"/>
        </w:trPr>
        <w:tc>
          <w:tcPr>
            <w:tcW w:w="470" w:type="pct"/>
            <w:vMerge/>
          </w:tcPr>
          <w:p w14:paraId="01ABAD8A" w14:textId="77777777" w:rsidR="002D42C1" w:rsidRPr="00DE108C" w:rsidRDefault="002D42C1" w:rsidP="00ED094E">
            <w:pPr>
              <w:rPr>
                <w:rFonts w:asciiTheme="majorHAnsi" w:hAnsiTheme="majorHAnsi"/>
                <w:b/>
                <w:sz w:val="16"/>
                <w:szCs w:val="16"/>
              </w:rPr>
            </w:pPr>
          </w:p>
        </w:tc>
        <w:tc>
          <w:tcPr>
            <w:tcW w:w="454" w:type="pct"/>
            <w:vMerge/>
          </w:tcPr>
          <w:p w14:paraId="322D2E65" w14:textId="77777777" w:rsidR="002D42C1" w:rsidRPr="00DE108C" w:rsidRDefault="002D42C1" w:rsidP="00ED094E">
            <w:pPr>
              <w:rPr>
                <w:rFonts w:asciiTheme="majorHAnsi" w:hAnsiTheme="majorHAnsi"/>
                <w:sz w:val="16"/>
                <w:szCs w:val="16"/>
              </w:rPr>
            </w:pPr>
          </w:p>
        </w:tc>
        <w:tc>
          <w:tcPr>
            <w:tcW w:w="758" w:type="pct"/>
            <w:vMerge/>
          </w:tcPr>
          <w:p w14:paraId="0A59B96E" w14:textId="77777777" w:rsidR="002D42C1" w:rsidRPr="00DE108C" w:rsidRDefault="002D42C1" w:rsidP="00ED094E">
            <w:pPr>
              <w:rPr>
                <w:rFonts w:asciiTheme="majorHAnsi" w:hAnsiTheme="majorHAnsi"/>
                <w:sz w:val="16"/>
                <w:szCs w:val="16"/>
              </w:rPr>
            </w:pPr>
          </w:p>
        </w:tc>
        <w:tc>
          <w:tcPr>
            <w:tcW w:w="362" w:type="pct"/>
            <w:vMerge/>
          </w:tcPr>
          <w:p w14:paraId="2F2B682F" w14:textId="77777777" w:rsidR="002D42C1" w:rsidRPr="00DE108C" w:rsidRDefault="002D42C1" w:rsidP="00ED094E">
            <w:pPr>
              <w:rPr>
                <w:rFonts w:asciiTheme="majorHAnsi" w:hAnsiTheme="majorHAnsi"/>
                <w:sz w:val="16"/>
                <w:szCs w:val="16"/>
              </w:rPr>
            </w:pPr>
          </w:p>
        </w:tc>
        <w:tc>
          <w:tcPr>
            <w:tcW w:w="448" w:type="pct"/>
          </w:tcPr>
          <w:p w14:paraId="2F48A7E5"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115DC759"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$249.9</w:t>
            </w:r>
          </w:p>
          <w:p w14:paraId="55B55BED" w14:textId="77777777" w:rsidR="002D42C1" w:rsidRPr="00DE108C" w:rsidRDefault="002D42C1" w:rsidP="00ED094E">
            <w:pPr>
              <w:jc w:val="right"/>
              <w:rPr>
                <w:rFonts w:asciiTheme="majorHAnsi" w:hAnsiTheme="majorHAnsi"/>
                <w:sz w:val="16"/>
                <w:szCs w:val="16"/>
              </w:rPr>
            </w:pPr>
          </w:p>
        </w:tc>
        <w:tc>
          <w:tcPr>
            <w:tcW w:w="317" w:type="pct"/>
          </w:tcPr>
          <w:p w14:paraId="29946E96"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$322.3</w:t>
            </w:r>
          </w:p>
          <w:p w14:paraId="3E634204" w14:textId="77777777" w:rsidR="002D42C1" w:rsidRPr="00DE108C" w:rsidRDefault="002D42C1" w:rsidP="00ED094E">
            <w:pPr>
              <w:jc w:val="right"/>
              <w:rPr>
                <w:rFonts w:asciiTheme="majorHAnsi" w:hAnsiTheme="majorHAnsi"/>
                <w:sz w:val="16"/>
                <w:szCs w:val="16"/>
              </w:rPr>
            </w:pPr>
          </w:p>
        </w:tc>
        <w:tc>
          <w:tcPr>
            <w:tcW w:w="317" w:type="pct"/>
          </w:tcPr>
          <w:p w14:paraId="00E85EE9" w14:textId="77777777" w:rsidR="002D42C1" w:rsidRPr="00DE108C" w:rsidRDefault="002D42C1" w:rsidP="00ED094E">
            <w:pPr>
              <w:jc w:val="right"/>
              <w:rPr>
                <w:rFonts w:asciiTheme="majorHAnsi" w:hAnsiTheme="majorHAnsi"/>
                <w:sz w:val="16"/>
                <w:szCs w:val="16"/>
              </w:rPr>
            </w:pPr>
          </w:p>
        </w:tc>
        <w:tc>
          <w:tcPr>
            <w:tcW w:w="317" w:type="pct"/>
          </w:tcPr>
          <w:p w14:paraId="6D8DC0BF" w14:textId="77777777" w:rsidR="002D42C1" w:rsidRPr="00DE108C" w:rsidRDefault="002D42C1" w:rsidP="00ED094E">
            <w:pPr>
              <w:jc w:val="right"/>
              <w:rPr>
                <w:rFonts w:asciiTheme="majorHAnsi" w:hAnsiTheme="majorHAnsi"/>
                <w:sz w:val="16"/>
                <w:szCs w:val="16"/>
              </w:rPr>
            </w:pPr>
          </w:p>
        </w:tc>
        <w:tc>
          <w:tcPr>
            <w:tcW w:w="317" w:type="pct"/>
          </w:tcPr>
          <w:p w14:paraId="722850C0" w14:textId="77777777" w:rsidR="002D42C1" w:rsidRPr="00DE108C" w:rsidRDefault="002D42C1" w:rsidP="00ED094E">
            <w:pPr>
              <w:jc w:val="right"/>
              <w:rPr>
                <w:rFonts w:asciiTheme="majorHAnsi" w:hAnsiTheme="majorHAnsi"/>
                <w:sz w:val="16"/>
                <w:szCs w:val="16"/>
              </w:rPr>
            </w:pPr>
          </w:p>
        </w:tc>
        <w:tc>
          <w:tcPr>
            <w:tcW w:w="317" w:type="pct"/>
          </w:tcPr>
          <w:p w14:paraId="0FAEDAC0" w14:textId="77777777" w:rsidR="002D42C1" w:rsidRPr="00DE108C" w:rsidRDefault="002D42C1" w:rsidP="00ED094E">
            <w:pPr>
              <w:jc w:val="right"/>
              <w:rPr>
                <w:rFonts w:asciiTheme="majorHAnsi" w:hAnsiTheme="majorHAnsi"/>
                <w:sz w:val="16"/>
                <w:szCs w:val="16"/>
              </w:rPr>
            </w:pPr>
          </w:p>
        </w:tc>
        <w:tc>
          <w:tcPr>
            <w:tcW w:w="317" w:type="pct"/>
          </w:tcPr>
          <w:p w14:paraId="420ABB1C" w14:textId="77777777" w:rsidR="002D42C1" w:rsidRPr="00DE108C" w:rsidRDefault="002D42C1" w:rsidP="00ED094E">
            <w:pPr>
              <w:jc w:val="right"/>
              <w:rPr>
                <w:rFonts w:asciiTheme="majorHAnsi" w:hAnsiTheme="majorHAnsi"/>
                <w:sz w:val="16"/>
                <w:szCs w:val="16"/>
              </w:rPr>
            </w:pPr>
          </w:p>
        </w:tc>
        <w:tc>
          <w:tcPr>
            <w:tcW w:w="287" w:type="pct"/>
          </w:tcPr>
          <w:p w14:paraId="30B90654" w14:textId="77777777" w:rsidR="002D42C1" w:rsidRPr="00DE108C" w:rsidRDefault="002D42C1" w:rsidP="00ED094E">
            <w:pPr>
              <w:jc w:val="right"/>
              <w:rPr>
                <w:rFonts w:asciiTheme="majorHAnsi" w:hAnsiTheme="majorHAnsi"/>
                <w:sz w:val="16"/>
                <w:szCs w:val="16"/>
              </w:rPr>
            </w:pPr>
          </w:p>
        </w:tc>
      </w:tr>
      <w:tr w:rsidR="0069661E" w:rsidRPr="00DE108C" w14:paraId="18A430A6"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tcPr>
          <w:p w14:paraId="0A284EB9" w14:textId="77777777" w:rsidR="002D42C1" w:rsidRPr="00DE108C" w:rsidRDefault="002D42C1" w:rsidP="00ED094E">
            <w:pPr>
              <w:rPr>
                <w:rFonts w:asciiTheme="majorHAnsi" w:hAnsiTheme="majorHAnsi"/>
                <w:b/>
                <w:sz w:val="16"/>
                <w:szCs w:val="16"/>
              </w:rPr>
            </w:pPr>
          </w:p>
        </w:tc>
        <w:tc>
          <w:tcPr>
            <w:tcW w:w="454" w:type="pct"/>
            <w:vMerge/>
          </w:tcPr>
          <w:p w14:paraId="4760C947" w14:textId="77777777" w:rsidR="002D42C1" w:rsidRPr="00DE108C" w:rsidRDefault="002D42C1" w:rsidP="00ED094E">
            <w:pPr>
              <w:rPr>
                <w:rFonts w:asciiTheme="majorHAnsi" w:hAnsiTheme="majorHAnsi"/>
                <w:sz w:val="16"/>
                <w:szCs w:val="16"/>
              </w:rPr>
            </w:pPr>
          </w:p>
        </w:tc>
        <w:tc>
          <w:tcPr>
            <w:tcW w:w="758" w:type="pct"/>
            <w:vMerge w:val="restart"/>
          </w:tcPr>
          <w:p w14:paraId="671679DD"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Number of catchments where new flood information is completed</w:t>
            </w:r>
          </w:p>
        </w:tc>
        <w:tc>
          <w:tcPr>
            <w:tcW w:w="362" w:type="pct"/>
            <w:vMerge w:val="restart"/>
          </w:tcPr>
          <w:p w14:paraId="644E01A7"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Number of Secondary Catchments (cumulative)</w:t>
            </w:r>
          </w:p>
        </w:tc>
        <w:tc>
          <w:tcPr>
            <w:tcW w:w="448" w:type="pct"/>
          </w:tcPr>
          <w:p w14:paraId="1FA252DD"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3151B10B"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No Target</w:t>
            </w:r>
          </w:p>
        </w:tc>
        <w:tc>
          <w:tcPr>
            <w:tcW w:w="317" w:type="pct"/>
          </w:tcPr>
          <w:p w14:paraId="2601B4C9"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No Target</w:t>
            </w:r>
          </w:p>
        </w:tc>
        <w:tc>
          <w:tcPr>
            <w:tcW w:w="317" w:type="pct"/>
          </w:tcPr>
          <w:p w14:paraId="2A8148EE"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No Target</w:t>
            </w:r>
          </w:p>
        </w:tc>
        <w:tc>
          <w:tcPr>
            <w:tcW w:w="317" w:type="pct"/>
          </w:tcPr>
          <w:p w14:paraId="3CD797FF" w14:textId="77777777" w:rsidR="002D42C1" w:rsidRPr="00DE108C" w:rsidRDefault="002D42C1" w:rsidP="00ED094E">
            <w:pPr>
              <w:jc w:val="right"/>
              <w:rPr>
                <w:rFonts w:asciiTheme="majorHAnsi" w:hAnsiTheme="majorHAnsi"/>
                <w:sz w:val="16"/>
                <w:szCs w:val="16"/>
              </w:rPr>
            </w:pPr>
            <w:r w:rsidRPr="00DE108C">
              <w:rPr>
                <w:rFonts w:asciiTheme="majorHAnsi" w:hAnsiTheme="majorHAnsi"/>
                <w:b/>
                <w:color w:val="000000"/>
                <w:sz w:val="16"/>
                <w:szCs w:val="16"/>
              </w:rPr>
              <w:t>9</w:t>
            </w:r>
          </w:p>
        </w:tc>
        <w:tc>
          <w:tcPr>
            <w:tcW w:w="317" w:type="pct"/>
          </w:tcPr>
          <w:p w14:paraId="35EEDAB1" w14:textId="77777777" w:rsidR="002D42C1" w:rsidRPr="00DE108C" w:rsidRDefault="002D42C1" w:rsidP="00ED094E">
            <w:pPr>
              <w:jc w:val="right"/>
              <w:rPr>
                <w:rFonts w:asciiTheme="majorHAnsi" w:hAnsiTheme="majorHAnsi"/>
                <w:sz w:val="16"/>
                <w:szCs w:val="16"/>
              </w:rPr>
            </w:pPr>
            <w:r w:rsidRPr="00DE108C">
              <w:rPr>
                <w:rFonts w:asciiTheme="majorHAnsi" w:hAnsiTheme="majorHAnsi"/>
                <w:b/>
                <w:color w:val="000000"/>
                <w:sz w:val="16"/>
                <w:szCs w:val="16"/>
              </w:rPr>
              <w:t>18</w:t>
            </w:r>
          </w:p>
        </w:tc>
        <w:tc>
          <w:tcPr>
            <w:tcW w:w="317" w:type="pct"/>
          </w:tcPr>
          <w:p w14:paraId="274895F7" w14:textId="77777777" w:rsidR="002D42C1" w:rsidRPr="00DE108C" w:rsidRDefault="002D42C1" w:rsidP="00ED094E">
            <w:pPr>
              <w:jc w:val="right"/>
              <w:rPr>
                <w:rFonts w:asciiTheme="majorHAnsi" w:hAnsiTheme="majorHAnsi"/>
                <w:sz w:val="16"/>
                <w:szCs w:val="16"/>
              </w:rPr>
            </w:pPr>
            <w:r w:rsidRPr="00DE108C">
              <w:rPr>
                <w:rFonts w:asciiTheme="majorHAnsi" w:hAnsiTheme="majorHAnsi"/>
                <w:b/>
                <w:color w:val="000000"/>
                <w:sz w:val="16"/>
                <w:szCs w:val="16"/>
              </w:rPr>
              <w:t>27</w:t>
            </w:r>
          </w:p>
        </w:tc>
        <w:tc>
          <w:tcPr>
            <w:tcW w:w="317" w:type="pct"/>
          </w:tcPr>
          <w:p w14:paraId="26ADDA28" w14:textId="77777777" w:rsidR="002D42C1" w:rsidRPr="00DE108C" w:rsidRDefault="002D42C1" w:rsidP="00ED094E">
            <w:pPr>
              <w:jc w:val="right"/>
              <w:rPr>
                <w:rFonts w:asciiTheme="majorHAnsi" w:hAnsiTheme="majorHAnsi"/>
                <w:sz w:val="16"/>
                <w:szCs w:val="16"/>
              </w:rPr>
            </w:pPr>
            <w:r w:rsidRPr="00DE108C">
              <w:rPr>
                <w:rFonts w:asciiTheme="majorHAnsi" w:hAnsiTheme="majorHAnsi"/>
                <w:b/>
                <w:color w:val="000000"/>
                <w:sz w:val="16"/>
                <w:szCs w:val="16"/>
              </w:rPr>
              <w:t>36</w:t>
            </w:r>
          </w:p>
        </w:tc>
        <w:tc>
          <w:tcPr>
            <w:tcW w:w="287" w:type="pct"/>
          </w:tcPr>
          <w:p w14:paraId="7696F78F" w14:textId="77777777" w:rsidR="002D42C1" w:rsidRPr="00DE108C" w:rsidRDefault="002D42C1" w:rsidP="00ED094E">
            <w:pPr>
              <w:jc w:val="right"/>
              <w:rPr>
                <w:rFonts w:asciiTheme="majorHAnsi" w:hAnsiTheme="majorHAnsi"/>
                <w:sz w:val="16"/>
                <w:szCs w:val="16"/>
              </w:rPr>
            </w:pPr>
            <w:r w:rsidRPr="00DE108C">
              <w:rPr>
                <w:rFonts w:asciiTheme="majorHAnsi" w:hAnsiTheme="majorHAnsi"/>
                <w:b/>
                <w:color w:val="000000"/>
                <w:sz w:val="16"/>
                <w:szCs w:val="16"/>
              </w:rPr>
              <w:t>48</w:t>
            </w:r>
          </w:p>
        </w:tc>
      </w:tr>
      <w:tr w:rsidR="002D42C1" w:rsidRPr="00DE108C" w14:paraId="5FA45EA0" w14:textId="77777777" w:rsidTr="00ED094E">
        <w:trPr>
          <w:trHeight w:val="300"/>
        </w:trPr>
        <w:tc>
          <w:tcPr>
            <w:tcW w:w="470" w:type="pct"/>
            <w:vMerge/>
          </w:tcPr>
          <w:p w14:paraId="6DEB01FB" w14:textId="77777777" w:rsidR="002D42C1" w:rsidRPr="00DE108C" w:rsidRDefault="002D42C1" w:rsidP="00ED094E">
            <w:pPr>
              <w:rPr>
                <w:rFonts w:asciiTheme="majorHAnsi" w:hAnsiTheme="majorHAnsi"/>
                <w:b/>
                <w:sz w:val="16"/>
                <w:szCs w:val="16"/>
              </w:rPr>
            </w:pPr>
          </w:p>
        </w:tc>
        <w:tc>
          <w:tcPr>
            <w:tcW w:w="454" w:type="pct"/>
            <w:vMerge/>
          </w:tcPr>
          <w:p w14:paraId="6BB7E46E" w14:textId="77777777" w:rsidR="002D42C1" w:rsidRPr="00DE108C" w:rsidRDefault="002D42C1" w:rsidP="00ED094E">
            <w:pPr>
              <w:rPr>
                <w:rFonts w:asciiTheme="majorHAnsi" w:hAnsiTheme="majorHAnsi"/>
                <w:sz w:val="16"/>
                <w:szCs w:val="16"/>
              </w:rPr>
            </w:pPr>
          </w:p>
        </w:tc>
        <w:tc>
          <w:tcPr>
            <w:tcW w:w="758" w:type="pct"/>
            <w:vMerge/>
          </w:tcPr>
          <w:p w14:paraId="08C33FAF" w14:textId="77777777" w:rsidR="002D42C1" w:rsidRPr="00DE108C" w:rsidRDefault="002D42C1" w:rsidP="00ED094E">
            <w:pPr>
              <w:rPr>
                <w:rFonts w:asciiTheme="majorHAnsi" w:hAnsiTheme="majorHAnsi"/>
                <w:sz w:val="16"/>
                <w:szCs w:val="16"/>
              </w:rPr>
            </w:pPr>
          </w:p>
        </w:tc>
        <w:tc>
          <w:tcPr>
            <w:tcW w:w="362" w:type="pct"/>
            <w:vMerge/>
          </w:tcPr>
          <w:p w14:paraId="456EC975" w14:textId="77777777" w:rsidR="002D42C1" w:rsidRPr="00DE108C" w:rsidRDefault="002D42C1" w:rsidP="00ED094E">
            <w:pPr>
              <w:rPr>
                <w:rFonts w:asciiTheme="majorHAnsi" w:hAnsiTheme="majorHAnsi"/>
                <w:sz w:val="16"/>
                <w:szCs w:val="16"/>
              </w:rPr>
            </w:pPr>
          </w:p>
        </w:tc>
        <w:tc>
          <w:tcPr>
            <w:tcW w:w="448" w:type="pct"/>
          </w:tcPr>
          <w:p w14:paraId="46335FC6"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3BEE19B4"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N/A</w:t>
            </w:r>
          </w:p>
        </w:tc>
        <w:tc>
          <w:tcPr>
            <w:tcW w:w="317" w:type="pct"/>
          </w:tcPr>
          <w:p w14:paraId="385CE203"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N/A</w:t>
            </w:r>
          </w:p>
        </w:tc>
        <w:tc>
          <w:tcPr>
            <w:tcW w:w="317" w:type="pct"/>
          </w:tcPr>
          <w:p w14:paraId="5E575BD7" w14:textId="77777777" w:rsidR="002D42C1" w:rsidRPr="00DE108C" w:rsidRDefault="002D42C1" w:rsidP="00ED094E">
            <w:pPr>
              <w:jc w:val="right"/>
              <w:rPr>
                <w:rFonts w:asciiTheme="majorHAnsi" w:hAnsiTheme="majorHAnsi"/>
                <w:sz w:val="16"/>
                <w:szCs w:val="16"/>
              </w:rPr>
            </w:pPr>
          </w:p>
        </w:tc>
        <w:tc>
          <w:tcPr>
            <w:tcW w:w="317" w:type="pct"/>
          </w:tcPr>
          <w:p w14:paraId="586B1D46" w14:textId="77777777" w:rsidR="002D42C1" w:rsidRPr="00DE108C" w:rsidRDefault="002D42C1" w:rsidP="00ED094E">
            <w:pPr>
              <w:jc w:val="right"/>
              <w:rPr>
                <w:rFonts w:asciiTheme="majorHAnsi" w:hAnsiTheme="majorHAnsi"/>
                <w:sz w:val="16"/>
                <w:szCs w:val="16"/>
              </w:rPr>
            </w:pPr>
          </w:p>
        </w:tc>
        <w:tc>
          <w:tcPr>
            <w:tcW w:w="317" w:type="pct"/>
          </w:tcPr>
          <w:p w14:paraId="204EDBED" w14:textId="77777777" w:rsidR="002D42C1" w:rsidRPr="00DE108C" w:rsidRDefault="002D42C1" w:rsidP="00ED094E">
            <w:pPr>
              <w:jc w:val="right"/>
              <w:rPr>
                <w:rFonts w:asciiTheme="majorHAnsi" w:hAnsiTheme="majorHAnsi"/>
                <w:sz w:val="16"/>
                <w:szCs w:val="16"/>
              </w:rPr>
            </w:pPr>
          </w:p>
        </w:tc>
        <w:tc>
          <w:tcPr>
            <w:tcW w:w="317" w:type="pct"/>
          </w:tcPr>
          <w:p w14:paraId="0C57D03E" w14:textId="77777777" w:rsidR="002D42C1" w:rsidRPr="00DE108C" w:rsidRDefault="002D42C1" w:rsidP="00ED094E">
            <w:pPr>
              <w:jc w:val="right"/>
              <w:rPr>
                <w:rFonts w:asciiTheme="majorHAnsi" w:hAnsiTheme="majorHAnsi"/>
                <w:sz w:val="16"/>
                <w:szCs w:val="16"/>
              </w:rPr>
            </w:pPr>
          </w:p>
        </w:tc>
        <w:tc>
          <w:tcPr>
            <w:tcW w:w="317" w:type="pct"/>
          </w:tcPr>
          <w:p w14:paraId="1FDC9665" w14:textId="77777777" w:rsidR="002D42C1" w:rsidRPr="00DE108C" w:rsidRDefault="002D42C1" w:rsidP="00ED094E">
            <w:pPr>
              <w:jc w:val="right"/>
              <w:rPr>
                <w:rFonts w:asciiTheme="majorHAnsi" w:hAnsiTheme="majorHAnsi"/>
                <w:sz w:val="16"/>
                <w:szCs w:val="16"/>
              </w:rPr>
            </w:pPr>
          </w:p>
        </w:tc>
        <w:tc>
          <w:tcPr>
            <w:tcW w:w="287" w:type="pct"/>
          </w:tcPr>
          <w:p w14:paraId="6C82592F" w14:textId="77777777" w:rsidR="002D42C1" w:rsidRPr="00DE108C" w:rsidRDefault="002D42C1" w:rsidP="00ED094E">
            <w:pPr>
              <w:jc w:val="right"/>
              <w:rPr>
                <w:rFonts w:asciiTheme="majorHAnsi" w:hAnsiTheme="majorHAnsi"/>
                <w:sz w:val="16"/>
                <w:szCs w:val="16"/>
              </w:rPr>
            </w:pPr>
          </w:p>
        </w:tc>
      </w:tr>
      <w:tr w:rsidR="0069661E" w:rsidRPr="00DE108C" w14:paraId="3E283E60"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tcPr>
          <w:p w14:paraId="3FCF1863" w14:textId="77777777" w:rsidR="002D42C1" w:rsidRPr="00DE108C" w:rsidRDefault="002D42C1" w:rsidP="00ED094E">
            <w:pPr>
              <w:rPr>
                <w:rFonts w:asciiTheme="majorHAnsi" w:hAnsiTheme="majorHAnsi"/>
                <w:b/>
                <w:sz w:val="16"/>
                <w:szCs w:val="16"/>
              </w:rPr>
            </w:pPr>
          </w:p>
        </w:tc>
        <w:tc>
          <w:tcPr>
            <w:tcW w:w="454" w:type="pct"/>
            <w:vMerge w:val="restart"/>
          </w:tcPr>
          <w:p w14:paraId="06E755E6"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Improving our processes to support urbanisation and a growing Melbourne</w:t>
            </w:r>
          </w:p>
        </w:tc>
        <w:tc>
          <w:tcPr>
            <w:tcW w:w="758" w:type="pct"/>
            <w:vMerge w:val="restart"/>
          </w:tcPr>
          <w:p w14:paraId="73D71A6A"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Responses to our urban planning and development statutory and non-statutory applications are completed within the agreed timeline</w:t>
            </w:r>
          </w:p>
        </w:tc>
        <w:tc>
          <w:tcPr>
            <w:tcW w:w="362" w:type="pct"/>
            <w:vMerge w:val="restart"/>
          </w:tcPr>
          <w:p w14:paraId="1E1D47C0"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Percentage</w:t>
            </w:r>
          </w:p>
        </w:tc>
        <w:tc>
          <w:tcPr>
            <w:tcW w:w="448" w:type="pct"/>
          </w:tcPr>
          <w:p w14:paraId="6456524F"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5EA09E6D"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&gt;90%</w:t>
            </w:r>
          </w:p>
        </w:tc>
        <w:tc>
          <w:tcPr>
            <w:tcW w:w="317" w:type="pct"/>
          </w:tcPr>
          <w:p w14:paraId="52EAB3DB"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&gt;90%</w:t>
            </w:r>
          </w:p>
        </w:tc>
        <w:tc>
          <w:tcPr>
            <w:tcW w:w="317" w:type="pct"/>
          </w:tcPr>
          <w:p w14:paraId="1102C6DB"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&gt;90%</w:t>
            </w:r>
          </w:p>
        </w:tc>
        <w:tc>
          <w:tcPr>
            <w:tcW w:w="317" w:type="pct"/>
          </w:tcPr>
          <w:p w14:paraId="3293816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&gt;90%</w:t>
            </w:r>
          </w:p>
        </w:tc>
        <w:tc>
          <w:tcPr>
            <w:tcW w:w="317" w:type="pct"/>
          </w:tcPr>
          <w:p w14:paraId="5FD8D91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&gt;90%</w:t>
            </w:r>
          </w:p>
        </w:tc>
        <w:tc>
          <w:tcPr>
            <w:tcW w:w="317" w:type="pct"/>
          </w:tcPr>
          <w:p w14:paraId="1D0DEEF3"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&gt;90%</w:t>
            </w:r>
          </w:p>
        </w:tc>
        <w:tc>
          <w:tcPr>
            <w:tcW w:w="317" w:type="pct"/>
          </w:tcPr>
          <w:p w14:paraId="3A94A9B5"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&gt;90%</w:t>
            </w:r>
          </w:p>
        </w:tc>
        <w:tc>
          <w:tcPr>
            <w:tcW w:w="287" w:type="pct"/>
          </w:tcPr>
          <w:p w14:paraId="743F5EE4"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&gt;90%</w:t>
            </w:r>
          </w:p>
        </w:tc>
      </w:tr>
      <w:tr w:rsidR="002D42C1" w:rsidRPr="00DE108C" w14:paraId="239B475C" w14:textId="77777777" w:rsidTr="00ED094E">
        <w:trPr>
          <w:trHeight w:val="300"/>
        </w:trPr>
        <w:tc>
          <w:tcPr>
            <w:tcW w:w="470" w:type="pct"/>
            <w:vMerge/>
          </w:tcPr>
          <w:p w14:paraId="28EDB1EF" w14:textId="77777777" w:rsidR="002D42C1" w:rsidRPr="00DE108C" w:rsidRDefault="002D42C1" w:rsidP="00ED094E">
            <w:pPr>
              <w:rPr>
                <w:rFonts w:asciiTheme="majorHAnsi" w:hAnsiTheme="majorHAnsi"/>
                <w:b/>
                <w:sz w:val="16"/>
                <w:szCs w:val="16"/>
              </w:rPr>
            </w:pPr>
          </w:p>
        </w:tc>
        <w:tc>
          <w:tcPr>
            <w:tcW w:w="454" w:type="pct"/>
            <w:vMerge/>
          </w:tcPr>
          <w:p w14:paraId="41CFD51F" w14:textId="77777777" w:rsidR="002D42C1" w:rsidRPr="00DE108C" w:rsidRDefault="002D42C1" w:rsidP="00ED094E">
            <w:pPr>
              <w:rPr>
                <w:rFonts w:asciiTheme="majorHAnsi" w:hAnsiTheme="majorHAnsi"/>
                <w:sz w:val="16"/>
                <w:szCs w:val="16"/>
              </w:rPr>
            </w:pPr>
          </w:p>
        </w:tc>
        <w:tc>
          <w:tcPr>
            <w:tcW w:w="758" w:type="pct"/>
            <w:vMerge/>
          </w:tcPr>
          <w:p w14:paraId="5D2FE20C" w14:textId="77777777" w:rsidR="002D42C1" w:rsidRPr="00DE108C" w:rsidRDefault="002D42C1" w:rsidP="00ED094E">
            <w:pPr>
              <w:rPr>
                <w:rFonts w:asciiTheme="majorHAnsi" w:hAnsiTheme="majorHAnsi"/>
                <w:sz w:val="16"/>
                <w:szCs w:val="16"/>
              </w:rPr>
            </w:pPr>
          </w:p>
        </w:tc>
        <w:tc>
          <w:tcPr>
            <w:tcW w:w="362" w:type="pct"/>
            <w:vMerge/>
          </w:tcPr>
          <w:p w14:paraId="10FFD3C2" w14:textId="77777777" w:rsidR="002D42C1" w:rsidRPr="00DE108C" w:rsidRDefault="002D42C1" w:rsidP="00ED094E">
            <w:pPr>
              <w:rPr>
                <w:rFonts w:asciiTheme="majorHAnsi" w:hAnsiTheme="majorHAnsi"/>
                <w:sz w:val="16"/>
                <w:szCs w:val="16"/>
              </w:rPr>
            </w:pPr>
          </w:p>
        </w:tc>
        <w:tc>
          <w:tcPr>
            <w:tcW w:w="448" w:type="pct"/>
          </w:tcPr>
          <w:p w14:paraId="416B7472"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525F1161"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N/A</w:t>
            </w:r>
          </w:p>
        </w:tc>
        <w:tc>
          <w:tcPr>
            <w:tcW w:w="317" w:type="pct"/>
          </w:tcPr>
          <w:p w14:paraId="242A9985"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98.0%</w:t>
            </w:r>
          </w:p>
        </w:tc>
        <w:tc>
          <w:tcPr>
            <w:tcW w:w="317" w:type="pct"/>
          </w:tcPr>
          <w:p w14:paraId="115050A5" w14:textId="77777777" w:rsidR="002D42C1" w:rsidRPr="00DE108C" w:rsidRDefault="002D42C1" w:rsidP="00ED094E">
            <w:pPr>
              <w:jc w:val="right"/>
              <w:rPr>
                <w:rFonts w:asciiTheme="majorHAnsi" w:hAnsiTheme="majorHAnsi"/>
                <w:sz w:val="16"/>
                <w:szCs w:val="16"/>
              </w:rPr>
            </w:pPr>
          </w:p>
        </w:tc>
        <w:tc>
          <w:tcPr>
            <w:tcW w:w="317" w:type="pct"/>
          </w:tcPr>
          <w:p w14:paraId="51328ECD" w14:textId="77777777" w:rsidR="002D42C1" w:rsidRPr="00DE108C" w:rsidRDefault="002D42C1" w:rsidP="00ED094E">
            <w:pPr>
              <w:jc w:val="right"/>
              <w:rPr>
                <w:rFonts w:asciiTheme="majorHAnsi" w:hAnsiTheme="majorHAnsi"/>
                <w:sz w:val="16"/>
                <w:szCs w:val="16"/>
              </w:rPr>
            </w:pPr>
          </w:p>
        </w:tc>
        <w:tc>
          <w:tcPr>
            <w:tcW w:w="317" w:type="pct"/>
          </w:tcPr>
          <w:p w14:paraId="1B9D258B" w14:textId="77777777" w:rsidR="002D42C1" w:rsidRPr="00DE108C" w:rsidRDefault="002D42C1" w:rsidP="00ED094E">
            <w:pPr>
              <w:jc w:val="right"/>
              <w:rPr>
                <w:rFonts w:asciiTheme="majorHAnsi" w:hAnsiTheme="majorHAnsi"/>
                <w:sz w:val="16"/>
                <w:szCs w:val="16"/>
              </w:rPr>
            </w:pPr>
          </w:p>
        </w:tc>
        <w:tc>
          <w:tcPr>
            <w:tcW w:w="317" w:type="pct"/>
          </w:tcPr>
          <w:p w14:paraId="76B5FB84" w14:textId="77777777" w:rsidR="002D42C1" w:rsidRPr="00DE108C" w:rsidRDefault="002D42C1" w:rsidP="00ED094E">
            <w:pPr>
              <w:jc w:val="right"/>
              <w:rPr>
                <w:rFonts w:asciiTheme="majorHAnsi" w:hAnsiTheme="majorHAnsi"/>
                <w:sz w:val="16"/>
                <w:szCs w:val="16"/>
              </w:rPr>
            </w:pPr>
          </w:p>
        </w:tc>
        <w:tc>
          <w:tcPr>
            <w:tcW w:w="317" w:type="pct"/>
          </w:tcPr>
          <w:p w14:paraId="3E7EF5BB" w14:textId="77777777" w:rsidR="002D42C1" w:rsidRPr="00DE108C" w:rsidRDefault="002D42C1" w:rsidP="00ED094E">
            <w:pPr>
              <w:jc w:val="right"/>
              <w:rPr>
                <w:rFonts w:asciiTheme="majorHAnsi" w:hAnsiTheme="majorHAnsi"/>
                <w:sz w:val="16"/>
                <w:szCs w:val="16"/>
              </w:rPr>
            </w:pPr>
          </w:p>
        </w:tc>
        <w:tc>
          <w:tcPr>
            <w:tcW w:w="287" w:type="pct"/>
          </w:tcPr>
          <w:p w14:paraId="27A5EDA9" w14:textId="77777777" w:rsidR="002D42C1" w:rsidRPr="00DE108C" w:rsidRDefault="002D42C1" w:rsidP="00ED094E">
            <w:pPr>
              <w:jc w:val="right"/>
              <w:rPr>
                <w:rFonts w:asciiTheme="majorHAnsi" w:hAnsiTheme="majorHAnsi"/>
                <w:sz w:val="16"/>
                <w:szCs w:val="16"/>
              </w:rPr>
            </w:pPr>
          </w:p>
        </w:tc>
      </w:tr>
      <w:tr w:rsidR="0069661E" w:rsidRPr="00DE108C" w14:paraId="5E6B3B80"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tcPr>
          <w:p w14:paraId="170D5B88" w14:textId="77777777" w:rsidR="002D42C1" w:rsidRPr="00DE108C" w:rsidRDefault="002D42C1" w:rsidP="00ED094E">
            <w:pPr>
              <w:rPr>
                <w:rFonts w:asciiTheme="majorHAnsi" w:hAnsiTheme="majorHAnsi"/>
                <w:b/>
                <w:sz w:val="16"/>
                <w:szCs w:val="16"/>
              </w:rPr>
            </w:pPr>
          </w:p>
        </w:tc>
        <w:tc>
          <w:tcPr>
            <w:tcW w:w="454" w:type="pct"/>
            <w:vMerge/>
          </w:tcPr>
          <w:p w14:paraId="767D3257" w14:textId="77777777" w:rsidR="002D42C1" w:rsidRPr="00DE108C" w:rsidRDefault="002D42C1" w:rsidP="00ED094E">
            <w:pPr>
              <w:rPr>
                <w:rFonts w:asciiTheme="majorHAnsi" w:hAnsiTheme="majorHAnsi"/>
                <w:sz w:val="16"/>
                <w:szCs w:val="16"/>
              </w:rPr>
            </w:pPr>
          </w:p>
        </w:tc>
        <w:tc>
          <w:tcPr>
            <w:tcW w:w="758" w:type="pct"/>
            <w:vMerge w:val="restart"/>
          </w:tcPr>
          <w:p w14:paraId="3C012DD0" w14:textId="77777777" w:rsidR="002D42C1" w:rsidRPr="00DE108C" w:rsidRDefault="002D42C1" w:rsidP="00ED094E">
            <w:pPr>
              <w:spacing w:after="0"/>
              <w:rPr>
                <w:rFonts w:asciiTheme="majorHAnsi" w:eastAsia="Aptos" w:hAnsiTheme="majorHAnsi" w:cs="Aptos"/>
                <w:sz w:val="16"/>
                <w:szCs w:val="16"/>
              </w:rPr>
            </w:pPr>
            <w:r w:rsidRPr="00DE108C">
              <w:rPr>
                <w:rFonts w:asciiTheme="majorHAnsi" w:eastAsia="Aptos" w:hAnsiTheme="majorHAnsi" w:cs="Aptos"/>
                <w:sz w:val="16"/>
                <w:szCs w:val="16"/>
              </w:rPr>
              <w:t>Developer Application satisfaction score</w:t>
            </w:r>
          </w:p>
        </w:tc>
        <w:tc>
          <w:tcPr>
            <w:tcW w:w="362" w:type="pct"/>
            <w:vMerge w:val="restart"/>
          </w:tcPr>
          <w:p w14:paraId="1447684C"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Percentage</w:t>
            </w:r>
          </w:p>
        </w:tc>
        <w:tc>
          <w:tcPr>
            <w:tcW w:w="448" w:type="pct"/>
          </w:tcPr>
          <w:p w14:paraId="1278D606"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40B75050"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No Target</w:t>
            </w:r>
          </w:p>
        </w:tc>
        <w:tc>
          <w:tcPr>
            <w:tcW w:w="317" w:type="pct"/>
          </w:tcPr>
          <w:p w14:paraId="5390E660"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No Target</w:t>
            </w:r>
          </w:p>
        </w:tc>
        <w:tc>
          <w:tcPr>
            <w:tcW w:w="317" w:type="pct"/>
          </w:tcPr>
          <w:p w14:paraId="78E2DE7E"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No Target</w:t>
            </w:r>
          </w:p>
        </w:tc>
        <w:tc>
          <w:tcPr>
            <w:tcW w:w="317" w:type="pct"/>
          </w:tcPr>
          <w:p w14:paraId="327E7E03"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7 out of 10</w:t>
            </w:r>
          </w:p>
        </w:tc>
        <w:tc>
          <w:tcPr>
            <w:tcW w:w="317" w:type="pct"/>
          </w:tcPr>
          <w:p w14:paraId="39B504D8"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7 out of 10</w:t>
            </w:r>
          </w:p>
        </w:tc>
        <w:tc>
          <w:tcPr>
            <w:tcW w:w="317" w:type="pct"/>
          </w:tcPr>
          <w:p w14:paraId="70879E72"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7 out of 10</w:t>
            </w:r>
          </w:p>
        </w:tc>
        <w:tc>
          <w:tcPr>
            <w:tcW w:w="317" w:type="pct"/>
          </w:tcPr>
          <w:p w14:paraId="1DD65C4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7 out of 10</w:t>
            </w:r>
          </w:p>
        </w:tc>
        <w:tc>
          <w:tcPr>
            <w:tcW w:w="287" w:type="pct"/>
          </w:tcPr>
          <w:p w14:paraId="439FA434"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7 out of 10</w:t>
            </w:r>
          </w:p>
        </w:tc>
      </w:tr>
      <w:tr w:rsidR="002D42C1" w:rsidRPr="00DE108C" w14:paraId="25A407BC" w14:textId="77777777" w:rsidTr="00ED094E">
        <w:trPr>
          <w:trHeight w:val="300"/>
        </w:trPr>
        <w:tc>
          <w:tcPr>
            <w:tcW w:w="470" w:type="pct"/>
            <w:vMerge/>
          </w:tcPr>
          <w:p w14:paraId="52D68AD2" w14:textId="77777777" w:rsidR="002D42C1" w:rsidRPr="00DE108C" w:rsidRDefault="002D42C1" w:rsidP="00ED094E">
            <w:pPr>
              <w:rPr>
                <w:rFonts w:asciiTheme="majorHAnsi" w:hAnsiTheme="majorHAnsi"/>
                <w:b/>
                <w:sz w:val="16"/>
                <w:szCs w:val="16"/>
              </w:rPr>
            </w:pPr>
          </w:p>
        </w:tc>
        <w:tc>
          <w:tcPr>
            <w:tcW w:w="454" w:type="pct"/>
            <w:vMerge/>
          </w:tcPr>
          <w:p w14:paraId="0B9874A8" w14:textId="77777777" w:rsidR="002D42C1" w:rsidRPr="00DE108C" w:rsidRDefault="002D42C1" w:rsidP="00ED094E">
            <w:pPr>
              <w:rPr>
                <w:rFonts w:asciiTheme="majorHAnsi" w:hAnsiTheme="majorHAnsi"/>
                <w:sz w:val="16"/>
                <w:szCs w:val="16"/>
              </w:rPr>
            </w:pPr>
          </w:p>
        </w:tc>
        <w:tc>
          <w:tcPr>
            <w:tcW w:w="758" w:type="pct"/>
            <w:vMerge/>
          </w:tcPr>
          <w:p w14:paraId="72C006C1" w14:textId="77777777" w:rsidR="002D42C1" w:rsidRPr="00DE108C" w:rsidRDefault="002D42C1" w:rsidP="00ED094E">
            <w:pPr>
              <w:rPr>
                <w:rFonts w:asciiTheme="majorHAnsi" w:hAnsiTheme="majorHAnsi"/>
                <w:sz w:val="16"/>
                <w:szCs w:val="16"/>
              </w:rPr>
            </w:pPr>
          </w:p>
        </w:tc>
        <w:tc>
          <w:tcPr>
            <w:tcW w:w="362" w:type="pct"/>
            <w:vMerge/>
          </w:tcPr>
          <w:p w14:paraId="4BCFFD05" w14:textId="77777777" w:rsidR="002D42C1" w:rsidRPr="00DE108C" w:rsidRDefault="002D42C1" w:rsidP="00ED094E">
            <w:pPr>
              <w:rPr>
                <w:rFonts w:asciiTheme="majorHAnsi" w:hAnsiTheme="majorHAnsi"/>
                <w:sz w:val="16"/>
                <w:szCs w:val="16"/>
              </w:rPr>
            </w:pPr>
          </w:p>
        </w:tc>
        <w:tc>
          <w:tcPr>
            <w:tcW w:w="448" w:type="pct"/>
          </w:tcPr>
          <w:p w14:paraId="052A79AB"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498A4839"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N/A</w:t>
            </w:r>
          </w:p>
        </w:tc>
        <w:tc>
          <w:tcPr>
            <w:tcW w:w="317" w:type="pct"/>
          </w:tcPr>
          <w:p w14:paraId="590187E6" w14:textId="6B3473F8" w:rsidR="002D42C1" w:rsidRPr="00DE108C" w:rsidRDefault="00BD5327" w:rsidP="00ED094E">
            <w:pPr>
              <w:jc w:val="right"/>
              <w:rPr>
                <w:rFonts w:asciiTheme="majorHAnsi" w:hAnsiTheme="majorHAnsi"/>
                <w:sz w:val="16"/>
                <w:szCs w:val="16"/>
              </w:rPr>
            </w:pPr>
            <w:r w:rsidRPr="00DE108C">
              <w:rPr>
                <w:rFonts w:asciiTheme="majorHAnsi" w:hAnsiTheme="majorHAnsi"/>
                <w:sz w:val="16"/>
                <w:szCs w:val="16"/>
              </w:rPr>
              <w:t>7.2</w:t>
            </w:r>
          </w:p>
        </w:tc>
        <w:tc>
          <w:tcPr>
            <w:tcW w:w="317" w:type="pct"/>
          </w:tcPr>
          <w:p w14:paraId="2AC7708D" w14:textId="77777777" w:rsidR="002D42C1" w:rsidRPr="00DE108C" w:rsidRDefault="002D42C1" w:rsidP="00ED094E">
            <w:pPr>
              <w:jc w:val="right"/>
              <w:rPr>
                <w:rFonts w:asciiTheme="majorHAnsi" w:hAnsiTheme="majorHAnsi"/>
                <w:sz w:val="16"/>
                <w:szCs w:val="16"/>
              </w:rPr>
            </w:pPr>
          </w:p>
        </w:tc>
        <w:tc>
          <w:tcPr>
            <w:tcW w:w="317" w:type="pct"/>
          </w:tcPr>
          <w:p w14:paraId="40359D93" w14:textId="77777777" w:rsidR="002D42C1" w:rsidRPr="00DE108C" w:rsidRDefault="002D42C1" w:rsidP="00ED094E">
            <w:pPr>
              <w:jc w:val="right"/>
              <w:rPr>
                <w:rFonts w:asciiTheme="majorHAnsi" w:hAnsiTheme="majorHAnsi"/>
                <w:sz w:val="16"/>
                <w:szCs w:val="16"/>
              </w:rPr>
            </w:pPr>
          </w:p>
        </w:tc>
        <w:tc>
          <w:tcPr>
            <w:tcW w:w="317" w:type="pct"/>
          </w:tcPr>
          <w:p w14:paraId="63EAEDC3" w14:textId="77777777" w:rsidR="002D42C1" w:rsidRPr="00DE108C" w:rsidRDefault="002D42C1" w:rsidP="00ED094E">
            <w:pPr>
              <w:jc w:val="right"/>
              <w:rPr>
                <w:rFonts w:asciiTheme="majorHAnsi" w:hAnsiTheme="majorHAnsi"/>
                <w:sz w:val="16"/>
                <w:szCs w:val="16"/>
              </w:rPr>
            </w:pPr>
          </w:p>
        </w:tc>
        <w:tc>
          <w:tcPr>
            <w:tcW w:w="317" w:type="pct"/>
          </w:tcPr>
          <w:p w14:paraId="46B0381E" w14:textId="77777777" w:rsidR="002D42C1" w:rsidRPr="00DE108C" w:rsidRDefault="002D42C1" w:rsidP="00ED094E">
            <w:pPr>
              <w:jc w:val="right"/>
              <w:rPr>
                <w:rFonts w:asciiTheme="majorHAnsi" w:hAnsiTheme="majorHAnsi"/>
                <w:sz w:val="16"/>
                <w:szCs w:val="16"/>
              </w:rPr>
            </w:pPr>
          </w:p>
        </w:tc>
        <w:tc>
          <w:tcPr>
            <w:tcW w:w="317" w:type="pct"/>
          </w:tcPr>
          <w:p w14:paraId="7165AE69" w14:textId="77777777" w:rsidR="002D42C1" w:rsidRPr="00DE108C" w:rsidRDefault="002D42C1" w:rsidP="00ED094E">
            <w:pPr>
              <w:jc w:val="right"/>
              <w:rPr>
                <w:rFonts w:asciiTheme="majorHAnsi" w:hAnsiTheme="majorHAnsi"/>
                <w:sz w:val="16"/>
                <w:szCs w:val="16"/>
              </w:rPr>
            </w:pPr>
          </w:p>
        </w:tc>
        <w:tc>
          <w:tcPr>
            <w:tcW w:w="287" w:type="pct"/>
          </w:tcPr>
          <w:p w14:paraId="64E0F857" w14:textId="77777777" w:rsidR="002D42C1" w:rsidRPr="00DE108C" w:rsidRDefault="002D42C1" w:rsidP="00ED094E">
            <w:pPr>
              <w:jc w:val="right"/>
              <w:rPr>
                <w:rFonts w:asciiTheme="majorHAnsi" w:hAnsiTheme="majorHAnsi"/>
                <w:sz w:val="16"/>
                <w:szCs w:val="16"/>
              </w:rPr>
            </w:pPr>
          </w:p>
        </w:tc>
      </w:tr>
      <w:tr w:rsidR="0069661E" w:rsidRPr="00DE108C" w14:paraId="05A75A32"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val="restart"/>
          </w:tcPr>
          <w:p w14:paraId="20C980E1" w14:textId="77777777" w:rsidR="002D42C1" w:rsidRPr="00DE108C" w:rsidRDefault="002D42C1" w:rsidP="00ED094E">
            <w:pPr>
              <w:rPr>
                <w:rFonts w:asciiTheme="majorHAnsi" w:hAnsiTheme="majorHAnsi"/>
                <w:b/>
                <w:sz w:val="16"/>
                <w:szCs w:val="16"/>
              </w:rPr>
            </w:pPr>
            <w:r w:rsidRPr="00DE108C">
              <w:rPr>
                <w:rFonts w:asciiTheme="majorHAnsi" w:hAnsiTheme="majorHAnsi"/>
                <w:b/>
                <w:sz w:val="16"/>
                <w:szCs w:val="16"/>
              </w:rPr>
              <w:t xml:space="preserve">Outcome 5 </w:t>
            </w:r>
            <w:r w:rsidRPr="00DE108C">
              <w:rPr>
                <w:rFonts w:asciiTheme="majorHAnsi" w:hAnsiTheme="majorHAnsi"/>
                <w:sz w:val="16"/>
                <w:szCs w:val="16"/>
              </w:rPr>
              <w:br/>
            </w:r>
            <w:r w:rsidRPr="00DE108C">
              <w:rPr>
                <w:rFonts w:asciiTheme="majorHAnsi" w:hAnsiTheme="majorHAnsi"/>
                <w:b/>
                <w:sz w:val="16"/>
                <w:szCs w:val="16"/>
              </w:rPr>
              <w:t>A valued partner in water cycle services</w:t>
            </w:r>
          </w:p>
        </w:tc>
        <w:tc>
          <w:tcPr>
            <w:tcW w:w="454" w:type="pct"/>
            <w:vMerge w:val="restart"/>
          </w:tcPr>
          <w:p w14:paraId="6D61F973"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Collaborating and co-create plans with our stakeholders</w:t>
            </w:r>
          </w:p>
        </w:tc>
        <w:tc>
          <w:tcPr>
            <w:tcW w:w="758" w:type="pct"/>
            <w:vMerge w:val="restart"/>
          </w:tcPr>
          <w:p w14:paraId="62AB9614" w14:textId="77777777" w:rsidR="002D42C1" w:rsidRPr="00DE108C" w:rsidRDefault="002D42C1" w:rsidP="00ED094E">
            <w:pPr>
              <w:spacing w:after="0"/>
              <w:rPr>
                <w:rFonts w:asciiTheme="majorHAnsi" w:hAnsiTheme="majorHAnsi"/>
                <w:sz w:val="16"/>
                <w:szCs w:val="16"/>
              </w:rPr>
            </w:pPr>
            <w:r w:rsidRPr="00DE108C">
              <w:rPr>
                <w:rFonts w:asciiTheme="majorHAnsi" w:eastAsia="Aptos" w:hAnsiTheme="majorHAnsi" w:cs="Aptos"/>
                <w:sz w:val="16"/>
                <w:szCs w:val="16"/>
              </w:rPr>
              <w:t>Water Corporations Relationship Health Metric</w:t>
            </w:r>
          </w:p>
          <w:p w14:paraId="6BA96D48" w14:textId="77777777" w:rsidR="002D42C1" w:rsidRPr="00DE108C" w:rsidRDefault="002D42C1" w:rsidP="00ED094E">
            <w:pPr>
              <w:rPr>
                <w:rFonts w:asciiTheme="majorHAnsi" w:hAnsiTheme="majorHAnsi"/>
                <w:sz w:val="16"/>
                <w:szCs w:val="16"/>
              </w:rPr>
            </w:pPr>
          </w:p>
        </w:tc>
        <w:tc>
          <w:tcPr>
            <w:tcW w:w="362" w:type="pct"/>
            <w:vMerge w:val="restart"/>
          </w:tcPr>
          <w:p w14:paraId="5DD25233"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Percentage</w:t>
            </w:r>
          </w:p>
        </w:tc>
        <w:tc>
          <w:tcPr>
            <w:tcW w:w="448" w:type="pct"/>
          </w:tcPr>
          <w:p w14:paraId="68A84FDB"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1C0C82E4"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No Target</w:t>
            </w:r>
          </w:p>
        </w:tc>
        <w:tc>
          <w:tcPr>
            <w:tcW w:w="317" w:type="pct"/>
          </w:tcPr>
          <w:p w14:paraId="270621BF"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No Target</w:t>
            </w:r>
          </w:p>
        </w:tc>
        <w:tc>
          <w:tcPr>
            <w:tcW w:w="317" w:type="pct"/>
          </w:tcPr>
          <w:p w14:paraId="314969B7"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No Target</w:t>
            </w:r>
          </w:p>
        </w:tc>
        <w:tc>
          <w:tcPr>
            <w:tcW w:w="317" w:type="pct"/>
          </w:tcPr>
          <w:p w14:paraId="68695656"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bCs/>
                <w:sz w:val="16"/>
                <w:szCs w:val="16"/>
              </w:rPr>
              <w:t>&gt;70%</w:t>
            </w:r>
          </w:p>
        </w:tc>
        <w:tc>
          <w:tcPr>
            <w:tcW w:w="317" w:type="pct"/>
          </w:tcPr>
          <w:p w14:paraId="2C221EAC"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&gt;70%</w:t>
            </w:r>
          </w:p>
        </w:tc>
        <w:tc>
          <w:tcPr>
            <w:tcW w:w="317" w:type="pct"/>
          </w:tcPr>
          <w:p w14:paraId="33FF88DF"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&gt;70%</w:t>
            </w:r>
          </w:p>
        </w:tc>
        <w:tc>
          <w:tcPr>
            <w:tcW w:w="317" w:type="pct"/>
          </w:tcPr>
          <w:p w14:paraId="6D32AB6D"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&gt;70%</w:t>
            </w:r>
          </w:p>
        </w:tc>
        <w:tc>
          <w:tcPr>
            <w:tcW w:w="287" w:type="pct"/>
          </w:tcPr>
          <w:p w14:paraId="4BE75B53" w14:textId="4895D6DB" w:rsidR="002D42C1" w:rsidRPr="00DE108C" w:rsidRDefault="002D42C1" w:rsidP="00ED094E">
            <w:pPr>
              <w:jc w:val="right"/>
              <w:rPr>
                <w:rFonts w:asciiTheme="majorHAnsi" w:hAnsiTheme="majorHAnsi"/>
                <w:b/>
                <w:sz w:val="16"/>
                <w:szCs w:val="16"/>
              </w:rPr>
            </w:pPr>
            <w:r w:rsidRPr="00DE108C">
              <w:rPr>
                <w:rFonts w:asciiTheme="majorHAnsi" w:hAnsiTheme="majorHAnsi"/>
                <w:b/>
                <w:bCs/>
                <w:sz w:val="16"/>
                <w:szCs w:val="16"/>
              </w:rPr>
              <w:t>&gt;70%</w:t>
            </w:r>
          </w:p>
        </w:tc>
      </w:tr>
      <w:tr w:rsidR="002D42C1" w:rsidRPr="00DE108C" w14:paraId="04ACBE74" w14:textId="77777777" w:rsidTr="00ED094E">
        <w:trPr>
          <w:trHeight w:val="300"/>
        </w:trPr>
        <w:tc>
          <w:tcPr>
            <w:tcW w:w="470" w:type="pct"/>
            <w:vMerge/>
          </w:tcPr>
          <w:p w14:paraId="003BD7E1" w14:textId="77777777" w:rsidR="002D42C1" w:rsidRPr="00DE108C" w:rsidRDefault="002D42C1" w:rsidP="00ED094E">
            <w:pPr>
              <w:rPr>
                <w:rFonts w:asciiTheme="majorHAnsi" w:hAnsiTheme="majorHAnsi"/>
                <w:sz w:val="16"/>
                <w:szCs w:val="16"/>
              </w:rPr>
            </w:pPr>
          </w:p>
        </w:tc>
        <w:tc>
          <w:tcPr>
            <w:tcW w:w="454" w:type="pct"/>
            <w:vMerge/>
          </w:tcPr>
          <w:p w14:paraId="12D5908F" w14:textId="77777777" w:rsidR="002D42C1" w:rsidRPr="00DE108C" w:rsidRDefault="002D42C1" w:rsidP="00ED094E">
            <w:pPr>
              <w:rPr>
                <w:rFonts w:asciiTheme="majorHAnsi" w:hAnsiTheme="majorHAnsi"/>
                <w:sz w:val="16"/>
                <w:szCs w:val="16"/>
              </w:rPr>
            </w:pPr>
          </w:p>
        </w:tc>
        <w:tc>
          <w:tcPr>
            <w:tcW w:w="758" w:type="pct"/>
            <w:vMerge/>
          </w:tcPr>
          <w:p w14:paraId="26176BCF" w14:textId="77777777" w:rsidR="002D42C1" w:rsidRPr="00DE108C" w:rsidRDefault="002D42C1" w:rsidP="00ED094E">
            <w:pPr>
              <w:rPr>
                <w:rFonts w:asciiTheme="majorHAnsi" w:hAnsiTheme="majorHAnsi"/>
                <w:sz w:val="16"/>
                <w:szCs w:val="16"/>
              </w:rPr>
            </w:pPr>
          </w:p>
        </w:tc>
        <w:tc>
          <w:tcPr>
            <w:tcW w:w="362" w:type="pct"/>
            <w:vMerge/>
          </w:tcPr>
          <w:p w14:paraId="6B8FAC56" w14:textId="77777777" w:rsidR="002D42C1" w:rsidRPr="00DE108C" w:rsidRDefault="002D42C1" w:rsidP="00ED094E">
            <w:pPr>
              <w:rPr>
                <w:rFonts w:asciiTheme="majorHAnsi" w:hAnsiTheme="majorHAnsi"/>
                <w:sz w:val="16"/>
                <w:szCs w:val="16"/>
              </w:rPr>
            </w:pPr>
          </w:p>
        </w:tc>
        <w:tc>
          <w:tcPr>
            <w:tcW w:w="448" w:type="pct"/>
          </w:tcPr>
          <w:p w14:paraId="01D33DE1"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1FF9A41A"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N/A</w:t>
            </w:r>
          </w:p>
        </w:tc>
        <w:tc>
          <w:tcPr>
            <w:tcW w:w="317" w:type="pct"/>
          </w:tcPr>
          <w:p w14:paraId="4719383D" w14:textId="77777777" w:rsidR="002D42C1" w:rsidRPr="00DE108C" w:rsidRDefault="002D42C1" w:rsidP="00ED094E">
            <w:pPr>
              <w:jc w:val="right"/>
              <w:rPr>
                <w:rFonts w:asciiTheme="majorHAnsi" w:hAnsiTheme="majorHAnsi"/>
                <w:i/>
                <w:sz w:val="16"/>
                <w:szCs w:val="16"/>
              </w:rPr>
            </w:pPr>
            <w:r w:rsidRPr="00DE108C">
              <w:rPr>
                <w:rFonts w:asciiTheme="majorHAnsi" w:hAnsiTheme="majorHAnsi"/>
                <w:sz w:val="16"/>
                <w:szCs w:val="16"/>
              </w:rPr>
              <w:t>78.6 %</w:t>
            </w:r>
          </w:p>
          <w:p w14:paraId="2D8F4EE2"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"strong category</w:t>
            </w:r>
          </w:p>
        </w:tc>
        <w:tc>
          <w:tcPr>
            <w:tcW w:w="317" w:type="pct"/>
          </w:tcPr>
          <w:p w14:paraId="6DD1FBF5" w14:textId="77777777" w:rsidR="002D42C1" w:rsidRPr="00DE108C" w:rsidRDefault="002D42C1" w:rsidP="00ED094E">
            <w:pPr>
              <w:jc w:val="right"/>
              <w:rPr>
                <w:rFonts w:asciiTheme="majorHAnsi" w:hAnsiTheme="majorHAnsi"/>
                <w:sz w:val="16"/>
                <w:szCs w:val="16"/>
              </w:rPr>
            </w:pPr>
          </w:p>
        </w:tc>
        <w:tc>
          <w:tcPr>
            <w:tcW w:w="317" w:type="pct"/>
          </w:tcPr>
          <w:p w14:paraId="2BBBC743" w14:textId="77777777" w:rsidR="002D42C1" w:rsidRPr="00DE108C" w:rsidRDefault="002D42C1" w:rsidP="00ED094E">
            <w:pPr>
              <w:jc w:val="right"/>
              <w:rPr>
                <w:rFonts w:asciiTheme="majorHAnsi" w:hAnsiTheme="majorHAnsi"/>
                <w:sz w:val="16"/>
                <w:szCs w:val="16"/>
              </w:rPr>
            </w:pPr>
          </w:p>
        </w:tc>
        <w:tc>
          <w:tcPr>
            <w:tcW w:w="317" w:type="pct"/>
          </w:tcPr>
          <w:p w14:paraId="5DD8267C" w14:textId="77777777" w:rsidR="002D42C1" w:rsidRPr="00DE108C" w:rsidRDefault="002D42C1" w:rsidP="00ED094E">
            <w:pPr>
              <w:jc w:val="right"/>
              <w:rPr>
                <w:rFonts w:asciiTheme="majorHAnsi" w:hAnsiTheme="majorHAnsi"/>
                <w:sz w:val="16"/>
                <w:szCs w:val="16"/>
              </w:rPr>
            </w:pPr>
          </w:p>
        </w:tc>
        <w:tc>
          <w:tcPr>
            <w:tcW w:w="317" w:type="pct"/>
          </w:tcPr>
          <w:p w14:paraId="48495862" w14:textId="77777777" w:rsidR="002D42C1" w:rsidRPr="00DE108C" w:rsidRDefault="002D42C1" w:rsidP="00ED094E">
            <w:pPr>
              <w:jc w:val="right"/>
              <w:rPr>
                <w:rFonts w:asciiTheme="majorHAnsi" w:hAnsiTheme="majorHAnsi"/>
                <w:sz w:val="16"/>
                <w:szCs w:val="16"/>
              </w:rPr>
            </w:pPr>
          </w:p>
        </w:tc>
        <w:tc>
          <w:tcPr>
            <w:tcW w:w="317" w:type="pct"/>
          </w:tcPr>
          <w:p w14:paraId="40D092AD" w14:textId="77777777" w:rsidR="002D42C1" w:rsidRPr="00DE108C" w:rsidRDefault="002D42C1" w:rsidP="00ED094E">
            <w:pPr>
              <w:jc w:val="right"/>
              <w:rPr>
                <w:rFonts w:asciiTheme="majorHAnsi" w:hAnsiTheme="majorHAnsi"/>
                <w:sz w:val="16"/>
                <w:szCs w:val="16"/>
              </w:rPr>
            </w:pPr>
          </w:p>
        </w:tc>
        <w:tc>
          <w:tcPr>
            <w:tcW w:w="287" w:type="pct"/>
          </w:tcPr>
          <w:p w14:paraId="1C97BFFB" w14:textId="77777777" w:rsidR="002D42C1" w:rsidRPr="00DE108C" w:rsidRDefault="002D42C1" w:rsidP="00ED094E">
            <w:pPr>
              <w:jc w:val="right"/>
              <w:rPr>
                <w:rFonts w:asciiTheme="majorHAnsi" w:hAnsiTheme="majorHAnsi"/>
                <w:sz w:val="16"/>
                <w:szCs w:val="16"/>
              </w:rPr>
            </w:pPr>
          </w:p>
        </w:tc>
      </w:tr>
      <w:tr w:rsidR="0069661E" w:rsidRPr="00DE108C" w14:paraId="7827F49E"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tcPr>
          <w:p w14:paraId="72131971" w14:textId="77777777" w:rsidR="002D42C1" w:rsidRPr="00DE108C" w:rsidRDefault="002D42C1" w:rsidP="00ED094E">
            <w:pPr>
              <w:rPr>
                <w:rFonts w:asciiTheme="majorHAnsi" w:hAnsiTheme="majorHAnsi"/>
                <w:sz w:val="16"/>
                <w:szCs w:val="16"/>
              </w:rPr>
            </w:pPr>
          </w:p>
        </w:tc>
        <w:tc>
          <w:tcPr>
            <w:tcW w:w="454" w:type="pct"/>
            <w:vMerge w:val="restart"/>
          </w:tcPr>
          <w:p w14:paraId="61C3F1D2"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Leveraging new and existing relationships to benefit our communities</w:t>
            </w:r>
          </w:p>
        </w:tc>
        <w:tc>
          <w:tcPr>
            <w:tcW w:w="758" w:type="pct"/>
            <w:vMerge w:val="restart"/>
          </w:tcPr>
          <w:p w14:paraId="3520E32D"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Number of initiatives delivered that engage community and foster shared outcomes for healthy land, water and people.</w:t>
            </w:r>
          </w:p>
        </w:tc>
        <w:tc>
          <w:tcPr>
            <w:tcW w:w="362" w:type="pct"/>
            <w:vMerge w:val="restart"/>
          </w:tcPr>
          <w:p w14:paraId="49B7FFAD"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Number (Cumulative in each regulatory period)</w:t>
            </w:r>
          </w:p>
        </w:tc>
        <w:tc>
          <w:tcPr>
            <w:tcW w:w="448" w:type="pct"/>
          </w:tcPr>
          <w:p w14:paraId="32D870E2"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346F4A32"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120</w:t>
            </w:r>
          </w:p>
        </w:tc>
        <w:tc>
          <w:tcPr>
            <w:tcW w:w="317" w:type="pct"/>
          </w:tcPr>
          <w:p w14:paraId="2C7E2D91"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160</w:t>
            </w:r>
          </w:p>
        </w:tc>
        <w:tc>
          <w:tcPr>
            <w:tcW w:w="317" w:type="pct"/>
          </w:tcPr>
          <w:p w14:paraId="7FA6DF80"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200</w:t>
            </w:r>
          </w:p>
        </w:tc>
        <w:tc>
          <w:tcPr>
            <w:tcW w:w="317" w:type="pct"/>
          </w:tcPr>
          <w:p w14:paraId="3FD92ACF"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40</w:t>
            </w:r>
          </w:p>
        </w:tc>
        <w:tc>
          <w:tcPr>
            <w:tcW w:w="317" w:type="pct"/>
          </w:tcPr>
          <w:p w14:paraId="094C240A"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80</w:t>
            </w:r>
          </w:p>
        </w:tc>
        <w:tc>
          <w:tcPr>
            <w:tcW w:w="317" w:type="pct"/>
          </w:tcPr>
          <w:p w14:paraId="490F4922"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120</w:t>
            </w:r>
          </w:p>
        </w:tc>
        <w:tc>
          <w:tcPr>
            <w:tcW w:w="317" w:type="pct"/>
          </w:tcPr>
          <w:p w14:paraId="6A756B5A"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160</w:t>
            </w:r>
          </w:p>
        </w:tc>
        <w:tc>
          <w:tcPr>
            <w:tcW w:w="287" w:type="pct"/>
          </w:tcPr>
          <w:p w14:paraId="35A438E8"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200</w:t>
            </w:r>
          </w:p>
        </w:tc>
      </w:tr>
      <w:tr w:rsidR="002D42C1" w:rsidRPr="00DE108C" w14:paraId="0D80D640" w14:textId="77777777" w:rsidTr="00ED094E">
        <w:trPr>
          <w:trHeight w:val="300"/>
        </w:trPr>
        <w:tc>
          <w:tcPr>
            <w:tcW w:w="470" w:type="pct"/>
            <w:vMerge/>
          </w:tcPr>
          <w:p w14:paraId="2FE05785" w14:textId="77777777" w:rsidR="002D42C1" w:rsidRPr="00DE108C" w:rsidRDefault="002D42C1" w:rsidP="00ED094E">
            <w:pPr>
              <w:rPr>
                <w:rFonts w:asciiTheme="majorHAnsi" w:hAnsiTheme="majorHAnsi"/>
                <w:sz w:val="16"/>
                <w:szCs w:val="16"/>
              </w:rPr>
            </w:pPr>
          </w:p>
        </w:tc>
        <w:tc>
          <w:tcPr>
            <w:tcW w:w="454" w:type="pct"/>
            <w:vMerge/>
          </w:tcPr>
          <w:p w14:paraId="4C8A688D" w14:textId="77777777" w:rsidR="002D42C1" w:rsidRPr="00DE108C" w:rsidRDefault="002D42C1" w:rsidP="00ED094E">
            <w:pPr>
              <w:rPr>
                <w:rFonts w:asciiTheme="majorHAnsi" w:hAnsiTheme="majorHAnsi"/>
                <w:sz w:val="16"/>
                <w:szCs w:val="16"/>
              </w:rPr>
            </w:pPr>
          </w:p>
        </w:tc>
        <w:tc>
          <w:tcPr>
            <w:tcW w:w="758" w:type="pct"/>
            <w:vMerge/>
          </w:tcPr>
          <w:p w14:paraId="74D9BDE4" w14:textId="77777777" w:rsidR="002D42C1" w:rsidRPr="00DE108C" w:rsidRDefault="002D42C1" w:rsidP="00ED094E">
            <w:pPr>
              <w:rPr>
                <w:rFonts w:asciiTheme="majorHAnsi" w:hAnsiTheme="majorHAnsi"/>
                <w:sz w:val="16"/>
                <w:szCs w:val="16"/>
              </w:rPr>
            </w:pPr>
          </w:p>
        </w:tc>
        <w:tc>
          <w:tcPr>
            <w:tcW w:w="362" w:type="pct"/>
            <w:vMerge/>
          </w:tcPr>
          <w:p w14:paraId="6056B768" w14:textId="77777777" w:rsidR="002D42C1" w:rsidRPr="00DE108C" w:rsidRDefault="002D42C1" w:rsidP="00ED094E">
            <w:pPr>
              <w:rPr>
                <w:rFonts w:asciiTheme="majorHAnsi" w:hAnsiTheme="majorHAnsi"/>
                <w:sz w:val="16"/>
                <w:szCs w:val="16"/>
              </w:rPr>
            </w:pPr>
          </w:p>
        </w:tc>
        <w:tc>
          <w:tcPr>
            <w:tcW w:w="448" w:type="pct"/>
          </w:tcPr>
          <w:p w14:paraId="79C6FA0D"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6173CCCA"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172</w:t>
            </w:r>
          </w:p>
        </w:tc>
        <w:tc>
          <w:tcPr>
            <w:tcW w:w="317" w:type="pct"/>
          </w:tcPr>
          <w:p w14:paraId="32845C31" w14:textId="77777777" w:rsidR="002D42C1" w:rsidRPr="00DE108C" w:rsidRDefault="002D42C1" w:rsidP="00ED094E">
            <w:pPr>
              <w:spacing w:after="0"/>
              <w:jc w:val="right"/>
              <w:rPr>
                <w:rFonts w:asciiTheme="majorHAnsi" w:hAnsiTheme="majorHAnsi"/>
                <w:sz w:val="16"/>
                <w:szCs w:val="16"/>
              </w:rPr>
            </w:pPr>
            <w:r w:rsidRPr="00DE108C">
              <w:rPr>
                <w:rFonts w:asciiTheme="majorHAnsi" w:eastAsia="Aptos" w:hAnsiTheme="majorHAnsi" w:cs="Aptos"/>
                <w:sz w:val="16"/>
                <w:szCs w:val="16"/>
              </w:rPr>
              <w:t>208</w:t>
            </w:r>
          </w:p>
        </w:tc>
        <w:tc>
          <w:tcPr>
            <w:tcW w:w="317" w:type="pct"/>
          </w:tcPr>
          <w:p w14:paraId="1AD1927A" w14:textId="77777777" w:rsidR="002D42C1" w:rsidRPr="00DE108C" w:rsidRDefault="002D42C1" w:rsidP="00ED094E">
            <w:pPr>
              <w:jc w:val="right"/>
              <w:rPr>
                <w:rFonts w:asciiTheme="majorHAnsi" w:hAnsiTheme="majorHAnsi"/>
                <w:sz w:val="16"/>
                <w:szCs w:val="16"/>
              </w:rPr>
            </w:pPr>
          </w:p>
        </w:tc>
        <w:tc>
          <w:tcPr>
            <w:tcW w:w="317" w:type="pct"/>
          </w:tcPr>
          <w:p w14:paraId="74ED2184" w14:textId="77777777" w:rsidR="002D42C1" w:rsidRPr="00DE108C" w:rsidRDefault="002D42C1" w:rsidP="00ED094E">
            <w:pPr>
              <w:jc w:val="right"/>
              <w:rPr>
                <w:rFonts w:asciiTheme="majorHAnsi" w:hAnsiTheme="majorHAnsi"/>
                <w:sz w:val="16"/>
                <w:szCs w:val="16"/>
              </w:rPr>
            </w:pPr>
          </w:p>
        </w:tc>
        <w:tc>
          <w:tcPr>
            <w:tcW w:w="317" w:type="pct"/>
          </w:tcPr>
          <w:p w14:paraId="482BC4EE" w14:textId="77777777" w:rsidR="002D42C1" w:rsidRPr="00DE108C" w:rsidRDefault="002D42C1" w:rsidP="00ED094E">
            <w:pPr>
              <w:jc w:val="right"/>
              <w:rPr>
                <w:rFonts w:asciiTheme="majorHAnsi" w:hAnsiTheme="majorHAnsi"/>
                <w:sz w:val="16"/>
                <w:szCs w:val="16"/>
              </w:rPr>
            </w:pPr>
          </w:p>
        </w:tc>
        <w:tc>
          <w:tcPr>
            <w:tcW w:w="317" w:type="pct"/>
          </w:tcPr>
          <w:p w14:paraId="522EC197" w14:textId="77777777" w:rsidR="002D42C1" w:rsidRPr="00DE108C" w:rsidRDefault="002D42C1" w:rsidP="00ED094E">
            <w:pPr>
              <w:jc w:val="right"/>
              <w:rPr>
                <w:rFonts w:asciiTheme="majorHAnsi" w:hAnsiTheme="majorHAnsi"/>
                <w:sz w:val="16"/>
                <w:szCs w:val="16"/>
              </w:rPr>
            </w:pPr>
          </w:p>
        </w:tc>
        <w:tc>
          <w:tcPr>
            <w:tcW w:w="317" w:type="pct"/>
          </w:tcPr>
          <w:p w14:paraId="66C5A39B" w14:textId="77777777" w:rsidR="002D42C1" w:rsidRPr="00DE108C" w:rsidRDefault="002D42C1" w:rsidP="00ED094E">
            <w:pPr>
              <w:jc w:val="right"/>
              <w:rPr>
                <w:rFonts w:asciiTheme="majorHAnsi" w:hAnsiTheme="majorHAnsi"/>
                <w:sz w:val="16"/>
                <w:szCs w:val="16"/>
              </w:rPr>
            </w:pPr>
          </w:p>
        </w:tc>
        <w:tc>
          <w:tcPr>
            <w:tcW w:w="287" w:type="pct"/>
          </w:tcPr>
          <w:p w14:paraId="472264C6" w14:textId="77777777" w:rsidR="002D42C1" w:rsidRPr="00DE108C" w:rsidRDefault="002D42C1" w:rsidP="00ED094E">
            <w:pPr>
              <w:jc w:val="right"/>
              <w:rPr>
                <w:rFonts w:asciiTheme="majorHAnsi" w:hAnsiTheme="majorHAnsi"/>
                <w:sz w:val="16"/>
                <w:szCs w:val="16"/>
              </w:rPr>
            </w:pPr>
          </w:p>
        </w:tc>
      </w:tr>
      <w:tr w:rsidR="0069661E" w:rsidRPr="00DE108C" w14:paraId="4737CAD2" w14:textId="77777777" w:rsidTr="00B46F82">
        <w:trPr>
          <w:cnfStyle w:val="000000010000" w:firstRow="0" w:lastRow="0" w:firstColumn="0" w:lastColumn="0" w:oddVBand="0" w:evenVBand="0" w:oddHBand="0" w:evenHBand="1" w:firstRowFirstColumn="0" w:firstRowLastColumn="0" w:lastRowFirstColumn="0" w:lastRowLastColumn="0"/>
          <w:trHeight w:val="300"/>
        </w:trPr>
        <w:tc>
          <w:tcPr>
            <w:tcW w:w="470" w:type="pct"/>
            <w:vMerge/>
          </w:tcPr>
          <w:p w14:paraId="22A81252" w14:textId="77777777" w:rsidR="002D42C1" w:rsidRPr="00DE108C" w:rsidRDefault="002D42C1" w:rsidP="00ED094E">
            <w:pPr>
              <w:rPr>
                <w:rFonts w:asciiTheme="majorHAnsi" w:hAnsiTheme="majorHAnsi"/>
                <w:sz w:val="16"/>
                <w:szCs w:val="16"/>
              </w:rPr>
            </w:pPr>
          </w:p>
        </w:tc>
        <w:tc>
          <w:tcPr>
            <w:tcW w:w="454" w:type="pct"/>
            <w:vMerge/>
          </w:tcPr>
          <w:p w14:paraId="24D388B1" w14:textId="77777777" w:rsidR="002D42C1" w:rsidRPr="00DE108C" w:rsidRDefault="002D42C1" w:rsidP="00ED094E">
            <w:pPr>
              <w:rPr>
                <w:rFonts w:asciiTheme="majorHAnsi" w:hAnsiTheme="majorHAnsi"/>
                <w:sz w:val="16"/>
                <w:szCs w:val="16"/>
              </w:rPr>
            </w:pPr>
          </w:p>
        </w:tc>
        <w:tc>
          <w:tcPr>
            <w:tcW w:w="758" w:type="pct"/>
            <w:vMerge w:val="restart"/>
          </w:tcPr>
          <w:p w14:paraId="622FAAEA"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Percentage of the community surveyed with a moderate or better level of water literacy</w:t>
            </w:r>
          </w:p>
        </w:tc>
        <w:tc>
          <w:tcPr>
            <w:tcW w:w="362" w:type="pct"/>
            <w:vMerge w:val="restart"/>
          </w:tcPr>
          <w:p w14:paraId="59BCD130"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Percentage</w:t>
            </w:r>
          </w:p>
        </w:tc>
        <w:tc>
          <w:tcPr>
            <w:tcW w:w="448" w:type="pct"/>
          </w:tcPr>
          <w:p w14:paraId="3BB1F3C8"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Target</w:t>
            </w:r>
          </w:p>
        </w:tc>
        <w:tc>
          <w:tcPr>
            <w:tcW w:w="317" w:type="pct"/>
          </w:tcPr>
          <w:p w14:paraId="34E2153A"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&gt;75%</w:t>
            </w:r>
          </w:p>
        </w:tc>
        <w:tc>
          <w:tcPr>
            <w:tcW w:w="317" w:type="pct"/>
          </w:tcPr>
          <w:p w14:paraId="6055162E"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&gt;75%</w:t>
            </w:r>
          </w:p>
        </w:tc>
        <w:tc>
          <w:tcPr>
            <w:tcW w:w="317" w:type="pct"/>
          </w:tcPr>
          <w:p w14:paraId="3B40C0D2" w14:textId="77777777" w:rsidR="002D42C1" w:rsidRPr="00DE108C" w:rsidRDefault="002D42C1" w:rsidP="00ED094E">
            <w:pPr>
              <w:jc w:val="right"/>
              <w:rPr>
                <w:rFonts w:asciiTheme="majorHAnsi" w:hAnsiTheme="majorHAnsi"/>
                <w:b/>
                <w:sz w:val="16"/>
                <w:szCs w:val="16"/>
              </w:rPr>
            </w:pPr>
            <w:r w:rsidRPr="00DE108C">
              <w:rPr>
                <w:rFonts w:asciiTheme="majorHAnsi" w:hAnsiTheme="majorHAnsi"/>
                <w:b/>
                <w:sz w:val="16"/>
                <w:szCs w:val="16"/>
              </w:rPr>
              <w:t>&gt;75%</w:t>
            </w:r>
          </w:p>
        </w:tc>
        <w:tc>
          <w:tcPr>
            <w:tcW w:w="317" w:type="pct"/>
          </w:tcPr>
          <w:p w14:paraId="3E321786"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&gt;75%</w:t>
            </w:r>
          </w:p>
        </w:tc>
        <w:tc>
          <w:tcPr>
            <w:tcW w:w="317" w:type="pct"/>
          </w:tcPr>
          <w:p w14:paraId="22BD445A"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&gt;75%</w:t>
            </w:r>
          </w:p>
        </w:tc>
        <w:tc>
          <w:tcPr>
            <w:tcW w:w="317" w:type="pct"/>
          </w:tcPr>
          <w:p w14:paraId="51F3EDE9"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&gt;75%</w:t>
            </w:r>
          </w:p>
        </w:tc>
        <w:tc>
          <w:tcPr>
            <w:tcW w:w="317" w:type="pct"/>
          </w:tcPr>
          <w:p w14:paraId="15FAECD9"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&gt;75%</w:t>
            </w:r>
          </w:p>
        </w:tc>
        <w:tc>
          <w:tcPr>
            <w:tcW w:w="287" w:type="pct"/>
          </w:tcPr>
          <w:p w14:paraId="565CF535" w14:textId="77777777" w:rsidR="002D42C1" w:rsidRPr="00DE108C" w:rsidRDefault="002D42C1" w:rsidP="00ED094E">
            <w:pPr>
              <w:jc w:val="right"/>
              <w:rPr>
                <w:rFonts w:asciiTheme="majorHAnsi" w:hAnsiTheme="majorHAnsi"/>
                <w:sz w:val="16"/>
                <w:szCs w:val="16"/>
              </w:rPr>
            </w:pPr>
            <w:r w:rsidRPr="00DE108C">
              <w:rPr>
                <w:rFonts w:asciiTheme="majorHAnsi" w:hAnsiTheme="majorHAnsi"/>
                <w:b/>
                <w:sz w:val="16"/>
                <w:szCs w:val="16"/>
              </w:rPr>
              <w:t>&gt;75%</w:t>
            </w:r>
          </w:p>
        </w:tc>
      </w:tr>
      <w:tr w:rsidR="002D42C1" w:rsidRPr="00DE108C" w14:paraId="1DA075EB" w14:textId="77777777" w:rsidTr="00ED094E">
        <w:trPr>
          <w:trHeight w:val="300"/>
        </w:trPr>
        <w:tc>
          <w:tcPr>
            <w:tcW w:w="470" w:type="pct"/>
            <w:vMerge/>
          </w:tcPr>
          <w:p w14:paraId="426CA897" w14:textId="77777777" w:rsidR="002D42C1" w:rsidRPr="00DE108C" w:rsidRDefault="002D42C1" w:rsidP="00ED094E">
            <w:pPr>
              <w:rPr>
                <w:rFonts w:asciiTheme="majorHAnsi" w:hAnsiTheme="majorHAnsi"/>
                <w:sz w:val="16"/>
                <w:szCs w:val="16"/>
              </w:rPr>
            </w:pPr>
          </w:p>
        </w:tc>
        <w:tc>
          <w:tcPr>
            <w:tcW w:w="454" w:type="pct"/>
            <w:vMerge/>
          </w:tcPr>
          <w:p w14:paraId="5D8C7B93" w14:textId="77777777" w:rsidR="002D42C1" w:rsidRPr="00DE108C" w:rsidRDefault="002D42C1" w:rsidP="00ED094E">
            <w:pPr>
              <w:rPr>
                <w:rFonts w:asciiTheme="majorHAnsi" w:hAnsiTheme="majorHAnsi"/>
                <w:sz w:val="16"/>
                <w:szCs w:val="16"/>
              </w:rPr>
            </w:pPr>
          </w:p>
        </w:tc>
        <w:tc>
          <w:tcPr>
            <w:tcW w:w="758" w:type="pct"/>
            <w:vMerge/>
          </w:tcPr>
          <w:p w14:paraId="716DA49F" w14:textId="77777777" w:rsidR="002D42C1" w:rsidRPr="00DE108C" w:rsidRDefault="002D42C1" w:rsidP="00ED094E">
            <w:pPr>
              <w:rPr>
                <w:rFonts w:asciiTheme="majorHAnsi" w:hAnsiTheme="majorHAnsi"/>
                <w:sz w:val="16"/>
                <w:szCs w:val="16"/>
              </w:rPr>
            </w:pPr>
          </w:p>
        </w:tc>
        <w:tc>
          <w:tcPr>
            <w:tcW w:w="362" w:type="pct"/>
            <w:vMerge/>
          </w:tcPr>
          <w:p w14:paraId="16514906" w14:textId="77777777" w:rsidR="002D42C1" w:rsidRPr="00DE108C" w:rsidRDefault="002D42C1" w:rsidP="00ED094E">
            <w:pPr>
              <w:rPr>
                <w:rFonts w:asciiTheme="majorHAnsi" w:hAnsiTheme="majorHAnsi"/>
                <w:sz w:val="16"/>
                <w:szCs w:val="16"/>
              </w:rPr>
            </w:pPr>
          </w:p>
        </w:tc>
        <w:tc>
          <w:tcPr>
            <w:tcW w:w="448" w:type="pct"/>
          </w:tcPr>
          <w:p w14:paraId="476B15F7" w14:textId="77777777" w:rsidR="002D42C1" w:rsidRPr="00DE108C" w:rsidRDefault="002D42C1" w:rsidP="00ED094E">
            <w:pPr>
              <w:rPr>
                <w:rFonts w:asciiTheme="majorHAnsi" w:hAnsiTheme="majorHAnsi"/>
                <w:sz w:val="16"/>
                <w:szCs w:val="16"/>
              </w:rPr>
            </w:pPr>
            <w:r w:rsidRPr="00DE108C">
              <w:rPr>
                <w:rFonts w:asciiTheme="majorHAnsi" w:hAnsiTheme="majorHAnsi"/>
                <w:sz w:val="16"/>
                <w:szCs w:val="16"/>
              </w:rPr>
              <w:t>Actual</w:t>
            </w:r>
          </w:p>
        </w:tc>
        <w:tc>
          <w:tcPr>
            <w:tcW w:w="317" w:type="pct"/>
          </w:tcPr>
          <w:p w14:paraId="723673B4"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75%</w:t>
            </w:r>
          </w:p>
        </w:tc>
        <w:tc>
          <w:tcPr>
            <w:tcW w:w="317" w:type="pct"/>
          </w:tcPr>
          <w:p w14:paraId="2E01AB77" w14:textId="77777777" w:rsidR="002D42C1" w:rsidRPr="00DE108C" w:rsidRDefault="002D42C1" w:rsidP="00ED094E">
            <w:pPr>
              <w:jc w:val="right"/>
              <w:rPr>
                <w:rFonts w:asciiTheme="majorHAnsi" w:hAnsiTheme="majorHAnsi"/>
                <w:sz w:val="16"/>
                <w:szCs w:val="16"/>
              </w:rPr>
            </w:pPr>
            <w:r w:rsidRPr="00DE108C">
              <w:rPr>
                <w:rFonts w:asciiTheme="majorHAnsi" w:hAnsiTheme="majorHAnsi"/>
                <w:sz w:val="16"/>
                <w:szCs w:val="16"/>
              </w:rPr>
              <w:t>78%</w:t>
            </w:r>
          </w:p>
        </w:tc>
        <w:tc>
          <w:tcPr>
            <w:tcW w:w="317" w:type="pct"/>
          </w:tcPr>
          <w:p w14:paraId="111BBD70" w14:textId="77777777" w:rsidR="002D42C1" w:rsidRPr="00DE108C" w:rsidRDefault="002D42C1" w:rsidP="00ED094E">
            <w:pPr>
              <w:jc w:val="right"/>
              <w:rPr>
                <w:rFonts w:asciiTheme="majorHAnsi" w:hAnsiTheme="majorHAnsi"/>
                <w:sz w:val="16"/>
                <w:szCs w:val="16"/>
              </w:rPr>
            </w:pPr>
          </w:p>
        </w:tc>
        <w:tc>
          <w:tcPr>
            <w:tcW w:w="317" w:type="pct"/>
          </w:tcPr>
          <w:p w14:paraId="703F36EB" w14:textId="77777777" w:rsidR="002D42C1" w:rsidRPr="00DE108C" w:rsidRDefault="002D42C1" w:rsidP="00ED094E">
            <w:pPr>
              <w:jc w:val="right"/>
              <w:rPr>
                <w:rFonts w:asciiTheme="majorHAnsi" w:hAnsiTheme="majorHAnsi"/>
                <w:sz w:val="16"/>
                <w:szCs w:val="16"/>
              </w:rPr>
            </w:pPr>
          </w:p>
        </w:tc>
        <w:tc>
          <w:tcPr>
            <w:tcW w:w="317" w:type="pct"/>
          </w:tcPr>
          <w:p w14:paraId="442ACF48" w14:textId="77777777" w:rsidR="002D42C1" w:rsidRPr="00DE108C" w:rsidRDefault="002D42C1" w:rsidP="00ED094E">
            <w:pPr>
              <w:jc w:val="right"/>
              <w:rPr>
                <w:rFonts w:asciiTheme="majorHAnsi" w:hAnsiTheme="majorHAnsi"/>
                <w:sz w:val="16"/>
                <w:szCs w:val="16"/>
              </w:rPr>
            </w:pPr>
          </w:p>
        </w:tc>
        <w:tc>
          <w:tcPr>
            <w:tcW w:w="317" w:type="pct"/>
          </w:tcPr>
          <w:p w14:paraId="395EC503" w14:textId="77777777" w:rsidR="002D42C1" w:rsidRPr="00DE108C" w:rsidRDefault="002D42C1" w:rsidP="00ED094E">
            <w:pPr>
              <w:jc w:val="right"/>
              <w:rPr>
                <w:rFonts w:asciiTheme="majorHAnsi" w:hAnsiTheme="majorHAnsi"/>
                <w:sz w:val="16"/>
                <w:szCs w:val="16"/>
              </w:rPr>
            </w:pPr>
          </w:p>
        </w:tc>
        <w:tc>
          <w:tcPr>
            <w:tcW w:w="317" w:type="pct"/>
          </w:tcPr>
          <w:p w14:paraId="03B8E55A" w14:textId="77777777" w:rsidR="002D42C1" w:rsidRPr="00DE108C" w:rsidRDefault="002D42C1" w:rsidP="00ED094E">
            <w:pPr>
              <w:jc w:val="right"/>
              <w:rPr>
                <w:rFonts w:asciiTheme="majorHAnsi" w:hAnsiTheme="majorHAnsi"/>
                <w:sz w:val="16"/>
                <w:szCs w:val="16"/>
              </w:rPr>
            </w:pPr>
          </w:p>
        </w:tc>
        <w:tc>
          <w:tcPr>
            <w:tcW w:w="287" w:type="pct"/>
          </w:tcPr>
          <w:p w14:paraId="67435854" w14:textId="77777777" w:rsidR="002D42C1" w:rsidRPr="00DE108C" w:rsidRDefault="002D42C1" w:rsidP="00ED094E">
            <w:pPr>
              <w:jc w:val="right"/>
              <w:rPr>
                <w:rFonts w:asciiTheme="majorHAnsi" w:hAnsiTheme="majorHAnsi"/>
                <w:sz w:val="16"/>
                <w:szCs w:val="16"/>
              </w:rPr>
            </w:pPr>
          </w:p>
        </w:tc>
      </w:tr>
    </w:tbl>
    <w:p w14:paraId="2FD88553" w14:textId="77777777" w:rsidR="002D42C1" w:rsidRPr="00DE108C" w:rsidRDefault="002D42C1" w:rsidP="00ED094E"/>
    <w:p w14:paraId="207F8989" w14:textId="77777777" w:rsidR="002D42C1" w:rsidRPr="00DE108C" w:rsidRDefault="002D42C1" w:rsidP="00ED094E">
      <w:pPr>
        <w:sectPr w:rsidR="002D42C1" w:rsidRPr="00DE108C" w:rsidSect="002D42C1">
          <w:headerReference w:type="even" r:id="rId127"/>
          <w:headerReference w:type="default" r:id="rId128"/>
          <w:footerReference w:type="even" r:id="rId129"/>
          <w:footerReference w:type="default" r:id="rId130"/>
          <w:headerReference w:type="first" r:id="rId131"/>
          <w:footerReference w:type="first" r:id="rId132"/>
          <w:pgSz w:w="23811" w:h="16838" w:orient="landscape" w:code="8"/>
          <w:pgMar w:top="720" w:right="720" w:bottom="720" w:left="720" w:header="708" w:footer="708" w:gutter="0"/>
          <w:cols w:space="708"/>
          <w:docGrid w:linePitch="360"/>
        </w:sectPr>
      </w:pPr>
    </w:p>
    <w:p w14:paraId="57CC1214" w14:textId="77777777" w:rsidR="002D42C1" w:rsidRPr="00DE108C" w:rsidRDefault="002D42C1" w:rsidP="00ED094E">
      <w:pPr>
        <w:pStyle w:val="Heading1"/>
      </w:pPr>
      <w:bookmarkStart w:id="1282" w:name="_Toc190878393"/>
      <w:bookmarkStart w:id="1283" w:name="_Toc207892952"/>
      <w:bookmarkStart w:id="1284" w:name="_Toc207853445"/>
      <w:bookmarkStart w:id="1285" w:name="_Toc210229049"/>
      <w:r w:rsidRPr="00DE108C">
        <w:lastRenderedPageBreak/>
        <w:t>Appendix C: Major project delivery</w:t>
      </w:r>
      <w:bookmarkEnd w:id="1282"/>
      <w:bookmarkEnd w:id="1283"/>
      <w:bookmarkEnd w:id="1284"/>
      <w:bookmarkEnd w:id="1285"/>
    </w:p>
    <w:p w14:paraId="4ADE63C7" w14:textId="77777777" w:rsidR="002D42C1" w:rsidRPr="00DE108C" w:rsidRDefault="002D42C1" w:rsidP="00ED094E">
      <w:r w:rsidRPr="00DE108C">
        <w:t>Appendix C summarises Melbourne Water’s major project delivery over the 2021-26 regulatory period. For each project, it includes: </w:t>
      </w:r>
    </w:p>
    <w:p w14:paraId="50A6B351" w14:textId="77777777" w:rsidR="002D42C1" w:rsidRPr="00045FD1" w:rsidRDefault="002D42C1" w:rsidP="00045FD1">
      <w:pPr>
        <w:pStyle w:val="ListBullet"/>
      </w:pPr>
      <w:r w:rsidRPr="00045FD1">
        <w:t>summaries of each project’s status </w:t>
      </w:r>
    </w:p>
    <w:p w14:paraId="263A0517" w14:textId="1A694FD6" w:rsidR="002D42C1" w:rsidRPr="00045FD1" w:rsidRDefault="002D42C1" w:rsidP="00045FD1">
      <w:pPr>
        <w:pStyle w:val="ListBullet"/>
      </w:pPr>
      <w:r w:rsidRPr="00045FD1">
        <w:t>an explanation of any difference in timings to what was planned</w:t>
      </w:r>
    </w:p>
    <w:p w14:paraId="1AE214F4" w14:textId="1FF7A17A" w:rsidR="002D42C1" w:rsidRPr="00045FD1" w:rsidRDefault="002D42C1" w:rsidP="00045FD1">
      <w:pPr>
        <w:pStyle w:val="ListBullet"/>
      </w:pPr>
      <w:r w:rsidRPr="00045FD1">
        <w:t>changes in cost from what was forecast in PS21</w:t>
      </w:r>
    </w:p>
    <w:p w14:paraId="6E4AA70F" w14:textId="77777777" w:rsidR="002D42C1" w:rsidRPr="00045FD1" w:rsidRDefault="002D42C1" w:rsidP="00045FD1">
      <w:pPr>
        <w:pStyle w:val="ListBullet"/>
      </w:pPr>
      <w:r w:rsidRPr="00045FD1">
        <w:t>lessons we have learnt from these projects that are reflected in our PS26 planning.</w:t>
      </w:r>
    </w:p>
    <w:p w14:paraId="40F7E329" w14:textId="3828B048" w:rsidR="002D42C1" w:rsidRPr="00DE108C" w:rsidRDefault="002D42C1" w:rsidP="00ED094E">
      <w:r w:rsidRPr="00DE108C">
        <w:t xml:space="preserve">Melbourne Water listed </w:t>
      </w:r>
      <w:r w:rsidR="5BC460A7" w:rsidRPr="00DE108C">
        <w:t>15</w:t>
      </w:r>
      <w:r w:rsidRPr="00DE108C">
        <w:t xml:space="preserve"> major projects in PS21 and these were included in the 2021 </w:t>
      </w:r>
      <w:r w:rsidR="006D4178">
        <w:t>Price</w:t>
      </w:r>
      <w:r w:rsidRPr="00DE108C">
        <w:t xml:space="preserve"> </w:t>
      </w:r>
      <w:r w:rsidR="00DD54F9" w:rsidRPr="00DE108C">
        <w:t>D</w:t>
      </w:r>
      <w:r w:rsidRPr="00DE108C">
        <w:t xml:space="preserve">etermination. Of these, four projects are being delivered by developers and funded via </w:t>
      </w:r>
      <w:r w:rsidR="00FB4197">
        <w:t>Develop</w:t>
      </w:r>
      <w:r w:rsidR="00045FD1">
        <w:t>ment</w:t>
      </w:r>
      <w:r w:rsidRPr="00DE108C">
        <w:t xml:space="preserve"> </w:t>
      </w:r>
      <w:r w:rsidR="00DD54F9" w:rsidRPr="00DE108C">
        <w:t>S</w:t>
      </w:r>
      <w:r w:rsidRPr="00DE108C">
        <w:t xml:space="preserve">ervices </w:t>
      </w:r>
      <w:r w:rsidR="00DD54F9" w:rsidRPr="00DE108C">
        <w:t>S</w:t>
      </w:r>
      <w:r w:rsidRPr="00DE108C">
        <w:t>chemes with Melbourne Water holding an oversight role in delivery. These are:</w:t>
      </w:r>
    </w:p>
    <w:p w14:paraId="00D2675A" w14:textId="77777777" w:rsidR="002D42C1" w:rsidRPr="00DE108C" w:rsidRDefault="002D42C1" w:rsidP="0067772F">
      <w:pPr>
        <w:pStyle w:val="ListBullet"/>
      </w:pPr>
      <w:r w:rsidRPr="00DE108C">
        <w:t>Shogaki Drive DSS Interim Outfall Works </w:t>
      </w:r>
    </w:p>
    <w:p w14:paraId="22D397CD" w14:textId="77777777" w:rsidR="002D42C1" w:rsidRPr="00DE108C" w:rsidRDefault="002D42C1" w:rsidP="0067772F">
      <w:pPr>
        <w:pStyle w:val="ListBullet"/>
      </w:pPr>
      <w:r w:rsidRPr="00DE108C">
        <w:t>Wylies Drain Section 3 </w:t>
      </w:r>
    </w:p>
    <w:p w14:paraId="2A735E7B" w14:textId="77777777" w:rsidR="002D42C1" w:rsidRPr="00DE108C" w:rsidRDefault="002D42C1" w:rsidP="0067772F">
      <w:pPr>
        <w:pStyle w:val="ListBullet"/>
      </w:pPr>
      <w:r w:rsidRPr="00DE108C">
        <w:t>Tributary of Skeleton Creek Upper - Section 1</w:t>
      </w:r>
    </w:p>
    <w:p w14:paraId="26FC4CD8" w14:textId="77777777" w:rsidR="002D42C1" w:rsidRPr="00DE108C" w:rsidRDefault="002D42C1" w:rsidP="0067772F">
      <w:pPr>
        <w:pStyle w:val="ListBullet"/>
      </w:pPr>
      <w:r w:rsidRPr="00DE108C">
        <w:t>Clyde Creek Section 92 Lilium WL9. </w:t>
      </w:r>
    </w:p>
    <w:p w14:paraId="381CC67C" w14:textId="77777777" w:rsidR="002D42C1" w:rsidRPr="00DE108C" w:rsidRDefault="002D42C1" w:rsidP="00ED094E">
      <w:r w:rsidRPr="00DE108C">
        <w:t xml:space="preserve">Accordingly, from 2021-22 Major Project reporting, we included four additional projects – to be delivered by Melbourne Water where we have direct oversight in delivery. The following projects are intended show our carriage of Melbourne Water delivered projects: </w:t>
      </w:r>
    </w:p>
    <w:p w14:paraId="3120425A" w14:textId="6D4B65F7" w:rsidR="002D42C1" w:rsidRPr="00DE108C" w:rsidRDefault="002D42C1" w:rsidP="0067772F">
      <w:pPr>
        <w:pStyle w:val="ListBullet"/>
      </w:pPr>
      <w:r w:rsidRPr="00DE108C">
        <w:t>The Reagan Street Retarding Basin</w:t>
      </w:r>
    </w:p>
    <w:p w14:paraId="6D2A8954" w14:textId="16BF23E6" w:rsidR="002D42C1" w:rsidRPr="00DE108C" w:rsidRDefault="002D42C1" w:rsidP="0067772F">
      <w:pPr>
        <w:pStyle w:val="ListBullet"/>
      </w:pPr>
      <w:r w:rsidRPr="00DE108C">
        <w:t>Shakespeare Grove Main Drain Renewal</w:t>
      </w:r>
    </w:p>
    <w:p w14:paraId="0B18F939" w14:textId="51D9E0D8" w:rsidR="002D42C1" w:rsidRPr="00DE108C" w:rsidRDefault="002D42C1" w:rsidP="0067772F">
      <w:pPr>
        <w:pStyle w:val="ListBullet"/>
      </w:pPr>
      <w:r w:rsidRPr="00DE108C">
        <w:t>Hallam Valley Retarding Basin Wetland</w:t>
      </w:r>
    </w:p>
    <w:p w14:paraId="249AFFAC" w14:textId="36D21530" w:rsidR="002D42C1" w:rsidRPr="00DE108C" w:rsidRDefault="002D42C1" w:rsidP="0067772F">
      <w:pPr>
        <w:pStyle w:val="ListBullet"/>
        <w:rPr>
          <w:szCs w:val="20"/>
        </w:rPr>
      </w:pPr>
      <w:r w:rsidRPr="00DE108C">
        <w:t>Gladstone St Wetland Rectification.</w:t>
      </w:r>
    </w:p>
    <w:p w14:paraId="694F25CD" w14:textId="4DB51FEF" w:rsidR="002D42C1" w:rsidRPr="00DE108C" w:rsidRDefault="764E8386" w:rsidP="00ED094E">
      <w:r>
        <w:t>Eleven</w:t>
      </w:r>
      <w:r w:rsidR="002D42C1" w:rsidRPr="00DE108C">
        <w:t xml:space="preserve"> projects included in the determination continue to have Melbourne Water as the lead, noting that one was cancelled in discussion with Greater Western Water. The three classifications of projects are shown in Tables C.1 to C.3.</w:t>
      </w:r>
    </w:p>
    <w:p w14:paraId="1C6A0BC8" w14:textId="77777777" w:rsidR="002D42C1" w:rsidRPr="00DE108C" w:rsidRDefault="002D42C1" w:rsidP="00ED094E">
      <w:r w:rsidRPr="00DE108C">
        <w:t>Table C.1 sets out projects included in Melbourne Water’s Determination that continue to be delivered by Melbourne Water.</w:t>
      </w:r>
    </w:p>
    <w:p w14:paraId="2B52B71F" w14:textId="11EB8173" w:rsidR="002D42C1" w:rsidRPr="00DE108C" w:rsidRDefault="002D42C1" w:rsidP="00ED094E">
      <w:r w:rsidRPr="00DE108C">
        <w:t xml:space="preserve">Table C.2 sets out projects not included in Melbourne Water’s </w:t>
      </w:r>
      <w:r w:rsidR="00814F91" w:rsidRPr="00DE108C">
        <w:t>D</w:t>
      </w:r>
      <w:r w:rsidRPr="00DE108C">
        <w:t>etermination that are delivered by developers.</w:t>
      </w:r>
    </w:p>
    <w:p w14:paraId="1F47F455" w14:textId="77777777" w:rsidR="002D42C1" w:rsidRPr="00DE108C" w:rsidRDefault="002D42C1" w:rsidP="00ED094E">
      <w:r w:rsidRPr="00DE108C">
        <w:t>Table C.3 sets out those additional projects Melbourne Water included for the purposes of reporting to replace projects delivered by developers.</w:t>
      </w:r>
    </w:p>
    <w:p w14:paraId="26753314" w14:textId="77777777" w:rsidR="002D42C1" w:rsidRPr="00DE108C" w:rsidRDefault="002D42C1" w:rsidP="00ED094E">
      <w:pPr>
        <w:pStyle w:val="BodyText"/>
        <w:rPr>
          <w:sz w:val="22"/>
          <w:szCs w:val="22"/>
        </w:rPr>
      </w:pPr>
    </w:p>
    <w:p w14:paraId="793543B4" w14:textId="65243101" w:rsidR="002D42C1" w:rsidRPr="00DE108C" w:rsidRDefault="002D42C1" w:rsidP="00ED094E">
      <w:pPr>
        <w:pStyle w:val="Caption"/>
      </w:pPr>
      <w:bookmarkStart w:id="1286" w:name="_Toc207893130"/>
      <w:bookmarkStart w:id="1287" w:name="_Toc208490654"/>
      <w:bookmarkStart w:id="1288" w:name="_Toc208490992"/>
      <w:bookmarkStart w:id="1289" w:name="_Toc208911150"/>
      <w:bookmarkStart w:id="1290" w:name="_Toc210051456"/>
      <w:r w:rsidRPr="00DE108C">
        <w:lastRenderedPageBreak/>
        <w:t xml:space="preserve">Table C.1: Projects include in Melbourne Water’s </w:t>
      </w:r>
      <w:r w:rsidR="00814F91" w:rsidRPr="00DE108C">
        <w:t>D</w:t>
      </w:r>
      <w:r w:rsidRPr="00DE108C">
        <w:t>etermination that Melbourne Water is delivering</w:t>
      </w:r>
      <w:bookmarkEnd w:id="1286"/>
      <w:bookmarkEnd w:id="1287"/>
      <w:bookmarkEnd w:id="1288"/>
      <w:bookmarkEnd w:id="1289"/>
      <w:bookmarkEnd w:id="1290"/>
      <w:r w:rsidRPr="00DE108C">
        <w:t> </w:t>
      </w:r>
    </w:p>
    <w:tbl>
      <w:tblPr>
        <w:tblStyle w:val="TableGrid"/>
        <w:tblW w:w="8986" w:type="dxa"/>
        <w:tblLayout w:type="fixed"/>
        <w:tblLook w:val="0420" w:firstRow="1" w:lastRow="0" w:firstColumn="0" w:lastColumn="0" w:noHBand="0" w:noVBand="1"/>
      </w:tblPr>
      <w:tblGrid>
        <w:gridCol w:w="1409"/>
        <w:gridCol w:w="7577"/>
      </w:tblGrid>
      <w:tr w:rsidR="00DA7A8D" w:rsidRPr="00DE108C" w14:paraId="7F965725" w14:textId="77777777" w:rsidTr="00FB646F">
        <w:trPr>
          <w:cnfStyle w:val="100000000000" w:firstRow="1" w:lastRow="0" w:firstColumn="0" w:lastColumn="0" w:oddVBand="0" w:evenVBand="0" w:oddHBand="0" w:evenHBand="0" w:firstRowFirstColumn="0" w:firstRowLastColumn="0" w:lastRowFirstColumn="0" w:lastRowLastColumn="0"/>
          <w:cantSplit/>
          <w:trHeight w:val="300"/>
          <w:tblHeader/>
        </w:trPr>
        <w:tc>
          <w:tcPr>
            <w:tcW w:w="1409" w:type="dxa"/>
          </w:tcPr>
          <w:p w14:paraId="0B734E80" w14:textId="77777777" w:rsidR="002D42C1" w:rsidRPr="00DE108C" w:rsidRDefault="002D42C1" w:rsidP="00ED094E">
            <w:pPr>
              <w:rPr>
                <w:b/>
                <w:color w:val="FFFFFF" w:themeColor="background1"/>
              </w:rPr>
            </w:pPr>
            <w:r w:rsidRPr="00DE108C">
              <w:rPr>
                <w:b/>
                <w:color w:val="FFFFFF" w:themeColor="background1"/>
              </w:rPr>
              <w:t>Project</w:t>
            </w:r>
          </w:p>
        </w:tc>
        <w:tc>
          <w:tcPr>
            <w:tcW w:w="7577" w:type="dxa"/>
          </w:tcPr>
          <w:p w14:paraId="61972C96" w14:textId="77777777" w:rsidR="002D42C1" w:rsidRPr="00DE108C" w:rsidRDefault="002D42C1" w:rsidP="00ED094E">
            <w:pPr>
              <w:rPr>
                <w:b/>
                <w:color w:val="FFFFFF" w:themeColor="background1"/>
              </w:rPr>
            </w:pPr>
            <w:r w:rsidRPr="00DE108C">
              <w:rPr>
                <w:b/>
                <w:color w:val="FFFFFF" w:themeColor="background1"/>
              </w:rPr>
              <w:t>Delivery update</w:t>
            </w:r>
          </w:p>
        </w:tc>
      </w:tr>
      <w:tr w:rsidR="002D42C1" w:rsidRPr="00DE108C" w14:paraId="1CBBCBD8" w14:textId="77777777" w:rsidTr="00FB646F">
        <w:trPr>
          <w:cantSplit/>
          <w:trHeight w:val="7455"/>
        </w:trPr>
        <w:tc>
          <w:tcPr>
            <w:tcW w:w="1409" w:type="dxa"/>
          </w:tcPr>
          <w:p w14:paraId="459A32C8" w14:textId="132D5FC5" w:rsidR="002D42C1" w:rsidRPr="00DE108C" w:rsidRDefault="002D42C1">
            <w:pPr>
              <w:pStyle w:val="TableText"/>
              <w:spacing w:line="240" w:lineRule="auto"/>
              <w:rPr>
                <w:color w:val="auto"/>
              </w:rPr>
            </w:pPr>
            <w:r w:rsidRPr="1ACC369E">
              <w:rPr>
                <w:rFonts w:cs="Arial"/>
                <w:color w:val="auto"/>
              </w:rPr>
              <w:t>1. W</w:t>
            </w:r>
            <w:r w:rsidR="31029482" w:rsidRPr="1ACC369E">
              <w:rPr>
                <w:rFonts w:cs="Arial"/>
                <w:color w:val="auto"/>
              </w:rPr>
              <w:t>estern Treatment Plant (</w:t>
            </w:r>
            <w:r w:rsidRPr="1ACC369E">
              <w:rPr>
                <w:rFonts w:cs="Arial"/>
                <w:color w:val="auto"/>
              </w:rPr>
              <w:t>WTP</w:t>
            </w:r>
            <w:r w:rsidR="0E383D98" w:rsidRPr="1ACC369E">
              <w:rPr>
                <w:rFonts w:cs="Arial"/>
                <w:color w:val="auto"/>
              </w:rPr>
              <w:t>)</w:t>
            </w:r>
            <w:r w:rsidRPr="1ACC369E">
              <w:rPr>
                <w:rFonts w:cs="Arial"/>
                <w:color w:val="auto"/>
              </w:rPr>
              <w:t xml:space="preserve"> Primary Treatment Augmentation </w:t>
            </w:r>
          </w:p>
        </w:tc>
        <w:tc>
          <w:tcPr>
            <w:tcW w:w="7577" w:type="dxa"/>
          </w:tcPr>
          <w:p w14:paraId="479B04BD"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Delayed/Deferred</w:t>
            </w:r>
          </w:p>
          <w:tbl>
            <w:tblPr>
              <w:tblW w:w="556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166"/>
              <w:gridCol w:w="1134"/>
              <w:gridCol w:w="1134"/>
              <w:gridCol w:w="1134"/>
            </w:tblGrid>
            <w:tr w:rsidR="002D42C1" w:rsidRPr="00DE108C" w14:paraId="7287BA49" w14:textId="77777777" w:rsidTr="00F80D71">
              <w:trPr>
                <w:trHeight w:val="300"/>
              </w:trPr>
              <w:tc>
                <w:tcPr>
                  <w:tcW w:w="2166" w:type="dxa"/>
                  <w:noWrap/>
                  <w:vAlign w:val="bottom"/>
                  <w:hideMark/>
                </w:tcPr>
                <w:p w14:paraId="21119796" w14:textId="77777777" w:rsidR="002D42C1" w:rsidRPr="00DE108C" w:rsidRDefault="002D42C1" w:rsidP="00ED094E">
                  <w:pPr>
                    <w:spacing w:line="240" w:lineRule="auto"/>
                    <w:rPr>
                      <w:color w:val="auto"/>
                      <w:sz w:val="16"/>
                      <w:szCs w:val="16"/>
                    </w:rPr>
                  </w:pPr>
                </w:p>
              </w:tc>
              <w:tc>
                <w:tcPr>
                  <w:tcW w:w="1134" w:type="dxa"/>
                  <w:noWrap/>
                  <w:vAlign w:val="bottom"/>
                  <w:hideMark/>
                </w:tcPr>
                <w:p w14:paraId="3AF10F90" w14:textId="77777777" w:rsidR="002D42C1" w:rsidRPr="00DE108C" w:rsidRDefault="002D42C1" w:rsidP="002C05FD">
                  <w:pPr>
                    <w:spacing w:line="240" w:lineRule="auto"/>
                    <w:jc w:val="center"/>
                    <w:rPr>
                      <w:b/>
                      <w:bCs/>
                      <w:color w:val="auto"/>
                      <w:sz w:val="16"/>
                      <w:szCs w:val="16"/>
                    </w:rPr>
                  </w:pPr>
                  <w:r w:rsidRPr="00DE108C">
                    <w:rPr>
                      <w:b/>
                      <w:bCs/>
                      <w:color w:val="auto"/>
                      <w:sz w:val="16"/>
                      <w:szCs w:val="16"/>
                    </w:rPr>
                    <w:t>2021-26</w:t>
                  </w:r>
                </w:p>
              </w:tc>
              <w:tc>
                <w:tcPr>
                  <w:tcW w:w="1134" w:type="dxa"/>
                  <w:noWrap/>
                  <w:vAlign w:val="bottom"/>
                  <w:hideMark/>
                </w:tcPr>
                <w:p w14:paraId="4CEED862" w14:textId="77777777" w:rsidR="002D42C1" w:rsidRPr="00DE108C" w:rsidRDefault="002D42C1" w:rsidP="002C05FD">
                  <w:pPr>
                    <w:spacing w:line="240" w:lineRule="auto"/>
                    <w:jc w:val="center"/>
                    <w:rPr>
                      <w:b/>
                      <w:bCs/>
                      <w:color w:val="auto"/>
                      <w:sz w:val="16"/>
                      <w:szCs w:val="16"/>
                    </w:rPr>
                  </w:pPr>
                  <w:r w:rsidRPr="00DE108C">
                    <w:rPr>
                      <w:b/>
                      <w:bCs/>
                      <w:color w:val="auto"/>
                      <w:sz w:val="16"/>
                      <w:szCs w:val="16"/>
                    </w:rPr>
                    <w:t>2026-31</w:t>
                  </w:r>
                </w:p>
              </w:tc>
              <w:tc>
                <w:tcPr>
                  <w:tcW w:w="1134" w:type="dxa"/>
                  <w:noWrap/>
                  <w:vAlign w:val="bottom"/>
                  <w:hideMark/>
                </w:tcPr>
                <w:p w14:paraId="01F015FA" w14:textId="77777777" w:rsidR="002D42C1" w:rsidRPr="00DE108C" w:rsidRDefault="002D42C1" w:rsidP="002C05FD">
                  <w:pPr>
                    <w:spacing w:line="240" w:lineRule="auto"/>
                    <w:jc w:val="center"/>
                    <w:rPr>
                      <w:b/>
                      <w:bCs/>
                      <w:color w:val="auto"/>
                      <w:sz w:val="16"/>
                      <w:szCs w:val="16"/>
                    </w:rPr>
                  </w:pPr>
                  <w:r w:rsidRPr="00DE108C">
                    <w:rPr>
                      <w:b/>
                      <w:bCs/>
                      <w:color w:val="auto"/>
                      <w:sz w:val="16"/>
                      <w:szCs w:val="16"/>
                    </w:rPr>
                    <w:t>Total</w:t>
                  </w:r>
                </w:p>
              </w:tc>
            </w:tr>
            <w:tr w:rsidR="002D42C1" w:rsidRPr="00DE108C" w14:paraId="59DDD4DA" w14:textId="77777777" w:rsidTr="00F80D71">
              <w:trPr>
                <w:trHeight w:val="300"/>
              </w:trPr>
              <w:tc>
                <w:tcPr>
                  <w:tcW w:w="2166" w:type="dxa"/>
                  <w:noWrap/>
                  <w:vAlign w:val="bottom"/>
                  <w:hideMark/>
                </w:tcPr>
                <w:p w14:paraId="5C0271A4" w14:textId="77777777" w:rsidR="002D42C1" w:rsidRPr="00DE108C" w:rsidRDefault="002D42C1" w:rsidP="00ED094E">
                  <w:pPr>
                    <w:spacing w:line="240" w:lineRule="auto"/>
                    <w:rPr>
                      <w:b/>
                      <w:bCs/>
                      <w:color w:val="auto"/>
                      <w:sz w:val="16"/>
                      <w:szCs w:val="16"/>
                    </w:rPr>
                  </w:pPr>
                  <w:r w:rsidRPr="00DE108C">
                    <w:rPr>
                      <w:b/>
                      <w:bCs/>
                      <w:color w:val="auto"/>
                      <w:sz w:val="16"/>
                      <w:szCs w:val="16"/>
                    </w:rPr>
                    <w:t>Determination</w:t>
                  </w:r>
                </w:p>
              </w:tc>
              <w:tc>
                <w:tcPr>
                  <w:tcW w:w="1134" w:type="dxa"/>
                  <w:noWrap/>
                  <w:vAlign w:val="bottom"/>
                  <w:hideMark/>
                </w:tcPr>
                <w:p w14:paraId="64CE795E" w14:textId="77777777" w:rsidR="002D42C1" w:rsidRPr="00DE108C" w:rsidRDefault="002D42C1" w:rsidP="00ED094E">
                  <w:pPr>
                    <w:spacing w:line="240" w:lineRule="auto"/>
                    <w:jc w:val="right"/>
                    <w:rPr>
                      <w:color w:val="auto"/>
                      <w:sz w:val="16"/>
                      <w:szCs w:val="16"/>
                    </w:rPr>
                  </w:pPr>
                  <w:r w:rsidRPr="00DE108C">
                    <w:rPr>
                      <w:color w:val="auto"/>
                      <w:sz w:val="16"/>
                      <w:szCs w:val="16"/>
                    </w:rPr>
                    <w:t>$380.4 m</w:t>
                  </w:r>
                </w:p>
              </w:tc>
              <w:tc>
                <w:tcPr>
                  <w:tcW w:w="1134" w:type="dxa"/>
                  <w:noWrap/>
                  <w:vAlign w:val="bottom"/>
                  <w:hideMark/>
                </w:tcPr>
                <w:p w14:paraId="6012EE5A" w14:textId="77777777" w:rsidR="002D42C1" w:rsidRPr="00DE108C" w:rsidRDefault="002D42C1" w:rsidP="00ED094E">
                  <w:pPr>
                    <w:spacing w:line="240" w:lineRule="auto"/>
                    <w:jc w:val="right"/>
                    <w:rPr>
                      <w:color w:val="auto"/>
                      <w:sz w:val="16"/>
                      <w:szCs w:val="16"/>
                    </w:rPr>
                  </w:pPr>
                  <w:r w:rsidRPr="00DE108C">
                    <w:rPr>
                      <w:color w:val="auto"/>
                      <w:sz w:val="16"/>
                      <w:szCs w:val="16"/>
                    </w:rPr>
                    <w:t>-</w:t>
                  </w:r>
                </w:p>
              </w:tc>
              <w:tc>
                <w:tcPr>
                  <w:tcW w:w="1134" w:type="dxa"/>
                  <w:noWrap/>
                  <w:vAlign w:val="bottom"/>
                  <w:hideMark/>
                </w:tcPr>
                <w:p w14:paraId="514EDF6A" w14:textId="77777777" w:rsidR="002D42C1" w:rsidRPr="00DE108C" w:rsidRDefault="002D42C1" w:rsidP="00ED094E">
                  <w:pPr>
                    <w:spacing w:line="240" w:lineRule="auto"/>
                    <w:jc w:val="right"/>
                    <w:rPr>
                      <w:color w:val="auto"/>
                      <w:sz w:val="16"/>
                      <w:szCs w:val="16"/>
                    </w:rPr>
                  </w:pPr>
                  <w:r w:rsidRPr="00DE108C">
                    <w:rPr>
                      <w:color w:val="auto"/>
                      <w:sz w:val="16"/>
                      <w:szCs w:val="16"/>
                    </w:rPr>
                    <w:t>$380.4 m</w:t>
                  </w:r>
                </w:p>
              </w:tc>
            </w:tr>
            <w:tr w:rsidR="002D42C1" w:rsidRPr="00DE108C" w14:paraId="3A4E788C" w14:textId="77777777" w:rsidTr="00F80D71">
              <w:trPr>
                <w:trHeight w:val="300"/>
              </w:trPr>
              <w:tc>
                <w:tcPr>
                  <w:tcW w:w="2166" w:type="dxa"/>
                  <w:noWrap/>
                  <w:vAlign w:val="bottom"/>
                  <w:hideMark/>
                </w:tcPr>
                <w:p w14:paraId="2E3B85E4" w14:textId="77777777" w:rsidR="002D42C1" w:rsidRPr="00DE108C" w:rsidRDefault="002D42C1" w:rsidP="00ED094E">
                  <w:pPr>
                    <w:spacing w:line="240" w:lineRule="auto"/>
                    <w:rPr>
                      <w:b/>
                      <w:bCs/>
                      <w:color w:val="auto"/>
                      <w:sz w:val="16"/>
                      <w:szCs w:val="16"/>
                    </w:rPr>
                  </w:pPr>
                  <w:r w:rsidRPr="00DE108C">
                    <w:rPr>
                      <w:b/>
                      <w:bCs/>
                      <w:color w:val="auto"/>
                      <w:sz w:val="16"/>
                      <w:szCs w:val="16"/>
                    </w:rPr>
                    <w:t>Actual/Forecast</w:t>
                  </w:r>
                </w:p>
              </w:tc>
              <w:tc>
                <w:tcPr>
                  <w:tcW w:w="1134" w:type="dxa"/>
                  <w:noWrap/>
                  <w:vAlign w:val="bottom"/>
                  <w:hideMark/>
                </w:tcPr>
                <w:p w14:paraId="3C8C3560" w14:textId="77777777" w:rsidR="002D42C1" w:rsidRPr="00DE108C" w:rsidRDefault="002D42C1" w:rsidP="00ED094E">
                  <w:pPr>
                    <w:spacing w:line="240" w:lineRule="auto"/>
                    <w:jc w:val="right"/>
                    <w:rPr>
                      <w:color w:val="auto"/>
                      <w:sz w:val="16"/>
                      <w:szCs w:val="16"/>
                    </w:rPr>
                  </w:pPr>
                  <w:r w:rsidRPr="00DE108C">
                    <w:rPr>
                      <w:color w:val="auto"/>
                      <w:sz w:val="16"/>
                      <w:szCs w:val="16"/>
                    </w:rPr>
                    <w:t>$264.0 m</w:t>
                  </w:r>
                </w:p>
              </w:tc>
              <w:tc>
                <w:tcPr>
                  <w:tcW w:w="1134" w:type="dxa"/>
                  <w:noWrap/>
                  <w:vAlign w:val="bottom"/>
                  <w:hideMark/>
                </w:tcPr>
                <w:p w14:paraId="69E86A88" w14:textId="77777777" w:rsidR="002D42C1" w:rsidRPr="00DE108C" w:rsidRDefault="002D42C1" w:rsidP="00ED094E">
                  <w:pPr>
                    <w:spacing w:line="240" w:lineRule="auto"/>
                    <w:jc w:val="right"/>
                    <w:rPr>
                      <w:color w:val="auto"/>
                      <w:sz w:val="16"/>
                      <w:szCs w:val="16"/>
                    </w:rPr>
                  </w:pPr>
                  <w:r w:rsidRPr="00DE108C">
                    <w:rPr>
                      <w:color w:val="auto"/>
                      <w:sz w:val="16"/>
                      <w:szCs w:val="16"/>
                    </w:rPr>
                    <w:t>$113.1 m</w:t>
                  </w:r>
                </w:p>
              </w:tc>
              <w:tc>
                <w:tcPr>
                  <w:tcW w:w="1134" w:type="dxa"/>
                  <w:noWrap/>
                  <w:vAlign w:val="bottom"/>
                  <w:hideMark/>
                </w:tcPr>
                <w:p w14:paraId="144BC843" w14:textId="77777777" w:rsidR="002D42C1" w:rsidRPr="00DE108C" w:rsidRDefault="002D42C1" w:rsidP="00ED094E">
                  <w:pPr>
                    <w:spacing w:line="240" w:lineRule="auto"/>
                    <w:jc w:val="right"/>
                    <w:rPr>
                      <w:color w:val="auto"/>
                      <w:sz w:val="16"/>
                      <w:szCs w:val="16"/>
                    </w:rPr>
                  </w:pPr>
                  <w:r w:rsidRPr="00DE108C">
                    <w:rPr>
                      <w:color w:val="auto"/>
                      <w:sz w:val="16"/>
                      <w:szCs w:val="16"/>
                    </w:rPr>
                    <w:t>$377.1 m</w:t>
                  </w:r>
                </w:p>
              </w:tc>
            </w:tr>
            <w:tr w:rsidR="002D42C1" w:rsidRPr="00DE108C" w14:paraId="51E773FE" w14:textId="77777777" w:rsidTr="00F80D71">
              <w:trPr>
                <w:trHeight w:val="300"/>
              </w:trPr>
              <w:tc>
                <w:tcPr>
                  <w:tcW w:w="2166" w:type="dxa"/>
                  <w:noWrap/>
                  <w:vAlign w:val="bottom"/>
                </w:tcPr>
                <w:p w14:paraId="6F737443" w14:textId="77777777" w:rsidR="002D42C1" w:rsidRPr="00DE108C" w:rsidRDefault="002D42C1" w:rsidP="00ED094E">
                  <w:pPr>
                    <w:spacing w:line="240" w:lineRule="auto"/>
                    <w:rPr>
                      <w:b/>
                      <w:bCs/>
                      <w:color w:val="auto"/>
                      <w:sz w:val="16"/>
                      <w:szCs w:val="16"/>
                    </w:rPr>
                  </w:pPr>
                  <w:r w:rsidRPr="00DE108C">
                    <w:rPr>
                      <w:b/>
                      <w:bCs/>
                      <w:color w:val="auto"/>
                      <w:sz w:val="16"/>
                      <w:szCs w:val="16"/>
                    </w:rPr>
                    <w:t>Difference</w:t>
                  </w:r>
                </w:p>
              </w:tc>
              <w:tc>
                <w:tcPr>
                  <w:tcW w:w="1134" w:type="dxa"/>
                  <w:noWrap/>
                  <w:vAlign w:val="bottom"/>
                </w:tcPr>
                <w:p w14:paraId="3B4033A3" w14:textId="77777777" w:rsidR="002D42C1" w:rsidRPr="00DE108C" w:rsidRDefault="002D42C1" w:rsidP="00ED094E">
                  <w:pPr>
                    <w:spacing w:line="240" w:lineRule="auto"/>
                    <w:jc w:val="right"/>
                    <w:rPr>
                      <w:color w:val="auto"/>
                      <w:sz w:val="16"/>
                      <w:szCs w:val="16"/>
                    </w:rPr>
                  </w:pPr>
                  <w:r w:rsidRPr="00DE108C">
                    <w:rPr>
                      <w:rFonts w:ascii="Verdana" w:hAnsi="Verdana"/>
                      <w:sz w:val="16"/>
                      <w:szCs w:val="16"/>
                    </w:rPr>
                    <w:t>-$116.4 m</w:t>
                  </w:r>
                </w:p>
              </w:tc>
              <w:tc>
                <w:tcPr>
                  <w:tcW w:w="1134" w:type="dxa"/>
                  <w:noWrap/>
                  <w:vAlign w:val="bottom"/>
                </w:tcPr>
                <w:p w14:paraId="2909D373" w14:textId="77777777" w:rsidR="002D42C1" w:rsidRPr="00DE108C" w:rsidRDefault="002D42C1" w:rsidP="00ED094E">
                  <w:pPr>
                    <w:spacing w:line="240" w:lineRule="auto"/>
                    <w:jc w:val="right"/>
                    <w:rPr>
                      <w:color w:val="auto"/>
                      <w:sz w:val="16"/>
                      <w:szCs w:val="16"/>
                    </w:rPr>
                  </w:pPr>
                  <w:r w:rsidRPr="00DE108C">
                    <w:rPr>
                      <w:rFonts w:ascii="Verdana" w:hAnsi="Verdana"/>
                      <w:sz w:val="16"/>
                      <w:szCs w:val="16"/>
                    </w:rPr>
                    <w:t>$113.1 m</w:t>
                  </w:r>
                </w:p>
              </w:tc>
              <w:tc>
                <w:tcPr>
                  <w:tcW w:w="1134" w:type="dxa"/>
                  <w:noWrap/>
                  <w:vAlign w:val="bottom"/>
                </w:tcPr>
                <w:p w14:paraId="7901B771" w14:textId="77777777" w:rsidR="002D42C1" w:rsidRPr="00DE108C" w:rsidRDefault="002D42C1" w:rsidP="00ED094E">
                  <w:pPr>
                    <w:spacing w:line="240" w:lineRule="auto"/>
                    <w:jc w:val="right"/>
                    <w:rPr>
                      <w:color w:val="auto"/>
                      <w:sz w:val="16"/>
                      <w:szCs w:val="16"/>
                    </w:rPr>
                  </w:pPr>
                  <w:r w:rsidRPr="00DE108C">
                    <w:rPr>
                      <w:rFonts w:ascii="Verdana" w:hAnsi="Verdana"/>
                      <w:sz w:val="16"/>
                      <w:szCs w:val="16"/>
                    </w:rPr>
                    <w:t>-$3.3 m</w:t>
                  </w:r>
                </w:p>
              </w:tc>
            </w:tr>
          </w:tbl>
          <w:p w14:paraId="3759C08C" w14:textId="77777777" w:rsidR="002D42C1" w:rsidRPr="00DE108C" w:rsidRDefault="002D42C1" w:rsidP="00ED094E">
            <w:pPr>
              <w:pStyle w:val="TableText"/>
              <w:spacing w:line="240" w:lineRule="auto"/>
              <w:rPr>
                <w:rFonts w:cstheme="minorBidi"/>
                <w:b/>
                <w:bCs/>
                <w:color w:val="auto"/>
                <w:szCs w:val="16"/>
              </w:rPr>
            </w:pPr>
          </w:p>
          <w:p w14:paraId="093C9C92" w14:textId="77777777" w:rsidR="002D42C1" w:rsidRPr="00DE108C" w:rsidRDefault="002D42C1">
            <w:pPr>
              <w:pStyle w:val="TableText"/>
              <w:spacing w:line="240" w:lineRule="auto"/>
              <w:rPr>
                <w:color w:val="auto"/>
                <w:szCs w:val="16"/>
              </w:rPr>
            </w:pPr>
            <w:r w:rsidRPr="00DE108C">
              <w:rPr>
                <w:rFonts w:cstheme="minorBidi"/>
                <w:b/>
                <w:bCs/>
                <w:color w:val="auto"/>
                <w:szCs w:val="16"/>
              </w:rPr>
              <w:t xml:space="preserve">Original start/finish: </w:t>
            </w:r>
            <w:r w:rsidRPr="00DE108C">
              <w:rPr>
                <w:rFonts w:cs="Arial"/>
                <w:color w:val="auto"/>
                <w:szCs w:val="16"/>
              </w:rPr>
              <w:t>2020-21 to 2025-26</w:t>
            </w:r>
          </w:p>
          <w:p w14:paraId="754F3B1E" w14:textId="0E09CF3C" w:rsidR="002D42C1" w:rsidRPr="00DE108C" w:rsidRDefault="002D42C1">
            <w:pPr>
              <w:pStyle w:val="TableText"/>
              <w:spacing w:line="240" w:lineRule="auto"/>
              <w:rPr>
                <w:color w:val="auto"/>
                <w:szCs w:val="16"/>
              </w:rPr>
            </w:pPr>
            <w:r w:rsidRPr="00DE108C">
              <w:rPr>
                <w:rFonts w:cstheme="minorBidi"/>
                <w:b/>
                <w:bCs/>
                <w:color w:val="auto"/>
                <w:szCs w:val="16"/>
              </w:rPr>
              <w:t xml:space="preserve">Expected start/finish: </w:t>
            </w:r>
            <w:r w:rsidRPr="00DE108C">
              <w:rPr>
                <w:rFonts w:cs="Arial"/>
                <w:color w:val="auto"/>
                <w:szCs w:val="16"/>
              </w:rPr>
              <w:t>2023-24 to 202</w:t>
            </w:r>
            <w:r w:rsidR="00B00472" w:rsidRPr="00DE108C">
              <w:rPr>
                <w:rFonts w:cs="Arial"/>
                <w:color w:val="auto"/>
                <w:szCs w:val="16"/>
              </w:rPr>
              <w:t>8</w:t>
            </w:r>
            <w:r w:rsidRPr="00DE108C">
              <w:rPr>
                <w:rFonts w:cs="Arial"/>
                <w:color w:val="auto"/>
                <w:szCs w:val="16"/>
              </w:rPr>
              <w:t>-2</w:t>
            </w:r>
            <w:r w:rsidR="00B00472" w:rsidRPr="00DE108C">
              <w:rPr>
                <w:rFonts w:cs="Arial"/>
                <w:color w:val="auto"/>
                <w:szCs w:val="16"/>
              </w:rPr>
              <w:t>9</w:t>
            </w:r>
          </w:p>
          <w:p w14:paraId="7B9BE2EF" w14:textId="77777777" w:rsidR="002D42C1" w:rsidRPr="00DE108C" w:rsidRDefault="002D42C1">
            <w:pPr>
              <w:pStyle w:val="TableText"/>
              <w:spacing w:line="240" w:lineRule="auto"/>
              <w:rPr>
                <w:rFonts w:cs="Arial"/>
                <w:color w:val="auto"/>
                <w:szCs w:val="16"/>
              </w:rPr>
            </w:pPr>
          </w:p>
          <w:p w14:paraId="265DE08A"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Reasons for delay</w:t>
            </w:r>
          </w:p>
          <w:p w14:paraId="7A7BCF64" w14:textId="77777777" w:rsidR="002D42C1" w:rsidRPr="00DE108C" w:rsidRDefault="002D42C1" w:rsidP="00ED094E">
            <w:pPr>
              <w:pStyle w:val="TableText"/>
              <w:rPr>
                <w:rFonts w:cstheme="minorBidi"/>
                <w:color w:val="auto"/>
                <w:szCs w:val="16"/>
              </w:rPr>
            </w:pPr>
            <w:r w:rsidRPr="00DE108C">
              <w:rPr>
                <w:rFonts w:cstheme="minorBidi"/>
                <w:color w:val="auto"/>
                <w:szCs w:val="16"/>
              </w:rPr>
              <w:t>The commencement of this Project was intentionally delayed for two reasons:</w:t>
            </w:r>
          </w:p>
          <w:p w14:paraId="7AD0378B" w14:textId="77777777" w:rsidR="002D42C1" w:rsidRPr="00DE108C" w:rsidRDefault="002D42C1" w:rsidP="00F44AC8">
            <w:pPr>
              <w:pStyle w:val="Tablebullet"/>
            </w:pPr>
            <w:r w:rsidRPr="00DE108C">
              <w:t>To allow bundling with complementary projects including the WTP WAS Treatment Augmentation Project, WTP Tankered Waste Facility and WTP Liquid Food Waste Processing Facility to optimise the combined delivery strategy for construction efficiencies and reduced total cost for customers.</w:t>
            </w:r>
          </w:p>
          <w:p w14:paraId="20EFD864" w14:textId="77777777" w:rsidR="002D42C1" w:rsidRPr="00DE108C" w:rsidRDefault="002D42C1" w:rsidP="00F44AC8">
            <w:pPr>
              <w:pStyle w:val="Tablebullet"/>
            </w:pPr>
            <w:r w:rsidRPr="00DE108C">
              <w:t>To accommodate additional time taken to procure delivery support to ensure greater certainty of project costs in a time of unprecedented cost escalation following the COVID-19 pandemic.</w:t>
            </w:r>
          </w:p>
          <w:p w14:paraId="2C4D48C6"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Impact to customers and community</w:t>
            </w:r>
          </w:p>
          <w:p w14:paraId="5683E382" w14:textId="6ACBB044" w:rsidR="002D42C1" w:rsidRPr="00DE108C" w:rsidRDefault="002D42C1" w:rsidP="001D2359">
            <w:pPr>
              <w:pStyle w:val="TableText"/>
              <w:tabs>
                <w:tab w:val="left" w:pos="51"/>
              </w:tabs>
              <w:spacing w:before="0" w:after="0" w:line="240" w:lineRule="auto"/>
              <w:rPr>
                <w:rFonts w:cstheme="minorBidi"/>
                <w:color w:val="auto"/>
                <w:szCs w:val="16"/>
              </w:rPr>
            </w:pPr>
            <w:r w:rsidRPr="20F1ED0B">
              <w:rPr>
                <w:rFonts w:cstheme="minorBidi"/>
                <w:color w:val="auto"/>
              </w:rPr>
              <w:t>We have absorbed the impact from the project delay in the form of periods of reduced biogas generation, increased greenhouse gas emissions and increased odour environmental compliance risk.</w:t>
            </w:r>
          </w:p>
        </w:tc>
      </w:tr>
      <w:tr w:rsidR="00A5757A" w:rsidRPr="00DE108C" w14:paraId="1717155B" w14:textId="77777777" w:rsidTr="00FB646F">
        <w:trPr>
          <w:cnfStyle w:val="000000010000" w:firstRow="0" w:lastRow="0" w:firstColumn="0" w:lastColumn="0" w:oddVBand="0" w:evenVBand="0" w:oddHBand="0" w:evenHBand="1" w:firstRowFirstColumn="0" w:firstRowLastColumn="0" w:lastRowFirstColumn="0" w:lastRowLastColumn="0"/>
          <w:cantSplit/>
          <w:trHeight w:val="300"/>
        </w:trPr>
        <w:tc>
          <w:tcPr>
            <w:tcW w:w="1409" w:type="dxa"/>
          </w:tcPr>
          <w:p w14:paraId="6B87DA3C" w14:textId="77777777" w:rsidR="002D42C1" w:rsidRPr="00DE108C" w:rsidRDefault="002D42C1">
            <w:pPr>
              <w:pStyle w:val="TableText"/>
              <w:spacing w:line="240" w:lineRule="auto"/>
              <w:rPr>
                <w:color w:val="auto"/>
                <w:szCs w:val="16"/>
              </w:rPr>
            </w:pPr>
            <w:r w:rsidRPr="00DE108C">
              <w:rPr>
                <w:rFonts w:cs="Arial"/>
                <w:color w:val="auto"/>
                <w:szCs w:val="16"/>
              </w:rPr>
              <w:t>2. WTP 5 West Nutrient Removal Plant</w:t>
            </w:r>
            <w:r w:rsidRPr="00DE108C">
              <w:rPr>
                <w:color w:val="auto"/>
                <w:szCs w:val="16"/>
              </w:rPr>
              <w:t xml:space="preserve"> (WTP 55E Activated Sludge Plant Upgrade)</w:t>
            </w:r>
          </w:p>
        </w:tc>
        <w:tc>
          <w:tcPr>
            <w:tcW w:w="7577" w:type="dxa"/>
          </w:tcPr>
          <w:p w14:paraId="55CC158C"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On Schedule</w:t>
            </w:r>
          </w:p>
          <w:p w14:paraId="11638F7A" w14:textId="77777777" w:rsidR="002D42C1" w:rsidRPr="00DE108C" w:rsidRDefault="002D42C1" w:rsidP="00ED094E">
            <w:pPr>
              <w:pStyle w:val="TableText"/>
              <w:spacing w:line="240" w:lineRule="auto"/>
              <w:rPr>
                <w:rFonts w:cstheme="minorBidi"/>
                <w:b/>
                <w:bCs/>
                <w:color w:val="auto"/>
                <w:szCs w:val="16"/>
              </w:rPr>
            </w:pPr>
          </w:p>
          <w:tbl>
            <w:tblPr>
              <w:tblW w:w="5376"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1988"/>
              <w:gridCol w:w="1196"/>
              <w:gridCol w:w="1200"/>
              <w:gridCol w:w="992"/>
            </w:tblGrid>
            <w:tr w:rsidR="002D42C1" w:rsidRPr="00DE108C" w14:paraId="3CF34789" w14:textId="77777777" w:rsidTr="00F80D71">
              <w:trPr>
                <w:trHeight w:val="285"/>
              </w:trPr>
              <w:tc>
                <w:tcPr>
                  <w:tcW w:w="1988" w:type="dxa"/>
                  <w:noWrap/>
                  <w:vAlign w:val="bottom"/>
                  <w:hideMark/>
                </w:tcPr>
                <w:p w14:paraId="3383F936" w14:textId="77777777" w:rsidR="002D42C1" w:rsidRPr="00DE108C" w:rsidRDefault="002D42C1" w:rsidP="00ED094E">
                  <w:pPr>
                    <w:spacing w:line="240" w:lineRule="auto"/>
                    <w:rPr>
                      <w:rFonts w:ascii="Times New Roman" w:hAnsi="Times New Roman"/>
                      <w:color w:val="auto"/>
                      <w:sz w:val="16"/>
                      <w:szCs w:val="16"/>
                    </w:rPr>
                  </w:pPr>
                </w:p>
              </w:tc>
              <w:tc>
                <w:tcPr>
                  <w:tcW w:w="1196" w:type="dxa"/>
                  <w:noWrap/>
                  <w:vAlign w:val="bottom"/>
                  <w:hideMark/>
                </w:tcPr>
                <w:p w14:paraId="68FC67CE"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1200" w:type="dxa"/>
                  <w:noWrap/>
                  <w:vAlign w:val="bottom"/>
                  <w:hideMark/>
                </w:tcPr>
                <w:p w14:paraId="362725D9"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992" w:type="dxa"/>
                  <w:noWrap/>
                  <w:vAlign w:val="bottom"/>
                  <w:hideMark/>
                </w:tcPr>
                <w:p w14:paraId="16E3D1C6"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6B6F145D" w14:textId="77777777" w:rsidTr="00F80D71">
              <w:trPr>
                <w:trHeight w:val="285"/>
              </w:trPr>
              <w:tc>
                <w:tcPr>
                  <w:tcW w:w="1988" w:type="dxa"/>
                  <w:noWrap/>
                  <w:vAlign w:val="bottom"/>
                  <w:hideMark/>
                </w:tcPr>
                <w:p w14:paraId="5C0C2BDC"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59FB6FA3" w14:textId="2FA2F1DD" w:rsidR="002D42C1" w:rsidRPr="00DE108C" w:rsidRDefault="006F452A" w:rsidP="00ED094E">
                  <w:pPr>
                    <w:spacing w:line="240" w:lineRule="auto"/>
                    <w:jc w:val="right"/>
                    <w:rPr>
                      <w:rFonts w:ascii="Verdana" w:hAnsi="Verdana"/>
                      <w:color w:val="auto"/>
                      <w:sz w:val="16"/>
                      <w:szCs w:val="16"/>
                    </w:rPr>
                  </w:pPr>
                  <w:r>
                    <w:rPr>
                      <w:rFonts w:ascii="Verdana" w:hAnsi="Verdana"/>
                      <w:color w:val="auto"/>
                      <w:sz w:val="16"/>
                      <w:szCs w:val="16"/>
                    </w:rPr>
                    <w:t>$</w:t>
                  </w:r>
                  <w:r w:rsidR="002D42C1" w:rsidRPr="00DE108C">
                    <w:rPr>
                      <w:rFonts w:ascii="Verdana" w:hAnsi="Verdana"/>
                      <w:color w:val="auto"/>
                      <w:sz w:val="16"/>
                      <w:szCs w:val="16"/>
                    </w:rPr>
                    <w:t>240.6</w:t>
                  </w:r>
                  <w:r>
                    <w:rPr>
                      <w:rFonts w:ascii="Verdana" w:hAnsi="Verdana"/>
                      <w:color w:val="auto"/>
                      <w:sz w:val="16"/>
                      <w:szCs w:val="16"/>
                    </w:rPr>
                    <w:t>m</w:t>
                  </w:r>
                </w:p>
              </w:tc>
              <w:tc>
                <w:tcPr>
                  <w:tcW w:w="1200" w:type="dxa"/>
                  <w:noWrap/>
                  <w:vAlign w:val="bottom"/>
                  <w:hideMark/>
                </w:tcPr>
                <w:p w14:paraId="1DF69C74"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992" w:type="dxa"/>
                  <w:noWrap/>
                  <w:vAlign w:val="bottom"/>
                  <w:hideMark/>
                </w:tcPr>
                <w:p w14:paraId="18DCD89F" w14:textId="19CC8213" w:rsidR="002D42C1" w:rsidRPr="00DE108C" w:rsidRDefault="006F452A" w:rsidP="00ED094E">
                  <w:pPr>
                    <w:spacing w:line="240" w:lineRule="auto"/>
                    <w:jc w:val="right"/>
                    <w:rPr>
                      <w:rFonts w:ascii="Verdana" w:hAnsi="Verdana"/>
                      <w:color w:val="auto"/>
                      <w:sz w:val="16"/>
                      <w:szCs w:val="16"/>
                    </w:rPr>
                  </w:pPr>
                  <w:r>
                    <w:rPr>
                      <w:rFonts w:ascii="Verdana" w:hAnsi="Verdana"/>
                      <w:color w:val="auto"/>
                      <w:sz w:val="16"/>
                      <w:szCs w:val="16"/>
                    </w:rPr>
                    <w:t>$</w:t>
                  </w:r>
                  <w:r w:rsidR="002D42C1" w:rsidRPr="00DE108C">
                    <w:rPr>
                      <w:rFonts w:ascii="Verdana" w:hAnsi="Verdana"/>
                      <w:color w:val="auto"/>
                      <w:sz w:val="16"/>
                      <w:szCs w:val="16"/>
                    </w:rPr>
                    <w:t>240.6</w:t>
                  </w:r>
                  <w:r>
                    <w:rPr>
                      <w:rFonts w:ascii="Verdana" w:hAnsi="Verdana"/>
                      <w:color w:val="auto"/>
                      <w:sz w:val="16"/>
                      <w:szCs w:val="16"/>
                    </w:rPr>
                    <w:t>m</w:t>
                  </w:r>
                </w:p>
              </w:tc>
            </w:tr>
            <w:tr w:rsidR="002D42C1" w:rsidRPr="00DE108C" w14:paraId="0FAAC019" w14:textId="77777777" w:rsidTr="00F80D71">
              <w:trPr>
                <w:trHeight w:val="285"/>
              </w:trPr>
              <w:tc>
                <w:tcPr>
                  <w:tcW w:w="1988" w:type="dxa"/>
                  <w:noWrap/>
                  <w:vAlign w:val="bottom"/>
                  <w:hideMark/>
                </w:tcPr>
                <w:p w14:paraId="1F6D345D"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3B7EA1F0" w14:textId="19258A12" w:rsidR="002D42C1" w:rsidRPr="00DE108C" w:rsidRDefault="006F452A" w:rsidP="00ED094E">
                  <w:pPr>
                    <w:spacing w:line="240" w:lineRule="auto"/>
                    <w:jc w:val="right"/>
                    <w:rPr>
                      <w:rFonts w:ascii="Verdana" w:hAnsi="Verdana"/>
                      <w:color w:val="auto"/>
                      <w:sz w:val="16"/>
                      <w:szCs w:val="16"/>
                    </w:rPr>
                  </w:pPr>
                  <w:r>
                    <w:rPr>
                      <w:rFonts w:ascii="Verdana" w:hAnsi="Verdana"/>
                      <w:color w:val="auto"/>
                      <w:sz w:val="16"/>
                      <w:szCs w:val="16"/>
                    </w:rPr>
                    <w:t>$</w:t>
                  </w:r>
                  <w:r w:rsidR="002D42C1" w:rsidRPr="00DE108C">
                    <w:rPr>
                      <w:rFonts w:ascii="Verdana" w:hAnsi="Verdana"/>
                      <w:color w:val="auto"/>
                      <w:sz w:val="16"/>
                      <w:szCs w:val="16"/>
                    </w:rPr>
                    <w:t>364.4</w:t>
                  </w:r>
                  <w:r>
                    <w:rPr>
                      <w:rFonts w:ascii="Verdana" w:hAnsi="Verdana"/>
                      <w:color w:val="auto"/>
                      <w:sz w:val="16"/>
                      <w:szCs w:val="16"/>
                    </w:rPr>
                    <w:t>m</w:t>
                  </w:r>
                </w:p>
              </w:tc>
              <w:tc>
                <w:tcPr>
                  <w:tcW w:w="1200" w:type="dxa"/>
                  <w:noWrap/>
                  <w:vAlign w:val="bottom"/>
                  <w:hideMark/>
                </w:tcPr>
                <w:p w14:paraId="041738FA" w14:textId="36F6829C" w:rsidR="002D42C1" w:rsidRPr="00DE108C" w:rsidRDefault="006F452A" w:rsidP="00ED094E">
                  <w:pPr>
                    <w:spacing w:line="240" w:lineRule="auto"/>
                    <w:jc w:val="right"/>
                    <w:rPr>
                      <w:rFonts w:ascii="Verdana" w:hAnsi="Verdana"/>
                      <w:color w:val="auto"/>
                      <w:sz w:val="16"/>
                      <w:szCs w:val="16"/>
                    </w:rPr>
                  </w:pPr>
                  <w:r>
                    <w:rPr>
                      <w:rFonts w:ascii="Verdana" w:hAnsi="Verdana"/>
                      <w:color w:val="auto"/>
                      <w:sz w:val="16"/>
                      <w:szCs w:val="16"/>
                    </w:rPr>
                    <w:t>$</w:t>
                  </w:r>
                  <w:r w:rsidR="002D42C1" w:rsidRPr="00DE108C">
                    <w:rPr>
                      <w:rFonts w:ascii="Verdana" w:hAnsi="Verdana"/>
                      <w:color w:val="auto"/>
                      <w:sz w:val="16"/>
                      <w:szCs w:val="16"/>
                    </w:rPr>
                    <w:t>0.3</w:t>
                  </w:r>
                  <w:r>
                    <w:rPr>
                      <w:rFonts w:ascii="Verdana" w:hAnsi="Verdana"/>
                      <w:color w:val="auto"/>
                      <w:sz w:val="16"/>
                      <w:szCs w:val="16"/>
                    </w:rPr>
                    <w:t>m</w:t>
                  </w:r>
                </w:p>
              </w:tc>
              <w:tc>
                <w:tcPr>
                  <w:tcW w:w="992" w:type="dxa"/>
                  <w:noWrap/>
                  <w:vAlign w:val="bottom"/>
                  <w:hideMark/>
                </w:tcPr>
                <w:p w14:paraId="09F1788F" w14:textId="55A6C3C1" w:rsidR="002D42C1" w:rsidRPr="00DE108C" w:rsidRDefault="006F452A" w:rsidP="00ED094E">
                  <w:pPr>
                    <w:spacing w:line="240" w:lineRule="auto"/>
                    <w:jc w:val="right"/>
                    <w:rPr>
                      <w:rFonts w:ascii="Verdana" w:hAnsi="Verdana"/>
                      <w:color w:val="auto"/>
                      <w:sz w:val="16"/>
                      <w:szCs w:val="16"/>
                    </w:rPr>
                  </w:pPr>
                  <w:r>
                    <w:rPr>
                      <w:rFonts w:ascii="Verdana" w:hAnsi="Verdana"/>
                      <w:color w:val="auto"/>
                      <w:sz w:val="16"/>
                      <w:szCs w:val="16"/>
                    </w:rPr>
                    <w:t>$</w:t>
                  </w:r>
                  <w:r w:rsidR="002D42C1" w:rsidRPr="00DE108C">
                    <w:rPr>
                      <w:rFonts w:ascii="Verdana" w:hAnsi="Verdana"/>
                      <w:color w:val="auto"/>
                      <w:sz w:val="16"/>
                      <w:szCs w:val="16"/>
                    </w:rPr>
                    <w:t>364.8</w:t>
                  </w:r>
                  <w:r>
                    <w:rPr>
                      <w:rFonts w:ascii="Verdana" w:hAnsi="Verdana"/>
                      <w:color w:val="auto"/>
                      <w:sz w:val="16"/>
                      <w:szCs w:val="16"/>
                    </w:rPr>
                    <w:t>m</w:t>
                  </w:r>
                </w:p>
              </w:tc>
            </w:tr>
            <w:tr w:rsidR="002D42C1" w:rsidRPr="00DE108C" w14:paraId="1F3BCD76" w14:textId="77777777" w:rsidTr="00F80D71">
              <w:trPr>
                <w:trHeight w:val="285"/>
              </w:trPr>
              <w:tc>
                <w:tcPr>
                  <w:tcW w:w="1988" w:type="dxa"/>
                  <w:noWrap/>
                  <w:vAlign w:val="bottom"/>
                  <w:hideMark/>
                </w:tcPr>
                <w:p w14:paraId="249830C3"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7D936CB9" w14:textId="502EA5C3" w:rsidR="002D42C1" w:rsidRPr="00DE108C" w:rsidRDefault="006F452A" w:rsidP="00ED094E">
                  <w:pPr>
                    <w:spacing w:line="240" w:lineRule="auto"/>
                    <w:jc w:val="right"/>
                    <w:rPr>
                      <w:rFonts w:ascii="Verdana" w:hAnsi="Verdana"/>
                      <w:color w:val="auto"/>
                      <w:sz w:val="16"/>
                      <w:szCs w:val="16"/>
                    </w:rPr>
                  </w:pPr>
                  <w:r>
                    <w:rPr>
                      <w:rFonts w:ascii="Verdana" w:hAnsi="Verdana"/>
                      <w:color w:val="auto"/>
                      <w:sz w:val="16"/>
                      <w:szCs w:val="16"/>
                    </w:rPr>
                    <w:t>$</w:t>
                  </w:r>
                  <w:r w:rsidR="002D42C1" w:rsidRPr="00DE108C">
                    <w:rPr>
                      <w:rFonts w:ascii="Verdana" w:hAnsi="Verdana"/>
                      <w:color w:val="auto"/>
                      <w:sz w:val="16"/>
                      <w:szCs w:val="16"/>
                    </w:rPr>
                    <w:t>123.8</w:t>
                  </w:r>
                  <w:r>
                    <w:rPr>
                      <w:rFonts w:ascii="Verdana" w:hAnsi="Verdana"/>
                      <w:color w:val="auto"/>
                      <w:sz w:val="16"/>
                      <w:szCs w:val="16"/>
                    </w:rPr>
                    <w:t>m</w:t>
                  </w:r>
                </w:p>
              </w:tc>
              <w:tc>
                <w:tcPr>
                  <w:tcW w:w="1200" w:type="dxa"/>
                  <w:noWrap/>
                  <w:vAlign w:val="bottom"/>
                  <w:hideMark/>
                </w:tcPr>
                <w:p w14:paraId="1BBEE4C7" w14:textId="78F8F374" w:rsidR="002D42C1" w:rsidRPr="00DE108C" w:rsidRDefault="006F452A" w:rsidP="00ED094E">
                  <w:pPr>
                    <w:spacing w:line="240" w:lineRule="auto"/>
                    <w:jc w:val="right"/>
                    <w:rPr>
                      <w:rFonts w:ascii="Verdana" w:hAnsi="Verdana"/>
                      <w:color w:val="auto"/>
                      <w:sz w:val="16"/>
                      <w:szCs w:val="16"/>
                    </w:rPr>
                  </w:pPr>
                  <w:r>
                    <w:rPr>
                      <w:rFonts w:ascii="Verdana" w:hAnsi="Verdana"/>
                      <w:color w:val="auto"/>
                      <w:sz w:val="16"/>
                      <w:szCs w:val="16"/>
                    </w:rPr>
                    <w:t>$</w:t>
                  </w:r>
                  <w:r w:rsidR="002D42C1" w:rsidRPr="00DE108C">
                    <w:rPr>
                      <w:rFonts w:ascii="Verdana" w:hAnsi="Verdana"/>
                      <w:color w:val="auto"/>
                      <w:sz w:val="16"/>
                      <w:szCs w:val="16"/>
                    </w:rPr>
                    <w:t>0.3</w:t>
                  </w:r>
                  <w:r>
                    <w:rPr>
                      <w:rFonts w:ascii="Verdana" w:hAnsi="Verdana"/>
                      <w:color w:val="auto"/>
                      <w:sz w:val="16"/>
                      <w:szCs w:val="16"/>
                    </w:rPr>
                    <w:t>m</w:t>
                  </w:r>
                </w:p>
              </w:tc>
              <w:tc>
                <w:tcPr>
                  <w:tcW w:w="992" w:type="dxa"/>
                  <w:noWrap/>
                  <w:vAlign w:val="bottom"/>
                  <w:hideMark/>
                </w:tcPr>
                <w:p w14:paraId="055B6B9B" w14:textId="79B0AD6F" w:rsidR="002D42C1" w:rsidRPr="00DE108C" w:rsidRDefault="006F452A" w:rsidP="00ED094E">
                  <w:pPr>
                    <w:spacing w:line="240" w:lineRule="auto"/>
                    <w:jc w:val="right"/>
                    <w:rPr>
                      <w:rFonts w:ascii="Verdana" w:hAnsi="Verdana"/>
                      <w:color w:val="auto"/>
                      <w:sz w:val="16"/>
                      <w:szCs w:val="16"/>
                    </w:rPr>
                  </w:pPr>
                  <w:r>
                    <w:rPr>
                      <w:rFonts w:ascii="Verdana" w:hAnsi="Verdana"/>
                      <w:color w:val="auto"/>
                      <w:sz w:val="16"/>
                      <w:szCs w:val="16"/>
                    </w:rPr>
                    <w:t>$</w:t>
                  </w:r>
                  <w:r w:rsidR="002D42C1" w:rsidRPr="00DE108C">
                    <w:rPr>
                      <w:rFonts w:ascii="Verdana" w:hAnsi="Verdana"/>
                      <w:color w:val="auto"/>
                      <w:sz w:val="16"/>
                      <w:szCs w:val="16"/>
                    </w:rPr>
                    <w:t>124.2</w:t>
                  </w:r>
                  <w:r>
                    <w:rPr>
                      <w:rFonts w:ascii="Verdana" w:hAnsi="Verdana"/>
                      <w:color w:val="auto"/>
                      <w:sz w:val="16"/>
                      <w:szCs w:val="16"/>
                    </w:rPr>
                    <w:t>m</w:t>
                  </w:r>
                </w:p>
              </w:tc>
            </w:tr>
          </w:tbl>
          <w:p w14:paraId="5445EB87" w14:textId="77777777" w:rsidR="002D42C1" w:rsidRPr="00DE108C" w:rsidRDefault="002D42C1" w:rsidP="00ED094E">
            <w:pPr>
              <w:pStyle w:val="TableText"/>
              <w:spacing w:line="240" w:lineRule="auto"/>
              <w:rPr>
                <w:rFonts w:cstheme="minorBidi"/>
                <w:b/>
                <w:bCs/>
                <w:color w:val="auto"/>
                <w:szCs w:val="16"/>
              </w:rPr>
            </w:pPr>
          </w:p>
          <w:p w14:paraId="196974B5" w14:textId="77777777" w:rsidR="002D42C1" w:rsidRPr="00DE108C" w:rsidRDefault="002D42C1">
            <w:pPr>
              <w:pStyle w:val="TableText"/>
              <w:spacing w:line="240" w:lineRule="auto"/>
              <w:rPr>
                <w:color w:val="auto"/>
                <w:szCs w:val="16"/>
              </w:rPr>
            </w:pPr>
            <w:r w:rsidRPr="00DE108C">
              <w:rPr>
                <w:rFonts w:cstheme="minorBidi"/>
                <w:b/>
                <w:bCs/>
                <w:color w:val="auto"/>
                <w:szCs w:val="16"/>
              </w:rPr>
              <w:t xml:space="preserve">Original start/finish: </w:t>
            </w:r>
            <w:r w:rsidRPr="00DE108C">
              <w:rPr>
                <w:rFonts w:cs="Arial"/>
                <w:color w:val="auto"/>
                <w:szCs w:val="16"/>
              </w:rPr>
              <w:t>2020-21 to 2025-26</w:t>
            </w:r>
          </w:p>
          <w:p w14:paraId="7DAF1559" w14:textId="77777777" w:rsidR="002D42C1" w:rsidRPr="00DE108C" w:rsidRDefault="002D42C1">
            <w:pPr>
              <w:pStyle w:val="TableText"/>
              <w:spacing w:line="240" w:lineRule="auto"/>
              <w:rPr>
                <w:color w:val="auto"/>
                <w:szCs w:val="16"/>
              </w:rPr>
            </w:pPr>
            <w:r w:rsidRPr="00DE108C">
              <w:rPr>
                <w:rFonts w:cstheme="minorBidi"/>
                <w:b/>
                <w:bCs/>
                <w:color w:val="auto"/>
                <w:szCs w:val="16"/>
              </w:rPr>
              <w:t>Expected start/finish:</w:t>
            </w:r>
            <w:r w:rsidRPr="00DE108C">
              <w:rPr>
                <w:rFonts w:cs="Arial"/>
                <w:color w:val="auto"/>
                <w:szCs w:val="16"/>
              </w:rPr>
              <w:t xml:space="preserve"> 2022-23 to 2025-26</w:t>
            </w:r>
          </w:p>
          <w:p w14:paraId="40D2F01E" w14:textId="77777777" w:rsidR="002D42C1" w:rsidRPr="00DE108C" w:rsidRDefault="002D42C1" w:rsidP="00ED094E">
            <w:pPr>
              <w:pStyle w:val="TableText"/>
              <w:spacing w:line="240" w:lineRule="auto"/>
              <w:rPr>
                <w:rFonts w:cstheme="minorBidi"/>
                <w:color w:val="auto"/>
                <w:szCs w:val="16"/>
              </w:rPr>
            </w:pPr>
          </w:p>
          <w:p w14:paraId="7752813E" w14:textId="20D52086" w:rsidR="002D42C1" w:rsidRPr="00DE108C" w:rsidRDefault="002D42C1" w:rsidP="00ED094E">
            <w:pPr>
              <w:pStyle w:val="TableText"/>
              <w:spacing w:line="240" w:lineRule="auto"/>
              <w:rPr>
                <w:rFonts w:cstheme="minorBidi"/>
                <w:color w:val="auto"/>
              </w:rPr>
            </w:pPr>
            <w:r w:rsidRPr="20F1ED0B">
              <w:rPr>
                <w:rFonts w:cstheme="minorBidi"/>
                <w:color w:val="auto"/>
              </w:rPr>
              <w:t>This project forms part of M</w:t>
            </w:r>
            <w:r w:rsidR="6AB4810E" w:rsidRPr="20F1ED0B">
              <w:rPr>
                <w:rFonts w:cstheme="minorBidi"/>
                <w:color w:val="auto"/>
              </w:rPr>
              <w:t xml:space="preserve">elbourne </w:t>
            </w:r>
            <w:r w:rsidRPr="20F1ED0B">
              <w:rPr>
                <w:rFonts w:cstheme="minorBidi"/>
                <w:color w:val="auto"/>
              </w:rPr>
              <w:t>W</w:t>
            </w:r>
            <w:r w:rsidR="2B3B6804" w:rsidRPr="20F1ED0B">
              <w:rPr>
                <w:rFonts w:cstheme="minorBidi"/>
                <w:color w:val="auto"/>
              </w:rPr>
              <w:t>ater</w:t>
            </w:r>
            <w:r w:rsidRPr="20F1ED0B">
              <w:rPr>
                <w:rFonts w:cstheme="minorBidi"/>
                <w:color w:val="auto"/>
              </w:rPr>
              <w:t xml:space="preserve">’s commitment to protect Melbourne’s bays and waterways from environmental harm. </w:t>
            </w:r>
          </w:p>
          <w:p w14:paraId="33351944" w14:textId="7399349E" w:rsidR="002D42C1" w:rsidRPr="00DE108C" w:rsidRDefault="002D42C1" w:rsidP="00ED094E">
            <w:pPr>
              <w:pStyle w:val="TableText"/>
              <w:spacing w:line="240" w:lineRule="auto"/>
              <w:rPr>
                <w:rFonts w:cstheme="minorBidi"/>
                <w:color w:val="auto"/>
              </w:rPr>
            </w:pPr>
            <w:r w:rsidRPr="20F1ED0B">
              <w:rPr>
                <w:rFonts w:cstheme="minorBidi"/>
                <w:color w:val="auto"/>
              </w:rPr>
              <w:t>Construction was completed in December 2024, commissioning was completed in June 2025</w:t>
            </w:r>
            <w:r w:rsidR="43CCA66E" w:rsidRPr="20F1ED0B">
              <w:rPr>
                <w:rFonts w:cstheme="minorBidi"/>
                <w:color w:val="auto"/>
              </w:rPr>
              <w:t>,</w:t>
            </w:r>
            <w:r w:rsidRPr="20F1ED0B">
              <w:rPr>
                <w:rFonts w:cstheme="minorBidi"/>
                <w:color w:val="auto"/>
              </w:rPr>
              <w:t xml:space="preserve"> and the project is scheduled to reach practical completion on time.</w:t>
            </w:r>
          </w:p>
        </w:tc>
      </w:tr>
      <w:tr w:rsidR="002D42C1" w:rsidRPr="00DE108C" w14:paraId="3549E58B" w14:textId="77777777" w:rsidTr="00FB646F">
        <w:trPr>
          <w:cantSplit/>
          <w:trHeight w:val="300"/>
        </w:trPr>
        <w:tc>
          <w:tcPr>
            <w:tcW w:w="1409" w:type="dxa"/>
          </w:tcPr>
          <w:p w14:paraId="6B9AFAC1" w14:textId="77777777" w:rsidR="002D42C1" w:rsidRPr="00DE108C" w:rsidRDefault="002D42C1">
            <w:pPr>
              <w:pStyle w:val="TableText"/>
              <w:spacing w:line="240" w:lineRule="auto"/>
              <w:rPr>
                <w:color w:val="auto"/>
                <w:szCs w:val="16"/>
              </w:rPr>
            </w:pPr>
            <w:r w:rsidRPr="00DE108C">
              <w:rPr>
                <w:rFonts w:cs="Arial"/>
                <w:color w:val="auto"/>
                <w:szCs w:val="16"/>
              </w:rPr>
              <w:lastRenderedPageBreak/>
              <w:t>3. Hobson's Bay Main Sewer Yarra Crossing Duplication</w:t>
            </w:r>
          </w:p>
        </w:tc>
        <w:tc>
          <w:tcPr>
            <w:tcW w:w="7577" w:type="dxa"/>
          </w:tcPr>
          <w:p w14:paraId="3392AEE2"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On Schedule</w:t>
            </w:r>
          </w:p>
          <w:p w14:paraId="1D4BD5D1" w14:textId="77777777" w:rsidR="002D42C1" w:rsidRPr="00DE108C" w:rsidRDefault="002D42C1" w:rsidP="00ED094E">
            <w:pPr>
              <w:pStyle w:val="TableText"/>
              <w:spacing w:line="240" w:lineRule="auto"/>
              <w:rPr>
                <w:rFonts w:cstheme="minorBidi"/>
                <w:b/>
                <w:bCs/>
                <w:color w:val="auto"/>
                <w:szCs w:val="16"/>
              </w:rPr>
            </w:pPr>
          </w:p>
          <w:tbl>
            <w:tblPr>
              <w:tblW w:w="5164"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1776"/>
              <w:gridCol w:w="1196"/>
              <w:gridCol w:w="1110"/>
              <w:gridCol w:w="1082"/>
            </w:tblGrid>
            <w:tr w:rsidR="002D42C1" w:rsidRPr="00DE108C" w14:paraId="1B4CBD68" w14:textId="77777777" w:rsidTr="002C05FD">
              <w:trPr>
                <w:trHeight w:val="285"/>
              </w:trPr>
              <w:tc>
                <w:tcPr>
                  <w:tcW w:w="1776" w:type="dxa"/>
                  <w:noWrap/>
                  <w:vAlign w:val="bottom"/>
                  <w:hideMark/>
                </w:tcPr>
                <w:p w14:paraId="015671DF" w14:textId="77777777" w:rsidR="002D42C1" w:rsidRPr="00DE108C" w:rsidRDefault="002D42C1" w:rsidP="00ED094E">
                  <w:pPr>
                    <w:spacing w:line="240" w:lineRule="auto"/>
                    <w:rPr>
                      <w:rFonts w:ascii="Times New Roman" w:hAnsi="Times New Roman"/>
                      <w:color w:val="auto"/>
                      <w:sz w:val="24"/>
                    </w:rPr>
                  </w:pPr>
                </w:p>
              </w:tc>
              <w:tc>
                <w:tcPr>
                  <w:tcW w:w="1196" w:type="dxa"/>
                  <w:noWrap/>
                  <w:vAlign w:val="bottom"/>
                  <w:hideMark/>
                </w:tcPr>
                <w:p w14:paraId="6C5B1B4D"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1110" w:type="dxa"/>
                  <w:noWrap/>
                  <w:vAlign w:val="bottom"/>
                  <w:hideMark/>
                </w:tcPr>
                <w:p w14:paraId="7E334804"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082" w:type="dxa"/>
                  <w:noWrap/>
                  <w:vAlign w:val="bottom"/>
                  <w:hideMark/>
                </w:tcPr>
                <w:p w14:paraId="105EAE2D"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06078C67" w14:textId="77777777" w:rsidTr="002C05FD">
              <w:trPr>
                <w:trHeight w:val="285"/>
              </w:trPr>
              <w:tc>
                <w:tcPr>
                  <w:tcW w:w="1776" w:type="dxa"/>
                  <w:noWrap/>
                  <w:vAlign w:val="bottom"/>
                  <w:hideMark/>
                </w:tcPr>
                <w:p w14:paraId="6A0AF613"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418F390E"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$163.9 m</w:t>
                  </w:r>
                </w:p>
              </w:tc>
              <w:tc>
                <w:tcPr>
                  <w:tcW w:w="1110" w:type="dxa"/>
                  <w:noWrap/>
                  <w:vAlign w:val="bottom"/>
                  <w:hideMark/>
                </w:tcPr>
                <w:p w14:paraId="2E8C951F"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$26.6 m</w:t>
                  </w:r>
                </w:p>
              </w:tc>
              <w:tc>
                <w:tcPr>
                  <w:tcW w:w="1082" w:type="dxa"/>
                  <w:noWrap/>
                  <w:vAlign w:val="bottom"/>
                  <w:hideMark/>
                </w:tcPr>
                <w:p w14:paraId="6241813B"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$190.5 m</w:t>
                  </w:r>
                </w:p>
              </w:tc>
            </w:tr>
            <w:tr w:rsidR="002D42C1" w:rsidRPr="00DE108C" w14:paraId="666D8B25" w14:textId="77777777" w:rsidTr="002C05FD">
              <w:trPr>
                <w:trHeight w:val="285"/>
              </w:trPr>
              <w:tc>
                <w:tcPr>
                  <w:tcW w:w="1776" w:type="dxa"/>
                  <w:noWrap/>
                  <w:vAlign w:val="bottom"/>
                  <w:hideMark/>
                </w:tcPr>
                <w:p w14:paraId="6AA20855"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65269891"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$191.5 m</w:t>
                  </w:r>
                </w:p>
              </w:tc>
              <w:tc>
                <w:tcPr>
                  <w:tcW w:w="1110" w:type="dxa"/>
                  <w:noWrap/>
                  <w:vAlign w:val="bottom"/>
                  <w:hideMark/>
                </w:tcPr>
                <w:p w14:paraId="14B7DDE7"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$3.1 m</w:t>
                  </w:r>
                </w:p>
              </w:tc>
              <w:tc>
                <w:tcPr>
                  <w:tcW w:w="1082" w:type="dxa"/>
                  <w:noWrap/>
                  <w:vAlign w:val="bottom"/>
                  <w:hideMark/>
                </w:tcPr>
                <w:p w14:paraId="6CC8979E"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$194.6 m</w:t>
                  </w:r>
                </w:p>
              </w:tc>
            </w:tr>
            <w:tr w:rsidR="002D42C1" w:rsidRPr="00DE108C" w14:paraId="37F63DC4" w14:textId="77777777" w:rsidTr="002C05FD">
              <w:trPr>
                <w:trHeight w:val="285"/>
              </w:trPr>
              <w:tc>
                <w:tcPr>
                  <w:tcW w:w="1776" w:type="dxa"/>
                  <w:noWrap/>
                  <w:vAlign w:val="bottom"/>
                  <w:hideMark/>
                </w:tcPr>
                <w:p w14:paraId="1380094C"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31F16FF1"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$27.6 m</w:t>
                  </w:r>
                </w:p>
              </w:tc>
              <w:tc>
                <w:tcPr>
                  <w:tcW w:w="1110" w:type="dxa"/>
                  <w:noWrap/>
                  <w:vAlign w:val="bottom"/>
                  <w:hideMark/>
                </w:tcPr>
                <w:p w14:paraId="16604765"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-$23.5 m</w:t>
                  </w:r>
                </w:p>
              </w:tc>
              <w:tc>
                <w:tcPr>
                  <w:tcW w:w="1082" w:type="dxa"/>
                  <w:noWrap/>
                  <w:vAlign w:val="bottom"/>
                  <w:hideMark/>
                </w:tcPr>
                <w:p w14:paraId="069FB52D"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$4.1 m</w:t>
                  </w:r>
                </w:p>
              </w:tc>
            </w:tr>
          </w:tbl>
          <w:p w14:paraId="7CAC4770" w14:textId="77777777" w:rsidR="002D42C1" w:rsidRPr="00DE108C" w:rsidRDefault="002D42C1" w:rsidP="00ED094E">
            <w:pPr>
              <w:pStyle w:val="TableText"/>
              <w:spacing w:line="240" w:lineRule="auto"/>
              <w:rPr>
                <w:rFonts w:cstheme="minorBidi"/>
                <w:b/>
                <w:bCs/>
                <w:color w:val="auto"/>
                <w:szCs w:val="16"/>
              </w:rPr>
            </w:pPr>
          </w:p>
          <w:p w14:paraId="783D9F93" w14:textId="77777777" w:rsidR="002D42C1" w:rsidRPr="00DE108C" w:rsidRDefault="002D42C1">
            <w:pPr>
              <w:pStyle w:val="TableText"/>
              <w:spacing w:line="240" w:lineRule="auto"/>
              <w:rPr>
                <w:color w:val="auto"/>
                <w:szCs w:val="16"/>
              </w:rPr>
            </w:pPr>
            <w:r w:rsidRPr="00DE108C">
              <w:rPr>
                <w:rFonts w:cstheme="minorBidi"/>
                <w:b/>
                <w:bCs/>
                <w:color w:val="auto"/>
                <w:szCs w:val="16"/>
              </w:rPr>
              <w:t>Original start/finish:</w:t>
            </w:r>
            <w:r w:rsidRPr="00DE108C">
              <w:rPr>
                <w:rFonts w:cs="Arial"/>
                <w:color w:val="auto"/>
                <w:szCs w:val="16"/>
              </w:rPr>
              <w:t xml:space="preserve"> 2020-21 to 2027-28</w:t>
            </w:r>
          </w:p>
          <w:p w14:paraId="6F1FCF66" w14:textId="77777777" w:rsidR="002D42C1" w:rsidRPr="00DE108C" w:rsidRDefault="002D42C1">
            <w:pPr>
              <w:pStyle w:val="TableText"/>
              <w:spacing w:line="240" w:lineRule="auto"/>
              <w:rPr>
                <w:color w:val="auto"/>
                <w:szCs w:val="16"/>
              </w:rPr>
            </w:pPr>
            <w:r w:rsidRPr="00DE108C">
              <w:rPr>
                <w:rFonts w:cstheme="minorBidi"/>
                <w:b/>
                <w:bCs/>
                <w:color w:val="auto"/>
                <w:szCs w:val="16"/>
              </w:rPr>
              <w:t>Expected start/finish:</w:t>
            </w:r>
            <w:r w:rsidRPr="00DE108C">
              <w:rPr>
                <w:rFonts w:cs="Arial"/>
                <w:color w:val="auto"/>
                <w:szCs w:val="16"/>
              </w:rPr>
              <w:t xml:space="preserve"> 2021-22 to 2026-27</w:t>
            </w:r>
          </w:p>
          <w:p w14:paraId="326465C8" w14:textId="77777777" w:rsidR="002D42C1" w:rsidRPr="00DE108C" w:rsidRDefault="002D42C1" w:rsidP="00ED094E">
            <w:pPr>
              <w:pStyle w:val="TableText"/>
              <w:spacing w:line="240" w:lineRule="auto"/>
              <w:rPr>
                <w:rFonts w:cstheme="minorBidi"/>
                <w:color w:val="auto"/>
                <w:szCs w:val="16"/>
              </w:rPr>
            </w:pPr>
          </w:p>
          <w:p w14:paraId="50A16885" w14:textId="6A8B84CA" w:rsidR="002D42C1" w:rsidRPr="00DE108C" w:rsidRDefault="002D42C1" w:rsidP="00ED094E">
            <w:pPr>
              <w:pStyle w:val="TableText"/>
              <w:spacing w:line="240" w:lineRule="auto"/>
              <w:rPr>
                <w:rFonts w:cstheme="minorBidi"/>
                <w:color w:val="auto"/>
                <w:szCs w:val="16"/>
              </w:rPr>
            </w:pPr>
            <w:r w:rsidRPr="00DE108C">
              <w:rPr>
                <w:rFonts w:cstheme="minorBidi"/>
                <w:color w:val="auto"/>
                <w:szCs w:val="16"/>
              </w:rPr>
              <w:t>Since February 2022, the project team has established two construction sites at Scienceworks and Westgate Park. Tunnelling works with tunnel boring machine</w:t>
            </w:r>
            <w:r w:rsidR="21969F44" w:rsidRPr="36926897">
              <w:rPr>
                <w:rFonts w:cstheme="minorBidi"/>
                <w:color w:val="auto"/>
              </w:rPr>
              <w:t xml:space="preserve"> (</w:t>
            </w:r>
            <w:r w:rsidRPr="00DE108C">
              <w:rPr>
                <w:rFonts w:cstheme="minorBidi"/>
                <w:color w:val="auto"/>
                <w:szCs w:val="16"/>
              </w:rPr>
              <w:t>Lucey</w:t>
            </w:r>
            <w:r w:rsidR="126E7605" w:rsidRPr="36926897">
              <w:rPr>
                <w:rFonts w:cstheme="minorBidi"/>
                <w:color w:val="auto"/>
              </w:rPr>
              <w:t>)</w:t>
            </w:r>
            <w:r w:rsidRPr="00DE108C">
              <w:rPr>
                <w:rFonts w:cstheme="minorBidi"/>
                <w:color w:val="auto"/>
                <w:szCs w:val="16"/>
              </w:rPr>
              <w:t xml:space="preserve"> completed the 670</w:t>
            </w:r>
            <w:r w:rsidR="13B38468" w:rsidRPr="36926897">
              <w:rPr>
                <w:rFonts w:cstheme="minorBidi"/>
                <w:color w:val="auto"/>
              </w:rPr>
              <w:t>-</w:t>
            </w:r>
            <w:r w:rsidRPr="00DE108C">
              <w:rPr>
                <w:rFonts w:cstheme="minorBidi"/>
                <w:color w:val="auto"/>
                <w:szCs w:val="16"/>
              </w:rPr>
              <w:t>metre journey under the Yarra River in November 2023.</w:t>
            </w:r>
          </w:p>
          <w:p w14:paraId="5B339F5D" w14:textId="77777777" w:rsidR="002D42C1" w:rsidRPr="00DE108C" w:rsidRDefault="002D42C1" w:rsidP="00ED094E">
            <w:pPr>
              <w:pStyle w:val="TableText"/>
              <w:spacing w:line="240" w:lineRule="auto"/>
              <w:rPr>
                <w:rFonts w:cstheme="minorBidi"/>
                <w:color w:val="auto"/>
                <w:szCs w:val="16"/>
              </w:rPr>
            </w:pPr>
            <w:r w:rsidRPr="00DE108C">
              <w:rPr>
                <w:rFonts w:cstheme="minorBidi"/>
                <w:color w:val="auto"/>
                <w:szCs w:val="16"/>
              </w:rPr>
              <w:t>The new sewer tunnel was tested in preparation for the sewage diversion to the second pipeline so that restoration works can commence on the original pipeline.</w:t>
            </w:r>
          </w:p>
          <w:p w14:paraId="6675A5F3" w14:textId="77777777" w:rsidR="002D42C1" w:rsidRPr="00DE108C" w:rsidRDefault="002D42C1" w:rsidP="00ED094E">
            <w:pPr>
              <w:pStyle w:val="TableText"/>
              <w:spacing w:line="240" w:lineRule="auto"/>
              <w:rPr>
                <w:rFonts w:cstheme="minorBidi"/>
                <w:color w:val="auto"/>
                <w:szCs w:val="16"/>
              </w:rPr>
            </w:pPr>
            <w:r w:rsidRPr="00DE108C">
              <w:rPr>
                <w:rFonts w:cstheme="minorBidi"/>
                <w:color w:val="auto"/>
                <w:szCs w:val="16"/>
              </w:rPr>
              <w:t>The duplication of the sewer tunnel project was completed in October 2024 with realised risk reduction benefits and new sewer receiving flows.</w:t>
            </w:r>
          </w:p>
          <w:p w14:paraId="4A6C3C16" w14:textId="77777777" w:rsidR="002D42C1" w:rsidRPr="00DE108C" w:rsidRDefault="002D42C1" w:rsidP="00ED094E">
            <w:pPr>
              <w:pStyle w:val="TableText"/>
              <w:spacing w:line="240" w:lineRule="auto"/>
              <w:rPr>
                <w:rFonts w:cstheme="minorBidi"/>
                <w:color w:val="auto"/>
                <w:szCs w:val="16"/>
              </w:rPr>
            </w:pPr>
            <w:r w:rsidRPr="00DE108C">
              <w:rPr>
                <w:rFonts w:cstheme="minorBidi"/>
                <w:color w:val="auto"/>
                <w:szCs w:val="16"/>
              </w:rPr>
              <w:t xml:space="preserve">The remaining scope of works, including relining of the original sewer, are now underway and scheduled to be completed in late 2026. </w:t>
            </w:r>
          </w:p>
        </w:tc>
      </w:tr>
      <w:tr w:rsidR="00A5757A" w:rsidRPr="00DE108C" w14:paraId="5E82700C" w14:textId="77777777" w:rsidTr="00FB646F">
        <w:trPr>
          <w:cnfStyle w:val="000000010000" w:firstRow="0" w:lastRow="0" w:firstColumn="0" w:lastColumn="0" w:oddVBand="0" w:evenVBand="0" w:oddHBand="0" w:evenHBand="1" w:firstRowFirstColumn="0" w:firstRowLastColumn="0" w:lastRowFirstColumn="0" w:lastRowLastColumn="0"/>
          <w:cantSplit/>
          <w:trHeight w:val="300"/>
        </w:trPr>
        <w:tc>
          <w:tcPr>
            <w:tcW w:w="1409" w:type="dxa"/>
          </w:tcPr>
          <w:p w14:paraId="6EF7DF42" w14:textId="77777777" w:rsidR="002D42C1" w:rsidRPr="00DE108C" w:rsidRDefault="002D42C1">
            <w:pPr>
              <w:pStyle w:val="TableText"/>
              <w:spacing w:line="240" w:lineRule="auto"/>
              <w:rPr>
                <w:color w:val="auto"/>
                <w:szCs w:val="16"/>
              </w:rPr>
            </w:pPr>
            <w:r w:rsidRPr="00DE108C">
              <w:rPr>
                <w:rFonts w:cs="Arial"/>
                <w:color w:val="auto"/>
                <w:szCs w:val="16"/>
              </w:rPr>
              <w:t>4. Maribyrnong Main Sewer Augmentation</w:t>
            </w:r>
          </w:p>
        </w:tc>
        <w:tc>
          <w:tcPr>
            <w:tcW w:w="7577" w:type="dxa"/>
          </w:tcPr>
          <w:p w14:paraId="363CD80B"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Delayed</w:t>
            </w:r>
          </w:p>
          <w:p w14:paraId="5738FB95" w14:textId="77777777" w:rsidR="002D42C1" w:rsidRPr="00DE108C" w:rsidRDefault="002D42C1" w:rsidP="00ED094E">
            <w:pPr>
              <w:pStyle w:val="TableText"/>
              <w:spacing w:line="240" w:lineRule="auto"/>
              <w:rPr>
                <w:rFonts w:cstheme="minorBidi"/>
                <w:b/>
                <w:bCs/>
                <w:color w:val="auto"/>
                <w:szCs w:val="16"/>
              </w:rPr>
            </w:pPr>
          </w:p>
          <w:tbl>
            <w:tblPr>
              <w:tblW w:w="5164"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1776"/>
              <w:gridCol w:w="1196"/>
              <w:gridCol w:w="996"/>
              <w:gridCol w:w="1196"/>
            </w:tblGrid>
            <w:tr w:rsidR="002D42C1" w:rsidRPr="00DE108C" w14:paraId="6087AB0E" w14:textId="77777777" w:rsidTr="002C05FD">
              <w:trPr>
                <w:trHeight w:val="285"/>
              </w:trPr>
              <w:tc>
                <w:tcPr>
                  <w:tcW w:w="1776" w:type="dxa"/>
                  <w:noWrap/>
                  <w:vAlign w:val="bottom"/>
                  <w:hideMark/>
                </w:tcPr>
                <w:p w14:paraId="401857F3" w14:textId="77777777" w:rsidR="002D42C1" w:rsidRPr="00DE108C" w:rsidRDefault="002D42C1" w:rsidP="00ED094E">
                  <w:pPr>
                    <w:spacing w:line="240" w:lineRule="auto"/>
                    <w:rPr>
                      <w:rFonts w:ascii="Times New Roman" w:hAnsi="Times New Roman"/>
                      <w:color w:val="auto"/>
                      <w:sz w:val="24"/>
                    </w:rPr>
                  </w:pPr>
                </w:p>
              </w:tc>
              <w:tc>
                <w:tcPr>
                  <w:tcW w:w="1196" w:type="dxa"/>
                  <w:noWrap/>
                  <w:vAlign w:val="bottom"/>
                  <w:hideMark/>
                </w:tcPr>
                <w:p w14:paraId="00F2D06F"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996" w:type="dxa"/>
                  <w:noWrap/>
                  <w:vAlign w:val="bottom"/>
                  <w:hideMark/>
                </w:tcPr>
                <w:p w14:paraId="7E32ECEA"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196" w:type="dxa"/>
                  <w:noWrap/>
                  <w:vAlign w:val="bottom"/>
                  <w:hideMark/>
                </w:tcPr>
                <w:p w14:paraId="02B7CEDD"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49C726AA" w14:textId="77777777" w:rsidTr="002C05FD">
              <w:trPr>
                <w:trHeight w:val="285"/>
              </w:trPr>
              <w:tc>
                <w:tcPr>
                  <w:tcW w:w="1776" w:type="dxa"/>
                  <w:noWrap/>
                  <w:vAlign w:val="bottom"/>
                  <w:hideMark/>
                </w:tcPr>
                <w:p w14:paraId="4FBA2FD3"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34C9862C"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$52.5 m</w:t>
                  </w:r>
                </w:p>
              </w:tc>
              <w:tc>
                <w:tcPr>
                  <w:tcW w:w="996" w:type="dxa"/>
                  <w:noWrap/>
                  <w:vAlign w:val="bottom"/>
                  <w:hideMark/>
                </w:tcPr>
                <w:p w14:paraId="322D1BA1"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$0.0 m</w:t>
                  </w:r>
                </w:p>
              </w:tc>
              <w:tc>
                <w:tcPr>
                  <w:tcW w:w="1196" w:type="dxa"/>
                  <w:noWrap/>
                  <w:vAlign w:val="bottom"/>
                  <w:hideMark/>
                </w:tcPr>
                <w:p w14:paraId="0789BA92"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$52.5 m</w:t>
                  </w:r>
                </w:p>
              </w:tc>
            </w:tr>
            <w:tr w:rsidR="002D42C1" w:rsidRPr="00DE108C" w14:paraId="1BD15CC9" w14:textId="77777777" w:rsidTr="002C05FD">
              <w:trPr>
                <w:trHeight w:val="285"/>
              </w:trPr>
              <w:tc>
                <w:tcPr>
                  <w:tcW w:w="1776" w:type="dxa"/>
                  <w:noWrap/>
                  <w:vAlign w:val="bottom"/>
                  <w:hideMark/>
                </w:tcPr>
                <w:p w14:paraId="7823275D"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77AA124B"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$76.9 m</w:t>
                  </w:r>
                </w:p>
              </w:tc>
              <w:tc>
                <w:tcPr>
                  <w:tcW w:w="996" w:type="dxa"/>
                  <w:noWrap/>
                  <w:vAlign w:val="bottom"/>
                  <w:hideMark/>
                </w:tcPr>
                <w:p w14:paraId="528CBCA8"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$35.6 m</w:t>
                  </w:r>
                </w:p>
              </w:tc>
              <w:tc>
                <w:tcPr>
                  <w:tcW w:w="1196" w:type="dxa"/>
                  <w:noWrap/>
                  <w:vAlign w:val="bottom"/>
                  <w:hideMark/>
                </w:tcPr>
                <w:p w14:paraId="7C2E6B25"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$112.5 m</w:t>
                  </w:r>
                </w:p>
              </w:tc>
            </w:tr>
            <w:tr w:rsidR="002D42C1" w:rsidRPr="00DE108C" w14:paraId="050E30CF" w14:textId="77777777" w:rsidTr="002C05FD">
              <w:trPr>
                <w:trHeight w:val="285"/>
              </w:trPr>
              <w:tc>
                <w:tcPr>
                  <w:tcW w:w="1776" w:type="dxa"/>
                  <w:noWrap/>
                  <w:vAlign w:val="bottom"/>
                  <w:hideMark/>
                </w:tcPr>
                <w:p w14:paraId="49E145B0"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623B5364"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$24.4 m</w:t>
                  </w:r>
                </w:p>
              </w:tc>
              <w:tc>
                <w:tcPr>
                  <w:tcW w:w="996" w:type="dxa"/>
                  <w:noWrap/>
                  <w:vAlign w:val="bottom"/>
                  <w:hideMark/>
                </w:tcPr>
                <w:p w14:paraId="18FB1718"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$35.6 m</w:t>
                  </w:r>
                </w:p>
              </w:tc>
              <w:tc>
                <w:tcPr>
                  <w:tcW w:w="1196" w:type="dxa"/>
                  <w:noWrap/>
                  <w:vAlign w:val="bottom"/>
                  <w:hideMark/>
                </w:tcPr>
                <w:p w14:paraId="73B1BF8B"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$60.0 m</w:t>
                  </w:r>
                </w:p>
              </w:tc>
            </w:tr>
          </w:tbl>
          <w:p w14:paraId="0C732BAD" w14:textId="77777777" w:rsidR="002D42C1" w:rsidRPr="00DE108C" w:rsidRDefault="002D42C1" w:rsidP="00ED094E">
            <w:pPr>
              <w:pStyle w:val="TableText"/>
              <w:spacing w:line="240" w:lineRule="auto"/>
              <w:rPr>
                <w:rFonts w:cstheme="minorBidi"/>
                <w:b/>
                <w:bCs/>
                <w:color w:val="auto"/>
                <w:szCs w:val="16"/>
              </w:rPr>
            </w:pPr>
          </w:p>
          <w:p w14:paraId="395F4159" w14:textId="77777777" w:rsidR="002D42C1" w:rsidRPr="00DE108C" w:rsidRDefault="002D42C1">
            <w:pPr>
              <w:pStyle w:val="TableText"/>
              <w:spacing w:line="240" w:lineRule="auto"/>
              <w:rPr>
                <w:color w:val="auto"/>
                <w:szCs w:val="16"/>
              </w:rPr>
            </w:pPr>
            <w:r w:rsidRPr="00DE108C">
              <w:rPr>
                <w:rFonts w:cstheme="minorBidi"/>
                <w:b/>
                <w:bCs/>
                <w:color w:val="auto"/>
                <w:szCs w:val="16"/>
              </w:rPr>
              <w:t>Original start/finish:</w:t>
            </w:r>
            <w:r w:rsidRPr="00DE108C">
              <w:rPr>
                <w:rFonts w:cs="Arial"/>
                <w:color w:val="auto"/>
                <w:szCs w:val="16"/>
              </w:rPr>
              <w:t xml:space="preserve"> 2020-21 to 2023-24</w:t>
            </w:r>
          </w:p>
          <w:p w14:paraId="165AC156" w14:textId="77777777" w:rsidR="002D42C1" w:rsidRPr="00DE108C" w:rsidRDefault="002D42C1">
            <w:pPr>
              <w:pStyle w:val="TableText"/>
              <w:spacing w:line="240" w:lineRule="auto"/>
              <w:rPr>
                <w:color w:val="auto"/>
                <w:szCs w:val="16"/>
              </w:rPr>
            </w:pPr>
            <w:r w:rsidRPr="00DE108C">
              <w:rPr>
                <w:rFonts w:cstheme="minorBidi"/>
                <w:b/>
                <w:bCs/>
                <w:color w:val="auto"/>
                <w:szCs w:val="16"/>
              </w:rPr>
              <w:t>Expected start/finish:</w:t>
            </w:r>
            <w:r w:rsidRPr="00DE108C">
              <w:rPr>
                <w:rFonts w:cs="Arial"/>
                <w:color w:val="auto"/>
                <w:szCs w:val="16"/>
              </w:rPr>
              <w:t xml:space="preserve"> 2021-22 to 2028-29</w:t>
            </w:r>
          </w:p>
          <w:p w14:paraId="32B7B717" w14:textId="77777777" w:rsidR="002D42C1" w:rsidRPr="00DE108C" w:rsidRDefault="002D42C1" w:rsidP="00ED094E">
            <w:pPr>
              <w:pStyle w:val="TableText"/>
              <w:spacing w:line="240" w:lineRule="auto"/>
              <w:rPr>
                <w:rFonts w:cstheme="minorBidi"/>
                <w:b/>
                <w:bCs/>
                <w:color w:val="auto"/>
                <w:szCs w:val="16"/>
              </w:rPr>
            </w:pPr>
          </w:p>
          <w:p w14:paraId="4CF7C5B2"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Reasons for delay</w:t>
            </w:r>
          </w:p>
          <w:p w14:paraId="58681D6C" w14:textId="4E038F8B" w:rsidR="002D42C1" w:rsidRPr="00DE108C" w:rsidRDefault="002D42C1" w:rsidP="00ED094E">
            <w:pPr>
              <w:pStyle w:val="TableText"/>
              <w:spacing w:line="240" w:lineRule="auto"/>
              <w:rPr>
                <w:rFonts w:cstheme="minorBidi"/>
                <w:color w:val="auto"/>
              </w:rPr>
            </w:pPr>
            <w:r w:rsidRPr="00DE108C">
              <w:rPr>
                <w:rFonts w:cstheme="minorBidi"/>
                <w:color w:val="auto"/>
              </w:rPr>
              <w:t xml:space="preserve">This </w:t>
            </w:r>
            <w:r w:rsidR="06592B79" w:rsidRPr="00DE108C">
              <w:rPr>
                <w:rFonts w:cstheme="minorBidi"/>
                <w:color w:val="auto"/>
              </w:rPr>
              <w:t>p</w:t>
            </w:r>
            <w:r w:rsidRPr="00DE108C">
              <w:rPr>
                <w:rFonts w:cstheme="minorBidi"/>
                <w:color w:val="auto"/>
              </w:rPr>
              <w:t>roject was delayed for two reasons:</w:t>
            </w:r>
          </w:p>
          <w:p w14:paraId="2D3D9752" w14:textId="77777777" w:rsidR="002D42C1" w:rsidRPr="00DE108C" w:rsidRDefault="002D42C1" w:rsidP="00F44AC8">
            <w:pPr>
              <w:pStyle w:val="Tablebullet"/>
            </w:pPr>
            <w:r w:rsidRPr="00DE108C">
              <w:t>Significant flooding leading to unprecedented water levels occurred within the urban catchment of the Maribyrnong River in October 2022. This flood event led to a re-design of the sewer augmentation solution to mitigate risks of future flooding (changing a bridge crossing of the Maribyrnong River to a siphon under the river).</w:t>
            </w:r>
          </w:p>
          <w:p w14:paraId="2EE2EB86" w14:textId="77777777" w:rsidR="002D42C1" w:rsidRPr="00DE108C" w:rsidRDefault="002D42C1" w:rsidP="00F44AC8">
            <w:pPr>
              <w:pStyle w:val="Tablebullet"/>
            </w:pPr>
            <w:r w:rsidRPr="00DE108C">
              <w:t>The project comprised complex external approvals with extended durations for approvals including European Heritage, Planning and Cultural Heritage Management Plans.</w:t>
            </w:r>
          </w:p>
          <w:p w14:paraId="52723923"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Impact to customers and community</w:t>
            </w:r>
          </w:p>
          <w:p w14:paraId="0306DC2B" w14:textId="258B704E" w:rsidR="002D42C1" w:rsidRPr="00DE108C" w:rsidRDefault="002D42C1" w:rsidP="00ED094E">
            <w:pPr>
              <w:pStyle w:val="TableText"/>
              <w:spacing w:line="240" w:lineRule="auto"/>
              <w:rPr>
                <w:rFonts w:cstheme="minorBidi"/>
                <w:color w:val="auto"/>
              </w:rPr>
            </w:pPr>
            <w:r w:rsidRPr="00DE108C">
              <w:rPr>
                <w:rFonts w:cstheme="minorBidi"/>
                <w:color w:val="auto"/>
              </w:rPr>
              <w:t xml:space="preserve">There have not been any impacts to customers and the community due to the delay of this </w:t>
            </w:r>
            <w:r w:rsidR="2113F9A4" w:rsidRPr="00DE108C">
              <w:rPr>
                <w:rFonts w:cstheme="minorBidi"/>
                <w:color w:val="auto"/>
              </w:rPr>
              <w:t>p</w:t>
            </w:r>
            <w:r w:rsidRPr="00DE108C">
              <w:rPr>
                <w:rFonts w:cstheme="minorBidi"/>
                <w:color w:val="auto"/>
              </w:rPr>
              <w:t xml:space="preserve">roject. We have been and will continue to carry </w:t>
            </w:r>
            <w:r w:rsidRPr="5536D315">
              <w:rPr>
                <w:rFonts w:cstheme="minorBidi"/>
                <w:color w:val="auto"/>
              </w:rPr>
              <w:t>E</w:t>
            </w:r>
            <w:r w:rsidR="2F36084D" w:rsidRPr="5536D315">
              <w:rPr>
                <w:rFonts w:cstheme="minorBidi"/>
                <w:color w:val="auto"/>
              </w:rPr>
              <w:t xml:space="preserve">nvironment </w:t>
            </w:r>
            <w:r w:rsidR="00197385" w:rsidRPr="5536D315">
              <w:rPr>
                <w:rFonts w:cstheme="minorBidi"/>
                <w:color w:val="auto"/>
              </w:rPr>
              <w:t>Protection</w:t>
            </w:r>
            <w:r w:rsidR="0EF94A83" w:rsidRPr="5536D315">
              <w:rPr>
                <w:rFonts w:cstheme="minorBidi"/>
                <w:color w:val="auto"/>
              </w:rPr>
              <w:t xml:space="preserve"> </w:t>
            </w:r>
            <w:r w:rsidRPr="5536D315">
              <w:rPr>
                <w:rFonts w:cstheme="minorBidi"/>
                <w:color w:val="auto"/>
              </w:rPr>
              <w:t>A</w:t>
            </w:r>
            <w:r w:rsidR="2D9BBA4C" w:rsidRPr="5536D315">
              <w:rPr>
                <w:rFonts w:cstheme="minorBidi"/>
                <w:color w:val="auto"/>
              </w:rPr>
              <w:t>uthority Victoria</w:t>
            </w:r>
            <w:r w:rsidRPr="00DE108C">
              <w:rPr>
                <w:rFonts w:cstheme="minorBidi"/>
                <w:color w:val="auto"/>
              </w:rPr>
              <w:t xml:space="preserve"> environmental compliance risks (spills to the environment) until project completion</w:t>
            </w:r>
            <w:r w:rsidR="51E3ECAE" w:rsidRPr="5536D315">
              <w:rPr>
                <w:rFonts w:cstheme="minorBidi"/>
                <w:color w:val="auto"/>
              </w:rPr>
              <w:t>.</w:t>
            </w:r>
          </w:p>
          <w:p w14:paraId="3939190A" w14:textId="77777777" w:rsidR="002D42C1" w:rsidRPr="00DE108C" w:rsidRDefault="002D42C1" w:rsidP="00ED094E">
            <w:pPr>
              <w:pStyle w:val="TableText"/>
              <w:tabs>
                <w:tab w:val="left" w:pos="51"/>
              </w:tabs>
              <w:spacing w:before="0" w:after="0" w:line="240" w:lineRule="auto"/>
              <w:ind w:left="193"/>
              <w:rPr>
                <w:rFonts w:cstheme="minorBidi"/>
                <w:color w:val="auto"/>
                <w:szCs w:val="16"/>
              </w:rPr>
            </w:pPr>
          </w:p>
        </w:tc>
      </w:tr>
      <w:tr w:rsidR="002D42C1" w:rsidRPr="00DE108C" w14:paraId="6E7A27E6" w14:textId="77777777" w:rsidTr="00FB646F">
        <w:trPr>
          <w:cantSplit/>
          <w:trHeight w:val="300"/>
        </w:trPr>
        <w:tc>
          <w:tcPr>
            <w:tcW w:w="1409" w:type="dxa"/>
          </w:tcPr>
          <w:p w14:paraId="4D115DEA" w14:textId="77777777" w:rsidR="002D42C1" w:rsidRPr="00DE108C" w:rsidRDefault="002D42C1">
            <w:pPr>
              <w:pStyle w:val="TableText"/>
              <w:spacing w:line="240" w:lineRule="auto"/>
              <w:rPr>
                <w:color w:val="auto"/>
                <w:szCs w:val="16"/>
              </w:rPr>
            </w:pPr>
            <w:r w:rsidRPr="00DE108C">
              <w:rPr>
                <w:rFonts w:cs="Arial"/>
                <w:color w:val="auto"/>
                <w:szCs w:val="16"/>
              </w:rPr>
              <w:lastRenderedPageBreak/>
              <w:t>5. WTP Gas Plant Renewal</w:t>
            </w:r>
          </w:p>
        </w:tc>
        <w:tc>
          <w:tcPr>
            <w:tcW w:w="7577" w:type="dxa"/>
          </w:tcPr>
          <w:p w14:paraId="2E4CC6E1"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Delayed</w:t>
            </w:r>
          </w:p>
          <w:p w14:paraId="52767CA8" w14:textId="77777777" w:rsidR="002D42C1" w:rsidRPr="00DE108C" w:rsidRDefault="002D42C1" w:rsidP="00ED094E">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1080"/>
              <w:gridCol w:w="1112"/>
            </w:tblGrid>
            <w:tr w:rsidR="002D42C1" w:rsidRPr="00DE108C" w14:paraId="7DC48FAA" w14:textId="77777777" w:rsidTr="002C05FD">
              <w:trPr>
                <w:trHeight w:val="285"/>
              </w:trPr>
              <w:tc>
                <w:tcPr>
                  <w:tcW w:w="2200" w:type="dxa"/>
                  <w:noWrap/>
                  <w:vAlign w:val="bottom"/>
                  <w:hideMark/>
                </w:tcPr>
                <w:p w14:paraId="2699077C" w14:textId="77777777" w:rsidR="002D42C1" w:rsidRPr="00DE108C" w:rsidRDefault="002D42C1" w:rsidP="00ED094E">
                  <w:pPr>
                    <w:spacing w:line="240" w:lineRule="auto"/>
                    <w:rPr>
                      <w:rFonts w:ascii="Times New Roman" w:hAnsi="Times New Roman"/>
                      <w:color w:val="auto"/>
                      <w:sz w:val="24"/>
                    </w:rPr>
                  </w:pPr>
                </w:p>
              </w:tc>
              <w:tc>
                <w:tcPr>
                  <w:tcW w:w="1196" w:type="dxa"/>
                  <w:noWrap/>
                  <w:vAlign w:val="bottom"/>
                  <w:hideMark/>
                </w:tcPr>
                <w:p w14:paraId="57C0DA57"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1080" w:type="dxa"/>
                  <w:noWrap/>
                  <w:vAlign w:val="bottom"/>
                  <w:hideMark/>
                </w:tcPr>
                <w:p w14:paraId="1C852196"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112" w:type="dxa"/>
                  <w:noWrap/>
                  <w:vAlign w:val="bottom"/>
                  <w:hideMark/>
                </w:tcPr>
                <w:p w14:paraId="3A663323"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32439599" w14:textId="77777777" w:rsidTr="002C05FD">
              <w:trPr>
                <w:trHeight w:val="285"/>
              </w:trPr>
              <w:tc>
                <w:tcPr>
                  <w:tcW w:w="2200" w:type="dxa"/>
                  <w:noWrap/>
                  <w:vAlign w:val="bottom"/>
                  <w:hideMark/>
                </w:tcPr>
                <w:p w14:paraId="78C877AC"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3DA3F8B2"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$27.3 m</w:t>
                  </w:r>
                </w:p>
              </w:tc>
              <w:tc>
                <w:tcPr>
                  <w:tcW w:w="1080" w:type="dxa"/>
                  <w:noWrap/>
                  <w:vAlign w:val="bottom"/>
                  <w:hideMark/>
                </w:tcPr>
                <w:p w14:paraId="56889E34"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$18.1 m</w:t>
                  </w:r>
                </w:p>
              </w:tc>
              <w:tc>
                <w:tcPr>
                  <w:tcW w:w="1112" w:type="dxa"/>
                  <w:noWrap/>
                  <w:vAlign w:val="bottom"/>
                  <w:hideMark/>
                </w:tcPr>
                <w:p w14:paraId="522A0D0D"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$45.4 m</w:t>
                  </w:r>
                </w:p>
              </w:tc>
            </w:tr>
            <w:tr w:rsidR="002D42C1" w:rsidRPr="00DE108C" w14:paraId="5950494B" w14:textId="77777777" w:rsidTr="002C05FD">
              <w:trPr>
                <w:trHeight w:val="285"/>
              </w:trPr>
              <w:tc>
                <w:tcPr>
                  <w:tcW w:w="2200" w:type="dxa"/>
                  <w:noWrap/>
                  <w:vAlign w:val="bottom"/>
                  <w:hideMark/>
                </w:tcPr>
                <w:p w14:paraId="65CEDB4E"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4BC03F8A"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$3.8 m</w:t>
                  </w:r>
                </w:p>
              </w:tc>
              <w:tc>
                <w:tcPr>
                  <w:tcW w:w="1080" w:type="dxa"/>
                  <w:noWrap/>
                  <w:vAlign w:val="bottom"/>
                  <w:hideMark/>
                </w:tcPr>
                <w:p w14:paraId="295262CE"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$84.7 m</w:t>
                  </w:r>
                </w:p>
              </w:tc>
              <w:tc>
                <w:tcPr>
                  <w:tcW w:w="1112" w:type="dxa"/>
                  <w:noWrap/>
                  <w:vAlign w:val="bottom"/>
                  <w:hideMark/>
                </w:tcPr>
                <w:p w14:paraId="58A55239"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$88.5 m</w:t>
                  </w:r>
                </w:p>
              </w:tc>
            </w:tr>
            <w:tr w:rsidR="002D42C1" w:rsidRPr="00DE108C" w14:paraId="7115FDFE" w14:textId="77777777" w:rsidTr="002C05FD">
              <w:trPr>
                <w:trHeight w:val="285"/>
              </w:trPr>
              <w:tc>
                <w:tcPr>
                  <w:tcW w:w="2200" w:type="dxa"/>
                  <w:noWrap/>
                  <w:vAlign w:val="bottom"/>
                  <w:hideMark/>
                </w:tcPr>
                <w:p w14:paraId="7818B45C"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66CC1FC3"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-$23.5 m</w:t>
                  </w:r>
                </w:p>
              </w:tc>
              <w:tc>
                <w:tcPr>
                  <w:tcW w:w="1080" w:type="dxa"/>
                  <w:noWrap/>
                  <w:vAlign w:val="bottom"/>
                  <w:hideMark/>
                </w:tcPr>
                <w:p w14:paraId="3FEB5CDF"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$66.6 m</w:t>
                  </w:r>
                </w:p>
              </w:tc>
              <w:tc>
                <w:tcPr>
                  <w:tcW w:w="1112" w:type="dxa"/>
                  <w:noWrap/>
                  <w:vAlign w:val="bottom"/>
                  <w:hideMark/>
                </w:tcPr>
                <w:p w14:paraId="4356B978"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$43.1 m</w:t>
                  </w:r>
                </w:p>
              </w:tc>
            </w:tr>
          </w:tbl>
          <w:p w14:paraId="73BDEB76" w14:textId="77777777" w:rsidR="002D42C1" w:rsidRPr="00DE108C" w:rsidRDefault="002D42C1" w:rsidP="00ED094E">
            <w:pPr>
              <w:pStyle w:val="TableText"/>
              <w:spacing w:line="240" w:lineRule="auto"/>
              <w:rPr>
                <w:rFonts w:cstheme="minorBidi"/>
                <w:b/>
                <w:bCs/>
                <w:color w:val="auto"/>
                <w:szCs w:val="16"/>
              </w:rPr>
            </w:pPr>
          </w:p>
          <w:p w14:paraId="57FF072D" w14:textId="77777777" w:rsidR="002D42C1" w:rsidRPr="00DE108C" w:rsidRDefault="002D42C1" w:rsidP="00ED094E">
            <w:pPr>
              <w:pStyle w:val="TableText"/>
              <w:spacing w:line="240" w:lineRule="auto"/>
              <w:rPr>
                <w:rFonts w:cstheme="minorBidi"/>
                <w:b/>
                <w:bCs/>
                <w:color w:val="auto"/>
                <w:szCs w:val="16"/>
              </w:rPr>
            </w:pPr>
          </w:p>
          <w:p w14:paraId="6DC3262E" w14:textId="77777777" w:rsidR="002D42C1" w:rsidRPr="00DE108C" w:rsidRDefault="002D42C1">
            <w:pPr>
              <w:pStyle w:val="TableText"/>
              <w:spacing w:line="240" w:lineRule="auto"/>
              <w:rPr>
                <w:color w:val="auto"/>
                <w:szCs w:val="16"/>
              </w:rPr>
            </w:pPr>
            <w:r w:rsidRPr="00DE108C">
              <w:rPr>
                <w:rFonts w:cstheme="minorBidi"/>
                <w:b/>
                <w:bCs/>
                <w:color w:val="auto"/>
                <w:szCs w:val="16"/>
              </w:rPr>
              <w:t>Original start/finish:</w:t>
            </w:r>
            <w:r w:rsidRPr="00DE108C">
              <w:rPr>
                <w:rFonts w:cs="Arial"/>
                <w:color w:val="auto"/>
                <w:szCs w:val="16"/>
              </w:rPr>
              <w:t xml:space="preserve"> 2022-23 to 2027-28</w:t>
            </w:r>
          </w:p>
          <w:p w14:paraId="729CB4EF" w14:textId="77777777" w:rsidR="002D42C1" w:rsidRPr="00DE108C" w:rsidRDefault="002D42C1">
            <w:pPr>
              <w:pStyle w:val="TableText"/>
              <w:spacing w:line="240" w:lineRule="auto"/>
              <w:rPr>
                <w:color w:val="auto"/>
                <w:szCs w:val="16"/>
              </w:rPr>
            </w:pPr>
            <w:r w:rsidRPr="00DE108C">
              <w:rPr>
                <w:rFonts w:cstheme="minorBidi"/>
                <w:b/>
                <w:bCs/>
                <w:color w:val="auto"/>
                <w:szCs w:val="16"/>
              </w:rPr>
              <w:t>Expected start/finish:</w:t>
            </w:r>
            <w:r w:rsidRPr="00DE108C">
              <w:rPr>
                <w:rFonts w:cs="Arial"/>
                <w:color w:val="auto"/>
                <w:szCs w:val="16"/>
              </w:rPr>
              <w:t xml:space="preserve"> 2025-26 to 2028-29</w:t>
            </w:r>
          </w:p>
          <w:p w14:paraId="00D62958" w14:textId="77777777" w:rsidR="002D42C1" w:rsidRPr="00DE108C" w:rsidRDefault="002D42C1" w:rsidP="00ED094E">
            <w:pPr>
              <w:pStyle w:val="TableText"/>
              <w:spacing w:line="240" w:lineRule="auto"/>
              <w:rPr>
                <w:rFonts w:cstheme="minorBidi"/>
                <w:b/>
                <w:bCs/>
                <w:color w:val="auto"/>
                <w:szCs w:val="16"/>
              </w:rPr>
            </w:pPr>
          </w:p>
          <w:p w14:paraId="32FCB377"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Reasons for delay</w:t>
            </w:r>
          </w:p>
          <w:p w14:paraId="237DB34D" w14:textId="2143D869" w:rsidR="002D42C1" w:rsidRPr="00DE108C" w:rsidRDefault="002D42C1" w:rsidP="00ED094E">
            <w:pPr>
              <w:pStyle w:val="TableText"/>
              <w:rPr>
                <w:rFonts w:cstheme="minorBidi"/>
                <w:color w:val="auto"/>
              </w:rPr>
            </w:pPr>
            <w:r w:rsidRPr="00DE108C">
              <w:rPr>
                <w:rFonts w:cstheme="minorBidi"/>
                <w:color w:val="auto"/>
              </w:rPr>
              <w:t xml:space="preserve">This </w:t>
            </w:r>
            <w:r w:rsidR="6AE021F9" w:rsidRPr="00DE108C">
              <w:rPr>
                <w:rFonts w:cstheme="minorBidi"/>
                <w:color w:val="auto"/>
              </w:rPr>
              <w:t>p</w:t>
            </w:r>
            <w:r w:rsidRPr="00DE108C">
              <w:rPr>
                <w:rFonts w:cstheme="minorBidi"/>
                <w:color w:val="auto"/>
              </w:rPr>
              <w:t>roject was delayed to conduct further investigations and spend additional effort during the design stage to mitigate project construction risk and ensure expenditure is efficient.</w:t>
            </w:r>
          </w:p>
          <w:p w14:paraId="28545280"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Impact to customers and community</w:t>
            </w:r>
          </w:p>
          <w:p w14:paraId="45EDB933" w14:textId="173FF028" w:rsidR="002D42C1" w:rsidRPr="00DE108C" w:rsidRDefault="002D42C1" w:rsidP="00ED094E">
            <w:pPr>
              <w:pStyle w:val="TableText"/>
              <w:rPr>
                <w:rFonts w:cstheme="minorBidi"/>
                <w:color w:val="auto"/>
              </w:rPr>
            </w:pPr>
            <w:r w:rsidRPr="00DE108C">
              <w:rPr>
                <w:rFonts w:cstheme="minorBidi"/>
                <w:color w:val="auto"/>
              </w:rPr>
              <w:t xml:space="preserve">There have not been any impacts to customers and the community due to this </w:t>
            </w:r>
            <w:r w:rsidR="10A4014E" w:rsidRPr="00DE108C">
              <w:rPr>
                <w:rFonts w:cstheme="minorBidi"/>
                <w:color w:val="auto"/>
              </w:rPr>
              <w:t>p</w:t>
            </w:r>
            <w:r w:rsidRPr="00DE108C">
              <w:rPr>
                <w:rFonts w:cstheme="minorBidi"/>
                <w:color w:val="auto"/>
              </w:rPr>
              <w:t>roject’s delay. We have been and will continue to carry site environmental licence compliance risks (odour) and operating cost risks (if biogas power generation is interrupted) until project completion.</w:t>
            </w:r>
          </w:p>
          <w:p w14:paraId="4BE6C0AA" w14:textId="77777777" w:rsidR="002D42C1" w:rsidRPr="00DE108C" w:rsidRDefault="002D42C1" w:rsidP="00ED094E">
            <w:pPr>
              <w:pStyle w:val="TableText"/>
              <w:tabs>
                <w:tab w:val="left" w:pos="51"/>
              </w:tabs>
              <w:spacing w:before="0" w:after="0" w:line="240" w:lineRule="auto"/>
              <w:ind w:left="193"/>
              <w:rPr>
                <w:rFonts w:cstheme="minorBidi"/>
                <w:color w:val="auto"/>
                <w:szCs w:val="16"/>
              </w:rPr>
            </w:pPr>
          </w:p>
        </w:tc>
      </w:tr>
      <w:tr w:rsidR="00A5757A" w:rsidRPr="00DE108C" w14:paraId="303F688F" w14:textId="77777777" w:rsidTr="00FB646F">
        <w:trPr>
          <w:cnfStyle w:val="000000010000" w:firstRow="0" w:lastRow="0" w:firstColumn="0" w:lastColumn="0" w:oddVBand="0" w:evenVBand="0" w:oddHBand="0" w:evenHBand="1" w:firstRowFirstColumn="0" w:firstRowLastColumn="0" w:lastRowFirstColumn="0" w:lastRowLastColumn="0"/>
          <w:cantSplit/>
          <w:trHeight w:val="300"/>
        </w:trPr>
        <w:tc>
          <w:tcPr>
            <w:tcW w:w="1409" w:type="dxa"/>
          </w:tcPr>
          <w:p w14:paraId="5F59A334" w14:textId="77777777" w:rsidR="002D42C1" w:rsidRPr="00DE108C" w:rsidRDefault="002D42C1">
            <w:pPr>
              <w:pStyle w:val="TableText"/>
              <w:spacing w:line="240" w:lineRule="auto"/>
              <w:rPr>
                <w:color w:val="auto"/>
                <w:szCs w:val="16"/>
              </w:rPr>
            </w:pPr>
            <w:r w:rsidRPr="00DE108C">
              <w:rPr>
                <w:rFonts w:cs="Arial"/>
                <w:color w:val="auto"/>
                <w:szCs w:val="16"/>
              </w:rPr>
              <w:t>6. Yan Yean to Bald Hill Pipeline</w:t>
            </w:r>
          </w:p>
        </w:tc>
        <w:tc>
          <w:tcPr>
            <w:tcW w:w="7577" w:type="dxa"/>
          </w:tcPr>
          <w:p w14:paraId="0CD6FD73"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Completed late</w:t>
            </w:r>
          </w:p>
          <w:p w14:paraId="2EC5EC69" w14:textId="77777777" w:rsidR="002D42C1" w:rsidRPr="00DE108C" w:rsidRDefault="002D42C1" w:rsidP="00ED094E">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1110"/>
              <w:gridCol w:w="1082"/>
            </w:tblGrid>
            <w:tr w:rsidR="002D42C1" w:rsidRPr="00DE108C" w14:paraId="628406CB" w14:textId="77777777" w:rsidTr="002C05FD">
              <w:trPr>
                <w:trHeight w:val="285"/>
              </w:trPr>
              <w:tc>
                <w:tcPr>
                  <w:tcW w:w="2200" w:type="dxa"/>
                  <w:noWrap/>
                  <w:vAlign w:val="bottom"/>
                  <w:hideMark/>
                </w:tcPr>
                <w:p w14:paraId="7A0B447E" w14:textId="77777777" w:rsidR="002D42C1" w:rsidRPr="00DE108C" w:rsidRDefault="002D42C1" w:rsidP="00ED094E">
                  <w:pPr>
                    <w:spacing w:line="240" w:lineRule="auto"/>
                    <w:rPr>
                      <w:rFonts w:ascii="Times New Roman" w:hAnsi="Times New Roman"/>
                      <w:color w:val="auto"/>
                      <w:sz w:val="24"/>
                    </w:rPr>
                  </w:pPr>
                </w:p>
              </w:tc>
              <w:tc>
                <w:tcPr>
                  <w:tcW w:w="1196" w:type="dxa"/>
                  <w:noWrap/>
                  <w:vAlign w:val="bottom"/>
                  <w:hideMark/>
                </w:tcPr>
                <w:p w14:paraId="1D4F9980"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1110" w:type="dxa"/>
                  <w:noWrap/>
                  <w:vAlign w:val="bottom"/>
                  <w:hideMark/>
                </w:tcPr>
                <w:p w14:paraId="11C08391"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082" w:type="dxa"/>
                  <w:noWrap/>
                  <w:vAlign w:val="bottom"/>
                  <w:hideMark/>
                </w:tcPr>
                <w:p w14:paraId="218410C5"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6B00FB09" w14:textId="77777777" w:rsidTr="002C05FD">
              <w:trPr>
                <w:trHeight w:val="285"/>
              </w:trPr>
              <w:tc>
                <w:tcPr>
                  <w:tcW w:w="2200" w:type="dxa"/>
                  <w:noWrap/>
                  <w:vAlign w:val="bottom"/>
                  <w:hideMark/>
                </w:tcPr>
                <w:p w14:paraId="7E05808B"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34215CCB"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$115.4 m</w:t>
                  </w:r>
                </w:p>
              </w:tc>
              <w:tc>
                <w:tcPr>
                  <w:tcW w:w="1110" w:type="dxa"/>
                  <w:noWrap/>
                  <w:vAlign w:val="bottom"/>
                  <w:hideMark/>
                </w:tcPr>
                <w:p w14:paraId="7EF19ACE"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82" w:type="dxa"/>
                  <w:noWrap/>
                  <w:vAlign w:val="bottom"/>
                  <w:hideMark/>
                </w:tcPr>
                <w:p w14:paraId="15CCC07B"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$115.4 m</w:t>
                  </w:r>
                </w:p>
              </w:tc>
            </w:tr>
            <w:tr w:rsidR="002D42C1" w:rsidRPr="00DE108C" w14:paraId="1F58D64F" w14:textId="77777777" w:rsidTr="002C05FD">
              <w:trPr>
                <w:trHeight w:val="285"/>
              </w:trPr>
              <w:tc>
                <w:tcPr>
                  <w:tcW w:w="2200" w:type="dxa"/>
                  <w:noWrap/>
                  <w:vAlign w:val="bottom"/>
                  <w:hideMark/>
                </w:tcPr>
                <w:p w14:paraId="1FAB65A2"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0D66B7EB"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$102.9 m</w:t>
                  </w:r>
                </w:p>
              </w:tc>
              <w:tc>
                <w:tcPr>
                  <w:tcW w:w="1110" w:type="dxa"/>
                  <w:noWrap/>
                  <w:vAlign w:val="bottom"/>
                  <w:hideMark/>
                </w:tcPr>
                <w:p w14:paraId="38AA7176"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82" w:type="dxa"/>
                  <w:noWrap/>
                  <w:vAlign w:val="bottom"/>
                  <w:hideMark/>
                </w:tcPr>
                <w:p w14:paraId="7DCF9374"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$102.9 m</w:t>
                  </w:r>
                </w:p>
              </w:tc>
            </w:tr>
            <w:tr w:rsidR="002D42C1" w:rsidRPr="00DE108C" w14:paraId="35591229" w14:textId="77777777" w:rsidTr="002C05FD">
              <w:trPr>
                <w:trHeight w:val="285"/>
              </w:trPr>
              <w:tc>
                <w:tcPr>
                  <w:tcW w:w="2200" w:type="dxa"/>
                  <w:noWrap/>
                  <w:vAlign w:val="bottom"/>
                  <w:hideMark/>
                </w:tcPr>
                <w:p w14:paraId="2E225045"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756E2A0D"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-$12.5 m</w:t>
                  </w:r>
                </w:p>
              </w:tc>
              <w:tc>
                <w:tcPr>
                  <w:tcW w:w="1110" w:type="dxa"/>
                  <w:noWrap/>
                  <w:vAlign w:val="bottom"/>
                  <w:hideMark/>
                </w:tcPr>
                <w:p w14:paraId="1E501D66"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82" w:type="dxa"/>
                  <w:noWrap/>
                  <w:vAlign w:val="bottom"/>
                  <w:hideMark/>
                </w:tcPr>
                <w:p w14:paraId="0284A275"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-$12.5 m</w:t>
                  </w:r>
                </w:p>
              </w:tc>
            </w:tr>
          </w:tbl>
          <w:p w14:paraId="351A7674" w14:textId="77777777" w:rsidR="002D42C1" w:rsidRPr="00DE108C" w:rsidRDefault="002D42C1" w:rsidP="00ED094E">
            <w:pPr>
              <w:pStyle w:val="TableText"/>
              <w:spacing w:line="240" w:lineRule="auto"/>
              <w:rPr>
                <w:rFonts w:cstheme="minorBidi"/>
                <w:b/>
                <w:bCs/>
                <w:color w:val="auto"/>
                <w:szCs w:val="16"/>
              </w:rPr>
            </w:pPr>
          </w:p>
          <w:p w14:paraId="533F1C87" w14:textId="77777777" w:rsidR="002D42C1" w:rsidRPr="00DE108C" w:rsidRDefault="002D42C1">
            <w:pPr>
              <w:pStyle w:val="TableText"/>
              <w:spacing w:line="240" w:lineRule="auto"/>
              <w:rPr>
                <w:color w:val="auto"/>
                <w:szCs w:val="16"/>
              </w:rPr>
            </w:pPr>
            <w:r w:rsidRPr="00DE108C">
              <w:rPr>
                <w:rFonts w:cstheme="minorBidi"/>
                <w:b/>
                <w:bCs/>
                <w:color w:val="auto"/>
                <w:szCs w:val="16"/>
              </w:rPr>
              <w:t>Original start/finish:</w:t>
            </w:r>
            <w:r w:rsidRPr="00DE108C">
              <w:rPr>
                <w:rFonts w:cs="Arial"/>
                <w:color w:val="auto"/>
                <w:szCs w:val="16"/>
              </w:rPr>
              <w:t xml:space="preserve"> 2020-21 to 2023-24</w:t>
            </w:r>
          </w:p>
          <w:p w14:paraId="37363F76" w14:textId="77777777" w:rsidR="002D42C1" w:rsidRPr="00DE108C" w:rsidRDefault="002D42C1">
            <w:pPr>
              <w:pStyle w:val="TableText"/>
              <w:spacing w:line="240" w:lineRule="auto"/>
              <w:rPr>
                <w:color w:val="auto"/>
                <w:szCs w:val="16"/>
              </w:rPr>
            </w:pPr>
            <w:r w:rsidRPr="00DE108C">
              <w:rPr>
                <w:rFonts w:cstheme="minorBidi"/>
                <w:b/>
                <w:bCs/>
                <w:color w:val="auto"/>
                <w:szCs w:val="16"/>
              </w:rPr>
              <w:t>Actual start/finish:</w:t>
            </w:r>
            <w:r w:rsidRPr="00DE108C">
              <w:rPr>
                <w:rFonts w:cs="Arial"/>
                <w:color w:val="auto"/>
                <w:szCs w:val="16"/>
              </w:rPr>
              <w:t xml:space="preserve"> 2021-22 to 2024-25</w:t>
            </w:r>
          </w:p>
          <w:p w14:paraId="372D523B" w14:textId="77777777" w:rsidR="002D42C1" w:rsidRPr="00DE108C" w:rsidRDefault="002D42C1" w:rsidP="00ED094E">
            <w:pPr>
              <w:pStyle w:val="TableText"/>
              <w:spacing w:line="240" w:lineRule="auto"/>
              <w:rPr>
                <w:rFonts w:cstheme="minorBidi"/>
                <w:b/>
                <w:bCs/>
                <w:color w:val="auto"/>
                <w:szCs w:val="16"/>
              </w:rPr>
            </w:pPr>
          </w:p>
          <w:p w14:paraId="60B87C65"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Reasons for delay</w:t>
            </w:r>
          </w:p>
          <w:p w14:paraId="20891C2A" w14:textId="73FB66B3" w:rsidR="002D42C1" w:rsidRPr="00DE108C" w:rsidRDefault="002D42C1" w:rsidP="00ED094E">
            <w:pPr>
              <w:pStyle w:val="TableText"/>
              <w:spacing w:line="240" w:lineRule="auto"/>
              <w:rPr>
                <w:rFonts w:cstheme="minorBidi"/>
                <w:color w:val="auto"/>
              </w:rPr>
            </w:pPr>
            <w:r w:rsidRPr="00DE108C">
              <w:rPr>
                <w:rFonts w:cstheme="minorBidi"/>
                <w:color w:val="auto"/>
              </w:rPr>
              <w:t xml:space="preserve">This </w:t>
            </w:r>
            <w:r w:rsidR="1509ACEF" w:rsidRPr="00DE108C">
              <w:rPr>
                <w:rFonts w:cstheme="minorBidi"/>
                <w:color w:val="auto"/>
              </w:rPr>
              <w:t>p</w:t>
            </w:r>
            <w:r w:rsidRPr="00DE108C">
              <w:rPr>
                <w:rFonts w:cstheme="minorBidi"/>
                <w:color w:val="auto"/>
              </w:rPr>
              <w:t xml:space="preserve">roject was delayed due to longer than expected approval of the Cultural Heritage Management Plans (CHMPs). </w:t>
            </w:r>
          </w:p>
          <w:p w14:paraId="470A3932"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Impact to customers and community</w:t>
            </w:r>
          </w:p>
          <w:p w14:paraId="6E410702" w14:textId="20B01054" w:rsidR="002D42C1" w:rsidRPr="00DE108C" w:rsidRDefault="002D42C1" w:rsidP="00ED094E">
            <w:pPr>
              <w:pStyle w:val="TableText"/>
              <w:spacing w:line="240" w:lineRule="auto"/>
              <w:rPr>
                <w:rFonts w:cstheme="minorBidi"/>
                <w:color w:val="auto"/>
              </w:rPr>
            </w:pPr>
            <w:r w:rsidRPr="00DE108C">
              <w:rPr>
                <w:rFonts w:cstheme="minorBidi"/>
                <w:color w:val="auto"/>
              </w:rPr>
              <w:t xml:space="preserve">There have not been any impacts to the community due to this </w:t>
            </w:r>
            <w:r w:rsidR="68847DCD" w:rsidRPr="00DE108C">
              <w:rPr>
                <w:rFonts w:cstheme="minorBidi"/>
                <w:color w:val="auto"/>
              </w:rPr>
              <w:t>p</w:t>
            </w:r>
            <w:r w:rsidRPr="00DE108C">
              <w:rPr>
                <w:rFonts w:cstheme="minorBidi"/>
                <w:color w:val="auto"/>
              </w:rPr>
              <w:t xml:space="preserve">roject’s delay. We worked with Yarra Valley Water who supplied customers via their assets until the </w:t>
            </w:r>
            <w:r w:rsidR="01D75990" w:rsidRPr="00DE108C">
              <w:rPr>
                <w:rFonts w:cstheme="minorBidi"/>
                <w:color w:val="auto"/>
              </w:rPr>
              <w:t>p</w:t>
            </w:r>
            <w:r w:rsidRPr="00DE108C">
              <w:rPr>
                <w:rFonts w:cstheme="minorBidi"/>
                <w:color w:val="auto"/>
              </w:rPr>
              <w:t>roject was completed.</w:t>
            </w:r>
          </w:p>
          <w:p w14:paraId="4FB6BB61" w14:textId="77777777" w:rsidR="002D42C1" w:rsidRPr="00DE108C" w:rsidRDefault="002D42C1" w:rsidP="00ED094E">
            <w:pPr>
              <w:pStyle w:val="TableText"/>
              <w:tabs>
                <w:tab w:val="left" w:pos="51"/>
              </w:tabs>
              <w:spacing w:before="0" w:after="0" w:line="240" w:lineRule="auto"/>
              <w:ind w:left="193"/>
              <w:rPr>
                <w:rFonts w:cstheme="minorBidi"/>
                <w:color w:val="auto"/>
                <w:szCs w:val="16"/>
              </w:rPr>
            </w:pPr>
          </w:p>
        </w:tc>
      </w:tr>
      <w:tr w:rsidR="002D42C1" w:rsidRPr="00DE108C" w14:paraId="47332608" w14:textId="77777777" w:rsidTr="00FB646F">
        <w:trPr>
          <w:cantSplit/>
          <w:trHeight w:val="300"/>
        </w:trPr>
        <w:tc>
          <w:tcPr>
            <w:tcW w:w="1409" w:type="dxa"/>
          </w:tcPr>
          <w:p w14:paraId="0B9AF425" w14:textId="77777777" w:rsidR="002D42C1" w:rsidRPr="00DE108C" w:rsidRDefault="002D42C1">
            <w:pPr>
              <w:pStyle w:val="TableText"/>
              <w:spacing w:line="240" w:lineRule="auto"/>
              <w:rPr>
                <w:color w:val="auto"/>
                <w:szCs w:val="16"/>
              </w:rPr>
            </w:pPr>
            <w:r w:rsidRPr="00DE108C">
              <w:rPr>
                <w:rFonts w:cs="Arial"/>
                <w:color w:val="auto"/>
                <w:szCs w:val="16"/>
              </w:rPr>
              <w:lastRenderedPageBreak/>
              <w:t>7. Maroondah Res Outlet and Aqueduct Stage 3A</w:t>
            </w:r>
          </w:p>
        </w:tc>
        <w:tc>
          <w:tcPr>
            <w:tcW w:w="7577" w:type="dxa"/>
          </w:tcPr>
          <w:p w14:paraId="5294D9C6"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Delayed</w:t>
            </w:r>
          </w:p>
          <w:p w14:paraId="337372D2" w14:textId="77777777" w:rsidR="002D42C1" w:rsidRPr="00DE108C" w:rsidRDefault="002D42C1" w:rsidP="00ED094E">
            <w:pPr>
              <w:pStyle w:val="TableText"/>
              <w:spacing w:line="240" w:lineRule="auto"/>
              <w:rPr>
                <w:rFonts w:cstheme="minorBidi"/>
                <w:b/>
                <w:bCs/>
                <w:color w:val="auto"/>
                <w:szCs w:val="16"/>
              </w:rPr>
            </w:pPr>
          </w:p>
          <w:tbl>
            <w:tblPr>
              <w:tblW w:w="6186"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1530"/>
              <w:gridCol w:w="1260"/>
            </w:tblGrid>
            <w:tr w:rsidR="002D42C1" w:rsidRPr="00DE108C" w14:paraId="117C6223" w14:textId="77777777" w:rsidTr="002C05FD">
              <w:trPr>
                <w:trHeight w:val="285"/>
              </w:trPr>
              <w:tc>
                <w:tcPr>
                  <w:tcW w:w="2200" w:type="dxa"/>
                  <w:noWrap/>
                  <w:vAlign w:val="bottom"/>
                  <w:hideMark/>
                </w:tcPr>
                <w:p w14:paraId="6F08BFB9" w14:textId="77777777" w:rsidR="002D42C1" w:rsidRPr="00DE108C" w:rsidRDefault="002D42C1" w:rsidP="00ED094E">
                  <w:pPr>
                    <w:spacing w:line="240" w:lineRule="auto"/>
                    <w:rPr>
                      <w:rFonts w:ascii="Times New Roman" w:hAnsi="Times New Roman"/>
                      <w:color w:val="auto"/>
                      <w:sz w:val="24"/>
                    </w:rPr>
                  </w:pPr>
                </w:p>
              </w:tc>
              <w:tc>
                <w:tcPr>
                  <w:tcW w:w="1196" w:type="dxa"/>
                  <w:noWrap/>
                  <w:vAlign w:val="bottom"/>
                  <w:hideMark/>
                </w:tcPr>
                <w:p w14:paraId="3DB00974"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1530" w:type="dxa"/>
                  <w:noWrap/>
                  <w:vAlign w:val="bottom"/>
                  <w:hideMark/>
                </w:tcPr>
                <w:p w14:paraId="25677AB0"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260" w:type="dxa"/>
                  <w:noWrap/>
                  <w:vAlign w:val="bottom"/>
                  <w:hideMark/>
                </w:tcPr>
                <w:p w14:paraId="0DDA79B9"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59DCE358" w14:textId="77777777" w:rsidTr="002C05FD">
              <w:trPr>
                <w:trHeight w:val="285"/>
              </w:trPr>
              <w:tc>
                <w:tcPr>
                  <w:tcW w:w="2200" w:type="dxa"/>
                  <w:noWrap/>
                  <w:vAlign w:val="bottom"/>
                  <w:hideMark/>
                </w:tcPr>
                <w:p w14:paraId="6BCD8778"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46D2ED9F"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$70.2 m</w:t>
                  </w:r>
                </w:p>
              </w:tc>
              <w:tc>
                <w:tcPr>
                  <w:tcW w:w="1530" w:type="dxa"/>
                  <w:noWrap/>
                  <w:vAlign w:val="bottom"/>
                  <w:hideMark/>
                </w:tcPr>
                <w:p w14:paraId="24F2BD50"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$26.7 m</w:t>
                  </w:r>
                </w:p>
              </w:tc>
              <w:tc>
                <w:tcPr>
                  <w:tcW w:w="1260" w:type="dxa"/>
                  <w:noWrap/>
                  <w:vAlign w:val="bottom"/>
                  <w:hideMark/>
                </w:tcPr>
                <w:p w14:paraId="0F5563A8"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$96.9 m</w:t>
                  </w:r>
                </w:p>
              </w:tc>
            </w:tr>
            <w:tr w:rsidR="002D42C1" w:rsidRPr="00DE108C" w14:paraId="688C3B92" w14:textId="77777777" w:rsidTr="002C05FD">
              <w:trPr>
                <w:trHeight w:val="285"/>
              </w:trPr>
              <w:tc>
                <w:tcPr>
                  <w:tcW w:w="2200" w:type="dxa"/>
                  <w:noWrap/>
                  <w:vAlign w:val="bottom"/>
                  <w:hideMark/>
                </w:tcPr>
                <w:p w14:paraId="0A0A9378"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52C816AB"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$9.2 m</w:t>
                  </w:r>
                </w:p>
              </w:tc>
              <w:tc>
                <w:tcPr>
                  <w:tcW w:w="1530" w:type="dxa"/>
                  <w:noWrap/>
                  <w:vAlign w:val="bottom"/>
                  <w:hideMark/>
                </w:tcPr>
                <w:p w14:paraId="611A812D"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$221.1 m</w:t>
                  </w:r>
                </w:p>
              </w:tc>
              <w:tc>
                <w:tcPr>
                  <w:tcW w:w="1260" w:type="dxa"/>
                  <w:noWrap/>
                  <w:vAlign w:val="bottom"/>
                  <w:hideMark/>
                </w:tcPr>
                <w:p w14:paraId="50DA7A22"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$230.4 m</w:t>
                  </w:r>
                </w:p>
              </w:tc>
            </w:tr>
            <w:tr w:rsidR="002D42C1" w:rsidRPr="00DE108C" w14:paraId="6DA90420" w14:textId="77777777" w:rsidTr="002C05FD">
              <w:trPr>
                <w:trHeight w:val="285"/>
              </w:trPr>
              <w:tc>
                <w:tcPr>
                  <w:tcW w:w="2200" w:type="dxa"/>
                  <w:noWrap/>
                  <w:vAlign w:val="bottom"/>
                  <w:hideMark/>
                </w:tcPr>
                <w:p w14:paraId="66D64C58"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463BB2EC"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-$61.0 m</w:t>
                  </w:r>
                </w:p>
              </w:tc>
              <w:tc>
                <w:tcPr>
                  <w:tcW w:w="1530" w:type="dxa"/>
                  <w:noWrap/>
                  <w:vAlign w:val="bottom"/>
                  <w:hideMark/>
                </w:tcPr>
                <w:p w14:paraId="7B4BD13C"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$194.4 m</w:t>
                  </w:r>
                </w:p>
              </w:tc>
              <w:tc>
                <w:tcPr>
                  <w:tcW w:w="1260" w:type="dxa"/>
                  <w:noWrap/>
                  <w:vAlign w:val="bottom"/>
                  <w:hideMark/>
                </w:tcPr>
                <w:p w14:paraId="26A6F245"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$133.5 m</w:t>
                  </w:r>
                </w:p>
              </w:tc>
            </w:tr>
          </w:tbl>
          <w:p w14:paraId="08102F46" w14:textId="77777777" w:rsidR="002D42C1" w:rsidRPr="00DE108C" w:rsidRDefault="002D42C1" w:rsidP="00ED094E">
            <w:pPr>
              <w:pStyle w:val="TableText"/>
              <w:spacing w:line="240" w:lineRule="auto"/>
              <w:rPr>
                <w:rFonts w:cstheme="minorBidi"/>
                <w:b/>
                <w:bCs/>
                <w:color w:val="auto"/>
                <w:szCs w:val="16"/>
              </w:rPr>
            </w:pPr>
          </w:p>
          <w:p w14:paraId="6FF2366A" w14:textId="77777777" w:rsidR="002D42C1" w:rsidRPr="00DE108C" w:rsidRDefault="002D42C1">
            <w:pPr>
              <w:pStyle w:val="TableText"/>
              <w:spacing w:line="240" w:lineRule="auto"/>
              <w:rPr>
                <w:color w:val="auto"/>
                <w:szCs w:val="16"/>
              </w:rPr>
            </w:pPr>
            <w:r w:rsidRPr="00DE108C">
              <w:rPr>
                <w:rFonts w:cstheme="minorBidi"/>
                <w:b/>
                <w:bCs/>
                <w:color w:val="auto"/>
                <w:szCs w:val="16"/>
              </w:rPr>
              <w:t>Original start/finish:</w:t>
            </w:r>
            <w:r w:rsidRPr="00DE108C">
              <w:rPr>
                <w:rFonts w:cs="Arial"/>
                <w:color w:val="auto"/>
                <w:szCs w:val="16"/>
              </w:rPr>
              <w:t xml:space="preserve"> 2020-21 to 2027-28</w:t>
            </w:r>
          </w:p>
          <w:p w14:paraId="3A1E843C" w14:textId="77777777" w:rsidR="002D42C1" w:rsidRPr="00DE108C" w:rsidRDefault="002D42C1">
            <w:pPr>
              <w:pStyle w:val="TableText"/>
              <w:spacing w:line="240" w:lineRule="auto"/>
              <w:rPr>
                <w:color w:val="auto"/>
                <w:szCs w:val="16"/>
              </w:rPr>
            </w:pPr>
            <w:r w:rsidRPr="00DE108C">
              <w:rPr>
                <w:rFonts w:cstheme="minorBidi"/>
                <w:b/>
                <w:bCs/>
                <w:color w:val="auto"/>
                <w:szCs w:val="16"/>
              </w:rPr>
              <w:t>Expected start/finish:</w:t>
            </w:r>
            <w:r w:rsidRPr="00DE108C">
              <w:rPr>
                <w:rFonts w:cs="Arial"/>
                <w:color w:val="auto"/>
                <w:szCs w:val="16"/>
              </w:rPr>
              <w:t xml:space="preserve"> 2026-27 to 2032-33</w:t>
            </w:r>
          </w:p>
          <w:p w14:paraId="3FC3B1DC" w14:textId="77777777" w:rsidR="002D42C1" w:rsidRPr="00DE108C" w:rsidRDefault="002D42C1" w:rsidP="00ED094E">
            <w:pPr>
              <w:pStyle w:val="TableText"/>
              <w:spacing w:line="240" w:lineRule="auto"/>
              <w:rPr>
                <w:rFonts w:cstheme="minorBidi"/>
                <w:b/>
                <w:bCs/>
                <w:color w:val="auto"/>
                <w:szCs w:val="16"/>
              </w:rPr>
            </w:pPr>
          </w:p>
          <w:p w14:paraId="518B2A60"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Reasons for delay</w:t>
            </w:r>
          </w:p>
          <w:p w14:paraId="62E57C77" w14:textId="34F13351" w:rsidR="002D42C1" w:rsidRPr="00DE108C" w:rsidRDefault="002D42C1" w:rsidP="00ED094E">
            <w:pPr>
              <w:pStyle w:val="TableText"/>
              <w:spacing w:line="240" w:lineRule="auto"/>
              <w:rPr>
                <w:rFonts w:cstheme="minorBidi"/>
                <w:color w:val="auto"/>
              </w:rPr>
            </w:pPr>
            <w:r w:rsidRPr="00DE108C">
              <w:rPr>
                <w:rFonts w:cstheme="minorBidi"/>
                <w:color w:val="auto"/>
              </w:rPr>
              <w:t xml:space="preserve">This </w:t>
            </w:r>
            <w:r w:rsidR="6C065D6A" w:rsidRPr="00DE108C">
              <w:rPr>
                <w:rFonts w:cstheme="minorBidi"/>
                <w:color w:val="auto"/>
              </w:rPr>
              <w:t>p</w:t>
            </w:r>
            <w:r w:rsidRPr="00DE108C">
              <w:rPr>
                <w:rFonts w:cstheme="minorBidi"/>
                <w:color w:val="auto"/>
              </w:rPr>
              <w:t>roject was delayed to conduct further investigations and spend additional effort during the design stage to mitigate project construction risk and ensure expenditure is efficient.</w:t>
            </w:r>
          </w:p>
          <w:p w14:paraId="18E4C809"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Impact to customers and community</w:t>
            </w:r>
          </w:p>
          <w:p w14:paraId="1BDABCD7" w14:textId="5594D9A0" w:rsidR="002D42C1" w:rsidRPr="00DE108C" w:rsidRDefault="002D42C1" w:rsidP="00ED094E">
            <w:pPr>
              <w:pStyle w:val="TableText"/>
              <w:spacing w:line="240" w:lineRule="auto"/>
              <w:rPr>
                <w:rFonts w:cstheme="minorBidi"/>
                <w:color w:val="auto"/>
              </w:rPr>
            </w:pPr>
            <w:r w:rsidRPr="00DE108C">
              <w:rPr>
                <w:rFonts w:cstheme="minorBidi"/>
                <w:color w:val="auto"/>
              </w:rPr>
              <w:t xml:space="preserve">There have not been any impacts to customers and the community due to this </w:t>
            </w:r>
            <w:r w:rsidR="081DB091" w:rsidRPr="00DE108C">
              <w:rPr>
                <w:rFonts w:cstheme="minorBidi"/>
                <w:color w:val="auto"/>
              </w:rPr>
              <w:t>p</w:t>
            </w:r>
            <w:r w:rsidRPr="00DE108C">
              <w:rPr>
                <w:rFonts w:cstheme="minorBidi"/>
                <w:color w:val="auto"/>
              </w:rPr>
              <w:t xml:space="preserve">roject’s delay. We have been and will continue to carry water security and water quality risks until the </w:t>
            </w:r>
            <w:r w:rsidR="4C5C4D7D" w:rsidRPr="00DE108C">
              <w:rPr>
                <w:rFonts w:cstheme="minorBidi"/>
                <w:color w:val="auto"/>
              </w:rPr>
              <w:t>p</w:t>
            </w:r>
            <w:r w:rsidRPr="00DE108C">
              <w:rPr>
                <w:rFonts w:cstheme="minorBidi"/>
                <w:color w:val="auto"/>
              </w:rPr>
              <w:t>roject is complete.</w:t>
            </w:r>
          </w:p>
          <w:p w14:paraId="318B4718" w14:textId="77777777" w:rsidR="002D42C1" w:rsidRPr="00DE108C" w:rsidRDefault="002D42C1" w:rsidP="00ED094E">
            <w:pPr>
              <w:pStyle w:val="TableText"/>
              <w:spacing w:line="240" w:lineRule="auto"/>
              <w:ind w:left="340"/>
              <w:rPr>
                <w:rFonts w:cstheme="minorBidi"/>
                <w:color w:val="auto"/>
              </w:rPr>
            </w:pPr>
          </w:p>
        </w:tc>
      </w:tr>
      <w:tr w:rsidR="00A5757A" w:rsidRPr="00DE108C" w14:paraId="3014522C" w14:textId="77777777" w:rsidTr="00FB646F">
        <w:trPr>
          <w:cnfStyle w:val="000000010000" w:firstRow="0" w:lastRow="0" w:firstColumn="0" w:lastColumn="0" w:oddVBand="0" w:evenVBand="0" w:oddHBand="0" w:evenHBand="1" w:firstRowFirstColumn="0" w:firstRowLastColumn="0" w:lastRowFirstColumn="0" w:lastRowLastColumn="0"/>
          <w:cantSplit/>
          <w:trHeight w:val="4410"/>
        </w:trPr>
        <w:tc>
          <w:tcPr>
            <w:tcW w:w="1409" w:type="dxa"/>
          </w:tcPr>
          <w:p w14:paraId="1046D13C" w14:textId="77777777" w:rsidR="002D42C1" w:rsidRPr="00DE108C" w:rsidRDefault="002D42C1">
            <w:pPr>
              <w:pStyle w:val="TableText"/>
              <w:spacing w:line="240" w:lineRule="auto"/>
              <w:rPr>
                <w:color w:val="auto"/>
                <w:szCs w:val="16"/>
              </w:rPr>
            </w:pPr>
            <w:r w:rsidRPr="00DE108C">
              <w:rPr>
                <w:rFonts w:cs="Arial"/>
                <w:color w:val="auto"/>
                <w:szCs w:val="16"/>
              </w:rPr>
              <w:t>8. Winneke Treatment Plant - UV Disinfection System</w:t>
            </w:r>
          </w:p>
        </w:tc>
        <w:tc>
          <w:tcPr>
            <w:tcW w:w="7577" w:type="dxa"/>
          </w:tcPr>
          <w:p w14:paraId="07D5937D"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Completed on time</w:t>
            </w:r>
          </w:p>
          <w:p w14:paraId="2787C7BA" w14:textId="77777777" w:rsidR="002D42C1" w:rsidRPr="00DE108C" w:rsidRDefault="002D42C1" w:rsidP="00ED094E">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1155"/>
              <w:gridCol w:w="1037"/>
            </w:tblGrid>
            <w:tr w:rsidR="002D42C1" w:rsidRPr="00DE108C" w14:paraId="46FA46D7" w14:textId="77777777" w:rsidTr="002C05FD">
              <w:trPr>
                <w:trHeight w:val="285"/>
              </w:trPr>
              <w:tc>
                <w:tcPr>
                  <w:tcW w:w="2200" w:type="dxa"/>
                  <w:noWrap/>
                  <w:vAlign w:val="bottom"/>
                  <w:hideMark/>
                </w:tcPr>
                <w:p w14:paraId="1F05EF95" w14:textId="77777777" w:rsidR="002D42C1" w:rsidRPr="00DE108C" w:rsidRDefault="002D42C1" w:rsidP="00ED094E">
                  <w:pPr>
                    <w:spacing w:line="240" w:lineRule="auto"/>
                    <w:rPr>
                      <w:rFonts w:ascii="Times New Roman" w:hAnsi="Times New Roman"/>
                      <w:color w:val="auto"/>
                      <w:sz w:val="24"/>
                    </w:rPr>
                  </w:pPr>
                </w:p>
              </w:tc>
              <w:tc>
                <w:tcPr>
                  <w:tcW w:w="1196" w:type="dxa"/>
                  <w:noWrap/>
                  <w:vAlign w:val="bottom"/>
                  <w:hideMark/>
                </w:tcPr>
                <w:p w14:paraId="41C4E5C5"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1155" w:type="dxa"/>
                  <w:noWrap/>
                  <w:vAlign w:val="bottom"/>
                  <w:hideMark/>
                </w:tcPr>
                <w:p w14:paraId="39AF8AB6"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037" w:type="dxa"/>
                  <w:noWrap/>
                  <w:vAlign w:val="bottom"/>
                  <w:hideMark/>
                </w:tcPr>
                <w:p w14:paraId="1E694149"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563FC7C8" w14:textId="77777777" w:rsidTr="002C05FD">
              <w:trPr>
                <w:trHeight w:val="285"/>
              </w:trPr>
              <w:tc>
                <w:tcPr>
                  <w:tcW w:w="2200" w:type="dxa"/>
                  <w:noWrap/>
                  <w:vAlign w:val="bottom"/>
                  <w:hideMark/>
                </w:tcPr>
                <w:p w14:paraId="0A7C7E3A"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65031B8F"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$52.0 m</w:t>
                  </w:r>
                </w:p>
              </w:tc>
              <w:tc>
                <w:tcPr>
                  <w:tcW w:w="1155" w:type="dxa"/>
                  <w:noWrap/>
                  <w:vAlign w:val="bottom"/>
                  <w:hideMark/>
                </w:tcPr>
                <w:p w14:paraId="43452866"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37" w:type="dxa"/>
                  <w:noWrap/>
                  <w:vAlign w:val="bottom"/>
                  <w:hideMark/>
                </w:tcPr>
                <w:p w14:paraId="4F2B96AA"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$52.0 m</w:t>
                  </w:r>
                </w:p>
              </w:tc>
            </w:tr>
            <w:tr w:rsidR="002D42C1" w:rsidRPr="00DE108C" w14:paraId="57071EE8" w14:textId="77777777" w:rsidTr="002C05FD">
              <w:trPr>
                <w:trHeight w:val="285"/>
              </w:trPr>
              <w:tc>
                <w:tcPr>
                  <w:tcW w:w="2200" w:type="dxa"/>
                  <w:noWrap/>
                  <w:vAlign w:val="bottom"/>
                  <w:hideMark/>
                </w:tcPr>
                <w:p w14:paraId="67E01D32"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1BCCE354"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$49.1 m</w:t>
                  </w:r>
                </w:p>
              </w:tc>
              <w:tc>
                <w:tcPr>
                  <w:tcW w:w="1155" w:type="dxa"/>
                  <w:noWrap/>
                  <w:vAlign w:val="bottom"/>
                  <w:hideMark/>
                </w:tcPr>
                <w:p w14:paraId="1E39D107"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37" w:type="dxa"/>
                  <w:noWrap/>
                  <w:vAlign w:val="bottom"/>
                  <w:hideMark/>
                </w:tcPr>
                <w:p w14:paraId="2B14C645"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$49.1 m</w:t>
                  </w:r>
                </w:p>
              </w:tc>
            </w:tr>
            <w:tr w:rsidR="002D42C1" w:rsidRPr="00DE108C" w14:paraId="135608CB" w14:textId="77777777" w:rsidTr="002C05FD">
              <w:trPr>
                <w:trHeight w:val="285"/>
              </w:trPr>
              <w:tc>
                <w:tcPr>
                  <w:tcW w:w="2200" w:type="dxa"/>
                  <w:noWrap/>
                  <w:vAlign w:val="bottom"/>
                  <w:hideMark/>
                </w:tcPr>
                <w:p w14:paraId="47397BF4"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03551909"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-$2.9 m</w:t>
                  </w:r>
                </w:p>
              </w:tc>
              <w:tc>
                <w:tcPr>
                  <w:tcW w:w="1155" w:type="dxa"/>
                  <w:noWrap/>
                  <w:vAlign w:val="bottom"/>
                  <w:hideMark/>
                </w:tcPr>
                <w:p w14:paraId="72AE1621"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37" w:type="dxa"/>
                  <w:noWrap/>
                  <w:vAlign w:val="bottom"/>
                  <w:hideMark/>
                </w:tcPr>
                <w:p w14:paraId="1B93E21C"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-$2.9 m</w:t>
                  </w:r>
                </w:p>
              </w:tc>
            </w:tr>
          </w:tbl>
          <w:p w14:paraId="669C0532" w14:textId="77777777" w:rsidR="002D42C1" w:rsidRPr="00DE108C" w:rsidRDefault="002D42C1" w:rsidP="00ED094E">
            <w:pPr>
              <w:pStyle w:val="TableText"/>
              <w:spacing w:line="240" w:lineRule="auto"/>
              <w:rPr>
                <w:rFonts w:cstheme="minorBidi"/>
                <w:b/>
                <w:bCs/>
                <w:color w:val="auto"/>
                <w:szCs w:val="16"/>
              </w:rPr>
            </w:pPr>
          </w:p>
          <w:p w14:paraId="0A804AE0" w14:textId="77777777" w:rsidR="002D42C1" w:rsidRPr="00DE108C" w:rsidRDefault="002D42C1">
            <w:pPr>
              <w:pStyle w:val="TableText"/>
              <w:spacing w:line="240" w:lineRule="auto"/>
              <w:rPr>
                <w:color w:val="auto"/>
                <w:szCs w:val="16"/>
              </w:rPr>
            </w:pPr>
            <w:r w:rsidRPr="00DE108C">
              <w:rPr>
                <w:rFonts w:cstheme="minorBidi"/>
                <w:b/>
                <w:bCs/>
                <w:color w:val="auto"/>
                <w:szCs w:val="16"/>
              </w:rPr>
              <w:t>Original start/finish:</w:t>
            </w:r>
            <w:r w:rsidRPr="00DE108C">
              <w:rPr>
                <w:rFonts w:cs="Arial"/>
                <w:color w:val="auto"/>
                <w:szCs w:val="16"/>
              </w:rPr>
              <w:t xml:space="preserve"> 2020-21 to 2024-25</w:t>
            </w:r>
          </w:p>
          <w:p w14:paraId="76C52294" w14:textId="77777777" w:rsidR="002D42C1" w:rsidRPr="00DE108C" w:rsidRDefault="002D42C1">
            <w:pPr>
              <w:pStyle w:val="TableText"/>
              <w:spacing w:line="240" w:lineRule="auto"/>
              <w:rPr>
                <w:color w:val="auto"/>
                <w:szCs w:val="16"/>
              </w:rPr>
            </w:pPr>
            <w:r w:rsidRPr="00DE108C">
              <w:rPr>
                <w:rFonts w:cstheme="minorBidi"/>
                <w:b/>
                <w:bCs/>
                <w:color w:val="auto"/>
                <w:szCs w:val="16"/>
              </w:rPr>
              <w:t>Expected start/finish:</w:t>
            </w:r>
            <w:r w:rsidRPr="00DE108C">
              <w:rPr>
                <w:rFonts w:cs="Arial"/>
                <w:color w:val="auto"/>
                <w:szCs w:val="16"/>
              </w:rPr>
              <w:t xml:space="preserve"> 2021-22 to 2024-25</w:t>
            </w:r>
          </w:p>
          <w:p w14:paraId="03CC723E" w14:textId="77777777" w:rsidR="002D42C1" w:rsidRPr="00DE108C" w:rsidRDefault="002D42C1" w:rsidP="00ED094E">
            <w:pPr>
              <w:pStyle w:val="TableText"/>
              <w:spacing w:line="240" w:lineRule="auto"/>
              <w:rPr>
                <w:rFonts w:cstheme="minorBidi"/>
                <w:color w:val="auto"/>
                <w:szCs w:val="16"/>
              </w:rPr>
            </w:pPr>
          </w:p>
          <w:p w14:paraId="55476C58" w14:textId="77777777" w:rsidR="002D42C1" w:rsidRPr="00DE108C" w:rsidRDefault="002D42C1">
            <w:pPr>
              <w:pStyle w:val="TableText"/>
              <w:spacing w:line="240" w:lineRule="auto"/>
              <w:rPr>
                <w:color w:val="auto"/>
                <w:szCs w:val="16"/>
              </w:rPr>
            </w:pPr>
            <w:r w:rsidRPr="00DE108C">
              <w:rPr>
                <w:rFonts w:cstheme="minorBidi"/>
                <w:color w:val="auto"/>
                <w:szCs w:val="16"/>
              </w:rPr>
              <w:t>This project delivered more robust drinking water treatment processes to continue to safeguard public health. It was completed on schedule in August 2024.</w:t>
            </w:r>
          </w:p>
        </w:tc>
      </w:tr>
      <w:tr w:rsidR="002D42C1" w:rsidRPr="00DE108C" w14:paraId="044372C7" w14:textId="77777777" w:rsidTr="00FB646F">
        <w:trPr>
          <w:cantSplit/>
          <w:trHeight w:val="300"/>
        </w:trPr>
        <w:tc>
          <w:tcPr>
            <w:tcW w:w="1409" w:type="dxa"/>
          </w:tcPr>
          <w:p w14:paraId="16A13289" w14:textId="77777777" w:rsidR="002D42C1" w:rsidRPr="00DE108C" w:rsidRDefault="002D42C1">
            <w:pPr>
              <w:pStyle w:val="TableText"/>
              <w:spacing w:line="240" w:lineRule="auto"/>
              <w:rPr>
                <w:color w:val="auto"/>
                <w:szCs w:val="16"/>
              </w:rPr>
            </w:pPr>
            <w:r w:rsidRPr="00DE108C">
              <w:rPr>
                <w:rFonts w:cs="Arial"/>
                <w:color w:val="auto"/>
                <w:szCs w:val="16"/>
              </w:rPr>
              <w:lastRenderedPageBreak/>
              <w:t>9. Olinda to Mitcham Water Mains Replacement Stage 1</w:t>
            </w:r>
          </w:p>
        </w:tc>
        <w:tc>
          <w:tcPr>
            <w:tcW w:w="7577" w:type="dxa"/>
          </w:tcPr>
          <w:p w14:paraId="411C6F5C"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Completed late</w:t>
            </w:r>
          </w:p>
          <w:p w14:paraId="7AE90219" w14:textId="77777777" w:rsidR="002D42C1" w:rsidRPr="00DE108C" w:rsidRDefault="002D42C1" w:rsidP="00ED094E">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1155"/>
              <w:gridCol w:w="1037"/>
            </w:tblGrid>
            <w:tr w:rsidR="002D42C1" w:rsidRPr="00DE108C" w14:paraId="4F8E2FFE" w14:textId="77777777" w:rsidTr="002C05FD">
              <w:trPr>
                <w:trHeight w:val="285"/>
              </w:trPr>
              <w:tc>
                <w:tcPr>
                  <w:tcW w:w="2200" w:type="dxa"/>
                  <w:noWrap/>
                  <w:vAlign w:val="bottom"/>
                  <w:hideMark/>
                </w:tcPr>
                <w:p w14:paraId="58026594" w14:textId="77777777" w:rsidR="002D42C1" w:rsidRPr="00DE108C" w:rsidRDefault="002D42C1" w:rsidP="00ED094E">
                  <w:pPr>
                    <w:spacing w:line="240" w:lineRule="auto"/>
                    <w:rPr>
                      <w:rFonts w:ascii="Times New Roman" w:hAnsi="Times New Roman"/>
                      <w:color w:val="auto"/>
                      <w:sz w:val="24"/>
                    </w:rPr>
                  </w:pPr>
                </w:p>
              </w:tc>
              <w:tc>
                <w:tcPr>
                  <w:tcW w:w="1196" w:type="dxa"/>
                  <w:noWrap/>
                  <w:vAlign w:val="bottom"/>
                  <w:hideMark/>
                </w:tcPr>
                <w:p w14:paraId="6EFFB934"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1155" w:type="dxa"/>
                  <w:noWrap/>
                  <w:vAlign w:val="bottom"/>
                  <w:hideMark/>
                </w:tcPr>
                <w:p w14:paraId="6370E2F2"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037" w:type="dxa"/>
                  <w:noWrap/>
                  <w:vAlign w:val="bottom"/>
                  <w:hideMark/>
                </w:tcPr>
                <w:p w14:paraId="7CBF3CD8"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39D60356" w14:textId="77777777" w:rsidTr="002C05FD">
              <w:trPr>
                <w:trHeight w:val="285"/>
              </w:trPr>
              <w:tc>
                <w:tcPr>
                  <w:tcW w:w="2200" w:type="dxa"/>
                  <w:noWrap/>
                  <w:vAlign w:val="bottom"/>
                  <w:hideMark/>
                </w:tcPr>
                <w:p w14:paraId="1CD3F120"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09D627E7"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$45.4 m</w:t>
                  </w:r>
                </w:p>
              </w:tc>
              <w:tc>
                <w:tcPr>
                  <w:tcW w:w="1155" w:type="dxa"/>
                  <w:noWrap/>
                  <w:vAlign w:val="bottom"/>
                  <w:hideMark/>
                </w:tcPr>
                <w:p w14:paraId="77C58322"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37" w:type="dxa"/>
                  <w:noWrap/>
                  <w:vAlign w:val="bottom"/>
                  <w:hideMark/>
                </w:tcPr>
                <w:p w14:paraId="6F44B4B9"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$45.4 m</w:t>
                  </w:r>
                </w:p>
              </w:tc>
            </w:tr>
            <w:tr w:rsidR="002D42C1" w:rsidRPr="00DE108C" w14:paraId="682A2F23" w14:textId="77777777" w:rsidTr="002C05FD">
              <w:trPr>
                <w:trHeight w:val="285"/>
              </w:trPr>
              <w:tc>
                <w:tcPr>
                  <w:tcW w:w="2200" w:type="dxa"/>
                  <w:noWrap/>
                  <w:vAlign w:val="bottom"/>
                  <w:hideMark/>
                </w:tcPr>
                <w:p w14:paraId="624AC3E5"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694A173C"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$88.6 m</w:t>
                  </w:r>
                </w:p>
              </w:tc>
              <w:tc>
                <w:tcPr>
                  <w:tcW w:w="1155" w:type="dxa"/>
                  <w:noWrap/>
                  <w:vAlign w:val="bottom"/>
                  <w:hideMark/>
                </w:tcPr>
                <w:p w14:paraId="5A6A39FA"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37" w:type="dxa"/>
                  <w:noWrap/>
                  <w:vAlign w:val="bottom"/>
                  <w:hideMark/>
                </w:tcPr>
                <w:p w14:paraId="383F1C37"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$88.6 m</w:t>
                  </w:r>
                </w:p>
              </w:tc>
            </w:tr>
            <w:tr w:rsidR="002D42C1" w:rsidRPr="00DE108C" w14:paraId="32C6D43E" w14:textId="77777777" w:rsidTr="002C05FD">
              <w:trPr>
                <w:trHeight w:val="285"/>
              </w:trPr>
              <w:tc>
                <w:tcPr>
                  <w:tcW w:w="2200" w:type="dxa"/>
                  <w:noWrap/>
                  <w:vAlign w:val="bottom"/>
                  <w:hideMark/>
                </w:tcPr>
                <w:p w14:paraId="355F44A8"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22D9ACF0"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$43.2 m</w:t>
                  </w:r>
                </w:p>
              </w:tc>
              <w:tc>
                <w:tcPr>
                  <w:tcW w:w="1155" w:type="dxa"/>
                  <w:noWrap/>
                  <w:vAlign w:val="bottom"/>
                  <w:hideMark/>
                </w:tcPr>
                <w:p w14:paraId="13CC26BE"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37" w:type="dxa"/>
                  <w:noWrap/>
                  <w:vAlign w:val="bottom"/>
                  <w:hideMark/>
                </w:tcPr>
                <w:p w14:paraId="19F6F94E"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$43.2 m</w:t>
                  </w:r>
                </w:p>
              </w:tc>
            </w:tr>
          </w:tbl>
          <w:p w14:paraId="10C91D20" w14:textId="77777777" w:rsidR="002D42C1" w:rsidRPr="00DE108C" w:rsidRDefault="002D42C1" w:rsidP="00ED094E">
            <w:pPr>
              <w:pStyle w:val="TableText"/>
              <w:spacing w:line="240" w:lineRule="auto"/>
              <w:rPr>
                <w:rFonts w:cstheme="minorBidi"/>
                <w:b/>
                <w:bCs/>
                <w:color w:val="auto"/>
                <w:szCs w:val="16"/>
              </w:rPr>
            </w:pPr>
          </w:p>
          <w:p w14:paraId="0E6F1CDC" w14:textId="77777777" w:rsidR="002D42C1" w:rsidRPr="00DE108C" w:rsidRDefault="002D42C1">
            <w:pPr>
              <w:pStyle w:val="TableText"/>
              <w:spacing w:line="240" w:lineRule="auto"/>
              <w:rPr>
                <w:color w:val="auto"/>
                <w:szCs w:val="16"/>
              </w:rPr>
            </w:pPr>
            <w:r w:rsidRPr="00DE108C">
              <w:rPr>
                <w:rFonts w:cstheme="minorBidi"/>
                <w:b/>
                <w:bCs/>
                <w:color w:val="auto"/>
                <w:szCs w:val="16"/>
              </w:rPr>
              <w:t>Original start/finish:</w:t>
            </w:r>
            <w:r w:rsidRPr="00DE108C">
              <w:rPr>
                <w:rFonts w:cs="Arial"/>
                <w:color w:val="auto"/>
                <w:szCs w:val="16"/>
              </w:rPr>
              <w:t xml:space="preserve"> 2020-21 to 2022-23</w:t>
            </w:r>
          </w:p>
          <w:p w14:paraId="57B2DB4B" w14:textId="77777777" w:rsidR="002D42C1" w:rsidRPr="00DE108C" w:rsidRDefault="002D42C1">
            <w:pPr>
              <w:pStyle w:val="TableText"/>
              <w:spacing w:line="240" w:lineRule="auto"/>
              <w:rPr>
                <w:color w:val="auto"/>
                <w:szCs w:val="16"/>
              </w:rPr>
            </w:pPr>
            <w:r w:rsidRPr="00DE108C">
              <w:rPr>
                <w:rFonts w:cstheme="minorBidi"/>
                <w:b/>
                <w:bCs/>
                <w:color w:val="auto"/>
                <w:szCs w:val="16"/>
              </w:rPr>
              <w:t>Expected start/finish:</w:t>
            </w:r>
            <w:r w:rsidRPr="00DE108C">
              <w:rPr>
                <w:rFonts w:cs="Arial"/>
                <w:color w:val="auto"/>
                <w:szCs w:val="16"/>
              </w:rPr>
              <w:t xml:space="preserve"> 2022-23 to 2024-25</w:t>
            </w:r>
          </w:p>
          <w:p w14:paraId="0393AF01" w14:textId="77777777" w:rsidR="002D42C1" w:rsidRPr="00DE108C" w:rsidRDefault="002D42C1" w:rsidP="00ED094E">
            <w:pPr>
              <w:pStyle w:val="TableText"/>
              <w:spacing w:line="240" w:lineRule="auto"/>
              <w:rPr>
                <w:rFonts w:cstheme="minorBidi"/>
                <w:b/>
                <w:bCs/>
                <w:color w:val="auto"/>
                <w:szCs w:val="16"/>
              </w:rPr>
            </w:pPr>
          </w:p>
          <w:p w14:paraId="53AD7C46"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Reasons for delay</w:t>
            </w:r>
          </w:p>
          <w:p w14:paraId="41856B23" w14:textId="77777777" w:rsidR="002D42C1" w:rsidRPr="00DE108C" w:rsidRDefault="002D42C1" w:rsidP="00ED094E">
            <w:pPr>
              <w:pStyle w:val="TableText"/>
              <w:spacing w:line="240" w:lineRule="auto"/>
              <w:rPr>
                <w:rFonts w:cstheme="minorBidi"/>
                <w:color w:val="auto"/>
                <w:szCs w:val="16"/>
              </w:rPr>
            </w:pPr>
            <w:r w:rsidRPr="00DE108C">
              <w:rPr>
                <w:rFonts w:cstheme="minorBidi"/>
                <w:color w:val="auto"/>
                <w:szCs w:val="16"/>
              </w:rPr>
              <w:t>This Project’s complexity extended project development and delivery lead times.</w:t>
            </w:r>
          </w:p>
          <w:p w14:paraId="366BF229"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Impact to customers and community</w:t>
            </w:r>
          </w:p>
          <w:p w14:paraId="6635DD91" w14:textId="26E3F310" w:rsidR="002D42C1" w:rsidRPr="00DE108C" w:rsidRDefault="002D42C1" w:rsidP="00ED094E">
            <w:pPr>
              <w:pStyle w:val="TableText"/>
              <w:spacing w:line="240" w:lineRule="auto"/>
              <w:rPr>
                <w:rFonts w:cstheme="minorBidi"/>
                <w:color w:val="auto"/>
              </w:rPr>
            </w:pPr>
            <w:r w:rsidRPr="00DE108C">
              <w:rPr>
                <w:rFonts w:cstheme="minorBidi"/>
                <w:color w:val="auto"/>
              </w:rPr>
              <w:t xml:space="preserve">There have not been any impacts to customers and the community due to this </w:t>
            </w:r>
            <w:r w:rsidR="46F303BF" w:rsidRPr="00DE108C">
              <w:rPr>
                <w:rFonts w:cstheme="minorBidi"/>
                <w:color w:val="auto"/>
              </w:rPr>
              <w:t>p</w:t>
            </w:r>
            <w:r w:rsidRPr="00DE108C">
              <w:rPr>
                <w:rFonts w:cstheme="minorBidi"/>
                <w:color w:val="auto"/>
              </w:rPr>
              <w:t xml:space="preserve">roject’s delay. We carried the risk of the main’s failure until </w:t>
            </w:r>
            <w:r w:rsidR="444C0290" w:rsidRPr="00DE108C">
              <w:rPr>
                <w:rFonts w:cstheme="minorBidi"/>
                <w:color w:val="auto"/>
              </w:rPr>
              <w:t>p</w:t>
            </w:r>
            <w:r w:rsidRPr="00DE108C">
              <w:rPr>
                <w:rFonts w:cstheme="minorBidi"/>
                <w:color w:val="auto"/>
              </w:rPr>
              <w:t>roject completion.</w:t>
            </w:r>
          </w:p>
          <w:p w14:paraId="3B81F93D" w14:textId="77777777" w:rsidR="002D42C1" w:rsidRPr="00DE108C" w:rsidRDefault="002D42C1" w:rsidP="00ED094E">
            <w:pPr>
              <w:pStyle w:val="TableText"/>
              <w:spacing w:line="240" w:lineRule="auto"/>
              <w:ind w:left="197"/>
              <w:rPr>
                <w:rFonts w:cstheme="minorBidi"/>
                <w:color w:val="auto"/>
                <w:szCs w:val="16"/>
              </w:rPr>
            </w:pPr>
          </w:p>
        </w:tc>
      </w:tr>
      <w:tr w:rsidR="00A5757A" w:rsidRPr="00DE108C" w14:paraId="7B786421" w14:textId="77777777" w:rsidTr="00FB646F">
        <w:trPr>
          <w:cnfStyle w:val="000000010000" w:firstRow="0" w:lastRow="0" w:firstColumn="0" w:lastColumn="0" w:oddVBand="0" w:evenVBand="0" w:oddHBand="0" w:evenHBand="1" w:firstRowFirstColumn="0" w:firstRowLastColumn="0" w:lastRowFirstColumn="0" w:lastRowLastColumn="0"/>
          <w:cantSplit/>
          <w:trHeight w:val="300"/>
        </w:trPr>
        <w:tc>
          <w:tcPr>
            <w:tcW w:w="1409" w:type="dxa"/>
          </w:tcPr>
          <w:p w14:paraId="2A96F910" w14:textId="77777777" w:rsidR="002D42C1" w:rsidRPr="00DE108C" w:rsidRDefault="002D42C1">
            <w:pPr>
              <w:pStyle w:val="TableText"/>
              <w:spacing w:line="240" w:lineRule="auto"/>
              <w:rPr>
                <w:color w:val="auto"/>
                <w:szCs w:val="16"/>
              </w:rPr>
            </w:pPr>
            <w:r w:rsidRPr="00DE108C">
              <w:rPr>
                <w:rFonts w:cs="Arial"/>
                <w:color w:val="auto"/>
                <w:szCs w:val="16"/>
              </w:rPr>
              <w:t>10. Mt Atkinson Reservoir Inlet Pipeline</w:t>
            </w:r>
          </w:p>
        </w:tc>
        <w:tc>
          <w:tcPr>
            <w:tcW w:w="7577" w:type="dxa"/>
          </w:tcPr>
          <w:p w14:paraId="7CDD9A33"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Cancelled at customer's request</w:t>
            </w:r>
          </w:p>
          <w:p w14:paraId="5C7189FE" w14:textId="77777777" w:rsidR="002D42C1" w:rsidRPr="00DE108C" w:rsidRDefault="002D42C1" w:rsidP="00ED094E">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1125"/>
              <w:gridCol w:w="1067"/>
            </w:tblGrid>
            <w:tr w:rsidR="002D42C1" w:rsidRPr="00DE108C" w14:paraId="3E083D66" w14:textId="77777777" w:rsidTr="002C05FD">
              <w:trPr>
                <w:trHeight w:val="285"/>
              </w:trPr>
              <w:tc>
                <w:tcPr>
                  <w:tcW w:w="2200" w:type="dxa"/>
                  <w:noWrap/>
                  <w:vAlign w:val="bottom"/>
                  <w:hideMark/>
                </w:tcPr>
                <w:p w14:paraId="0AC7ABAB" w14:textId="77777777" w:rsidR="002D42C1" w:rsidRPr="00DE108C" w:rsidRDefault="002D42C1" w:rsidP="00ED094E">
                  <w:pPr>
                    <w:spacing w:line="240" w:lineRule="auto"/>
                    <w:rPr>
                      <w:rFonts w:ascii="Times New Roman" w:hAnsi="Times New Roman"/>
                      <w:color w:val="auto"/>
                      <w:sz w:val="24"/>
                    </w:rPr>
                  </w:pPr>
                </w:p>
              </w:tc>
              <w:tc>
                <w:tcPr>
                  <w:tcW w:w="1196" w:type="dxa"/>
                  <w:noWrap/>
                  <w:vAlign w:val="bottom"/>
                  <w:hideMark/>
                </w:tcPr>
                <w:p w14:paraId="29118328"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1125" w:type="dxa"/>
                  <w:noWrap/>
                  <w:vAlign w:val="bottom"/>
                  <w:hideMark/>
                </w:tcPr>
                <w:p w14:paraId="1FE16CAD"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067" w:type="dxa"/>
                  <w:noWrap/>
                  <w:vAlign w:val="bottom"/>
                  <w:hideMark/>
                </w:tcPr>
                <w:p w14:paraId="2612E5D7"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611E0FB5" w14:textId="77777777" w:rsidTr="002C05FD">
              <w:trPr>
                <w:trHeight w:val="285"/>
              </w:trPr>
              <w:tc>
                <w:tcPr>
                  <w:tcW w:w="2200" w:type="dxa"/>
                  <w:noWrap/>
                  <w:vAlign w:val="bottom"/>
                  <w:hideMark/>
                </w:tcPr>
                <w:p w14:paraId="5D285928"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6FF12AF8"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$38.0 m</w:t>
                  </w:r>
                </w:p>
              </w:tc>
              <w:tc>
                <w:tcPr>
                  <w:tcW w:w="1125" w:type="dxa"/>
                  <w:noWrap/>
                  <w:vAlign w:val="bottom"/>
                  <w:hideMark/>
                </w:tcPr>
                <w:p w14:paraId="120A6B53"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67" w:type="dxa"/>
                  <w:noWrap/>
                  <w:vAlign w:val="bottom"/>
                  <w:hideMark/>
                </w:tcPr>
                <w:p w14:paraId="34C4131D"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$38.0 m</w:t>
                  </w:r>
                </w:p>
              </w:tc>
            </w:tr>
            <w:tr w:rsidR="002D42C1" w:rsidRPr="00DE108C" w14:paraId="04943BF4" w14:textId="77777777" w:rsidTr="002C05FD">
              <w:trPr>
                <w:trHeight w:val="285"/>
              </w:trPr>
              <w:tc>
                <w:tcPr>
                  <w:tcW w:w="2200" w:type="dxa"/>
                  <w:noWrap/>
                  <w:vAlign w:val="bottom"/>
                  <w:hideMark/>
                </w:tcPr>
                <w:p w14:paraId="594D7A3B"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0C56FD5B"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125" w:type="dxa"/>
                  <w:noWrap/>
                  <w:vAlign w:val="bottom"/>
                  <w:hideMark/>
                </w:tcPr>
                <w:p w14:paraId="00425053"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67" w:type="dxa"/>
                  <w:noWrap/>
                  <w:vAlign w:val="bottom"/>
                  <w:hideMark/>
                </w:tcPr>
                <w:p w14:paraId="0B101F7A"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r>
            <w:tr w:rsidR="002D42C1" w:rsidRPr="00DE108C" w14:paraId="59C83295" w14:textId="77777777" w:rsidTr="002C05FD">
              <w:trPr>
                <w:trHeight w:val="285"/>
              </w:trPr>
              <w:tc>
                <w:tcPr>
                  <w:tcW w:w="2200" w:type="dxa"/>
                  <w:noWrap/>
                  <w:vAlign w:val="bottom"/>
                  <w:hideMark/>
                </w:tcPr>
                <w:p w14:paraId="45CCBD13"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5A7E4A63"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-$38.0 m</w:t>
                  </w:r>
                </w:p>
              </w:tc>
              <w:tc>
                <w:tcPr>
                  <w:tcW w:w="1125" w:type="dxa"/>
                  <w:noWrap/>
                  <w:vAlign w:val="bottom"/>
                  <w:hideMark/>
                </w:tcPr>
                <w:p w14:paraId="39F88BA9"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67" w:type="dxa"/>
                  <w:noWrap/>
                  <w:vAlign w:val="bottom"/>
                  <w:hideMark/>
                </w:tcPr>
                <w:p w14:paraId="0F12A81E"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-$38.0 m</w:t>
                  </w:r>
                </w:p>
              </w:tc>
            </w:tr>
          </w:tbl>
          <w:p w14:paraId="704953FE" w14:textId="77777777" w:rsidR="002D42C1" w:rsidRPr="00DE108C" w:rsidRDefault="002D42C1" w:rsidP="00ED094E">
            <w:pPr>
              <w:pStyle w:val="TableText"/>
              <w:spacing w:line="240" w:lineRule="auto"/>
              <w:rPr>
                <w:rFonts w:cstheme="minorBidi"/>
                <w:b/>
                <w:bCs/>
                <w:color w:val="auto"/>
                <w:szCs w:val="16"/>
              </w:rPr>
            </w:pPr>
          </w:p>
          <w:p w14:paraId="48283D9F" w14:textId="77777777" w:rsidR="002D42C1" w:rsidRPr="00DE108C" w:rsidRDefault="002D42C1">
            <w:pPr>
              <w:pStyle w:val="TableText"/>
              <w:spacing w:line="240" w:lineRule="auto"/>
              <w:rPr>
                <w:rFonts w:cs="Arial"/>
                <w:color w:val="auto"/>
                <w:szCs w:val="16"/>
              </w:rPr>
            </w:pPr>
            <w:r w:rsidRPr="00DE108C">
              <w:rPr>
                <w:rFonts w:cstheme="minorBidi"/>
                <w:b/>
                <w:bCs/>
                <w:color w:val="auto"/>
                <w:szCs w:val="16"/>
              </w:rPr>
              <w:t>Original start/finish:</w:t>
            </w:r>
            <w:r w:rsidRPr="00DE108C">
              <w:rPr>
                <w:rFonts w:cs="Arial"/>
                <w:color w:val="auto"/>
                <w:szCs w:val="16"/>
              </w:rPr>
              <w:t xml:space="preserve"> 2021-22 to 2023-24</w:t>
            </w:r>
          </w:p>
          <w:p w14:paraId="4AD0CA76" w14:textId="77777777" w:rsidR="002D42C1" w:rsidRPr="00DE108C" w:rsidRDefault="002D42C1" w:rsidP="00ED094E">
            <w:pPr>
              <w:pStyle w:val="TableText"/>
              <w:spacing w:line="240" w:lineRule="auto"/>
              <w:rPr>
                <w:rFonts w:cstheme="minorBidi"/>
                <w:b/>
                <w:bCs/>
                <w:color w:val="auto"/>
                <w:szCs w:val="16"/>
              </w:rPr>
            </w:pPr>
          </w:p>
          <w:p w14:paraId="46F3F891"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Reasons for cancellation</w:t>
            </w:r>
          </w:p>
          <w:p w14:paraId="1893BB81" w14:textId="296A7C0B" w:rsidR="002D42C1" w:rsidRPr="00DE108C" w:rsidRDefault="002D42C1" w:rsidP="00ED094E">
            <w:pPr>
              <w:pStyle w:val="TableText"/>
              <w:spacing w:line="240" w:lineRule="auto"/>
              <w:rPr>
                <w:rFonts w:cstheme="minorBidi"/>
                <w:color w:val="auto"/>
              </w:rPr>
            </w:pPr>
            <w:r w:rsidRPr="00DE108C">
              <w:rPr>
                <w:rFonts w:cstheme="minorBidi"/>
                <w:color w:val="auto"/>
              </w:rPr>
              <w:t xml:space="preserve">This </w:t>
            </w:r>
            <w:r w:rsidR="5206FDA5" w:rsidRPr="00DE108C">
              <w:rPr>
                <w:rFonts w:cstheme="minorBidi"/>
                <w:color w:val="auto"/>
              </w:rPr>
              <w:t>p</w:t>
            </w:r>
            <w:r w:rsidRPr="00DE108C">
              <w:rPr>
                <w:rFonts w:cstheme="minorBidi"/>
                <w:color w:val="auto"/>
              </w:rPr>
              <w:t xml:space="preserve">roject was cancelled at the request of Greater Western Water as the </w:t>
            </w:r>
            <w:r w:rsidR="00FB646F" w:rsidRPr="00FB646F">
              <w:rPr>
                <w:rStyle w:val="normaltextrun"/>
                <w:rFonts w:ascii="Verdana" w:hAnsi="Verdana" w:cs="Segoe UI"/>
                <w:szCs w:val="16"/>
              </w:rPr>
              <w:t>water corporation</w:t>
            </w:r>
            <w:r w:rsidR="00FB646F" w:rsidRPr="66247AEA">
              <w:rPr>
                <w:rStyle w:val="normaltextrun"/>
                <w:rFonts w:ascii="Verdana" w:hAnsi="Verdana" w:cs="Segoe UI"/>
                <w:szCs w:val="16"/>
              </w:rPr>
              <w:t xml:space="preserve"> </w:t>
            </w:r>
            <w:r w:rsidRPr="00DE108C">
              <w:rPr>
                <w:rFonts w:cstheme="minorBidi"/>
                <w:color w:val="auto"/>
              </w:rPr>
              <w:t>had identified an alternative solution for long-term supply to the Melton growth area to be delivered themselves.</w:t>
            </w:r>
          </w:p>
          <w:p w14:paraId="768CFBC2"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Impact to customers and community</w:t>
            </w:r>
          </w:p>
          <w:p w14:paraId="19A32EA6" w14:textId="270D073A" w:rsidR="002D42C1" w:rsidRPr="00DE108C" w:rsidRDefault="002D42C1" w:rsidP="00ED094E">
            <w:pPr>
              <w:pStyle w:val="TableText"/>
              <w:spacing w:line="240" w:lineRule="auto"/>
              <w:rPr>
                <w:rFonts w:cstheme="minorBidi"/>
                <w:color w:val="auto"/>
              </w:rPr>
            </w:pPr>
            <w:r w:rsidRPr="00DE108C">
              <w:rPr>
                <w:rFonts w:cstheme="minorBidi"/>
                <w:color w:val="auto"/>
              </w:rPr>
              <w:t xml:space="preserve">There have not been any impacts to customers and the community due to this </w:t>
            </w:r>
            <w:r w:rsidR="45E5A9CE" w:rsidRPr="00DE108C">
              <w:rPr>
                <w:rFonts w:cstheme="minorBidi"/>
                <w:color w:val="auto"/>
              </w:rPr>
              <w:t>p</w:t>
            </w:r>
            <w:r w:rsidRPr="00DE108C">
              <w:rPr>
                <w:rFonts w:cstheme="minorBidi"/>
                <w:color w:val="auto"/>
              </w:rPr>
              <w:t xml:space="preserve">roject’s cancellation. The proposed replacement </w:t>
            </w:r>
            <w:r w:rsidR="2CF0BFE2" w:rsidRPr="00DE108C">
              <w:rPr>
                <w:rFonts w:cstheme="minorBidi"/>
                <w:color w:val="auto"/>
              </w:rPr>
              <w:t>p</w:t>
            </w:r>
            <w:r w:rsidRPr="00DE108C">
              <w:rPr>
                <w:rFonts w:cstheme="minorBidi"/>
                <w:color w:val="auto"/>
              </w:rPr>
              <w:t>roject by Greater Western Water will deliver the required water supply benefits.</w:t>
            </w:r>
          </w:p>
          <w:p w14:paraId="244162CF" w14:textId="77777777" w:rsidR="002D42C1" w:rsidRPr="00DE108C" w:rsidRDefault="002D42C1" w:rsidP="00ED094E">
            <w:pPr>
              <w:pStyle w:val="TableText"/>
              <w:spacing w:line="240" w:lineRule="auto"/>
              <w:ind w:left="340"/>
              <w:rPr>
                <w:rFonts w:cstheme="minorBidi"/>
                <w:color w:val="auto"/>
                <w:szCs w:val="16"/>
              </w:rPr>
            </w:pPr>
          </w:p>
        </w:tc>
      </w:tr>
      <w:tr w:rsidR="002D42C1" w:rsidRPr="00DE108C" w14:paraId="2261B532" w14:textId="77777777" w:rsidTr="00FB646F">
        <w:trPr>
          <w:cantSplit/>
          <w:trHeight w:val="300"/>
        </w:trPr>
        <w:tc>
          <w:tcPr>
            <w:tcW w:w="1409" w:type="dxa"/>
          </w:tcPr>
          <w:p w14:paraId="54A64A63" w14:textId="77777777" w:rsidR="002D42C1" w:rsidRPr="00DE108C" w:rsidRDefault="002D42C1">
            <w:pPr>
              <w:pStyle w:val="TableText"/>
              <w:spacing w:line="240" w:lineRule="auto"/>
              <w:rPr>
                <w:color w:val="auto"/>
                <w:szCs w:val="16"/>
              </w:rPr>
            </w:pPr>
            <w:r w:rsidRPr="00DE108C">
              <w:rPr>
                <w:rFonts w:cs="Arial"/>
                <w:color w:val="auto"/>
                <w:szCs w:val="16"/>
              </w:rPr>
              <w:lastRenderedPageBreak/>
              <w:t>11. Port Melbourne Pump Station Renewal</w:t>
            </w:r>
          </w:p>
        </w:tc>
        <w:tc>
          <w:tcPr>
            <w:tcW w:w="7577" w:type="dxa"/>
          </w:tcPr>
          <w:p w14:paraId="0A80904F"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Delayed</w:t>
            </w:r>
          </w:p>
          <w:p w14:paraId="012CE019" w14:textId="77777777" w:rsidR="002D42C1" w:rsidRPr="00DE108C" w:rsidRDefault="002D42C1" w:rsidP="00ED094E">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1140"/>
              <w:gridCol w:w="1052"/>
            </w:tblGrid>
            <w:tr w:rsidR="002D42C1" w:rsidRPr="00DE108C" w14:paraId="12782075" w14:textId="77777777" w:rsidTr="002C05FD">
              <w:trPr>
                <w:trHeight w:val="285"/>
              </w:trPr>
              <w:tc>
                <w:tcPr>
                  <w:tcW w:w="2200" w:type="dxa"/>
                  <w:noWrap/>
                  <w:vAlign w:val="bottom"/>
                  <w:hideMark/>
                </w:tcPr>
                <w:p w14:paraId="319DD7CE" w14:textId="77777777" w:rsidR="002D42C1" w:rsidRPr="00DE108C" w:rsidRDefault="002D42C1" w:rsidP="00ED094E">
                  <w:pPr>
                    <w:spacing w:line="240" w:lineRule="auto"/>
                    <w:rPr>
                      <w:rFonts w:ascii="Times New Roman" w:hAnsi="Times New Roman"/>
                      <w:color w:val="auto"/>
                      <w:sz w:val="24"/>
                    </w:rPr>
                  </w:pPr>
                </w:p>
              </w:tc>
              <w:tc>
                <w:tcPr>
                  <w:tcW w:w="1196" w:type="dxa"/>
                  <w:noWrap/>
                  <w:vAlign w:val="bottom"/>
                  <w:hideMark/>
                </w:tcPr>
                <w:p w14:paraId="0F6CC093"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1140" w:type="dxa"/>
                  <w:noWrap/>
                  <w:vAlign w:val="bottom"/>
                  <w:hideMark/>
                </w:tcPr>
                <w:p w14:paraId="5A2471FF"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052" w:type="dxa"/>
                  <w:noWrap/>
                  <w:vAlign w:val="bottom"/>
                  <w:hideMark/>
                </w:tcPr>
                <w:p w14:paraId="43363ABC"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57650F8F" w14:textId="77777777" w:rsidTr="002C05FD">
              <w:trPr>
                <w:trHeight w:val="285"/>
              </w:trPr>
              <w:tc>
                <w:tcPr>
                  <w:tcW w:w="2200" w:type="dxa"/>
                  <w:noWrap/>
                  <w:vAlign w:val="bottom"/>
                  <w:hideMark/>
                </w:tcPr>
                <w:p w14:paraId="2581DA09"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01964139"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$13.8 m</w:t>
                  </w:r>
                </w:p>
              </w:tc>
              <w:tc>
                <w:tcPr>
                  <w:tcW w:w="1140" w:type="dxa"/>
                  <w:noWrap/>
                  <w:vAlign w:val="bottom"/>
                  <w:hideMark/>
                </w:tcPr>
                <w:p w14:paraId="7C50D2CA"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52" w:type="dxa"/>
                  <w:noWrap/>
                  <w:vAlign w:val="bottom"/>
                  <w:hideMark/>
                </w:tcPr>
                <w:p w14:paraId="43B37A3B"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$13.8 m</w:t>
                  </w:r>
                </w:p>
              </w:tc>
            </w:tr>
            <w:tr w:rsidR="002D42C1" w:rsidRPr="00DE108C" w14:paraId="555E4177" w14:textId="77777777" w:rsidTr="002C05FD">
              <w:trPr>
                <w:trHeight w:val="285"/>
              </w:trPr>
              <w:tc>
                <w:tcPr>
                  <w:tcW w:w="2200" w:type="dxa"/>
                  <w:noWrap/>
                  <w:vAlign w:val="bottom"/>
                  <w:hideMark/>
                </w:tcPr>
                <w:p w14:paraId="5B12D0E4"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7BE4A2E6"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$15.6 m</w:t>
                  </w:r>
                </w:p>
              </w:tc>
              <w:tc>
                <w:tcPr>
                  <w:tcW w:w="1140" w:type="dxa"/>
                  <w:noWrap/>
                  <w:vAlign w:val="bottom"/>
                  <w:hideMark/>
                </w:tcPr>
                <w:p w14:paraId="0D4A5D39"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$0.1 m</w:t>
                  </w:r>
                </w:p>
              </w:tc>
              <w:tc>
                <w:tcPr>
                  <w:tcW w:w="1052" w:type="dxa"/>
                  <w:noWrap/>
                  <w:vAlign w:val="bottom"/>
                  <w:hideMark/>
                </w:tcPr>
                <w:p w14:paraId="78E71D5C"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$15.7 m</w:t>
                  </w:r>
                </w:p>
              </w:tc>
            </w:tr>
            <w:tr w:rsidR="002D42C1" w:rsidRPr="00DE108C" w14:paraId="3CE3C84B" w14:textId="77777777" w:rsidTr="002C05FD">
              <w:trPr>
                <w:trHeight w:val="285"/>
              </w:trPr>
              <w:tc>
                <w:tcPr>
                  <w:tcW w:w="2200" w:type="dxa"/>
                  <w:noWrap/>
                  <w:vAlign w:val="bottom"/>
                  <w:hideMark/>
                </w:tcPr>
                <w:p w14:paraId="1C025391" w14:textId="77777777" w:rsidR="002D42C1" w:rsidRPr="00DE108C" w:rsidRDefault="002D42C1" w:rsidP="00ED094E">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204C9348"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$1.8 m</w:t>
                  </w:r>
                </w:p>
              </w:tc>
              <w:tc>
                <w:tcPr>
                  <w:tcW w:w="1140" w:type="dxa"/>
                  <w:noWrap/>
                  <w:vAlign w:val="bottom"/>
                  <w:hideMark/>
                </w:tcPr>
                <w:p w14:paraId="34BAEE13"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$0.1 m</w:t>
                  </w:r>
                </w:p>
              </w:tc>
              <w:tc>
                <w:tcPr>
                  <w:tcW w:w="1052" w:type="dxa"/>
                  <w:noWrap/>
                  <w:vAlign w:val="bottom"/>
                  <w:hideMark/>
                </w:tcPr>
                <w:p w14:paraId="024C1C3C" w14:textId="77777777" w:rsidR="002D42C1" w:rsidRPr="00DE108C" w:rsidRDefault="002D42C1" w:rsidP="00ED094E">
                  <w:pPr>
                    <w:spacing w:line="240" w:lineRule="auto"/>
                    <w:jc w:val="right"/>
                    <w:rPr>
                      <w:rFonts w:ascii="Verdana" w:hAnsi="Verdana"/>
                      <w:color w:val="auto"/>
                      <w:sz w:val="16"/>
                      <w:szCs w:val="16"/>
                    </w:rPr>
                  </w:pPr>
                  <w:r w:rsidRPr="00DE108C">
                    <w:rPr>
                      <w:rFonts w:ascii="Verdana" w:hAnsi="Verdana"/>
                      <w:color w:val="auto"/>
                      <w:sz w:val="16"/>
                      <w:szCs w:val="16"/>
                    </w:rPr>
                    <w:t>$1.9 m</w:t>
                  </w:r>
                </w:p>
              </w:tc>
            </w:tr>
          </w:tbl>
          <w:p w14:paraId="0987BC52" w14:textId="77777777" w:rsidR="002D42C1" w:rsidRPr="00DE108C" w:rsidRDefault="002D42C1" w:rsidP="00ED094E">
            <w:pPr>
              <w:pStyle w:val="TableText"/>
              <w:spacing w:line="240" w:lineRule="auto"/>
              <w:rPr>
                <w:rFonts w:cstheme="minorBidi"/>
                <w:b/>
                <w:bCs/>
                <w:color w:val="auto"/>
                <w:szCs w:val="16"/>
              </w:rPr>
            </w:pPr>
          </w:p>
          <w:p w14:paraId="37503C74" w14:textId="77777777" w:rsidR="002D42C1" w:rsidRPr="00DE108C" w:rsidRDefault="002D42C1">
            <w:pPr>
              <w:pStyle w:val="TableText"/>
              <w:spacing w:line="240" w:lineRule="auto"/>
              <w:rPr>
                <w:color w:val="auto"/>
                <w:szCs w:val="16"/>
              </w:rPr>
            </w:pPr>
            <w:r w:rsidRPr="00DE108C">
              <w:rPr>
                <w:rFonts w:cstheme="minorBidi"/>
                <w:b/>
                <w:bCs/>
                <w:color w:val="auto"/>
                <w:szCs w:val="16"/>
              </w:rPr>
              <w:t>Original start/finish:</w:t>
            </w:r>
            <w:r w:rsidRPr="00DE108C">
              <w:rPr>
                <w:rFonts w:cs="Arial"/>
                <w:color w:val="auto"/>
                <w:szCs w:val="16"/>
              </w:rPr>
              <w:t xml:space="preserve"> 2021-22 to 2022-23</w:t>
            </w:r>
          </w:p>
          <w:p w14:paraId="1C2BFD7E" w14:textId="77777777" w:rsidR="002D42C1" w:rsidRPr="00DE108C" w:rsidRDefault="002D42C1">
            <w:pPr>
              <w:pStyle w:val="TableText"/>
              <w:spacing w:line="240" w:lineRule="auto"/>
              <w:rPr>
                <w:color w:val="auto"/>
                <w:szCs w:val="16"/>
              </w:rPr>
            </w:pPr>
            <w:r w:rsidRPr="00DE108C">
              <w:rPr>
                <w:rFonts w:cstheme="minorBidi"/>
                <w:b/>
                <w:bCs/>
                <w:color w:val="auto"/>
                <w:szCs w:val="16"/>
              </w:rPr>
              <w:t>Expected start/finish:</w:t>
            </w:r>
            <w:r w:rsidRPr="00DE108C">
              <w:rPr>
                <w:rFonts w:cs="Arial"/>
                <w:color w:val="auto"/>
                <w:szCs w:val="16"/>
              </w:rPr>
              <w:t xml:space="preserve"> 2023-24 to 2026-27</w:t>
            </w:r>
          </w:p>
          <w:p w14:paraId="5EA88BF6" w14:textId="77777777" w:rsidR="002D42C1" w:rsidRPr="00DE108C" w:rsidRDefault="002D42C1" w:rsidP="00ED094E">
            <w:pPr>
              <w:pStyle w:val="TableText"/>
              <w:spacing w:line="240" w:lineRule="auto"/>
              <w:rPr>
                <w:rFonts w:cstheme="minorBidi"/>
                <w:b/>
                <w:bCs/>
                <w:color w:val="auto"/>
                <w:szCs w:val="16"/>
              </w:rPr>
            </w:pPr>
          </w:p>
          <w:p w14:paraId="030E3742"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Reasons for delay</w:t>
            </w:r>
          </w:p>
          <w:p w14:paraId="536A9F1D" w14:textId="12A495BB" w:rsidR="002D42C1" w:rsidRPr="00DE108C" w:rsidRDefault="002D42C1" w:rsidP="00ED094E">
            <w:pPr>
              <w:pStyle w:val="TableText"/>
              <w:spacing w:line="240" w:lineRule="auto"/>
              <w:rPr>
                <w:rFonts w:cstheme="minorBidi"/>
                <w:color w:val="auto"/>
              </w:rPr>
            </w:pPr>
            <w:r w:rsidRPr="00DE108C">
              <w:rPr>
                <w:rFonts w:cstheme="minorBidi"/>
                <w:color w:val="auto"/>
              </w:rPr>
              <w:t xml:space="preserve">The </w:t>
            </w:r>
            <w:r w:rsidR="6F25B3B4" w:rsidRPr="00DE108C">
              <w:rPr>
                <w:rFonts w:cstheme="minorBidi"/>
                <w:color w:val="auto"/>
              </w:rPr>
              <w:t>p</w:t>
            </w:r>
            <w:r w:rsidRPr="00DE108C">
              <w:rPr>
                <w:rFonts w:cstheme="minorBidi"/>
                <w:color w:val="auto"/>
              </w:rPr>
              <w:t>roject was delayed due to longer than expected project development and delivery lead times.</w:t>
            </w:r>
          </w:p>
          <w:p w14:paraId="3C6707F6" w14:textId="77777777" w:rsidR="002D42C1" w:rsidRPr="00DE108C" w:rsidRDefault="002D42C1" w:rsidP="00ED094E">
            <w:pPr>
              <w:pStyle w:val="TableText"/>
              <w:spacing w:line="240" w:lineRule="auto"/>
              <w:rPr>
                <w:rFonts w:cstheme="minorBidi"/>
                <w:b/>
                <w:bCs/>
                <w:color w:val="auto"/>
                <w:szCs w:val="16"/>
              </w:rPr>
            </w:pPr>
            <w:r w:rsidRPr="00DE108C">
              <w:rPr>
                <w:rFonts w:cstheme="minorBidi"/>
                <w:b/>
                <w:bCs/>
                <w:color w:val="auto"/>
                <w:szCs w:val="16"/>
              </w:rPr>
              <w:t>Impact to customers and community</w:t>
            </w:r>
          </w:p>
          <w:p w14:paraId="57A92C7A" w14:textId="074C3B7A" w:rsidR="002D42C1" w:rsidRPr="00DE108C" w:rsidRDefault="002D42C1" w:rsidP="00ED094E">
            <w:pPr>
              <w:pStyle w:val="TableText"/>
              <w:spacing w:line="240" w:lineRule="auto"/>
              <w:rPr>
                <w:rFonts w:cstheme="minorBidi"/>
                <w:color w:val="auto"/>
              </w:rPr>
            </w:pPr>
            <w:r w:rsidRPr="00DE108C">
              <w:rPr>
                <w:rFonts w:cstheme="minorBidi"/>
                <w:color w:val="auto"/>
              </w:rPr>
              <w:t xml:space="preserve">There have not been any impacts to customers and the community due to this </w:t>
            </w:r>
            <w:r w:rsidR="26601A12" w:rsidRPr="00DE108C">
              <w:rPr>
                <w:rFonts w:cstheme="minorBidi"/>
                <w:color w:val="auto"/>
              </w:rPr>
              <w:t>p</w:t>
            </w:r>
            <w:r w:rsidRPr="00DE108C">
              <w:rPr>
                <w:rFonts w:cstheme="minorBidi"/>
                <w:color w:val="auto"/>
              </w:rPr>
              <w:t xml:space="preserve">roject’s delay. We have been and will continue to flood risks should the asset fail until the </w:t>
            </w:r>
            <w:r w:rsidR="27A3FE7B" w:rsidRPr="00DE108C">
              <w:rPr>
                <w:rFonts w:cstheme="minorBidi"/>
                <w:color w:val="auto"/>
              </w:rPr>
              <w:t>p</w:t>
            </w:r>
            <w:r w:rsidRPr="00DE108C">
              <w:rPr>
                <w:rFonts w:cstheme="minorBidi"/>
                <w:color w:val="auto"/>
              </w:rPr>
              <w:t>roject is complete.</w:t>
            </w:r>
          </w:p>
          <w:p w14:paraId="101C226F" w14:textId="77777777" w:rsidR="002D42C1" w:rsidRPr="00DE108C" w:rsidRDefault="002D42C1" w:rsidP="00ED094E">
            <w:pPr>
              <w:pStyle w:val="TableText"/>
              <w:tabs>
                <w:tab w:val="left" w:pos="55"/>
              </w:tabs>
              <w:spacing w:line="240" w:lineRule="auto"/>
              <w:ind w:left="340"/>
              <w:rPr>
                <w:rFonts w:cstheme="minorBidi"/>
                <w:color w:val="auto"/>
                <w:szCs w:val="16"/>
              </w:rPr>
            </w:pPr>
          </w:p>
        </w:tc>
      </w:tr>
    </w:tbl>
    <w:p w14:paraId="197113D6" w14:textId="77777777" w:rsidR="002D42C1" w:rsidRPr="00DE108C" w:rsidRDefault="002D42C1" w:rsidP="00ED094E"/>
    <w:p w14:paraId="2212B5F6" w14:textId="13E6BE77" w:rsidR="002D42C1" w:rsidRPr="00DE108C" w:rsidRDefault="002D42C1" w:rsidP="00ED094E">
      <w:pPr>
        <w:pStyle w:val="Caption"/>
      </w:pPr>
      <w:bookmarkStart w:id="1291" w:name="_Toc207893131"/>
      <w:bookmarkStart w:id="1292" w:name="_Toc208490655"/>
      <w:bookmarkStart w:id="1293" w:name="_Toc208490993"/>
      <w:bookmarkStart w:id="1294" w:name="_Toc208911151"/>
      <w:bookmarkStart w:id="1295" w:name="_Toc210051457"/>
      <w:r w:rsidRPr="00DE108C">
        <w:t>Table C.2: Projects include</w:t>
      </w:r>
      <w:r w:rsidR="00BC3C89">
        <w:t>d</w:t>
      </w:r>
      <w:r w:rsidRPr="00DE108C">
        <w:t xml:space="preserve"> in Melbourne Water’s Determination that </w:t>
      </w:r>
      <w:r w:rsidR="45D09F8E" w:rsidRPr="00DE108C">
        <w:t>d</w:t>
      </w:r>
      <w:r w:rsidRPr="00DE108C">
        <w:t xml:space="preserve">evelopers are </w:t>
      </w:r>
      <w:bookmarkEnd w:id="1291"/>
      <w:r w:rsidR="556DAE98" w:rsidRPr="00DE108C">
        <w:t>d</w:t>
      </w:r>
      <w:r w:rsidRPr="00DE108C">
        <w:t>elivering</w:t>
      </w:r>
      <w:bookmarkEnd w:id="1292"/>
      <w:bookmarkEnd w:id="1293"/>
      <w:bookmarkEnd w:id="1294"/>
      <w:bookmarkEnd w:id="1295"/>
      <w:r w:rsidRPr="00DE108C">
        <w:t xml:space="preserve"> </w:t>
      </w:r>
    </w:p>
    <w:tbl>
      <w:tblPr>
        <w:tblStyle w:val="TableGrid"/>
        <w:tblW w:w="8986" w:type="dxa"/>
        <w:tblLayout w:type="fixed"/>
        <w:tblLook w:val="0420" w:firstRow="1" w:lastRow="0" w:firstColumn="0" w:lastColumn="0" w:noHBand="0" w:noVBand="1"/>
      </w:tblPr>
      <w:tblGrid>
        <w:gridCol w:w="1409"/>
        <w:gridCol w:w="7577"/>
      </w:tblGrid>
      <w:tr w:rsidR="00A5757A" w:rsidRPr="00DE108C" w14:paraId="55FF130D" w14:textId="77777777" w:rsidTr="7CA51BFC">
        <w:trPr>
          <w:cnfStyle w:val="100000000000" w:firstRow="1" w:lastRow="0" w:firstColumn="0" w:lastColumn="0" w:oddVBand="0" w:evenVBand="0" w:oddHBand="0" w:evenHBand="0" w:firstRowFirstColumn="0" w:firstRowLastColumn="0" w:lastRowFirstColumn="0" w:lastRowLastColumn="0"/>
          <w:trHeight w:val="300"/>
        </w:trPr>
        <w:tc>
          <w:tcPr>
            <w:tcW w:w="1409" w:type="dxa"/>
          </w:tcPr>
          <w:p w14:paraId="42DB6134" w14:textId="77777777" w:rsidR="002D42C1" w:rsidRPr="00DE108C" w:rsidRDefault="002D42C1" w:rsidP="00ED094E">
            <w:pPr>
              <w:pStyle w:val="TableText"/>
              <w:spacing w:before="240" w:after="200" w:line="240" w:lineRule="auto"/>
              <w:rPr>
                <w:rFonts w:cs="Arial"/>
                <w:color w:val="auto"/>
              </w:rPr>
            </w:pPr>
            <w:r w:rsidRPr="00DE108C">
              <w:rPr>
                <w:rFonts w:cstheme="minorBidi"/>
                <w:b/>
                <w:bCs/>
                <w:color w:val="FFFFFF" w:themeColor="background1"/>
              </w:rPr>
              <w:t>Project</w:t>
            </w:r>
          </w:p>
        </w:tc>
        <w:tc>
          <w:tcPr>
            <w:tcW w:w="7577" w:type="dxa"/>
          </w:tcPr>
          <w:p w14:paraId="752CE2A0" w14:textId="77777777" w:rsidR="002D42C1" w:rsidRPr="00DE108C" w:rsidRDefault="002D42C1" w:rsidP="00ED094E">
            <w:pPr>
              <w:pStyle w:val="TableText"/>
              <w:spacing w:before="240" w:after="200" w:line="240" w:lineRule="auto"/>
              <w:rPr>
                <w:rFonts w:cstheme="minorBidi"/>
                <w:b/>
                <w:bCs/>
                <w:color w:val="auto"/>
              </w:rPr>
            </w:pPr>
            <w:r w:rsidRPr="00DE108C">
              <w:rPr>
                <w:rFonts w:cstheme="minorBidi"/>
                <w:b/>
                <w:bCs/>
                <w:color w:val="FFFFFF" w:themeColor="background1"/>
              </w:rPr>
              <w:t>Delivery update</w:t>
            </w:r>
          </w:p>
        </w:tc>
      </w:tr>
      <w:tr w:rsidR="002D42C1" w:rsidRPr="00DE108C" w14:paraId="177A2ADF" w14:textId="77777777" w:rsidTr="00ED094E">
        <w:trPr>
          <w:trHeight w:val="300"/>
        </w:trPr>
        <w:tc>
          <w:tcPr>
            <w:tcW w:w="1409" w:type="dxa"/>
          </w:tcPr>
          <w:p w14:paraId="358ACE89" w14:textId="77777777" w:rsidR="002D42C1" w:rsidRPr="00DE108C" w:rsidRDefault="002D42C1">
            <w:pPr>
              <w:pStyle w:val="TableText"/>
              <w:spacing w:line="240" w:lineRule="auto"/>
              <w:rPr>
                <w:szCs w:val="16"/>
              </w:rPr>
            </w:pPr>
            <w:r w:rsidRPr="00DE108C">
              <w:rPr>
                <w:rFonts w:cs="Arial"/>
                <w:color w:val="auto"/>
                <w:szCs w:val="16"/>
              </w:rPr>
              <w:t xml:space="preserve">12. </w:t>
            </w:r>
            <w:r w:rsidRPr="00DE108C">
              <w:rPr>
                <w:szCs w:val="16"/>
              </w:rPr>
              <w:t>Shogaki Drive DSS Interim Outfall Works</w:t>
            </w:r>
          </w:p>
          <w:p w14:paraId="29223E6E" w14:textId="77777777" w:rsidR="002D42C1" w:rsidRPr="00DE108C" w:rsidRDefault="002D42C1" w:rsidP="00ED094E">
            <w:pPr>
              <w:pStyle w:val="TableText"/>
              <w:spacing w:line="240" w:lineRule="auto"/>
              <w:rPr>
                <w:b/>
                <w:bCs/>
                <w:szCs w:val="16"/>
              </w:rPr>
            </w:pPr>
            <w:r w:rsidRPr="00DE108C">
              <w:rPr>
                <w:b/>
                <w:bCs/>
                <w:szCs w:val="16"/>
              </w:rPr>
              <w:t>Developer delivered project</w:t>
            </w:r>
          </w:p>
        </w:tc>
        <w:tc>
          <w:tcPr>
            <w:tcW w:w="7577" w:type="dxa"/>
          </w:tcPr>
          <w:p w14:paraId="21C1C194"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Cancelled</w:t>
            </w:r>
          </w:p>
          <w:p w14:paraId="212C0669" w14:textId="77777777" w:rsidR="002D42C1" w:rsidRPr="00DE108C" w:rsidRDefault="002D42C1">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1140"/>
              <w:gridCol w:w="1052"/>
            </w:tblGrid>
            <w:tr w:rsidR="002D42C1" w:rsidRPr="00DE108C" w14:paraId="417A5935" w14:textId="77777777" w:rsidTr="002C05FD">
              <w:trPr>
                <w:trHeight w:val="285"/>
              </w:trPr>
              <w:tc>
                <w:tcPr>
                  <w:tcW w:w="2200" w:type="dxa"/>
                  <w:noWrap/>
                  <w:vAlign w:val="bottom"/>
                  <w:hideMark/>
                </w:tcPr>
                <w:p w14:paraId="30FEB41A" w14:textId="77777777" w:rsidR="002D42C1" w:rsidRPr="00DE108C" w:rsidRDefault="002D42C1">
                  <w:pPr>
                    <w:spacing w:line="240" w:lineRule="auto"/>
                    <w:rPr>
                      <w:rFonts w:ascii="Times New Roman" w:hAnsi="Times New Roman"/>
                      <w:color w:val="auto"/>
                      <w:sz w:val="24"/>
                    </w:rPr>
                  </w:pPr>
                </w:p>
              </w:tc>
              <w:tc>
                <w:tcPr>
                  <w:tcW w:w="1196" w:type="dxa"/>
                  <w:noWrap/>
                  <w:vAlign w:val="bottom"/>
                  <w:hideMark/>
                </w:tcPr>
                <w:p w14:paraId="365007A3"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1140" w:type="dxa"/>
                  <w:noWrap/>
                  <w:vAlign w:val="bottom"/>
                  <w:hideMark/>
                </w:tcPr>
                <w:p w14:paraId="3741C8EA"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052" w:type="dxa"/>
                  <w:noWrap/>
                  <w:vAlign w:val="bottom"/>
                  <w:hideMark/>
                </w:tcPr>
                <w:p w14:paraId="71C58488" w14:textId="6D89E17C"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3851294E" w14:textId="77777777" w:rsidTr="002C05FD">
              <w:trPr>
                <w:trHeight w:val="285"/>
              </w:trPr>
              <w:tc>
                <w:tcPr>
                  <w:tcW w:w="2200" w:type="dxa"/>
                  <w:noWrap/>
                  <w:vAlign w:val="bottom"/>
                  <w:hideMark/>
                </w:tcPr>
                <w:p w14:paraId="0DBD0D37"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28B0AAFC"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$11.3 m</w:t>
                  </w:r>
                </w:p>
              </w:tc>
              <w:tc>
                <w:tcPr>
                  <w:tcW w:w="1140" w:type="dxa"/>
                  <w:noWrap/>
                  <w:vAlign w:val="bottom"/>
                  <w:hideMark/>
                </w:tcPr>
                <w:p w14:paraId="1C9C3B46"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52" w:type="dxa"/>
                  <w:noWrap/>
                  <w:vAlign w:val="bottom"/>
                  <w:hideMark/>
                </w:tcPr>
                <w:p w14:paraId="309AA8F9"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11.3</w:t>
                  </w:r>
                </w:p>
              </w:tc>
            </w:tr>
            <w:tr w:rsidR="002D42C1" w:rsidRPr="00DE108C" w14:paraId="2D2FF898" w14:textId="77777777" w:rsidTr="002C05FD">
              <w:trPr>
                <w:trHeight w:val="285"/>
              </w:trPr>
              <w:tc>
                <w:tcPr>
                  <w:tcW w:w="2200" w:type="dxa"/>
                  <w:noWrap/>
                  <w:vAlign w:val="bottom"/>
                  <w:hideMark/>
                </w:tcPr>
                <w:p w14:paraId="1CAA6ECE"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516983AA"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$0.7 m*</w:t>
                  </w:r>
                </w:p>
              </w:tc>
              <w:tc>
                <w:tcPr>
                  <w:tcW w:w="1140" w:type="dxa"/>
                  <w:noWrap/>
                  <w:vAlign w:val="bottom"/>
                  <w:hideMark/>
                </w:tcPr>
                <w:p w14:paraId="57ECFEC0"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52" w:type="dxa"/>
                  <w:noWrap/>
                  <w:vAlign w:val="bottom"/>
                  <w:hideMark/>
                </w:tcPr>
                <w:p w14:paraId="39F5FE77"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0.7</w:t>
                  </w:r>
                </w:p>
              </w:tc>
            </w:tr>
            <w:tr w:rsidR="002D42C1" w:rsidRPr="00DE108C" w14:paraId="59BD5745" w14:textId="77777777" w:rsidTr="002C05FD">
              <w:trPr>
                <w:trHeight w:val="285"/>
              </w:trPr>
              <w:tc>
                <w:tcPr>
                  <w:tcW w:w="2200" w:type="dxa"/>
                  <w:noWrap/>
                  <w:vAlign w:val="bottom"/>
                  <w:hideMark/>
                </w:tcPr>
                <w:p w14:paraId="24609F22"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29C5B2DF"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-$10.6 m</w:t>
                  </w:r>
                </w:p>
              </w:tc>
              <w:tc>
                <w:tcPr>
                  <w:tcW w:w="1140" w:type="dxa"/>
                  <w:noWrap/>
                  <w:vAlign w:val="bottom"/>
                  <w:hideMark/>
                </w:tcPr>
                <w:p w14:paraId="206BCE7C"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52" w:type="dxa"/>
                  <w:noWrap/>
                  <w:vAlign w:val="bottom"/>
                  <w:hideMark/>
                </w:tcPr>
                <w:p w14:paraId="62DD2ABC"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-10.6</w:t>
                  </w:r>
                </w:p>
              </w:tc>
            </w:tr>
          </w:tbl>
          <w:p w14:paraId="4FC9DE43" w14:textId="77777777" w:rsidR="002D42C1" w:rsidRPr="00DE108C" w:rsidRDefault="002D42C1">
            <w:pPr>
              <w:pStyle w:val="TableText"/>
              <w:spacing w:line="240" w:lineRule="auto"/>
              <w:rPr>
                <w:rFonts w:cstheme="minorBidi"/>
                <w:i/>
                <w:iCs/>
                <w:color w:val="auto"/>
                <w:szCs w:val="16"/>
              </w:rPr>
            </w:pPr>
            <w:r w:rsidRPr="00DE108C">
              <w:rPr>
                <w:rFonts w:cstheme="minorBidi"/>
                <w:i/>
                <w:iCs/>
                <w:color w:val="auto"/>
                <w:szCs w:val="16"/>
              </w:rPr>
              <w:t>* This relates to the alternate temporary solution implemented</w:t>
            </w:r>
          </w:p>
          <w:p w14:paraId="0E609546" w14:textId="77777777" w:rsidR="002D42C1" w:rsidRPr="00DE108C" w:rsidRDefault="002D42C1">
            <w:pPr>
              <w:pStyle w:val="TableText"/>
              <w:spacing w:line="240" w:lineRule="auto"/>
              <w:rPr>
                <w:rFonts w:cstheme="minorBidi"/>
                <w:b/>
                <w:bCs/>
                <w:color w:val="auto"/>
                <w:szCs w:val="16"/>
              </w:rPr>
            </w:pPr>
          </w:p>
          <w:p w14:paraId="2A4B453F" w14:textId="77777777" w:rsidR="002D42C1" w:rsidRPr="00DE108C" w:rsidRDefault="002D42C1">
            <w:pPr>
              <w:pStyle w:val="TableText"/>
              <w:spacing w:line="240" w:lineRule="auto"/>
              <w:rPr>
                <w:rFonts w:cs="Arial"/>
                <w:color w:val="auto"/>
                <w:szCs w:val="16"/>
              </w:rPr>
            </w:pPr>
            <w:r w:rsidRPr="00DE108C">
              <w:rPr>
                <w:rFonts w:cstheme="minorBidi"/>
                <w:b/>
                <w:bCs/>
                <w:color w:val="auto"/>
                <w:szCs w:val="16"/>
              </w:rPr>
              <w:t>Original start/finish:</w:t>
            </w:r>
            <w:r w:rsidRPr="00DE108C">
              <w:rPr>
                <w:rFonts w:cs="Arial"/>
                <w:color w:val="auto"/>
                <w:szCs w:val="16"/>
              </w:rPr>
              <w:t xml:space="preserve"> 2022-23 to 2022-23</w:t>
            </w:r>
          </w:p>
          <w:p w14:paraId="24AC38D0" w14:textId="77777777" w:rsidR="002D42C1" w:rsidRPr="00DE108C" w:rsidRDefault="002D42C1">
            <w:pPr>
              <w:pStyle w:val="TableText"/>
              <w:spacing w:line="240" w:lineRule="auto"/>
              <w:rPr>
                <w:rFonts w:cstheme="minorBidi"/>
                <w:b/>
                <w:bCs/>
                <w:color w:val="auto"/>
                <w:szCs w:val="16"/>
              </w:rPr>
            </w:pPr>
          </w:p>
          <w:p w14:paraId="7E0C3C81"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Reasons for cancellation</w:t>
            </w:r>
          </w:p>
          <w:p w14:paraId="367A22DD" w14:textId="093294D4" w:rsidR="002D42C1" w:rsidRPr="00DE108C" w:rsidRDefault="003A389F">
            <w:pPr>
              <w:pStyle w:val="TableText"/>
              <w:spacing w:line="240" w:lineRule="auto"/>
              <w:rPr>
                <w:rFonts w:cstheme="minorBidi"/>
                <w:color w:val="auto"/>
                <w:szCs w:val="16"/>
              </w:rPr>
            </w:pPr>
            <w:r>
              <w:rPr>
                <w:rFonts w:cstheme="minorBidi"/>
                <w:color w:val="auto"/>
                <w:szCs w:val="16"/>
              </w:rPr>
              <w:t>Develop</w:t>
            </w:r>
            <w:r w:rsidR="00AD432B">
              <w:rPr>
                <w:rFonts w:cstheme="minorBidi"/>
                <w:color w:val="auto"/>
                <w:szCs w:val="16"/>
              </w:rPr>
              <w:t>ment</w:t>
            </w:r>
            <w:r>
              <w:rPr>
                <w:rFonts w:cstheme="minorBidi"/>
                <w:color w:val="auto"/>
                <w:szCs w:val="16"/>
              </w:rPr>
              <w:t xml:space="preserve"> Services </w:t>
            </w:r>
            <w:r w:rsidR="00AD432B">
              <w:rPr>
                <w:rFonts w:cstheme="minorBidi"/>
                <w:color w:val="auto"/>
                <w:szCs w:val="16"/>
              </w:rPr>
              <w:t>S</w:t>
            </w:r>
            <w:r w:rsidR="002D42C1" w:rsidRPr="00DE108C">
              <w:rPr>
                <w:rFonts w:cstheme="minorBidi"/>
                <w:color w:val="auto"/>
                <w:szCs w:val="16"/>
              </w:rPr>
              <w:t>chemes are used to plan infrastructure for new urban developments. They guide the standards developers must meet for flood protection, water quality and waterway health. Melbourne Water supports land development by acting as the tender authority and asset owner of waterways and drainage projects delivered by the land development industry. This approach captures efficiencies associated with delivery of multiple (predominantly civil) services in a coordinated manner and provides flexibility for the developer to manage the timing for delivery of its projects.</w:t>
            </w:r>
          </w:p>
          <w:p w14:paraId="069857D3" w14:textId="277232EB" w:rsidR="002D42C1" w:rsidRPr="00DE108C" w:rsidRDefault="002D42C1">
            <w:pPr>
              <w:pStyle w:val="TableText"/>
              <w:spacing w:line="240" w:lineRule="auto"/>
              <w:rPr>
                <w:rFonts w:cstheme="minorBidi"/>
                <w:color w:val="auto"/>
              </w:rPr>
            </w:pPr>
            <w:r w:rsidRPr="00DE108C">
              <w:rPr>
                <w:rFonts w:cstheme="minorBidi"/>
                <w:color w:val="auto"/>
              </w:rPr>
              <w:t xml:space="preserve">The Shogaki Drive </w:t>
            </w:r>
            <w:r w:rsidR="00874F4D">
              <w:rPr>
                <w:rFonts w:cstheme="minorBidi"/>
                <w:color w:val="auto"/>
              </w:rPr>
              <w:t>Develop</w:t>
            </w:r>
            <w:r w:rsidR="00AD432B">
              <w:rPr>
                <w:rFonts w:cstheme="minorBidi"/>
                <w:color w:val="auto"/>
              </w:rPr>
              <w:t>ment</w:t>
            </w:r>
            <w:r w:rsidR="18EF5701" w:rsidRPr="00DE108C">
              <w:rPr>
                <w:rFonts w:cstheme="minorBidi"/>
                <w:color w:val="auto"/>
              </w:rPr>
              <w:t xml:space="preserve"> Service</w:t>
            </w:r>
            <w:r w:rsidR="00AD432B">
              <w:rPr>
                <w:rFonts w:cstheme="minorBidi"/>
                <w:color w:val="auto"/>
              </w:rPr>
              <w:t>s</w:t>
            </w:r>
            <w:r w:rsidR="18EF5701" w:rsidRPr="00DE108C">
              <w:rPr>
                <w:rFonts w:cstheme="minorBidi"/>
                <w:color w:val="auto"/>
              </w:rPr>
              <w:t xml:space="preserve"> Scheme (DSS)</w:t>
            </w:r>
            <w:r w:rsidRPr="00DE108C">
              <w:rPr>
                <w:rFonts w:cstheme="minorBidi"/>
                <w:color w:val="auto"/>
              </w:rPr>
              <w:t xml:space="preserve"> Interim Outfall Works project was raised for the developer of Thornhill Park residential development to undertake the design and construction of interim drainage assets within the Shogaki Drive DSS. The project was cancelled as land development delays in the scheme mean that the developer would not be able to deliver the assets in the required timeframe. An alternative project, Thornhill </w:t>
            </w:r>
            <w:r w:rsidRPr="00DE108C">
              <w:rPr>
                <w:rFonts w:cstheme="minorBidi"/>
                <w:color w:val="auto"/>
              </w:rPr>
              <w:lastRenderedPageBreak/>
              <w:t>Wetland, was raised and delivered by a different developer to meet interim DSS drainage requirements.</w:t>
            </w:r>
          </w:p>
          <w:p w14:paraId="1D6DDD78" w14:textId="77777777" w:rsidR="002D42C1" w:rsidRPr="00DE108C" w:rsidRDefault="002D42C1">
            <w:pPr>
              <w:pStyle w:val="TableText"/>
              <w:spacing w:line="240" w:lineRule="auto"/>
              <w:rPr>
                <w:rFonts w:cstheme="minorBidi"/>
                <w:color w:val="auto"/>
                <w:szCs w:val="16"/>
              </w:rPr>
            </w:pPr>
          </w:p>
          <w:p w14:paraId="1AD617B1" w14:textId="77777777" w:rsidR="002D42C1" w:rsidRPr="00DE108C" w:rsidRDefault="002D42C1">
            <w:pPr>
              <w:pStyle w:val="TableText"/>
              <w:spacing w:line="240" w:lineRule="auto"/>
              <w:rPr>
                <w:rFonts w:cstheme="minorBidi"/>
                <w:color w:val="auto"/>
                <w:szCs w:val="16"/>
              </w:rPr>
            </w:pPr>
            <w:r w:rsidRPr="00DE108C">
              <w:rPr>
                <w:rFonts w:cstheme="minorBidi"/>
                <w:b/>
                <w:bCs/>
                <w:color w:val="auto"/>
                <w:szCs w:val="16"/>
              </w:rPr>
              <w:t>Impact to customers and community</w:t>
            </w:r>
          </w:p>
          <w:p w14:paraId="2257A5A3" w14:textId="77777777" w:rsidR="002D42C1" w:rsidRPr="00DE108C" w:rsidRDefault="002D42C1">
            <w:pPr>
              <w:pStyle w:val="TableText"/>
              <w:spacing w:line="240" w:lineRule="auto"/>
              <w:rPr>
                <w:rFonts w:cstheme="minorBidi"/>
                <w:color w:val="auto"/>
                <w:szCs w:val="16"/>
              </w:rPr>
            </w:pPr>
            <w:r w:rsidRPr="00DE108C">
              <w:rPr>
                <w:rFonts w:cstheme="minorBidi"/>
                <w:color w:val="auto"/>
                <w:szCs w:val="16"/>
              </w:rPr>
              <w:t>Interim drainage assets have been constructed to meet the needs of DSS development to date.</w:t>
            </w:r>
          </w:p>
        </w:tc>
      </w:tr>
      <w:tr w:rsidR="00A5757A" w:rsidRPr="00DE108C" w14:paraId="4982FF0C" w14:textId="77777777" w:rsidTr="7CA51BFC">
        <w:trPr>
          <w:cnfStyle w:val="000000010000" w:firstRow="0" w:lastRow="0" w:firstColumn="0" w:lastColumn="0" w:oddVBand="0" w:evenVBand="0" w:oddHBand="0" w:evenHBand="1" w:firstRowFirstColumn="0" w:firstRowLastColumn="0" w:lastRowFirstColumn="0" w:lastRowLastColumn="0"/>
          <w:trHeight w:val="4410"/>
        </w:trPr>
        <w:tc>
          <w:tcPr>
            <w:tcW w:w="1409" w:type="dxa"/>
          </w:tcPr>
          <w:p w14:paraId="44CB5985" w14:textId="77777777" w:rsidR="002D42C1" w:rsidRPr="00DE108C" w:rsidRDefault="002D42C1">
            <w:pPr>
              <w:pStyle w:val="TableText"/>
              <w:spacing w:line="240" w:lineRule="auto"/>
              <w:rPr>
                <w:rFonts w:cs="Arial"/>
                <w:color w:val="auto"/>
                <w:szCs w:val="16"/>
              </w:rPr>
            </w:pPr>
            <w:r w:rsidRPr="00DE108C">
              <w:rPr>
                <w:rFonts w:cs="Arial"/>
                <w:color w:val="auto"/>
                <w:szCs w:val="16"/>
              </w:rPr>
              <w:lastRenderedPageBreak/>
              <w:t>13. Wylies Drain Section 3 RBPWL2</w:t>
            </w:r>
          </w:p>
          <w:p w14:paraId="4836191C" w14:textId="77777777" w:rsidR="002D42C1" w:rsidRPr="00DE108C" w:rsidRDefault="002D42C1" w:rsidP="00ED094E">
            <w:pPr>
              <w:pStyle w:val="TableText"/>
              <w:spacing w:line="240" w:lineRule="auto"/>
              <w:rPr>
                <w:b/>
                <w:bCs/>
                <w:szCs w:val="16"/>
              </w:rPr>
            </w:pPr>
            <w:r w:rsidRPr="00DE108C">
              <w:rPr>
                <w:b/>
                <w:bCs/>
                <w:szCs w:val="16"/>
              </w:rPr>
              <w:t>Developer delivered project</w:t>
            </w:r>
          </w:p>
          <w:p w14:paraId="5E6E202F" w14:textId="77777777" w:rsidR="002D42C1" w:rsidRPr="00DE108C" w:rsidRDefault="002D42C1" w:rsidP="00ED094E">
            <w:pPr>
              <w:pStyle w:val="TableText"/>
              <w:spacing w:line="240" w:lineRule="auto"/>
              <w:rPr>
                <w:rFonts w:cs="Arial"/>
                <w:color w:val="auto"/>
                <w:szCs w:val="16"/>
              </w:rPr>
            </w:pPr>
          </w:p>
        </w:tc>
        <w:tc>
          <w:tcPr>
            <w:tcW w:w="7577" w:type="dxa"/>
          </w:tcPr>
          <w:p w14:paraId="41D5A32F"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Delayed</w:t>
            </w:r>
          </w:p>
          <w:p w14:paraId="3BE2226F" w14:textId="77777777" w:rsidR="002D42C1" w:rsidRPr="00DE108C" w:rsidRDefault="002D42C1">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996"/>
              <w:gridCol w:w="1196"/>
            </w:tblGrid>
            <w:tr w:rsidR="002D42C1" w:rsidRPr="00DE108C" w14:paraId="57FC617F" w14:textId="77777777" w:rsidTr="002C05FD">
              <w:trPr>
                <w:trHeight w:val="285"/>
              </w:trPr>
              <w:tc>
                <w:tcPr>
                  <w:tcW w:w="2200" w:type="dxa"/>
                  <w:noWrap/>
                  <w:vAlign w:val="bottom"/>
                  <w:hideMark/>
                </w:tcPr>
                <w:p w14:paraId="6D4FC66D" w14:textId="77777777" w:rsidR="002D42C1" w:rsidRPr="00DE108C" w:rsidRDefault="002D42C1">
                  <w:pPr>
                    <w:spacing w:line="240" w:lineRule="auto"/>
                    <w:rPr>
                      <w:rFonts w:ascii="Times New Roman" w:hAnsi="Times New Roman"/>
                      <w:color w:val="auto"/>
                      <w:sz w:val="24"/>
                    </w:rPr>
                  </w:pPr>
                </w:p>
              </w:tc>
              <w:tc>
                <w:tcPr>
                  <w:tcW w:w="1196" w:type="dxa"/>
                  <w:noWrap/>
                  <w:vAlign w:val="bottom"/>
                  <w:hideMark/>
                </w:tcPr>
                <w:p w14:paraId="287C3617"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996" w:type="dxa"/>
                  <w:noWrap/>
                  <w:vAlign w:val="bottom"/>
                  <w:hideMark/>
                </w:tcPr>
                <w:p w14:paraId="4033D8D0"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196" w:type="dxa"/>
                  <w:noWrap/>
                  <w:vAlign w:val="bottom"/>
                  <w:hideMark/>
                </w:tcPr>
                <w:p w14:paraId="20116FD7"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3848DB17" w14:textId="77777777" w:rsidTr="002C05FD">
              <w:trPr>
                <w:trHeight w:val="285"/>
              </w:trPr>
              <w:tc>
                <w:tcPr>
                  <w:tcW w:w="2200" w:type="dxa"/>
                  <w:noWrap/>
                  <w:vAlign w:val="bottom"/>
                  <w:hideMark/>
                </w:tcPr>
                <w:p w14:paraId="08352F8A"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7B6D71E8"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$10.5 m</w:t>
                  </w:r>
                </w:p>
              </w:tc>
              <w:tc>
                <w:tcPr>
                  <w:tcW w:w="996" w:type="dxa"/>
                  <w:noWrap/>
                  <w:vAlign w:val="bottom"/>
                  <w:hideMark/>
                </w:tcPr>
                <w:p w14:paraId="30B7DB00"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196" w:type="dxa"/>
                  <w:noWrap/>
                  <w:vAlign w:val="bottom"/>
                  <w:hideMark/>
                </w:tcPr>
                <w:p w14:paraId="18596372"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$10.5 m</w:t>
                  </w:r>
                </w:p>
              </w:tc>
            </w:tr>
            <w:tr w:rsidR="002D42C1" w:rsidRPr="00DE108C" w14:paraId="5F99EA1F" w14:textId="77777777" w:rsidTr="002C05FD">
              <w:trPr>
                <w:trHeight w:val="285"/>
              </w:trPr>
              <w:tc>
                <w:tcPr>
                  <w:tcW w:w="2200" w:type="dxa"/>
                  <w:noWrap/>
                  <w:vAlign w:val="bottom"/>
                  <w:hideMark/>
                </w:tcPr>
                <w:p w14:paraId="5E09D08E"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3992B133"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$5.3 m</w:t>
                  </w:r>
                </w:p>
              </w:tc>
              <w:tc>
                <w:tcPr>
                  <w:tcW w:w="996" w:type="dxa"/>
                  <w:noWrap/>
                  <w:vAlign w:val="bottom"/>
                  <w:hideMark/>
                </w:tcPr>
                <w:p w14:paraId="4BA4D4A8"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$0.4 m</w:t>
                  </w:r>
                </w:p>
              </w:tc>
              <w:tc>
                <w:tcPr>
                  <w:tcW w:w="1196" w:type="dxa"/>
                  <w:noWrap/>
                  <w:vAlign w:val="bottom"/>
                  <w:hideMark/>
                </w:tcPr>
                <w:p w14:paraId="0D7F16CA"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$5.7 m</w:t>
                  </w:r>
                </w:p>
              </w:tc>
            </w:tr>
            <w:tr w:rsidR="002D42C1" w:rsidRPr="00DE108C" w14:paraId="01CEA096" w14:textId="77777777" w:rsidTr="002C05FD">
              <w:trPr>
                <w:trHeight w:val="285"/>
              </w:trPr>
              <w:tc>
                <w:tcPr>
                  <w:tcW w:w="2200" w:type="dxa"/>
                  <w:noWrap/>
                  <w:vAlign w:val="bottom"/>
                  <w:hideMark/>
                </w:tcPr>
                <w:p w14:paraId="2EB77D95"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50597A32"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-$5.2 m</w:t>
                  </w:r>
                </w:p>
              </w:tc>
              <w:tc>
                <w:tcPr>
                  <w:tcW w:w="996" w:type="dxa"/>
                  <w:noWrap/>
                  <w:vAlign w:val="bottom"/>
                  <w:hideMark/>
                </w:tcPr>
                <w:p w14:paraId="13B1AB6E"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$0.4 m</w:t>
                  </w:r>
                </w:p>
              </w:tc>
              <w:tc>
                <w:tcPr>
                  <w:tcW w:w="1196" w:type="dxa"/>
                  <w:noWrap/>
                  <w:vAlign w:val="bottom"/>
                  <w:hideMark/>
                </w:tcPr>
                <w:p w14:paraId="220A5795"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-$4.8 m</w:t>
                  </w:r>
                </w:p>
              </w:tc>
            </w:tr>
          </w:tbl>
          <w:p w14:paraId="6EF34978" w14:textId="77777777" w:rsidR="002D42C1" w:rsidRPr="00DE108C" w:rsidRDefault="002D42C1">
            <w:pPr>
              <w:pStyle w:val="TableText"/>
              <w:spacing w:line="240" w:lineRule="auto"/>
              <w:rPr>
                <w:rFonts w:cstheme="minorBidi"/>
                <w:b/>
                <w:bCs/>
                <w:color w:val="auto"/>
                <w:szCs w:val="16"/>
              </w:rPr>
            </w:pPr>
          </w:p>
          <w:p w14:paraId="06567C88" w14:textId="77777777" w:rsidR="002D42C1" w:rsidRPr="00DE108C" w:rsidRDefault="002D42C1">
            <w:pPr>
              <w:pStyle w:val="TableText"/>
              <w:spacing w:line="240" w:lineRule="auto"/>
              <w:rPr>
                <w:color w:val="auto"/>
                <w:szCs w:val="16"/>
              </w:rPr>
            </w:pPr>
            <w:r w:rsidRPr="00DE108C">
              <w:rPr>
                <w:rFonts w:cstheme="minorBidi"/>
                <w:b/>
                <w:bCs/>
                <w:color w:val="auto"/>
                <w:szCs w:val="16"/>
              </w:rPr>
              <w:t>Original start/finish:</w:t>
            </w:r>
            <w:r w:rsidRPr="00DE108C">
              <w:rPr>
                <w:rFonts w:cs="Arial"/>
                <w:color w:val="auto"/>
                <w:szCs w:val="16"/>
              </w:rPr>
              <w:t xml:space="preserve"> 2021-22 to 2022-23</w:t>
            </w:r>
          </w:p>
          <w:p w14:paraId="3EF4223B" w14:textId="0383FD9D" w:rsidR="002D42C1" w:rsidRPr="00DE108C" w:rsidRDefault="002D42C1">
            <w:pPr>
              <w:pStyle w:val="TableText"/>
              <w:spacing w:line="240" w:lineRule="auto"/>
              <w:rPr>
                <w:color w:val="auto"/>
                <w:szCs w:val="16"/>
              </w:rPr>
            </w:pPr>
            <w:r w:rsidRPr="00DE108C">
              <w:rPr>
                <w:rFonts w:cstheme="minorBidi"/>
                <w:b/>
                <w:bCs/>
                <w:color w:val="auto"/>
                <w:szCs w:val="16"/>
              </w:rPr>
              <w:t>Expected start/finish:</w:t>
            </w:r>
            <w:r w:rsidRPr="00DE108C">
              <w:rPr>
                <w:rFonts w:cs="Arial"/>
                <w:color w:val="auto"/>
                <w:szCs w:val="16"/>
              </w:rPr>
              <w:t xml:space="preserve"> 2021-22 to 202</w:t>
            </w:r>
            <w:r w:rsidR="00A9110D" w:rsidRPr="00DE108C">
              <w:rPr>
                <w:rFonts w:cs="Arial"/>
                <w:color w:val="auto"/>
                <w:szCs w:val="16"/>
              </w:rPr>
              <w:t>5-26</w:t>
            </w:r>
          </w:p>
          <w:p w14:paraId="36D20D72" w14:textId="77777777" w:rsidR="002D42C1" w:rsidRPr="00DE108C" w:rsidRDefault="002D42C1">
            <w:pPr>
              <w:pStyle w:val="TableText"/>
              <w:spacing w:line="240" w:lineRule="auto"/>
              <w:rPr>
                <w:rFonts w:cstheme="minorBidi"/>
                <w:b/>
                <w:bCs/>
                <w:color w:val="auto"/>
                <w:szCs w:val="16"/>
              </w:rPr>
            </w:pPr>
          </w:p>
          <w:p w14:paraId="335AAA5A"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Reasons for delay</w:t>
            </w:r>
          </w:p>
          <w:p w14:paraId="384613AA" w14:textId="7A871E21" w:rsidR="002D42C1" w:rsidRPr="00DE108C" w:rsidRDefault="002D42C1">
            <w:pPr>
              <w:pStyle w:val="TableText"/>
              <w:spacing w:line="240" w:lineRule="auto"/>
              <w:rPr>
                <w:rFonts w:cstheme="minorBidi"/>
                <w:color w:val="auto"/>
                <w:szCs w:val="16"/>
              </w:rPr>
            </w:pPr>
            <w:r w:rsidRPr="00DE108C">
              <w:rPr>
                <w:rFonts w:cstheme="minorBidi"/>
                <w:color w:val="auto"/>
                <w:szCs w:val="16"/>
              </w:rPr>
              <w:t>D</w:t>
            </w:r>
            <w:r w:rsidR="003A389F">
              <w:rPr>
                <w:rFonts w:cstheme="minorBidi"/>
                <w:color w:val="auto"/>
                <w:szCs w:val="16"/>
              </w:rPr>
              <w:t xml:space="preserve">evelopment Services Schemes </w:t>
            </w:r>
            <w:r w:rsidRPr="00DE108C">
              <w:rPr>
                <w:rFonts w:cstheme="minorBidi"/>
                <w:color w:val="auto"/>
                <w:szCs w:val="16"/>
              </w:rPr>
              <w:t>are used to plan infrastructure for new urban developments. They guide the standards developers must meet for flood protection, water quality and waterway health. Melbourne Water supports land development by acting as the tender authority and asset owner of waterways and drainage projects delivered by the land development industry. This approach captures efficiencies associated with delivery of multiple (predominantly civil) services in a coordinated manner and provides flexibility for the developer to manage the timing for delivery of its projects.</w:t>
            </w:r>
          </w:p>
          <w:p w14:paraId="736D39D8" w14:textId="77777777" w:rsidR="002D42C1" w:rsidRPr="00DE108C" w:rsidRDefault="002D42C1">
            <w:pPr>
              <w:pStyle w:val="TableText"/>
              <w:spacing w:line="240" w:lineRule="auto"/>
              <w:rPr>
                <w:rFonts w:cstheme="minorBidi"/>
                <w:color w:val="auto"/>
                <w:szCs w:val="16"/>
              </w:rPr>
            </w:pPr>
            <w:r w:rsidRPr="00DE108C">
              <w:rPr>
                <w:rFonts w:cstheme="minorBidi"/>
                <w:color w:val="auto"/>
                <w:szCs w:val="16"/>
              </w:rPr>
              <w:t>Commencement of works were delayed due to extended negotiations between Melbourne Water and the developer regarding the scope of works, flora and fauna considerations and redesign of the stormwater outfall.</w:t>
            </w:r>
          </w:p>
          <w:p w14:paraId="4051128C" w14:textId="77777777" w:rsidR="002D42C1" w:rsidRPr="00DE108C" w:rsidRDefault="002D42C1">
            <w:pPr>
              <w:pStyle w:val="TableText"/>
              <w:spacing w:line="240" w:lineRule="auto"/>
              <w:rPr>
                <w:rFonts w:cstheme="minorBidi"/>
                <w:color w:val="auto"/>
                <w:szCs w:val="16"/>
              </w:rPr>
            </w:pPr>
          </w:p>
          <w:p w14:paraId="0141611A"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Impact to customers and community</w:t>
            </w:r>
          </w:p>
          <w:p w14:paraId="4436C690" w14:textId="1080DC82" w:rsidR="002D42C1" w:rsidRPr="00DE108C" w:rsidRDefault="002D42C1">
            <w:pPr>
              <w:pStyle w:val="TableText"/>
              <w:spacing w:line="240" w:lineRule="auto"/>
              <w:rPr>
                <w:rFonts w:cstheme="minorBidi"/>
                <w:color w:val="auto"/>
              </w:rPr>
            </w:pPr>
            <w:r w:rsidRPr="00DE108C">
              <w:rPr>
                <w:rFonts w:cstheme="minorBidi"/>
                <w:color w:val="auto"/>
              </w:rPr>
              <w:t xml:space="preserve">The flood protection, water quality and waterway health benefits for the Botanic Ridge </w:t>
            </w:r>
            <w:r w:rsidR="00663B88">
              <w:rPr>
                <w:rFonts w:cstheme="minorBidi"/>
                <w:color w:val="auto"/>
              </w:rPr>
              <w:t>Develop</w:t>
            </w:r>
            <w:r w:rsidR="002C5C04">
              <w:rPr>
                <w:rFonts w:cstheme="minorBidi"/>
                <w:color w:val="auto"/>
              </w:rPr>
              <w:t>ment</w:t>
            </w:r>
            <w:r w:rsidRPr="00DE108C">
              <w:rPr>
                <w:rFonts w:cstheme="minorBidi"/>
                <w:color w:val="auto"/>
              </w:rPr>
              <w:t xml:space="preserve"> Services Scheme (DSS) will not be realised until the project is completed. </w:t>
            </w:r>
          </w:p>
          <w:p w14:paraId="046C4AEC" w14:textId="77777777" w:rsidR="002D42C1" w:rsidRPr="00DE108C" w:rsidRDefault="002D42C1">
            <w:pPr>
              <w:pStyle w:val="TableText"/>
              <w:spacing w:line="240" w:lineRule="auto"/>
              <w:rPr>
                <w:rFonts w:cstheme="minorBidi"/>
                <w:b/>
                <w:bCs/>
                <w:color w:val="auto"/>
                <w:szCs w:val="16"/>
              </w:rPr>
            </w:pPr>
          </w:p>
        </w:tc>
      </w:tr>
      <w:tr w:rsidR="002D42C1" w:rsidRPr="00DE108C" w14:paraId="2DD83326" w14:textId="77777777" w:rsidTr="00ED094E">
        <w:trPr>
          <w:trHeight w:val="300"/>
        </w:trPr>
        <w:tc>
          <w:tcPr>
            <w:tcW w:w="1409" w:type="dxa"/>
          </w:tcPr>
          <w:p w14:paraId="417F5BDB" w14:textId="77777777" w:rsidR="002D42C1" w:rsidRPr="00DE108C" w:rsidRDefault="002D42C1">
            <w:pPr>
              <w:pStyle w:val="TableText"/>
              <w:spacing w:line="240" w:lineRule="auto"/>
              <w:rPr>
                <w:rFonts w:cs="Arial"/>
                <w:color w:val="auto"/>
                <w:szCs w:val="16"/>
              </w:rPr>
            </w:pPr>
            <w:r w:rsidRPr="00DE108C">
              <w:rPr>
                <w:rFonts w:cs="Arial"/>
                <w:color w:val="auto"/>
                <w:szCs w:val="16"/>
              </w:rPr>
              <w:t>14. Tributary of Skeleton Creek Upper - Section 1</w:t>
            </w:r>
          </w:p>
          <w:p w14:paraId="4DF3BAFF" w14:textId="77777777" w:rsidR="002D42C1" w:rsidRPr="00DE108C" w:rsidRDefault="002D42C1" w:rsidP="00ED094E">
            <w:pPr>
              <w:pStyle w:val="TableText"/>
              <w:spacing w:line="240" w:lineRule="auto"/>
              <w:rPr>
                <w:b/>
                <w:bCs/>
                <w:szCs w:val="16"/>
              </w:rPr>
            </w:pPr>
            <w:r w:rsidRPr="00DE108C">
              <w:rPr>
                <w:b/>
                <w:bCs/>
                <w:szCs w:val="16"/>
              </w:rPr>
              <w:t>Developer delivered project</w:t>
            </w:r>
          </w:p>
          <w:p w14:paraId="1A59ABB2" w14:textId="77777777" w:rsidR="002D42C1" w:rsidRPr="00DE108C" w:rsidRDefault="002D42C1" w:rsidP="00ED094E">
            <w:pPr>
              <w:pStyle w:val="TableText"/>
              <w:spacing w:line="240" w:lineRule="auto"/>
              <w:rPr>
                <w:rFonts w:cs="Arial"/>
                <w:color w:val="auto"/>
                <w:szCs w:val="16"/>
              </w:rPr>
            </w:pPr>
          </w:p>
        </w:tc>
        <w:tc>
          <w:tcPr>
            <w:tcW w:w="7577" w:type="dxa"/>
          </w:tcPr>
          <w:p w14:paraId="7D1C8415"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Delayed</w:t>
            </w:r>
          </w:p>
          <w:p w14:paraId="4A041137" w14:textId="77777777" w:rsidR="002D42C1" w:rsidRPr="00DE108C" w:rsidRDefault="002D42C1">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996"/>
              <w:gridCol w:w="1196"/>
            </w:tblGrid>
            <w:tr w:rsidR="002D42C1" w:rsidRPr="00DE108C" w14:paraId="03F63CF6" w14:textId="77777777" w:rsidTr="002C05FD">
              <w:trPr>
                <w:trHeight w:val="285"/>
              </w:trPr>
              <w:tc>
                <w:tcPr>
                  <w:tcW w:w="2200" w:type="dxa"/>
                  <w:noWrap/>
                  <w:vAlign w:val="bottom"/>
                  <w:hideMark/>
                </w:tcPr>
                <w:p w14:paraId="191540ED" w14:textId="77777777" w:rsidR="002D42C1" w:rsidRPr="00DE108C" w:rsidRDefault="002D42C1">
                  <w:pPr>
                    <w:spacing w:line="240" w:lineRule="auto"/>
                    <w:rPr>
                      <w:rFonts w:ascii="Times New Roman" w:hAnsi="Times New Roman"/>
                      <w:color w:val="auto"/>
                      <w:sz w:val="24"/>
                    </w:rPr>
                  </w:pPr>
                </w:p>
              </w:tc>
              <w:tc>
                <w:tcPr>
                  <w:tcW w:w="1196" w:type="dxa"/>
                  <w:noWrap/>
                  <w:vAlign w:val="bottom"/>
                  <w:hideMark/>
                </w:tcPr>
                <w:p w14:paraId="5F6884AF"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996" w:type="dxa"/>
                  <w:noWrap/>
                  <w:vAlign w:val="bottom"/>
                  <w:hideMark/>
                </w:tcPr>
                <w:p w14:paraId="47B71D71"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196" w:type="dxa"/>
                  <w:noWrap/>
                  <w:vAlign w:val="bottom"/>
                  <w:hideMark/>
                </w:tcPr>
                <w:p w14:paraId="56F15928"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1A3E167F" w14:textId="77777777" w:rsidTr="002C05FD">
              <w:trPr>
                <w:trHeight w:val="285"/>
              </w:trPr>
              <w:tc>
                <w:tcPr>
                  <w:tcW w:w="2200" w:type="dxa"/>
                  <w:noWrap/>
                  <w:vAlign w:val="bottom"/>
                  <w:hideMark/>
                </w:tcPr>
                <w:p w14:paraId="188D4C49"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7FB458B8"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$10.2 m</w:t>
                  </w:r>
                </w:p>
              </w:tc>
              <w:tc>
                <w:tcPr>
                  <w:tcW w:w="996" w:type="dxa"/>
                  <w:noWrap/>
                  <w:vAlign w:val="bottom"/>
                  <w:hideMark/>
                </w:tcPr>
                <w:p w14:paraId="44BC80A2"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196" w:type="dxa"/>
                  <w:noWrap/>
                  <w:vAlign w:val="bottom"/>
                  <w:hideMark/>
                </w:tcPr>
                <w:p w14:paraId="0E9F8F03"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$10.2 m</w:t>
                  </w:r>
                </w:p>
              </w:tc>
            </w:tr>
            <w:tr w:rsidR="002D42C1" w:rsidRPr="00DE108C" w14:paraId="5CCD6514" w14:textId="77777777" w:rsidTr="002C05FD">
              <w:trPr>
                <w:trHeight w:val="285"/>
              </w:trPr>
              <w:tc>
                <w:tcPr>
                  <w:tcW w:w="2200" w:type="dxa"/>
                  <w:noWrap/>
                  <w:vAlign w:val="bottom"/>
                  <w:hideMark/>
                </w:tcPr>
                <w:p w14:paraId="5AF1C6A6"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085EB735"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$3.0 m</w:t>
                  </w:r>
                </w:p>
              </w:tc>
              <w:tc>
                <w:tcPr>
                  <w:tcW w:w="996" w:type="dxa"/>
                  <w:noWrap/>
                  <w:vAlign w:val="bottom"/>
                  <w:hideMark/>
                </w:tcPr>
                <w:p w14:paraId="34A72B1F"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196" w:type="dxa"/>
                  <w:noWrap/>
                  <w:vAlign w:val="bottom"/>
                  <w:hideMark/>
                </w:tcPr>
                <w:p w14:paraId="0C2E06F4"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$3.0 m</w:t>
                  </w:r>
                </w:p>
              </w:tc>
            </w:tr>
            <w:tr w:rsidR="002D42C1" w:rsidRPr="00DE108C" w14:paraId="203F290F" w14:textId="77777777" w:rsidTr="002C05FD">
              <w:trPr>
                <w:trHeight w:val="285"/>
              </w:trPr>
              <w:tc>
                <w:tcPr>
                  <w:tcW w:w="2200" w:type="dxa"/>
                  <w:noWrap/>
                  <w:vAlign w:val="bottom"/>
                  <w:hideMark/>
                </w:tcPr>
                <w:p w14:paraId="4EAB9113"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26E95374"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-$7.2 m</w:t>
                  </w:r>
                </w:p>
              </w:tc>
              <w:tc>
                <w:tcPr>
                  <w:tcW w:w="996" w:type="dxa"/>
                  <w:noWrap/>
                  <w:vAlign w:val="bottom"/>
                  <w:hideMark/>
                </w:tcPr>
                <w:p w14:paraId="603362E7"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196" w:type="dxa"/>
                  <w:noWrap/>
                  <w:vAlign w:val="bottom"/>
                  <w:hideMark/>
                </w:tcPr>
                <w:p w14:paraId="2E6628FC"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-$7.2 m</w:t>
                  </w:r>
                </w:p>
              </w:tc>
            </w:tr>
          </w:tbl>
          <w:p w14:paraId="3216F24D" w14:textId="77777777" w:rsidR="002D42C1" w:rsidRPr="00DE108C" w:rsidRDefault="002D42C1">
            <w:pPr>
              <w:pStyle w:val="TableText"/>
              <w:spacing w:line="240" w:lineRule="auto"/>
              <w:rPr>
                <w:rFonts w:cstheme="minorBidi"/>
                <w:b/>
                <w:bCs/>
                <w:color w:val="auto"/>
                <w:szCs w:val="16"/>
              </w:rPr>
            </w:pPr>
          </w:p>
          <w:p w14:paraId="355A433F" w14:textId="77777777" w:rsidR="002D42C1" w:rsidRPr="00DE108C" w:rsidRDefault="002D42C1">
            <w:pPr>
              <w:pStyle w:val="TableText"/>
              <w:spacing w:line="240" w:lineRule="auto"/>
              <w:rPr>
                <w:color w:val="auto"/>
                <w:szCs w:val="16"/>
              </w:rPr>
            </w:pPr>
            <w:r w:rsidRPr="00DE108C">
              <w:rPr>
                <w:rFonts w:cstheme="minorBidi"/>
                <w:b/>
                <w:bCs/>
                <w:color w:val="auto"/>
                <w:szCs w:val="16"/>
              </w:rPr>
              <w:t>Original start/finish:</w:t>
            </w:r>
            <w:r w:rsidRPr="00DE108C">
              <w:rPr>
                <w:rFonts w:cs="Arial"/>
                <w:color w:val="auto"/>
                <w:szCs w:val="16"/>
              </w:rPr>
              <w:t xml:space="preserve"> 2022-23 to 2023-24</w:t>
            </w:r>
          </w:p>
          <w:p w14:paraId="62D2A878" w14:textId="6EF06422" w:rsidR="002D42C1" w:rsidRPr="00DE108C" w:rsidRDefault="002D42C1">
            <w:pPr>
              <w:pStyle w:val="TableText"/>
              <w:spacing w:line="240" w:lineRule="auto"/>
              <w:rPr>
                <w:color w:val="auto"/>
                <w:szCs w:val="16"/>
              </w:rPr>
            </w:pPr>
            <w:r w:rsidRPr="00DE108C">
              <w:rPr>
                <w:rFonts w:cstheme="minorBidi"/>
                <w:b/>
                <w:bCs/>
                <w:color w:val="auto"/>
                <w:szCs w:val="16"/>
              </w:rPr>
              <w:t>Expected start/finish:</w:t>
            </w:r>
            <w:r w:rsidRPr="00DE108C">
              <w:rPr>
                <w:rFonts w:cs="Arial"/>
                <w:color w:val="auto"/>
                <w:szCs w:val="16"/>
              </w:rPr>
              <w:t xml:space="preserve"> 2021-22 to 202</w:t>
            </w:r>
            <w:r w:rsidR="00286ECA" w:rsidRPr="00DE108C">
              <w:rPr>
                <w:rFonts w:cs="Arial"/>
                <w:color w:val="auto"/>
                <w:szCs w:val="16"/>
              </w:rPr>
              <w:t>6-27</w:t>
            </w:r>
          </w:p>
          <w:p w14:paraId="4695E29A" w14:textId="77777777" w:rsidR="002D42C1" w:rsidRPr="00DE108C" w:rsidRDefault="002D42C1">
            <w:pPr>
              <w:pStyle w:val="TableText"/>
              <w:spacing w:line="240" w:lineRule="auto"/>
              <w:rPr>
                <w:rFonts w:cstheme="minorBidi"/>
                <w:b/>
                <w:bCs/>
                <w:color w:val="auto"/>
                <w:szCs w:val="16"/>
              </w:rPr>
            </w:pPr>
          </w:p>
          <w:p w14:paraId="7F231412"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Reasons for delay</w:t>
            </w:r>
          </w:p>
          <w:p w14:paraId="7FC5E67A" w14:textId="5F8B30B9" w:rsidR="002D42C1" w:rsidRPr="00DE108C" w:rsidRDefault="003A389F">
            <w:pPr>
              <w:pStyle w:val="TableText"/>
              <w:spacing w:line="240" w:lineRule="auto"/>
              <w:rPr>
                <w:rFonts w:cstheme="minorBidi"/>
                <w:color w:val="auto"/>
                <w:szCs w:val="16"/>
              </w:rPr>
            </w:pPr>
            <w:r>
              <w:rPr>
                <w:rFonts w:cstheme="minorBidi"/>
                <w:color w:val="auto"/>
                <w:szCs w:val="16"/>
              </w:rPr>
              <w:t>Development Services S</w:t>
            </w:r>
            <w:r w:rsidR="002D42C1" w:rsidRPr="00DE108C">
              <w:rPr>
                <w:rFonts w:cstheme="minorBidi"/>
                <w:color w:val="auto"/>
                <w:szCs w:val="16"/>
              </w:rPr>
              <w:t>chemes are used to plan infrastructure for new urban developments. They guide the standards developers must meet for flood protection, water quality and waterway health. Melbourne Water supports land development by acting as the tender authority and asset owner of waterways and drainage projects delivered by the land development industry. This approach captures efficiencies associated with delivery of multiple (predominantly civil) services in a coordinated manner and provides flexibility for the developer to manage the timing for delivery of its projects.</w:t>
            </w:r>
          </w:p>
          <w:p w14:paraId="6627E4E8" w14:textId="77777777" w:rsidR="002D42C1" w:rsidRPr="00DE108C" w:rsidRDefault="002D42C1">
            <w:pPr>
              <w:pStyle w:val="TableText"/>
              <w:spacing w:line="240" w:lineRule="auto"/>
              <w:rPr>
                <w:rFonts w:cstheme="minorBidi"/>
                <w:color w:val="auto"/>
                <w:szCs w:val="16"/>
              </w:rPr>
            </w:pPr>
            <w:r w:rsidRPr="00DE108C">
              <w:rPr>
                <w:rFonts w:cstheme="minorBidi"/>
                <w:color w:val="auto"/>
                <w:szCs w:val="16"/>
              </w:rPr>
              <w:lastRenderedPageBreak/>
              <w:t>The project has been delayed due to extended contract negotiations between Melbourne Water and the developer.</w:t>
            </w:r>
          </w:p>
          <w:p w14:paraId="23858B99"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Impact to customers and community</w:t>
            </w:r>
          </w:p>
          <w:p w14:paraId="554934F6" w14:textId="2A933178" w:rsidR="002D42C1" w:rsidRPr="00DE108C" w:rsidRDefault="002D42C1">
            <w:pPr>
              <w:pStyle w:val="TableText"/>
              <w:spacing w:line="240" w:lineRule="auto"/>
              <w:rPr>
                <w:rFonts w:cstheme="minorBidi"/>
                <w:color w:val="auto"/>
              </w:rPr>
            </w:pPr>
            <w:r w:rsidRPr="00DE108C">
              <w:rPr>
                <w:rFonts w:cstheme="minorBidi"/>
                <w:color w:val="auto"/>
              </w:rPr>
              <w:t xml:space="preserve">The project involves the construction of a waterway to provide flood protection and outfall drainage to the new development. The flood protection, water quality and waterway health benefits for the Truganina </w:t>
            </w:r>
            <w:r w:rsidR="00663B88">
              <w:rPr>
                <w:rFonts w:cstheme="minorBidi"/>
                <w:color w:val="auto"/>
              </w:rPr>
              <w:t>Develop</w:t>
            </w:r>
            <w:r w:rsidR="003D5932">
              <w:rPr>
                <w:rFonts w:cstheme="minorBidi"/>
                <w:color w:val="auto"/>
              </w:rPr>
              <w:t>ment</w:t>
            </w:r>
            <w:r w:rsidRPr="00DE108C">
              <w:rPr>
                <w:rFonts w:cstheme="minorBidi"/>
                <w:color w:val="auto"/>
              </w:rPr>
              <w:t xml:space="preserve"> Services Scheme (DSS) will not be realised until the project is completed. </w:t>
            </w:r>
          </w:p>
          <w:p w14:paraId="7481AD09" w14:textId="77777777" w:rsidR="002D42C1" w:rsidRPr="00DE108C" w:rsidRDefault="002D42C1">
            <w:pPr>
              <w:pStyle w:val="TableText"/>
              <w:spacing w:line="240" w:lineRule="auto"/>
              <w:rPr>
                <w:rFonts w:cstheme="minorBidi"/>
                <w:b/>
                <w:bCs/>
                <w:color w:val="auto"/>
                <w:szCs w:val="16"/>
              </w:rPr>
            </w:pPr>
          </w:p>
        </w:tc>
      </w:tr>
      <w:tr w:rsidR="00A5757A" w:rsidRPr="00DE108C" w14:paraId="20361226" w14:textId="77777777" w:rsidTr="7CA51BFC">
        <w:trPr>
          <w:cnfStyle w:val="000000010000" w:firstRow="0" w:lastRow="0" w:firstColumn="0" w:lastColumn="0" w:oddVBand="0" w:evenVBand="0" w:oddHBand="0" w:evenHBand="1" w:firstRowFirstColumn="0" w:firstRowLastColumn="0" w:lastRowFirstColumn="0" w:lastRowLastColumn="0"/>
          <w:trHeight w:val="300"/>
        </w:trPr>
        <w:tc>
          <w:tcPr>
            <w:tcW w:w="1409" w:type="dxa"/>
          </w:tcPr>
          <w:p w14:paraId="5A2EFC77" w14:textId="77777777" w:rsidR="002D42C1" w:rsidRPr="00DE108C" w:rsidRDefault="002D42C1">
            <w:pPr>
              <w:pStyle w:val="TableText"/>
              <w:spacing w:line="240" w:lineRule="auto"/>
              <w:rPr>
                <w:rFonts w:cs="Arial"/>
                <w:color w:val="auto"/>
                <w:szCs w:val="16"/>
              </w:rPr>
            </w:pPr>
            <w:r w:rsidRPr="00DE108C">
              <w:rPr>
                <w:rFonts w:cs="Arial"/>
                <w:color w:val="auto"/>
                <w:szCs w:val="16"/>
              </w:rPr>
              <w:lastRenderedPageBreak/>
              <w:t>15. Clyde Creek Section 92 Lilium WL9</w:t>
            </w:r>
          </w:p>
          <w:p w14:paraId="57983BE5" w14:textId="77777777" w:rsidR="002D42C1" w:rsidRPr="00DE108C" w:rsidRDefault="002D42C1" w:rsidP="00ED094E">
            <w:pPr>
              <w:pStyle w:val="TableText"/>
              <w:spacing w:line="240" w:lineRule="auto"/>
              <w:rPr>
                <w:b/>
                <w:bCs/>
                <w:szCs w:val="16"/>
              </w:rPr>
            </w:pPr>
            <w:r w:rsidRPr="00DE108C">
              <w:rPr>
                <w:b/>
                <w:bCs/>
                <w:szCs w:val="16"/>
              </w:rPr>
              <w:t>Developer delivered project</w:t>
            </w:r>
          </w:p>
          <w:p w14:paraId="063E91CB" w14:textId="77777777" w:rsidR="002D42C1" w:rsidRPr="00DE108C" w:rsidRDefault="002D42C1" w:rsidP="00ED094E">
            <w:pPr>
              <w:pStyle w:val="TableText"/>
              <w:spacing w:line="240" w:lineRule="auto"/>
              <w:rPr>
                <w:rFonts w:cs="Arial"/>
                <w:color w:val="auto"/>
                <w:szCs w:val="16"/>
              </w:rPr>
            </w:pPr>
          </w:p>
        </w:tc>
        <w:tc>
          <w:tcPr>
            <w:tcW w:w="7577" w:type="dxa"/>
          </w:tcPr>
          <w:p w14:paraId="296BC4CE"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Completed on time</w:t>
            </w:r>
          </w:p>
          <w:p w14:paraId="2669E52F" w14:textId="77777777" w:rsidR="002D42C1" w:rsidRPr="00DE108C" w:rsidRDefault="002D42C1">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996"/>
              <w:gridCol w:w="1196"/>
            </w:tblGrid>
            <w:tr w:rsidR="002D42C1" w:rsidRPr="00DE108C" w14:paraId="39DEFA85" w14:textId="77777777" w:rsidTr="002C05FD">
              <w:trPr>
                <w:trHeight w:val="285"/>
              </w:trPr>
              <w:tc>
                <w:tcPr>
                  <w:tcW w:w="2200" w:type="dxa"/>
                  <w:noWrap/>
                  <w:vAlign w:val="bottom"/>
                  <w:hideMark/>
                </w:tcPr>
                <w:p w14:paraId="478A0774" w14:textId="77777777" w:rsidR="002D42C1" w:rsidRPr="00DE108C" w:rsidRDefault="002D42C1">
                  <w:pPr>
                    <w:spacing w:line="240" w:lineRule="auto"/>
                    <w:rPr>
                      <w:rFonts w:ascii="Times New Roman" w:hAnsi="Times New Roman"/>
                      <w:color w:val="auto"/>
                      <w:sz w:val="24"/>
                    </w:rPr>
                  </w:pPr>
                </w:p>
              </w:tc>
              <w:tc>
                <w:tcPr>
                  <w:tcW w:w="1196" w:type="dxa"/>
                  <w:noWrap/>
                  <w:vAlign w:val="bottom"/>
                  <w:hideMark/>
                </w:tcPr>
                <w:p w14:paraId="154CBCA4"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996" w:type="dxa"/>
                  <w:noWrap/>
                  <w:vAlign w:val="bottom"/>
                  <w:hideMark/>
                </w:tcPr>
                <w:p w14:paraId="3BEDAEB4"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196" w:type="dxa"/>
                  <w:noWrap/>
                  <w:vAlign w:val="bottom"/>
                  <w:hideMark/>
                </w:tcPr>
                <w:p w14:paraId="2854020A"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0B66D02F" w14:textId="77777777" w:rsidTr="002C05FD">
              <w:trPr>
                <w:trHeight w:val="285"/>
              </w:trPr>
              <w:tc>
                <w:tcPr>
                  <w:tcW w:w="2200" w:type="dxa"/>
                  <w:noWrap/>
                  <w:vAlign w:val="bottom"/>
                  <w:hideMark/>
                </w:tcPr>
                <w:p w14:paraId="3A3DA5B2"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6A0A6E49"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$10.4 m</w:t>
                  </w:r>
                </w:p>
              </w:tc>
              <w:tc>
                <w:tcPr>
                  <w:tcW w:w="996" w:type="dxa"/>
                  <w:noWrap/>
                  <w:vAlign w:val="bottom"/>
                  <w:hideMark/>
                </w:tcPr>
                <w:p w14:paraId="2D35D172"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196" w:type="dxa"/>
                  <w:noWrap/>
                  <w:vAlign w:val="bottom"/>
                  <w:hideMark/>
                </w:tcPr>
                <w:p w14:paraId="04B0BD9D"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$10.4 m</w:t>
                  </w:r>
                </w:p>
              </w:tc>
            </w:tr>
            <w:tr w:rsidR="002D42C1" w:rsidRPr="00DE108C" w14:paraId="6D1DD3B7" w14:textId="77777777" w:rsidTr="002C05FD">
              <w:trPr>
                <w:trHeight w:val="285"/>
              </w:trPr>
              <w:tc>
                <w:tcPr>
                  <w:tcW w:w="2200" w:type="dxa"/>
                  <w:noWrap/>
                  <w:vAlign w:val="bottom"/>
                  <w:hideMark/>
                </w:tcPr>
                <w:p w14:paraId="024D4BA2"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6A5B2DF0"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$0.9 m</w:t>
                  </w:r>
                </w:p>
              </w:tc>
              <w:tc>
                <w:tcPr>
                  <w:tcW w:w="996" w:type="dxa"/>
                  <w:noWrap/>
                  <w:vAlign w:val="bottom"/>
                  <w:hideMark/>
                </w:tcPr>
                <w:p w14:paraId="46FE30D9"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196" w:type="dxa"/>
                  <w:noWrap/>
                  <w:vAlign w:val="bottom"/>
                  <w:hideMark/>
                </w:tcPr>
                <w:p w14:paraId="20A4CB74"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$0.9 m</w:t>
                  </w:r>
                </w:p>
              </w:tc>
            </w:tr>
            <w:tr w:rsidR="002D42C1" w:rsidRPr="00DE108C" w14:paraId="0D4F50CF" w14:textId="77777777" w:rsidTr="002C05FD">
              <w:trPr>
                <w:trHeight w:val="285"/>
              </w:trPr>
              <w:tc>
                <w:tcPr>
                  <w:tcW w:w="2200" w:type="dxa"/>
                  <w:noWrap/>
                  <w:vAlign w:val="bottom"/>
                  <w:hideMark/>
                </w:tcPr>
                <w:p w14:paraId="2C5004A0"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14CE2C65"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-$9.4 m</w:t>
                  </w:r>
                </w:p>
              </w:tc>
              <w:tc>
                <w:tcPr>
                  <w:tcW w:w="996" w:type="dxa"/>
                  <w:noWrap/>
                  <w:vAlign w:val="bottom"/>
                  <w:hideMark/>
                </w:tcPr>
                <w:p w14:paraId="4489CFFF"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196" w:type="dxa"/>
                  <w:noWrap/>
                  <w:vAlign w:val="bottom"/>
                  <w:hideMark/>
                </w:tcPr>
                <w:p w14:paraId="75FD310A"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-$9.4 m</w:t>
                  </w:r>
                </w:p>
              </w:tc>
            </w:tr>
          </w:tbl>
          <w:p w14:paraId="36DBD890" w14:textId="77777777" w:rsidR="002D42C1" w:rsidRPr="00DE108C" w:rsidRDefault="002D42C1">
            <w:pPr>
              <w:pStyle w:val="TableText"/>
              <w:spacing w:line="240" w:lineRule="auto"/>
              <w:rPr>
                <w:rFonts w:cstheme="minorBidi"/>
                <w:b/>
                <w:bCs/>
                <w:color w:val="auto"/>
                <w:szCs w:val="16"/>
              </w:rPr>
            </w:pPr>
          </w:p>
          <w:p w14:paraId="2B0FCB1B" w14:textId="77777777" w:rsidR="002D42C1" w:rsidRPr="00DE108C" w:rsidRDefault="002D42C1">
            <w:pPr>
              <w:pStyle w:val="TableText"/>
              <w:spacing w:line="240" w:lineRule="auto"/>
              <w:rPr>
                <w:color w:val="auto"/>
                <w:szCs w:val="16"/>
              </w:rPr>
            </w:pPr>
            <w:r w:rsidRPr="00DE108C">
              <w:rPr>
                <w:rFonts w:cstheme="minorBidi"/>
                <w:b/>
                <w:bCs/>
                <w:color w:val="auto"/>
                <w:szCs w:val="16"/>
              </w:rPr>
              <w:t>Original start/finish:</w:t>
            </w:r>
            <w:r w:rsidRPr="00DE108C">
              <w:rPr>
                <w:rFonts w:cs="Arial"/>
                <w:color w:val="auto"/>
                <w:szCs w:val="16"/>
              </w:rPr>
              <w:t xml:space="preserve"> 2021-22 to 2022-23</w:t>
            </w:r>
          </w:p>
          <w:p w14:paraId="17EF8687" w14:textId="77777777" w:rsidR="002D42C1" w:rsidRPr="00DE108C" w:rsidRDefault="002D42C1">
            <w:pPr>
              <w:pStyle w:val="TableText"/>
              <w:spacing w:line="240" w:lineRule="auto"/>
              <w:rPr>
                <w:color w:val="auto"/>
                <w:szCs w:val="16"/>
              </w:rPr>
            </w:pPr>
            <w:r w:rsidRPr="00DE108C">
              <w:rPr>
                <w:rFonts w:cstheme="minorBidi"/>
                <w:b/>
                <w:bCs/>
                <w:color w:val="auto"/>
                <w:szCs w:val="16"/>
              </w:rPr>
              <w:t>Expected start/finish:</w:t>
            </w:r>
            <w:r w:rsidRPr="00DE108C">
              <w:rPr>
                <w:rFonts w:cs="Arial"/>
                <w:color w:val="auto"/>
                <w:szCs w:val="16"/>
              </w:rPr>
              <w:t xml:space="preserve"> 2021-22 to 2022-23</w:t>
            </w:r>
          </w:p>
          <w:p w14:paraId="5B08B9F7" w14:textId="77777777" w:rsidR="002D42C1" w:rsidRPr="00DE108C" w:rsidRDefault="002D42C1">
            <w:pPr>
              <w:pStyle w:val="TableText"/>
              <w:spacing w:line="240" w:lineRule="auto"/>
              <w:rPr>
                <w:rFonts w:cstheme="minorBidi"/>
                <w:color w:val="auto"/>
                <w:szCs w:val="16"/>
              </w:rPr>
            </w:pPr>
          </w:p>
          <w:p w14:paraId="78D31929"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Impact to customers and community</w:t>
            </w:r>
          </w:p>
          <w:p w14:paraId="55793154" w14:textId="65614DD3" w:rsidR="002D42C1" w:rsidRPr="00DE108C" w:rsidRDefault="003A389F">
            <w:pPr>
              <w:pStyle w:val="TableText"/>
              <w:spacing w:line="240" w:lineRule="auto"/>
              <w:rPr>
                <w:rFonts w:cstheme="minorBidi"/>
                <w:color w:val="auto"/>
                <w:szCs w:val="16"/>
              </w:rPr>
            </w:pPr>
            <w:r>
              <w:rPr>
                <w:rFonts w:cstheme="minorBidi"/>
                <w:color w:val="auto"/>
                <w:szCs w:val="16"/>
              </w:rPr>
              <w:t>Development Services S</w:t>
            </w:r>
            <w:r w:rsidR="002D42C1" w:rsidRPr="00DE108C">
              <w:rPr>
                <w:rFonts w:cstheme="minorBidi"/>
                <w:color w:val="auto"/>
                <w:szCs w:val="16"/>
              </w:rPr>
              <w:t>chemes are used to plan infrastructure for new urban developments. They guide the standards developers must meet for flood protection, water quality and waterway health. Melbourne Water supports land development by acting as the tender authority and asset owner of waterways and drainage projects delivered by the land development industry. This approach captures efficiencies associated with delivery of multiple (predominantly civil) services in a coordinated manner and provides flexibility for the developer to manage the timing for delivery of its projects.</w:t>
            </w:r>
          </w:p>
          <w:p w14:paraId="25665209" w14:textId="77777777" w:rsidR="002D42C1" w:rsidRPr="00DE108C" w:rsidRDefault="002D42C1">
            <w:pPr>
              <w:pStyle w:val="TableText"/>
              <w:spacing w:line="240" w:lineRule="auto"/>
              <w:rPr>
                <w:rFonts w:cstheme="minorBidi"/>
                <w:color w:val="auto"/>
                <w:szCs w:val="16"/>
              </w:rPr>
            </w:pPr>
          </w:p>
          <w:p w14:paraId="6165FA09" w14:textId="64CE16BB" w:rsidR="002D42C1" w:rsidRPr="00DE108C" w:rsidRDefault="002D42C1">
            <w:pPr>
              <w:pStyle w:val="TableText"/>
              <w:spacing w:line="240" w:lineRule="auto"/>
              <w:rPr>
                <w:color w:val="auto"/>
              </w:rPr>
            </w:pPr>
            <w:r w:rsidRPr="00DE108C">
              <w:rPr>
                <w:rFonts w:cstheme="minorBidi"/>
                <w:color w:val="auto"/>
              </w:rPr>
              <w:t xml:space="preserve">This project delivered flood protection, water quality and waterway health benefits for the Clyde Creek </w:t>
            </w:r>
            <w:r w:rsidR="00663B88">
              <w:rPr>
                <w:rFonts w:cstheme="minorBidi"/>
                <w:color w:val="auto"/>
              </w:rPr>
              <w:t>Develop</w:t>
            </w:r>
            <w:r w:rsidR="003D5932">
              <w:rPr>
                <w:rFonts w:cstheme="minorBidi"/>
                <w:color w:val="auto"/>
              </w:rPr>
              <w:t>ment</w:t>
            </w:r>
            <w:r w:rsidRPr="00DE108C">
              <w:rPr>
                <w:rFonts w:cstheme="minorBidi"/>
                <w:color w:val="auto"/>
              </w:rPr>
              <w:t xml:space="preserve"> Services Scheme (DSS) via the construction of a storm water quality treatment wetland with stormwater retardation capacity.</w:t>
            </w:r>
          </w:p>
        </w:tc>
      </w:tr>
    </w:tbl>
    <w:p w14:paraId="5562FE57" w14:textId="77777777" w:rsidR="002D42C1" w:rsidRPr="00DE108C" w:rsidRDefault="002D42C1" w:rsidP="00ED094E">
      <w:pPr>
        <w:pStyle w:val="BodyText"/>
      </w:pPr>
    </w:p>
    <w:p w14:paraId="51C434D5" w14:textId="41B4289D" w:rsidR="002D42C1" w:rsidRPr="00DE108C" w:rsidRDefault="002D42C1" w:rsidP="00ED094E">
      <w:pPr>
        <w:pStyle w:val="Caption"/>
      </w:pPr>
      <w:bookmarkStart w:id="1296" w:name="_Toc207893132"/>
      <w:bookmarkStart w:id="1297" w:name="_Toc208490656"/>
      <w:bookmarkStart w:id="1298" w:name="_Toc208490994"/>
      <w:bookmarkStart w:id="1299" w:name="_Toc208911152"/>
      <w:bookmarkStart w:id="1300" w:name="_Toc210051458"/>
      <w:r w:rsidRPr="00DE108C">
        <w:t>Table C.3: Project</w:t>
      </w:r>
      <w:r w:rsidR="3E8C6A0F" w:rsidRPr="00DE108C">
        <w:t>s</w:t>
      </w:r>
      <w:r w:rsidRPr="00DE108C">
        <w:t xml:space="preserve"> added for reporting to replace developer delivered projects</w:t>
      </w:r>
      <w:bookmarkEnd w:id="1296"/>
      <w:bookmarkEnd w:id="1297"/>
      <w:bookmarkEnd w:id="1298"/>
      <w:bookmarkEnd w:id="1299"/>
      <w:bookmarkEnd w:id="1300"/>
      <w:r w:rsidR="008C46DF">
        <w:t xml:space="preserve"> </w:t>
      </w:r>
      <w:r w:rsidRPr="00DE108C">
        <w:t> </w:t>
      </w:r>
    </w:p>
    <w:tbl>
      <w:tblPr>
        <w:tblStyle w:val="TableGrid"/>
        <w:tblW w:w="8986" w:type="dxa"/>
        <w:tblLayout w:type="fixed"/>
        <w:tblLook w:val="0420" w:firstRow="1" w:lastRow="0" w:firstColumn="0" w:lastColumn="0" w:noHBand="0" w:noVBand="1"/>
      </w:tblPr>
      <w:tblGrid>
        <w:gridCol w:w="1409"/>
        <w:gridCol w:w="7577"/>
      </w:tblGrid>
      <w:tr w:rsidR="00A5757A" w:rsidRPr="00DE108C" w14:paraId="25A8B9B9" w14:textId="77777777" w:rsidTr="7CA51BFC">
        <w:trPr>
          <w:cnfStyle w:val="100000000000" w:firstRow="1" w:lastRow="0" w:firstColumn="0" w:lastColumn="0" w:oddVBand="0" w:evenVBand="0" w:oddHBand="0" w:evenHBand="0" w:firstRowFirstColumn="0" w:firstRowLastColumn="0" w:lastRowFirstColumn="0" w:lastRowLastColumn="0"/>
          <w:trHeight w:val="300"/>
        </w:trPr>
        <w:tc>
          <w:tcPr>
            <w:tcW w:w="1409" w:type="dxa"/>
          </w:tcPr>
          <w:p w14:paraId="6F2BB86D" w14:textId="77777777" w:rsidR="002D42C1" w:rsidRPr="00DE108C" w:rsidRDefault="002D42C1" w:rsidP="00ED094E">
            <w:pPr>
              <w:pStyle w:val="TableText"/>
              <w:spacing w:before="240" w:after="200" w:line="240" w:lineRule="auto"/>
              <w:rPr>
                <w:rFonts w:cs="Arial"/>
                <w:color w:val="FFFFFF" w:themeColor="background1"/>
              </w:rPr>
            </w:pPr>
            <w:r w:rsidRPr="00DE108C">
              <w:rPr>
                <w:rFonts w:cstheme="minorBidi"/>
                <w:b/>
                <w:bCs/>
                <w:color w:val="FFFFFF" w:themeColor="background1"/>
              </w:rPr>
              <w:t>Project</w:t>
            </w:r>
          </w:p>
        </w:tc>
        <w:tc>
          <w:tcPr>
            <w:tcW w:w="7577" w:type="dxa"/>
          </w:tcPr>
          <w:p w14:paraId="7B4F20C2" w14:textId="77777777" w:rsidR="002D42C1" w:rsidRPr="00DE108C" w:rsidRDefault="002D42C1" w:rsidP="00ED094E">
            <w:pPr>
              <w:pStyle w:val="TableText"/>
              <w:spacing w:before="240" w:after="200" w:line="240" w:lineRule="auto"/>
              <w:rPr>
                <w:rFonts w:cstheme="minorBidi"/>
                <w:b/>
                <w:bCs/>
                <w:color w:val="FFFFFF" w:themeColor="background1"/>
              </w:rPr>
            </w:pPr>
            <w:r w:rsidRPr="00DE108C">
              <w:rPr>
                <w:rFonts w:cstheme="minorBidi"/>
                <w:b/>
                <w:bCs/>
                <w:color w:val="FFFFFF" w:themeColor="background1"/>
              </w:rPr>
              <w:t>Delivery update</w:t>
            </w:r>
          </w:p>
        </w:tc>
      </w:tr>
      <w:tr w:rsidR="002D42C1" w:rsidRPr="00DE108C" w14:paraId="141C8AF5" w14:textId="77777777" w:rsidTr="00ED094E">
        <w:trPr>
          <w:trHeight w:val="300"/>
        </w:trPr>
        <w:tc>
          <w:tcPr>
            <w:tcW w:w="1409" w:type="dxa"/>
          </w:tcPr>
          <w:p w14:paraId="54E9C2CD" w14:textId="77777777" w:rsidR="002D42C1" w:rsidRPr="00DE108C" w:rsidRDefault="002D42C1">
            <w:pPr>
              <w:pStyle w:val="TableText"/>
              <w:spacing w:line="240" w:lineRule="auto"/>
              <w:rPr>
                <w:rFonts w:cs="Arial"/>
                <w:color w:val="auto"/>
                <w:szCs w:val="16"/>
              </w:rPr>
            </w:pPr>
            <w:r w:rsidRPr="00DE108C">
              <w:rPr>
                <w:rFonts w:cs="Arial"/>
                <w:color w:val="auto"/>
                <w:szCs w:val="16"/>
              </w:rPr>
              <w:t>16. Regan St Retarding Basin</w:t>
            </w:r>
          </w:p>
        </w:tc>
        <w:tc>
          <w:tcPr>
            <w:tcW w:w="7577" w:type="dxa"/>
          </w:tcPr>
          <w:p w14:paraId="26E30F16"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Deferred</w:t>
            </w:r>
          </w:p>
          <w:p w14:paraId="6FC685F2" w14:textId="77777777" w:rsidR="002D42C1" w:rsidRPr="00DE108C" w:rsidRDefault="002D42C1">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996"/>
              <w:gridCol w:w="1196"/>
            </w:tblGrid>
            <w:tr w:rsidR="002D42C1" w:rsidRPr="00DE108C" w14:paraId="6828A22D" w14:textId="77777777" w:rsidTr="002C05FD">
              <w:trPr>
                <w:trHeight w:val="285"/>
              </w:trPr>
              <w:tc>
                <w:tcPr>
                  <w:tcW w:w="2200" w:type="dxa"/>
                  <w:noWrap/>
                  <w:vAlign w:val="bottom"/>
                  <w:hideMark/>
                </w:tcPr>
                <w:p w14:paraId="2E0D95A4" w14:textId="77777777" w:rsidR="002D42C1" w:rsidRPr="00DE108C" w:rsidRDefault="002D42C1">
                  <w:pPr>
                    <w:spacing w:line="240" w:lineRule="auto"/>
                    <w:rPr>
                      <w:rFonts w:ascii="Times New Roman" w:hAnsi="Times New Roman"/>
                      <w:color w:val="auto"/>
                      <w:sz w:val="24"/>
                    </w:rPr>
                  </w:pPr>
                </w:p>
              </w:tc>
              <w:tc>
                <w:tcPr>
                  <w:tcW w:w="1196" w:type="dxa"/>
                  <w:noWrap/>
                  <w:vAlign w:val="bottom"/>
                  <w:hideMark/>
                </w:tcPr>
                <w:p w14:paraId="5A3290D0"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996" w:type="dxa"/>
                  <w:noWrap/>
                  <w:vAlign w:val="bottom"/>
                  <w:hideMark/>
                </w:tcPr>
                <w:p w14:paraId="60EA6C67"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196" w:type="dxa"/>
                  <w:noWrap/>
                  <w:vAlign w:val="bottom"/>
                  <w:hideMark/>
                </w:tcPr>
                <w:p w14:paraId="1C4D9A64"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305D4209" w14:textId="77777777" w:rsidTr="002C05FD">
              <w:trPr>
                <w:trHeight w:val="285"/>
              </w:trPr>
              <w:tc>
                <w:tcPr>
                  <w:tcW w:w="2200" w:type="dxa"/>
                  <w:noWrap/>
                  <w:vAlign w:val="bottom"/>
                  <w:hideMark/>
                </w:tcPr>
                <w:p w14:paraId="79E28CDC"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0342BF13"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$9.3 m</w:t>
                  </w:r>
                </w:p>
              </w:tc>
              <w:tc>
                <w:tcPr>
                  <w:tcW w:w="996" w:type="dxa"/>
                  <w:noWrap/>
                  <w:vAlign w:val="bottom"/>
                  <w:hideMark/>
                </w:tcPr>
                <w:p w14:paraId="32A8E5CA"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196" w:type="dxa"/>
                  <w:noWrap/>
                  <w:vAlign w:val="bottom"/>
                  <w:hideMark/>
                </w:tcPr>
                <w:p w14:paraId="14843E78"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$9.3 m</w:t>
                  </w:r>
                </w:p>
              </w:tc>
            </w:tr>
            <w:tr w:rsidR="002D42C1" w:rsidRPr="00DE108C" w14:paraId="27F6857C" w14:textId="77777777" w:rsidTr="002C05FD">
              <w:trPr>
                <w:trHeight w:val="285"/>
              </w:trPr>
              <w:tc>
                <w:tcPr>
                  <w:tcW w:w="2200" w:type="dxa"/>
                  <w:noWrap/>
                  <w:vAlign w:val="bottom"/>
                  <w:hideMark/>
                </w:tcPr>
                <w:p w14:paraId="04BB0ED7"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17351118"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$0.1 m</w:t>
                  </w:r>
                </w:p>
              </w:tc>
              <w:tc>
                <w:tcPr>
                  <w:tcW w:w="996" w:type="dxa"/>
                  <w:noWrap/>
                  <w:vAlign w:val="bottom"/>
                  <w:hideMark/>
                </w:tcPr>
                <w:p w14:paraId="69DD8807"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$14.0 m</w:t>
                  </w:r>
                </w:p>
              </w:tc>
              <w:tc>
                <w:tcPr>
                  <w:tcW w:w="1196" w:type="dxa"/>
                  <w:noWrap/>
                  <w:vAlign w:val="bottom"/>
                  <w:hideMark/>
                </w:tcPr>
                <w:p w14:paraId="72B86B3A"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$14.1 m</w:t>
                  </w:r>
                </w:p>
              </w:tc>
            </w:tr>
            <w:tr w:rsidR="002D42C1" w:rsidRPr="00DE108C" w14:paraId="114222A7" w14:textId="77777777" w:rsidTr="002C05FD">
              <w:trPr>
                <w:trHeight w:val="285"/>
              </w:trPr>
              <w:tc>
                <w:tcPr>
                  <w:tcW w:w="2200" w:type="dxa"/>
                  <w:noWrap/>
                  <w:vAlign w:val="bottom"/>
                  <w:hideMark/>
                </w:tcPr>
                <w:p w14:paraId="376BB1CD"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3990D173"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-$9.2 m</w:t>
                  </w:r>
                </w:p>
              </w:tc>
              <w:tc>
                <w:tcPr>
                  <w:tcW w:w="996" w:type="dxa"/>
                  <w:noWrap/>
                  <w:vAlign w:val="bottom"/>
                  <w:hideMark/>
                </w:tcPr>
                <w:p w14:paraId="03C009AA"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$14.0 m</w:t>
                  </w:r>
                </w:p>
              </w:tc>
              <w:tc>
                <w:tcPr>
                  <w:tcW w:w="1196" w:type="dxa"/>
                  <w:noWrap/>
                  <w:vAlign w:val="bottom"/>
                  <w:hideMark/>
                </w:tcPr>
                <w:p w14:paraId="793F6CE9"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$4.8 m</w:t>
                  </w:r>
                </w:p>
              </w:tc>
            </w:tr>
          </w:tbl>
          <w:p w14:paraId="31382BD3" w14:textId="77777777" w:rsidR="002D42C1" w:rsidRPr="00DE108C" w:rsidRDefault="002D42C1">
            <w:pPr>
              <w:pStyle w:val="TableText"/>
              <w:spacing w:line="240" w:lineRule="auto"/>
              <w:rPr>
                <w:rFonts w:cstheme="minorBidi"/>
                <w:b/>
                <w:bCs/>
                <w:color w:val="auto"/>
                <w:szCs w:val="16"/>
              </w:rPr>
            </w:pPr>
          </w:p>
          <w:p w14:paraId="52F5F83F" w14:textId="77777777" w:rsidR="002D42C1" w:rsidRPr="00DE108C" w:rsidRDefault="002D42C1">
            <w:pPr>
              <w:pStyle w:val="TableText"/>
              <w:spacing w:line="240" w:lineRule="auto"/>
              <w:rPr>
                <w:rFonts w:cs="Arial"/>
                <w:color w:val="auto"/>
                <w:szCs w:val="16"/>
              </w:rPr>
            </w:pPr>
            <w:r w:rsidRPr="00DE108C">
              <w:rPr>
                <w:rFonts w:cstheme="minorBidi"/>
                <w:b/>
                <w:bCs/>
                <w:color w:val="auto"/>
                <w:szCs w:val="16"/>
              </w:rPr>
              <w:t>Original start/finish:</w:t>
            </w:r>
            <w:r w:rsidRPr="00DE108C">
              <w:rPr>
                <w:rFonts w:cs="Arial"/>
                <w:color w:val="auto"/>
                <w:szCs w:val="16"/>
              </w:rPr>
              <w:t xml:space="preserve"> 2020-21 to 2022-23</w:t>
            </w:r>
          </w:p>
          <w:p w14:paraId="41416460" w14:textId="77777777" w:rsidR="002D42C1" w:rsidRPr="00DE108C" w:rsidRDefault="002D42C1">
            <w:pPr>
              <w:pStyle w:val="TableText"/>
              <w:spacing w:line="240" w:lineRule="auto"/>
              <w:rPr>
                <w:rFonts w:cs="Arial"/>
                <w:color w:val="auto"/>
                <w:szCs w:val="16"/>
              </w:rPr>
            </w:pPr>
            <w:r w:rsidRPr="00DE108C">
              <w:rPr>
                <w:rFonts w:cs="Arial"/>
                <w:b/>
                <w:bCs/>
                <w:color w:val="auto"/>
                <w:szCs w:val="16"/>
              </w:rPr>
              <w:t xml:space="preserve">Expected start/finish: </w:t>
            </w:r>
            <w:r w:rsidRPr="00DE108C">
              <w:rPr>
                <w:rFonts w:cs="Arial"/>
                <w:color w:val="auto"/>
                <w:szCs w:val="16"/>
              </w:rPr>
              <w:t>2026-27 to 2034-35</w:t>
            </w:r>
          </w:p>
          <w:p w14:paraId="04B48867" w14:textId="77777777" w:rsidR="002D42C1" w:rsidRPr="00DE108C" w:rsidRDefault="002D42C1">
            <w:pPr>
              <w:pStyle w:val="TableText"/>
              <w:spacing w:line="240" w:lineRule="auto"/>
              <w:rPr>
                <w:rFonts w:cstheme="minorBidi"/>
                <w:b/>
                <w:bCs/>
                <w:color w:val="auto"/>
                <w:szCs w:val="16"/>
              </w:rPr>
            </w:pPr>
          </w:p>
          <w:p w14:paraId="1CE17C83"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Reasons for deferral</w:t>
            </w:r>
          </w:p>
          <w:p w14:paraId="11725DB2" w14:textId="77777777" w:rsidR="002D42C1" w:rsidRPr="00DE108C" w:rsidRDefault="002D42C1">
            <w:pPr>
              <w:pStyle w:val="TableText"/>
              <w:spacing w:line="240" w:lineRule="auto"/>
              <w:rPr>
                <w:rFonts w:cstheme="minorBidi"/>
                <w:color w:val="auto"/>
                <w:szCs w:val="16"/>
              </w:rPr>
            </w:pPr>
            <w:r w:rsidRPr="00DE108C">
              <w:rPr>
                <w:rFonts w:cstheme="minorBidi"/>
                <w:color w:val="auto"/>
                <w:szCs w:val="16"/>
              </w:rPr>
              <w:t xml:space="preserve">The project delivers both flood risk mitigation and urban land development benefits for privately owned land adjacent to the project site. MW adopted an innovative delivery model to construct the retarding basin using the Developer Works process. This approach </w:t>
            </w:r>
            <w:r w:rsidRPr="00DE108C">
              <w:rPr>
                <w:rFonts w:cstheme="minorBidi"/>
                <w:color w:val="auto"/>
                <w:szCs w:val="16"/>
              </w:rPr>
              <w:lastRenderedPageBreak/>
              <w:t>has proved to be complex as project costs have been refined and increased and also due to ownership turnover of the adjacent land.</w:t>
            </w:r>
          </w:p>
          <w:p w14:paraId="6B8140AA" w14:textId="77777777" w:rsidR="002D42C1" w:rsidRPr="00DE108C" w:rsidRDefault="002D42C1">
            <w:pPr>
              <w:pStyle w:val="TableText"/>
              <w:spacing w:line="240" w:lineRule="auto"/>
              <w:rPr>
                <w:rFonts w:cstheme="minorBidi"/>
                <w:color w:val="auto"/>
                <w:szCs w:val="16"/>
              </w:rPr>
            </w:pPr>
            <w:r w:rsidRPr="00DE108C">
              <w:rPr>
                <w:rFonts w:cstheme="minorBidi"/>
                <w:color w:val="auto"/>
                <w:szCs w:val="16"/>
              </w:rPr>
              <w:t>MW deferred the project to work through the identified issues.</w:t>
            </w:r>
          </w:p>
          <w:p w14:paraId="589AB324" w14:textId="77777777" w:rsidR="002D42C1" w:rsidRPr="00DE108C" w:rsidRDefault="002D42C1">
            <w:pPr>
              <w:pStyle w:val="TableText"/>
              <w:spacing w:line="240" w:lineRule="auto"/>
              <w:rPr>
                <w:rFonts w:cstheme="minorBidi"/>
                <w:color w:val="auto"/>
                <w:szCs w:val="16"/>
              </w:rPr>
            </w:pPr>
            <w:r w:rsidRPr="00DE108C">
              <w:rPr>
                <w:rFonts w:cstheme="minorBidi"/>
                <w:b/>
                <w:bCs/>
                <w:color w:val="auto"/>
                <w:szCs w:val="16"/>
              </w:rPr>
              <w:t>Impact to customers and community</w:t>
            </w:r>
          </w:p>
          <w:p w14:paraId="7C1D88F8" w14:textId="0F9A5217" w:rsidR="002D42C1" w:rsidRPr="00DE108C" w:rsidRDefault="002D42C1" w:rsidP="7CA51BFC">
            <w:pPr>
              <w:pStyle w:val="TableText"/>
              <w:spacing w:line="240" w:lineRule="auto"/>
              <w:rPr>
                <w:rFonts w:cstheme="minorBidi"/>
                <w:color w:val="auto"/>
              </w:rPr>
            </w:pPr>
            <w:r w:rsidRPr="00DE108C">
              <w:rPr>
                <w:rFonts w:cstheme="minorBidi"/>
                <w:color w:val="auto"/>
              </w:rPr>
              <w:t>The project will reduce the risk of flooding in the St Albans West Drain catchment and support the development of land. The benefits of reduced flood risk will not be realised until the project is completed.</w:t>
            </w:r>
          </w:p>
        </w:tc>
      </w:tr>
      <w:tr w:rsidR="00A5757A" w:rsidRPr="00DE108C" w14:paraId="5DF6E904" w14:textId="77777777" w:rsidTr="7CA51BFC">
        <w:trPr>
          <w:cnfStyle w:val="000000010000" w:firstRow="0" w:lastRow="0" w:firstColumn="0" w:lastColumn="0" w:oddVBand="0" w:evenVBand="0" w:oddHBand="0" w:evenHBand="1" w:firstRowFirstColumn="0" w:firstRowLastColumn="0" w:lastRowFirstColumn="0" w:lastRowLastColumn="0"/>
          <w:trHeight w:val="300"/>
        </w:trPr>
        <w:tc>
          <w:tcPr>
            <w:tcW w:w="1409" w:type="dxa"/>
          </w:tcPr>
          <w:p w14:paraId="260B8C08" w14:textId="77777777" w:rsidR="002D42C1" w:rsidRPr="00DE108C" w:rsidRDefault="002D42C1">
            <w:pPr>
              <w:pStyle w:val="TableText"/>
              <w:spacing w:line="240" w:lineRule="auto"/>
              <w:rPr>
                <w:rFonts w:cs="Arial"/>
                <w:color w:val="auto"/>
                <w:szCs w:val="16"/>
              </w:rPr>
            </w:pPr>
            <w:r w:rsidRPr="00DE108C">
              <w:rPr>
                <w:rFonts w:cs="Arial"/>
                <w:color w:val="auto"/>
                <w:szCs w:val="16"/>
              </w:rPr>
              <w:lastRenderedPageBreak/>
              <w:t>17. Shakespeare Grove Main Drain Renewal</w:t>
            </w:r>
          </w:p>
        </w:tc>
        <w:tc>
          <w:tcPr>
            <w:tcW w:w="7577" w:type="dxa"/>
          </w:tcPr>
          <w:p w14:paraId="2407DD22"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Completed on time</w:t>
            </w:r>
          </w:p>
          <w:p w14:paraId="5CBB2D1A" w14:textId="77777777" w:rsidR="002D42C1" w:rsidRPr="00DE108C" w:rsidRDefault="002D42C1">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996"/>
              <w:gridCol w:w="1196"/>
            </w:tblGrid>
            <w:tr w:rsidR="002D42C1" w:rsidRPr="00DE108C" w14:paraId="375EB1F6" w14:textId="77777777" w:rsidTr="002C05FD">
              <w:trPr>
                <w:trHeight w:val="285"/>
              </w:trPr>
              <w:tc>
                <w:tcPr>
                  <w:tcW w:w="2200" w:type="dxa"/>
                  <w:noWrap/>
                  <w:vAlign w:val="bottom"/>
                  <w:hideMark/>
                </w:tcPr>
                <w:p w14:paraId="13BE30CA" w14:textId="77777777" w:rsidR="002D42C1" w:rsidRPr="00DE108C" w:rsidRDefault="002D42C1">
                  <w:pPr>
                    <w:spacing w:line="240" w:lineRule="auto"/>
                    <w:rPr>
                      <w:rFonts w:ascii="Times New Roman" w:hAnsi="Times New Roman"/>
                      <w:color w:val="auto"/>
                      <w:sz w:val="24"/>
                    </w:rPr>
                  </w:pPr>
                </w:p>
              </w:tc>
              <w:tc>
                <w:tcPr>
                  <w:tcW w:w="1196" w:type="dxa"/>
                  <w:noWrap/>
                  <w:vAlign w:val="bottom"/>
                  <w:hideMark/>
                </w:tcPr>
                <w:p w14:paraId="02626FE8"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996" w:type="dxa"/>
                  <w:noWrap/>
                  <w:vAlign w:val="bottom"/>
                  <w:hideMark/>
                </w:tcPr>
                <w:p w14:paraId="156BC571"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196" w:type="dxa"/>
                  <w:noWrap/>
                  <w:vAlign w:val="bottom"/>
                  <w:hideMark/>
                </w:tcPr>
                <w:p w14:paraId="62822F55"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53A2F40E" w14:textId="77777777" w:rsidTr="002C05FD">
              <w:trPr>
                <w:trHeight w:val="285"/>
              </w:trPr>
              <w:tc>
                <w:tcPr>
                  <w:tcW w:w="2200" w:type="dxa"/>
                  <w:noWrap/>
                  <w:vAlign w:val="bottom"/>
                  <w:hideMark/>
                </w:tcPr>
                <w:p w14:paraId="46DDFB4A"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4CFE2651"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$9.0 m</w:t>
                  </w:r>
                </w:p>
              </w:tc>
              <w:tc>
                <w:tcPr>
                  <w:tcW w:w="996" w:type="dxa"/>
                  <w:noWrap/>
                  <w:vAlign w:val="bottom"/>
                  <w:hideMark/>
                </w:tcPr>
                <w:p w14:paraId="4D10C27F"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196" w:type="dxa"/>
                  <w:noWrap/>
                  <w:vAlign w:val="bottom"/>
                  <w:hideMark/>
                </w:tcPr>
                <w:p w14:paraId="17027082"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$9.0 m</w:t>
                  </w:r>
                </w:p>
              </w:tc>
            </w:tr>
            <w:tr w:rsidR="002D42C1" w:rsidRPr="00DE108C" w14:paraId="12E0CDFC" w14:textId="77777777" w:rsidTr="002C05FD">
              <w:trPr>
                <w:trHeight w:val="285"/>
              </w:trPr>
              <w:tc>
                <w:tcPr>
                  <w:tcW w:w="2200" w:type="dxa"/>
                  <w:noWrap/>
                  <w:vAlign w:val="bottom"/>
                  <w:hideMark/>
                </w:tcPr>
                <w:p w14:paraId="2D79AC35"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2FD02F0B"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$10.7 m</w:t>
                  </w:r>
                </w:p>
              </w:tc>
              <w:tc>
                <w:tcPr>
                  <w:tcW w:w="996" w:type="dxa"/>
                  <w:noWrap/>
                  <w:vAlign w:val="bottom"/>
                  <w:hideMark/>
                </w:tcPr>
                <w:p w14:paraId="60A97EE7"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196" w:type="dxa"/>
                  <w:noWrap/>
                  <w:vAlign w:val="bottom"/>
                  <w:hideMark/>
                </w:tcPr>
                <w:p w14:paraId="61764FD0"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$10.7 m</w:t>
                  </w:r>
                </w:p>
              </w:tc>
            </w:tr>
            <w:tr w:rsidR="002D42C1" w:rsidRPr="00DE108C" w14:paraId="4EDF956A" w14:textId="77777777" w:rsidTr="002C05FD">
              <w:trPr>
                <w:trHeight w:val="285"/>
              </w:trPr>
              <w:tc>
                <w:tcPr>
                  <w:tcW w:w="2200" w:type="dxa"/>
                  <w:noWrap/>
                  <w:vAlign w:val="bottom"/>
                  <w:hideMark/>
                </w:tcPr>
                <w:p w14:paraId="554AF3D8"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37798142"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$1.7 m</w:t>
                  </w:r>
                </w:p>
              </w:tc>
              <w:tc>
                <w:tcPr>
                  <w:tcW w:w="996" w:type="dxa"/>
                  <w:noWrap/>
                  <w:vAlign w:val="bottom"/>
                  <w:hideMark/>
                </w:tcPr>
                <w:p w14:paraId="4B608802"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196" w:type="dxa"/>
                  <w:noWrap/>
                  <w:vAlign w:val="bottom"/>
                  <w:hideMark/>
                </w:tcPr>
                <w:p w14:paraId="514E960F"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$1.7 m</w:t>
                  </w:r>
                </w:p>
              </w:tc>
            </w:tr>
          </w:tbl>
          <w:p w14:paraId="7273E6C9" w14:textId="77777777" w:rsidR="002D42C1" w:rsidRPr="00DE108C" w:rsidRDefault="002D42C1">
            <w:pPr>
              <w:pStyle w:val="TableText"/>
              <w:spacing w:line="240" w:lineRule="auto"/>
              <w:rPr>
                <w:rFonts w:cstheme="minorBidi"/>
                <w:b/>
                <w:bCs/>
                <w:color w:val="auto"/>
                <w:szCs w:val="16"/>
              </w:rPr>
            </w:pPr>
          </w:p>
          <w:p w14:paraId="6369A0B5" w14:textId="77777777" w:rsidR="002D42C1" w:rsidRPr="00DE108C" w:rsidRDefault="002D42C1">
            <w:pPr>
              <w:pStyle w:val="TableText"/>
              <w:spacing w:line="240" w:lineRule="auto"/>
              <w:rPr>
                <w:rFonts w:cs="Arial"/>
                <w:color w:val="auto"/>
                <w:szCs w:val="16"/>
              </w:rPr>
            </w:pPr>
            <w:r w:rsidRPr="00DE108C">
              <w:rPr>
                <w:rFonts w:cstheme="minorBidi"/>
                <w:b/>
                <w:bCs/>
                <w:color w:val="auto"/>
                <w:szCs w:val="16"/>
              </w:rPr>
              <w:t>Original start/finish:</w:t>
            </w:r>
            <w:r w:rsidRPr="00DE108C">
              <w:rPr>
                <w:rFonts w:cs="Arial"/>
                <w:color w:val="auto"/>
                <w:szCs w:val="16"/>
              </w:rPr>
              <w:t xml:space="preserve"> 2020-21 to 2021-22</w:t>
            </w:r>
          </w:p>
          <w:p w14:paraId="66472AF9" w14:textId="77777777" w:rsidR="002D42C1" w:rsidRPr="00DE108C" w:rsidRDefault="002D42C1">
            <w:pPr>
              <w:pStyle w:val="TableText"/>
              <w:spacing w:line="240" w:lineRule="auto"/>
              <w:rPr>
                <w:rFonts w:cs="Arial"/>
                <w:color w:val="auto"/>
                <w:szCs w:val="16"/>
              </w:rPr>
            </w:pPr>
            <w:r w:rsidRPr="00DE108C">
              <w:rPr>
                <w:rFonts w:cs="Arial"/>
                <w:b/>
                <w:bCs/>
                <w:color w:val="auto"/>
                <w:szCs w:val="16"/>
              </w:rPr>
              <w:t xml:space="preserve">Actual start/finish: </w:t>
            </w:r>
            <w:r w:rsidRPr="00DE108C">
              <w:rPr>
                <w:rFonts w:cs="Arial"/>
                <w:color w:val="auto"/>
                <w:szCs w:val="16"/>
              </w:rPr>
              <w:t>2020-21 to 2021-22</w:t>
            </w:r>
          </w:p>
          <w:p w14:paraId="53488FE3" w14:textId="77777777" w:rsidR="002D42C1" w:rsidRPr="00DE108C" w:rsidRDefault="002D42C1">
            <w:pPr>
              <w:pStyle w:val="TableText"/>
              <w:spacing w:line="240" w:lineRule="auto"/>
              <w:rPr>
                <w:rFonts w:cs="Arial"/>
                <w:color w:val="auto"/>
                <w:szCs w:val="16"/>
              </w:rPr>
            </w:pPr>
          </w:p>
          <w:p w14:paraId="21C4D3DB" w14:textId="77777777" w:rsidR="002D42C1" w:rsidRPr="00DE108C" w:rsidRDefault="002D42C1">
            <w:pPr>
              <w:pStyle w:val="TableText"/>
              <w:spacing w:line="240" w:lineRule="auto"/>
              <w:rPr>
                <w:rFonts w:cstheme="minorBidi"/>
                <w:color w:val="auto"/>
                <w:szCs w:val="16"/>
              </w:rPr>
            </w:pPr>
            <w:r w:rsidRPr="00DE108C">
              <w:rPr>
                <w:rFonts w:cstheme="minorBidi"/>
                <w:b/>
                <w:bCs/>
                <w:color w:val="auto"/>
                <w:szCs w:val="16"/>
              </w:rPr>
              <w:t>Impact to customers and community</w:t>
            </w:r>
          </w:p>
          <w:p w14:paraId="17002A9D" w14:textId="77777777" w:rsidR="002D42C1" w:rsidRPr="00DE108C" w:rsidRDefault="002D42C1">
            <w:pPr>
              <w:pStyle w:val="TableText"/>
              <w:spacing w:line="240" w:lineRule="auto"/>
              <w:rPr>
                <w:rFonts w:cstheme="minorBidi"/>
                <w:color w:val="auto"/>
                <w:szCs w:val="16"/>
              </w:rPr>
            </w:pPr>
            <w:r w:rsidRPr="00DE108C">
              <w:rPr>
                <w:rFonts w:cstheme="minorBidi"/>
                <w:color w:val="auto"/>
                <w:szCs w:val="16"/>
              </w:rPr>
              <w:t>The Shakespeare Grove Main Drain beach outlet project successfully improved public safety, enhanced the drainage system and created a Port Phillip Bay viewing platform on the St Kilda foreshore.</w:t>
            </w:r>
          </w:p>
          <w:p w14:paraId="7C6F8965" w14:textId="77777777" w:rsidR="002D42C1" w:rsidRPr="00DE108C" w:rsidRDefault="002D42C1">
            <w:pPr>
              <w:pStyle w:val="TableText"/>
              <w:spacing w:line="240" w:lineRule="auto"/>
              <w:rPr>
                <w:rFonts w:cstheme="minorBidi"/>
                <w:color w:val="auto"/>
                <w:szCs w:val="16"/>
              </w:rPr>
            </w:pPr>
          </w:p>
        </w:tc>
      </w:tr>
      <w:tr w:rsidR="002D42C1" w:rsidRPr="00DE108C" w14:paraId="3C113958" w14:textId="77777777" w:rsidTr="00ED094E">
        <w:trPr>
          <w:trHeight w:val="300"/>
        </w:trPr>
        <w:tc>
          <w:tcPr>
            <w:tcW w:w="1409" w:type="dxa"/>
          </w:tcPr>
          <w:p w14:paraId="64562C12" w14:textId="77777777" w:rsidR="002D42C1" w:rsidRPr="00DE108C" w:rsidRDefault="002D42C1">
            <w:pPr>
              <w:pStyle w:val="TableText"/>
              <w:spacing w:line="240" w:lineRule="auto"/>
              <w:rPr>
                <w:rFonts w:cs="Arial"/>
                <w:color w:val="auto"/>
                <w:szCs w:val="16"/>
              </w:rPr>
            </w:pPr>
            <w:r w:rsidRPr="00DE108C">
              <w:rPr>
                <w:rFonts w:cs="Arial"/>
                <w:color w:val="auto"/>
                <w:szCs w:val="16"/>
              </w:rPr>
              <w:t>18. Hallam Valley Retarding Basin Wetland</w:t>
            </w:r>
          </w:p>
        </w:tc>
        <w:tc>
          <w:tcPr>
            <w:tcW w:w="7577" w:type="dxa"/>
          </w:tcPr>
          <w:p w14:paraId="58E5A4C6"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Delayed</w:t>
            </w:r>
          </w:p>
          <w:p w14:paraId="7CEF31E4" w14:textId="77777777" w:rsidR="002D42C1" w:rsidRDefault="002D42C1">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1140"/>
              <w:gridCol w:w="1052"/>
            </w:tblGrid>
            <w:tr w:rsidR="00FB646F" w:rsidRPr="00DE108C" w14:paraId="3990DB8E" w14:textId="77777777" w:rsidTr="00DB79A8">
              <w:trPr>
                <w:trHeight w:val="285"/>
              </w:trPr>
              <w:tc>
                <w:tcPr>
                  <w:tcW w:w="2200" w:type="dxa"/>
                  <w:noWrap/>
                  <w:vAlign w:val="bottom"/>
                  <w:hideMark/>
                </w:tcPr>
                <w:p w14:paraId="65105E31" w14:textId="77777777" w:rsidR="00FB646F" w:rsidRPr="00DE108C" w:rsidRDefault="00FB646F" w:rsidP="00FB646F">
                  <w:pPr>
                    <w:spacing w:line="240" w:lineRule="auto"/>
                    <w:rPr>
                      <w:rFonts w:ascii="Times New Roman" w:hAnsi="Times New Roman"/>
                      <w:color w:val="auto"/>
                      <w:sz w:val="24"/>
                    </w:rPr>
                  </w:pPr>
                </w:p>
              </w:tc>
              <w:tc>
                <w:tcPr>
                  <w:tcW w:w="1196" w:type="dxa"/>
                  <w:noWrap/>
                  <w:vAlign w:val="bottom"/>
                  <w:hideMark/>
                </w:tcPr>
                <w:p w14:paraId="3FFA6128" w14:textId="77777777" w:rsidR="00FB646F" w:rsidRPr="00DE108C" w:rsidRDefault="00FB646F" w:rsidP="00FB646F">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1140" w:type="dxa"/>
                  <w:noWrap/>
                  <w:vAlign w:val="bottom"/>
                  <w:hideMark/>
                </w:tcPr>
                <w:p w14:paraId="036E0FD4" w14:textId="77777777" w:rsidR="00FB646F" w:rsidRPr="00DE108C" w:rsidRDefault="00FB646F" w:rsidP="00FB646F">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052" w:type="dxa"/>
                  <w:noWrap/>
                  <w:vAlign w:val="bottom"/>
                  <w:hideMark/>
                </w:tcPr>
                <w:p w14:paraId="3061F8C1" w14:textId="77777777" w:rsidR="00FB646F" w:rsidRPr="00DE108C" w:rsidRDefault="00FB646F" w:rsidP="00FB646F">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FB646F" w:rsidRPr="00DE108C" w14:paraId="4E8842E3" w14:textId="77777777" w:rsidTr="00DB79A8">
              <w:trPr>
                <w:trHeight w:val="285"/>
              </w:trPr>
              <w:tc>
                <w:tcPr>
                  <w:tcW w:w="2200" w:type="dxa"/>
                  <w:noWrap/>
                  <w:vAlign w:val="bottom"/>
                  <w:hideMark/>
                </w:tcPr>
                <w:p w14:paraId="0543AF74" w14:textId="77777777" w:rsidR="00FB646F" w:rsidRPr="00DE108C" w:rsidRDefault="00FB646F" w:rsidP="00FB646F">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10AEB8F4" w14:textId="5DAD8589" w:rsidR="00FB646F" w:rsidRPr="00DE108C" w:rsidRDefault="00FB646F" w:rsidP="00FB646F">
                  <w:pPr>
                    <w:spacing w:line="240" w:lineRule="auto"/>
                    <w:jc w:val="right"/>
                    <w:rPr>
                      <w:rFonts w:ascii="Verdana" w:hAnsi="Verdana"/>
                      <w:color w:val="auto"/>
                      <w:sz w:val="16"/>
                      <w:szCs w:val="16"/>
                    </w:rPr>
                  </w:pPr>
                  <w:r w:rsidRPr="00DE108C">
                    <w:rPr>
                      <w:rFonts w:ascii="Verdana" w:hAnsi="Verdana"/>
                      <w:color w:val="auto"/>
                      <w:sz w:val="16"/>
                      <w:szCs w:val="16"/>
                    </w:rPr>
                    <w:t>$</w:t>
                  </w:r>
                  <w:r>
                    <w:rPr>
                      <w:rFonts w:ascii="Verdana" w:hAnsi="Verdana"/>
                      <w:color w:val="auto"/>
                      <w:sz w:val="16"/>
                      <w:szCs w:val="16"/>
                    </w:rPr>
                    <w:t>7.8</w:t>
                  </w:r>
                  <w:r w:rsidRPr="00DE108C">
                    <w:rPr>
                      <w:rFonts w:ascii="Verdana" w:hAnsi="Verdana"/>
                      <w:color w:val="auto"/>
                      <w:sz w:val="16"/>
                      <w:szCs w:val="16"/>
                    </w:rPr>
                    <w:t xml:space="preserve"> m</w:t>
                  </w:r>
                </w:p>
              </w:tc>
              <w:tc>
                <w:tcPr>
                  <w:tcW w:w="1140" w:type="dxa"/>
                  <w:noWrap/>
                  <w:vAlign w:val="bottom"/>
                  <w:hideMark/>
                </w:tcPr>
                <w:p w14:paraId="19FA2AE1" w14:textId="77777777" w:rsidR="00FB646F" w:rsidRPr="00DE108C" w:rsidRDefault="00FB646F" w:rsidP="00FB646F">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052" w:type="dxa"/>
                  <w:noWrap/>
                  <w:vAlign w:val="bottom"/>
                  <w:hideMark/>
                </w:tcPr>
                <w:p w14:paraId="2D4BC318" w14:textId="5D5DF4D9" w:rsidR="00FB646F" w:rsidRPr="00DE108C" w:rsidRDefault="00FB646F" w:rsidP="00FB646F">
                  <w:pPr>
                    <w:spacing w:line="240" w:lineRule="auto"/>
                    <w:jc w:val="right"/>
                    <w:rPr>
                      <w:rFonts w:ascii="Verdana" w:hAnsi="Verdana"/>
                      <w:color w:val="auto"/>
                      <w:sz w:val="16"/>
                      <w:szCs w:val="16"/>
                    </w:rPr>
                  </w:pPr>
                  <w:r w:rsidRPr="00DE108C">
                    <w:rPr>
                      <w:rFonts w:ascii="Verdana" w:hAnsi="Verdana"/>
                      <w:color w:val="auto"/>
                      <w:sz w:val="16"/>
                      <w:szCs w:val="16"/>
                    </w:rPr>
                    <w:t>$</w:t>
                  </w:r>
                  <w:r>
                    <w:rPr>
                      <w:rFonts w:ascii="Verdana" w:hAnsi="Verdana"/>
                      <w:color w:val="auto"/>
                      <w:sz w:val="16"/>
                      <w:szCs w:val="16"/>
                    </w:rPr>
                    <w:t>7</w:t>
                  </w:r>
                  <w:r w:rsidRPr="00DE108C">
                    <w:rPr>
                      <w:rFonts w:ascii="Verdana" w:hAnsi="Verdana"/>
                      <w:color w:val="auto"/>
                      <w:sz w:val="16"/>
                      <w:szCs w:val="16"/>
                    </w:rPr>
                    <w:t>.8 m</w:t>
                  </w:r>
                </w:p>
              </w:tc>
            </w:tr>
            <w:tr w:rsidR="00FB646F" w:rsidRPr="00DE108C" w14:paraId="4A34AF97" w14:textId="77777777" w:rsidTr="00F75138">
              <w:trPr>
                <w:trHeight w:val="285"/>
              </w:trPr>
              <w:tc>
                <w:tcPr>
                  <w:tcW w:w="2200" w:type="dxa"/>
                  <w:noWrap/>
                  <w:vAlign w:val="bottom"/>
                  <w:hideMark/>
                </w:tcPr>
                <w:p w14:paraId="5C7AF021" w14:textId="77777777" w:rsidR="00FB646F" w:rsidRPr="00DE108C" w:rsidRDefault="00FB646F" w:rsidP="00FB646F">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735B10E1" w14:textId="28AFA8DF" w:rsidR="00FB646F" w:rsidRPr="00DE108C" w:rsidRDefault="00FB646F" w:rsidP="00FB646F">
                  <w:pPr>
                    <w:spacing w:line="240" w:lineRule="auto"/>
                    <w:jc w:val="right"/>
                    <w:rPr>
                      <w:rFonts w:ascii="Verdana" w:hAnsi="Verdana"/>
                      <w:color w:val="auto"/>
                      <w:sz w:val="16"/>
                      <w:szCs w:val="16"/>
                    </w:rPr>
                  </w:pPr>
                  <w:r w:rsidRPr="00DE108C">
                    <w:rPr>
                      <w:rFonts w:ascii="Verdana" w:hAnsi="Verdana"/>
                      <w:color w:val="auto"/>
                      <w:sz w:val="16"/>
                      <w:szCs w:val="16"/>
                    </w:rPr>
                    <w:t>$</w:t>
                  </w:r>
                  <w:r>
                    <w:rPr>
                      <w:rFonts w:ascii="Verdana" w:hAnsi="Verdana"/>
                      <w:color w:val="auto"/>
                      <w:sz w:val="16"/>
                      <w:szCs w:val="16"/>
                    </w:rPr>
                    <w:t>4.2</w:t>
                  </w:r>
                  <w:r w:rsidRPr="00DE108C">
                    <w:rPr>
                      <w:rFonts w:ascii="Verdana" w:hAnsi="Verdana"/>
                      <w:color w:val="auto"/>
                      <w:sz w:val="16"/>
                      <w:szCs w:val="16"/>
                    </w:rPr>
                    <w:t xml:space="preserve"> m</w:t>
                  </w:r>
                </w:p>
              </w:tc>
              <w:tc>
                <w:tcPr>
                  <w:tcW w:w="1140" w:type="dxa"/>
                  <w:noWrap/>
                  <w:hideMark/>
                </w:tcPr>
                <w:p w14:paraId="07A3815A" w14:textId="2B71DE84" w:rsidR="00FB646F" w:rsidRPr="00DE108C" w:rsidRDefault="00FB646F" w:rsidP="00FB646F">
                  <w:pPr>
                    <w:spacing w:line="240" w:lineRule="auto"/>
                    <w:jc w:val="right"/>
                    <w:rPr>
                      <w:rFonts w:ascii="Verdana" w:hAnsi="Verdana"/>
                      <w:color w:val="auto"/>
                      <w:sz w:val="16"/>
                      <w:szCs w:val="16"/>
                    </w:rPr>
                  </w:pPr>
                  <w:r w:rsidRPr="00F0098A">
                    <w:rPr>
                      <w:rFonts w:ascii="Verdana" w:hAnsi="Verdana"/>
                      <w:color w:val="auto"/>
                      <w:sz w:val="16"/>
                      <w:szCs w:val="16"/>
                    </w:rPr>
                    <w:t>-</w:t>
                  </w:r>
                </w:p>
              </w:tc>
              <w:tc>
                <w:tcPr>
                  <w:tcW w:w="1052" w:type="dxa"/>
                  <w:noWrap/>
                  <w:vAlign w:val="bottom"/>
                  <w:hideMark/>
                </w:tcPr>
                <w:p w14:paraId="26A605AE" w14:textId="18941270" w:rsidR="00FB646F" w:rsidRPr="00DE108C" w:rsidRDefault="00FB646F" w:rsidP="00FB646F">
                  <w:pPr>
                    <w:spacing w:line="240" w:lineRule="auto"/>
                    <w:jc w:val="right"/>
                    <w:rPr>
                      <w:rFonts w:ascii="Verdana" w:hAnsi="Verdana"/>
                      <w:color w:val="auto"/>
                      <w:sz w:val="16"/>
                      <w:szCs w:val="16"/>
                    </w:rPr>
                  </w:pPr>
                  <w:r w:rsidRPr="00DE108C">
                    <w:rPr>
                      <w:rFonts w:ascii="Verdana" w:hAnsi="Verdana"/>
                      <w:color w:val="auto"/>
                      <w:sz w:val="16"/>
                      <w:szCs w:val="16"/>
                    </w:rPr>
                    <w:t>$</w:t>
                  </w:r>
                  <w:r>
                    <w:rPr>
                      <w:rFonts w:ascii="Verdana" w:hAnsi="Verdana"/>
                      <w:color w:val="auto"/>
                      <w:sz w:val="16"/>
                      <w:szCs w:val="16"/>
                    </w:rPr>
                    <w:t>4</w:t>
                  </w:r>
                  <w:r w:rsidRPr="00DE108C">
                    <w:rPr>
                      <w:rFonts w:ascii="Verdana" w:hAnsi="Verdana"/>
                      <w:color w:val="auto"/>
                      <w:sz w:val="16"/>
                      <w:szCs w:val="16"/>
                    </w:rPr>
                    <w:t>.</w:t>
                  </w:r>
                  <w:r>
                    <w:rPr>
                      <w:rFonts w:ascii="Verdana" w:hAnsi="Verdana"/>
                      <w:color w:val="auto"/>
                      <w:sz w:val="16"/>
                      <w:szCs w:val="16"/>
                    </w:rPr>
                    <w:t>3</w:t>
                  </w:r>
                  <w:r w:rsidRPr="00DE108C">
                    <w:rPr>
                      <w:rFonts w:ascii="Verdana" w:hAnsi="Verdana"/>
                      <w:color w:val="auto"/>
                      <w:sz w:val="16"/>
                      <w:szCs w:val="16"/>
                    </w:rPr>
                    <w:t xml:space="preserve"> m</w:t>
                  </w:r>
                </w:p>
              </w:tc>
            </w:tr>
            <w:tr w:rsidR="00FB646F" w:rsidRPr="00DE108C" w14:paraId="3081E1F8" w14:textId="77777777" w:rsidTr="00F75138">
              <w:trPr>
                <w:trHeight w:val="285"/>
              </w:trPr>
              <w:tc>
                <w:tcPr>
                  <w:tcW w:w="2200" w:type="dxa"/>
                  <w:noWrap/>
                  <w:vAlign w:val="bottom"/>
                  <w:hideMark/>
                </w:tcPr>
                <w:p w14:paraId="6241035A" w14:textId="77777777" w:rsidR="00FB646F" w:rsidRPr="00DE108C" w:rsidRDefault="00FB646F" w:rsidP="00FB646F">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732A892E" w14:textId="30E75C24" w:rsidR="00FB646F" w:rsidRPr="00DE108C" w:rsidRDefault="00FB646F" w:rsidP="00FB646F">
                  <w:pPr>
                    <w:spacing w:line="240" w:lineRule="auto"/>
                    <w:jc w:val="right"/>
                    <w:rPr>
                      <w:rFonts w:ascii="Verdana" w:hAnsi="Verdana"/>
                      <w:color w:val="auto"/>
                      <w:sz w:val="16"/>
                      <w:szCs w:val="16"/>
                    </w:rPr>
                  </w:pPr>
                  <w:r>
                    <w:rPr>
                      <w:rFonts w:ascii="Verdana" w:hAnsi="Verdana"/>
                      <w:color w:val="auto"/>
                      <w:sz w:val="16"/>
                      <w:szCs w:val="16"/>
                    </w:rPr>
                    <w:t>-</w:t>
                  </w:r>
                  <w:r w:rsidRPr="00DE108C">
                    <w:rPr>
                      <w:rFonts w:ascii="Verdana" w:hAnsi="Verdana"/>
                      <w:color w:val="auto"/>
                      <w:sz w:val="16"/>
                      <w:szCs w:val="16"/>
                    </w:rPr>
                    <w:t>$</w:t>
                  </w:r>
                  <w:r>
                    <w:rPr>
                      <w:rFonts w:ascii="Verdana" w:hAnsi="Verdana"/>
                      <w:color w:val="auto"/>
                      <w:sz w:val="16"/>
                      <w:szCs w:val="16"/>
                    </w:rPr>
                    <w:t>3.5</w:t>
                  </w:r>
                  <w:r w:rsidRPr="00DE108C">
                    <w:rPr>
                      <w:rFonts w:ascii="Verdana" w:hAnsi="Verdana"/>
                      <w:color w:val="auto"/>
                      <w:sz w:val="16"/>
                      <w:szCs w:val="16"/>
                    </w:rPr>
                    <w:t xml:space="preserve"> m</w:t>
                  </w:r>
                </w:p>
              </w:tc>
              <w:tc>
                <w:tcPr>
                  <w:tcW w:w="1140" w:type="dxa"/>
                  <w:noWrap/>
                  <w:hideMark/>
                </w:tcPr>
                <w:p w14:paraId="41DDA2B8" w14:textId="1B22607A" w:rsidR="00FB646F" w:rsidRPr="00DE108C" w:rsidRDefault="00FB646F" w:rsidP="00FB646F">
                  <w:pPr>
                    <w:spacing w:line="240" w:lineRule="auto"/>
                    <w:jc w:val="right"/>
                    <w:rPr>
                      <w:rFonts w:ascii="Verdana" w:hAnsi="Verdana"/>
                      <w:color w:val="auto"/>
                      <w:sz w:val="16"/>
                      <w:szCs w:val="16"/>
                    </w:rPr>
                  </w:pPr>
                  <w:r w:rsidRPr="00F0098A">
                    <w:rPr>
                      <w:rFonts w:ascii="Verdana" w:hAnsi="Verdana"/>
                      <w:color w:val="auto"/>
                      <w:sz w:val="16"/>
                      <w:szCs w:val="16"/>
                    </w:rPr>
                    <w:t>-</w:t>
                  </w:r>
                </w:p>
              </w:tc>
              <w:tc>
                <w:tcPr>
                  <w:tcW w:w="1052" w:type="dxa"/>
                  <w:noWrap/>
                  <w:vAlign w:val="bottom"/>
                  <w:hideMark/>
                </w:tcPr>
                <w:p w14:paraId="6EB8542B" w14:textId="29649FB0" w:rsidR="00FB646F" w:rsidRPr="00DE108C" w:rsidRDefault="00FB646F" w:rsidP="00FB646F">
                  <w:pPr>
                    <w:spacing w:line="240" w:lineRule="auto"/>
                    <w:jc w:val="right"/>
                    <w:rPr>
                      <w:rFonts w:ascii="Verdana" w:hAnsi="Verdana"/>
                      <w:color w:val="auto"/>
                      <w:sz w:val="16"/>
                      <w:szCs w:val="16"/>
                    </w:rPr>
                  </w:pPr>
                  <w:r>
                    <w:rPr>
                      <w:rFonts w:ascii="Verdana" w:hAnsi="Verdana"/>
                      <w:color w:val="auto"/>
                      <w:sz w:val="16"/>
                      <w:szCs w:val="16"/>
                    </w:rPr>
                    <w:t>-</w:t>
                  </w:r>
                  <w:r w:rsidRPr="00DE108C">
                    <w:rPr>
                      <w:rFonts w:ascii="Verdana" w:hAnsi="Verdana"/>
                      <w:color w:val="auto"/>
                      <w:sz w:val="16"/>
                      <w:szCs w:val="16"/>
                    </w:rPr>
                    <w:t>$</w:t>
                  </w:r>
                  <w:r>
                    <w:rPr>
                      <w:rFonts w:ascii="Verdana" w:hAnsi="Verdana"/>
                      <w:color w:val="auto"/>
                      <w:sz w:val="16"/>
                      <w:szCs w:val="16"/>
                    </w:rPr>
                    <w:t>3</w:t>
                  </w:r>
                  <w:r w:rsidRPr="00DE108C">
                    <w:rPr>
                      <w:rFonts w:ascii="Verdana" w:hAnsi="Verdana"/>
                      <w:color w:val="auto"/>
                      <w:sz w:val="16"/>
                      <w:szCs w:val="16"/>
                    </w:rPr>
                    <w:t>.</w:t>
                  </w:r>
                  <w:r>
                    <w:rPr>
                      <w:rFonts w:ascii="Verdana" w:hAnsi="Verdana"/>
                      <w:color w:val="auto"/>
                      <w:sz w:val="16"/>
                      <w:szCs w:val="16"/>
                    </w:rPr>
                    <w:t>5</w:t>
                  </w:r>
                  <w:r w:rsidRPr="00DE108C">
                    <w:rPr>
                      <w:rFonts w:ascii="Verdana" w:hAnsi="Verdana"/>
                      <w:color w:val="auto"/>
                      <w:sz w:val="16"/>
                      <w:szCs w:val="16"/>
                    </w:rPr>
                    <w:t xml:space="preserve"> m</w:t>
                  </w:r>
                </w:p>
              </w:tc>
            </w:tr>
          </w:tbl>
          <w:p w14:paraId="06DE7F65" w14:textId="77777777" w:rsidR="00FB646F" w:rsidRPr="00DE108C" w:rsidRDefault="00FB646F" w:rsidP="00FB646F">
            <w:pPr>
              <w:pStyle w:val="TableText"/>
              <w:spacing w:line="240" w:lineRule="auto"/>
              <w:rPr>
                <w:rFonts w:cs="Arial"/>
                <w:color w:val="auto"/>
                <w:szCs w:val="16"/>
              </w:rPr>
            </w:pPr>
            <w:r w:rsidRPr="00DE108C">
              <w:rPr>
                <w:rFonts w:cstheme="minorBidi"/>
                <w:b/>
                <w:bCs/>
                <w:color w:val="auto"/>
                <w:szCs w:val="16"/>
              </w:rPr>
              <w:t>Original start/finish:</w:t>
            </w:r>
            <w:r w:rsidRPr="00DE108C">
              <w:rPr>
                <w:rFonts w:cs="Arial"/>
                <w:color w:val="auto"/>
                <w:szCs w:val="16"/>
              </w:rPr>
              <w:t xml:space="preserve"> 2020-21 to 2023-24</w:t>
            </w:r>
          </w:p>
          <w:p w14:paraId="20C9F400" w14:textId="77777777" w:rsidR="00FB646F" w:rsidRPr="00DE108C" w:rsidRDefault="00FB646F" w:rsidP="00FB646F">
            <w:pPr>
              <w:pStyle w:val="TableText"/>
              <w:spacing w:line="240" w:lineRule="auto"/>
              <w:rPr>
                <w:rFonts w:cs="Arial"/>
                <w:color w:val="auto"/>
                <w:szCs w:val="16"/>
              </w:rPr>
            </w:pPr>
            <w:r w:rsidRPr="00DE108C">
              <w:rPr>
                <w:rFonts w:cs="Arial"/>
                <w:b/>
                <w:bCs/>
                <w:color w:val="auto"/>
                <w:szCs w:val="16"/>
              </w:rPr>
              <w:t xml:space="preserve">Expected start/finish: </w:t>
            </w:r>
            <w:r w:rsidRPr="00DE108C">
              <w:rPr>
                <w:rFonts w:cs="Arial"/>
                <w:color w:val="auto"/>
                <w:szCs w:val="16"/>
              </w:rPr>
              <w:t>2020-21 to 2026-27</w:t>
            </w:r>
          </w:p>
          <w:p w14:paraId="7EA26137" w14:textId="77777777" w:rsidR="00FB646F" w:rsidRPr="00DE108C" w:rsidRDefault="00FB646F" w:rsidP="00FB646F">
            <w:pPr>
              <w:pStyle w:val="TableText"/>
              <w:spacing w:line="240" w:lineRule="auto"/>
              <w:rPr>
                <w:rFonts w:cs="Arial"/>
                <w:color w:val="auto"/>
                <w:szCs w:val="16"/>
              </w:rPr>
            </w:pPr>
          </w:p>
          <w:p w14:paraId="3678642E" w14:textId="77777777" w:rsidR="00FB646F" w:rsidRPr="00DE108C" w:rsidRDefault="00FB646F" w:rsidP="00FB646F">
            <w:pPr>
              <w:pStyle w:val="TableText"/>
              <w:spacing w:line="240" w:lineRule="auto"/>
              <w:rPr>
                <w:rFonts w:cstheme="minorBidi"/>
                <w:b/>
                <w:bCs/>
                <w:color w:val="auto"/>
                <w:szCs w:val="16"/>
              </w:rPr>
            </w:pPr>
            <w:r w:rsidRPr="00DE108C">
              <w:rPr>
                <w:rFonts w:cstheme="minorBidi"/>
                <w:b/>
                <w:bCs/>
                <w:color w:val="auto"/>
                <w:szCs w:val="16"/>
              </w:rPr>
              <w:t>Reasons for delay</w:t>
            </w:r>
          </w:p>
          <w:p w14:paraId="43A81373" w14:textId="77777777" w:rsidR="00FB646F" w:rsidRPr="00DE108C" w:rsidRDefault="00FB646F" w:rsidP="00F44AC8">
            <w:pPr>
              <w:pStyle w:val="TableText"/>
            </w:pPr>
            <w:r w:rsidRPr="00DE108C">
              <w:t xml:space="preserve">The project commenced as per the schedule included in our </w:t>
            </w:r>
            <w:r w:rsidRPr="1365247C">
              <w:t>PS21.</w:t>
            </w:r>
            <w:r w:rsidRPr="00DE108C">
              <w:t xml:space="preserve"> Wet weather caused some delays to civil works, which were completed in August 2024. Planting was completed in early 2025. The forecast completion in 2027 provides for the revegetation establishment period to ensure the wetland plants have survived. </w:t>
            </w:r>
          </w:p>
          <w:p w14:paraId="21FEFB58" w14:textId="77777777" w:rsidR="00FB646F" w:rsidRPr="00DE108C" w:rsidRDefault="00FB646F" w:rsidP="00FB646F">
            <w:pPr>
              <w:pStyle w:val="TableText"/>
              <w:spacing w:line="240" w:lineRule="auto"/>
              <w:rPr>
                <w:rFonts w:cstheme="minorBidi"/>
                <w:color w:val="auto"/>
                <w:szCs w:val="16"/>
              </w:rPr>
            </w:pPr>
            <w:r w:rsidRPr="00DE108C">
              <w:rPr>
                <w:rFonts w:cstheme="minorBidi"/>
                <w:b/>
                <w:bCs/>
                <w:color w:val="auto"/>
                <w:szCs w:val="16"/>
              </w:rPr>
              <w:t>Impact to customers and community</w:t>
            </w:r>
          </w:p>
          <w:p w14:paraId="78E31E60" w14:textId="04D72A30" w:rsidR="002D42C1" w:rsidRPr="00FB646F" w:rsidRDefault="00FB646F" w:rsidP="7CA51BFC">
            <w:pPr>
              <w:pStyle w:val="TableText"/>
              <w:spacing w:line="240" w:lineRule="auto"/>
              <w:rPr>
                <w:rFonts w:cstheme="minorBidi"/>
                <w:b/>
                <w:bCs/>
                <w:color w:val="auto"/>
                <w:szCs w:val="16"/>
              </w:rPr>
            </w:pPr>
            <w:r w:rsidRPr="00DE108C">
              <w:rPr>
                <w:rFonts w:cstheme="minorBidi"/>
                <w:color w:val="auto"/>
              </w:rPr>
              <w:t>The project improves the waterway health via nitrogen removal from the wetland. The project delay has delayed realisation of the project benefits, noting the nitrogen removal benefit will begin to be realised following the completion of planting in early 2025.</w:t>
            </w:r>
          </w:p>
        </w:tc>
      </w:tr>
      <w:tr w:rsidR="00A5757A" w:rsidRPr="00DE108C" w14:paraId="69BA8598" w14:textId="77777777" w:rsidTr="00FB646F">
        <w:trPr>
          <w:cnfStyle w:val="000000010000" w:firstRow="0" w:lastRow="0" w:firstColumn="0" w:lastColumn="0" w:oddVBand="0" w:evenVBand="0" w:oddHBand="0" w:evenHBand="1" w:firstRowFirstColumn="0" w:firstRowLastColumn="0" w:lastRowFirstColumn="0" w:lastRowLastColumn="0"/>
          <w:cantSplit/>
          <w:trHeight w:val="300"/>
        </w:trPr>
        <w:tc>
          <w:tcPr>
            <w:tcW w:w="1409" w:type="dxa"/>
          </w:tcPr>
          <w:p w14:paraId="7BD1B12B" w14:textId="77777777" w:rsidR="002D42C1" w:rsidRPr="00DE108C" w:rsidRDefault="002D42C1">
            <w:pPr>
              <w:pStyle w:val="TableText"/>
              <w:spacing w:line="240" w:lineRule="auto"/>
              <w:rPr>
                <w:rFonts w:cs="Arial"/>
                <w:color w:val="auto"/>
                <w:szCs w:val="16"/>
              </w:rPr>
            </w:pPr>
            <w:r w:rsidRPr="00DE108C">
              <w:rPr>
                <w:rFonts w:cs="Arial"/>
                <w:color w:val="auto"/>
                <w:szCs w:val="16"/>
              </w:rPr>
              <w:lastRenderedPageBreak/>
              <w:t>19. Gladstone St Wetland Rectification</w:t>
            </w:r>
          </w:p>
        </w:tc>
        <w:tc>
          <w:tcPr>
            <w:tcW w:w="7577" w:type="dxa"/>
          </w:tcPr>
          <w:p w14:paraId="3686B469"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Delayed</w:t>
            </w:r>
          </w:p>
          <w:p w14:paraId="68C3E84C" w14:textId="77777777" w:rsidR="002D42C1" w:rsidRPr="00DE108C" w:rsidRDefault="002D42C1">
            <w:pPr>
              <w:pStyle w:val="TableText"/>
              <w:spacing w:line="240" w:lineRule="auto"/>
              <w:rPr>
                <w:rFonts w:cstheme="minorBidi"/>
                <w:b/>
                <w:bCs/>
                <w:color w:val="auto"/>
                <w:szCs w:val="16"/>
              </w:rPr>
            </w:pPr>
          </w:p>
          <w:tbl>
            <w:tblPr>
              <w:tblW w:w="5588" w:type="dxa"/>
              <w:tblBorders>
                <w:top w:val="single" w:sz="4" w:space="0" w:color="CAC3C5" w:themeColor="text1" w:themeTint="40"/>
                <w:left w:val="single" w:sz="4" w:space="0" w:color="CAC3C5" w:themeColor="text1" w:themeTint="40"/>
                <w:bottom w:val="single" w:sz="4" w:space="0" w:color="CAC3C5" w:themeColor="text1" w:themeTint="40"/>
                <w:right w:val="single" w:sz="4" w:space="0" w:color="CAC3C5" w:themeColor="text1" w:themeTint="40"/>
                <w:insideH w:val="single" w:sz="4" w:space="0" w:color="CAC3C5" w:themeColor="text1" w:themeTint="40"/>
                <w:insideV w:val="single" w:sz="4" w:space="0" w:color="CAC3C5" w:themeColor="text1" w:themeTint="40"/>
              </w:tblBorders>
              <w:tblLook w:val="04A0" w:firstRow="1" w:lastRow="0" w:firstColumn="1" w:lastColumn="0" w:noHBand="0" w:noVBand="1"/>
            </w:tblPr>
            <w:tblGrid>
              <w:gridCol w:w="2200"/>
              <w:gridCol w:w="1196"/>
              <w:gridCol w:w="1080"/>
              <w:gridCol w:w="1112"/>
            </w:tblGrid>
            <w:tr w:rsidR="002D42C1" w:rsidRPr="00DE108C" w14:paraId="6D61C561" w14:textId="77777777" w:rsidTr="002C05FD">
              <w:trPr>
                <w:trHeight w:val="285"/>
              </w:trPr>
              <w:tc>
                <w:tcPr>
                  <w:tcW w:w="2200" w:type="dxa"/>
                  <w:noWrap/>
                  <w:vAlign w:val="bottom"/>
                  <w:hideMark/>
                </w:tcPr>
                <w:p w14:paraId="3EB3A8BD" w14:textId="77777777" w:rsidR="002D42C1" w:rsidRPr="00DE108C" w:rsidRDefault="002D42C1" w:rsidP="002C05FD">
                  <w:pPr>
                    <w:spacing w:line="240" w:lineRule="auto"/>
                    <w:jc w:val="center"/>
                    <w:rPr>
                      <w:rFonts w:ascii="Times New Roman" w:hAnsi="Times New Roman"/>
                      <w:color w:val="auto"/>
                      <w:sz w:val="24"/>
                    </w:rPr>
                  </w:pPr>
                </w:p>
              </w:tc>
              <w:tc>
                <w:tcPr>
                  <w:tcW w:w="1196" w:type="dxa"/>
                  <w:noWrap/>
                  <w:vAlign w:val="bottom"/>
                  <w:hideMark/>
                </w:tcPr>
                <w:p w14:paraId="0D5D418A"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2021-26</w:t>
                  </w:r>
                </w:p>
              </w:tc>
              <w:tc>
                <w:tcPr>
                  <w:tcW w:w="1080" w:type="dxa"/>
                  <w:noWrap/>
                  <w:vAlign w:val="bottom"/>
                  <w:hideMark/>
                </w:tcPr>
                <w:p w14:paraId="4DA80DAB"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2026-31</w:t>
                  </w:r>
                </w:p>
              </w:tc>
              <w:tc>
                <w:tcPr>
                  <w:tcW w:w="1112" w:type="dxa"/>
                  <w:noWrap/>
                  <w:vAlign w:val="bottom"/>
                  <w:hideMark/>
                </w:tcPr>
                <w:p w14:paraId="43213E59" w14:textId="77777777" w:rsidR="002D42C1" w:rsidRPr="00DE108C" w:rsidRDefault="002D42C1" w:rsidP="002C05FD">
                  <w:pPr>
                    <w:spacing w:line="240" w:lineRule="auto"/>
                    <w:jc w:val="center"/>
                    <w:rPr>
                      <w:rFonts w:ascii="Verdana" w:hAnsi="Verdana"/>
                      <w:b/>
                      <w:bCs/>
                      <w:color w:val="auto"/>
                      <w:sz w:val="16"/>
                      <w:szCs w:val="16"/>
                    </w:rPr>
                  </w:pPr>
                  <w:r w:rsidRPr="00DE108C">
                    <w:rPr>
                      <w:rFonts w:ascii="Verdana" w:hAnsi="Verdana"/>
                      <w:b/>
                      <w:bCs/>
                      <w:color w:val="auto"/>
                      <w:sz w:val="16"/>
                      <w:szCs w:val="16"/>
                    </w:rPr>
                    <w:t>Total</w:t>
                  </w:r>
                </w:p>
              </w:tc>
            </w:tr>
            <w:tr w:rsidR="002D42C1" w:rsidRPr="00DE108C" w14:paraId="4CE549F3" w14:textId="77777777" w:rsidTr="002C05FD">
              <w:trPr>
                <w:trHeight w:val="285"/>
              </w:trPr>
              <w:tc>
                <w:tcPr>
                  <w:tcW w:w="2200" w:type="dxa"/>
                  <w:noWrap/>
                  <w:vAlign w:val="bottom"/>
                  <w:hideMark/>
                </w:tcPr>
                <w:p w14:paraId="5ADE0D67"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Determination</w:t>
                  </w:r>
                </w:p>
              </w:tc>
              <w:tc>
                <w:tcPr>
                  <w:tcW w:w="1196" w:type="dxa"/>
                  <w:noWrap/>
                  <w:vAlign w:val="bottom"/>
                  <w:hideMark/>
                </w:tcPr>
                <w:p w14:paraId="13B5094E"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$6.5 m</w:t>
                  </w:r>
                </w:p>
              </w:tc>
              <w:tc>
                <w:tcPr>
                  <w:tcW w:w="1080" w:type="dxa"/>
                  <w:noWrap/>
                  <w:vAlign w:val="bottom"/>
                  <w:hideMark/>
                </w:tcPr>
                <w:p w14:paraId="2332A37E"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w:t>
                  </w:r>
                </w:p>
              </w:tc>
              <w:tc>
                <w:tcPr>
                  <w:tcW w:w="1112" w:type="dxa"/>
                  <w:noWrap/>
                  <w:vAlign w:val="bottom"/>
                  <w:hideMark/>
                </w:tcPr>
                <w:p w14:paraId="68B6EE6A"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$6.5 m</w:t>
                  </w:r>
                </w:p>
              </w:tc>
            </w:tr>
            <w:tr w:rsidR="002D42C1" w:rsidRPr="00DE108C" w14:paraId="45D740EE" w14:textId="77777777" w:rsidTr="002C05FD">
              <w:trPr>
                <w:trHeight w:val="285"/>
              </w:trPr>
              <w:tc>
                <w:tcPr>
                  <w:tcW w:w="2200" w:type="dxa"/>
                  <w:noWrap/>
                  <w:vAlign w:val="bottom"/>
                  <w:hideMark/>
                </w:tcPr>
                <w:p w14:paraId="1352C945"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Actual/Forecast</w:t>
                  </w:r>
                </w:p>
              </w:tc>
              <w:tc>
                <w:tcPr>
                  <w:tcW w:w="1196" w:type="dxa"/>
                  <w:noWrap/>
                  <w:vAlign w:val="bottom"/>
                  <w:hideMark/>
                </w:tcPr>
                <w:p w14:paraId="6A00154F"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$6.8 m</w:t>
                  </w:r>
                </w:p>
              </w:tc>
              <w:tc>
                <w:tcPr>
                  <w:tcW w:w="1080" w:type="dxa"/>
                  <w:noWrap/>
                  <w:vAlign w:val="bottom"/>
                  <w:hideMark/>
                </w:tcPr>
                <w:p w14:paraId="203E6F36"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$22.3 m</w:t>
                  </w:r>
                </w:p>
              </w:tc>
              <w:tc>
                <w:tcPr>
                  <w:tcW w:w="1112" w:type="dxa"/>
                  <w:noWrap/>
                  <w:vAlign w:val="bottom"/>
                  <w:hideMark/>
                </w:tcPr>
                <w:p w14:paraId="163D3998"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$29.1 m</w:t>
                  </w:r>
                </w:p>
              </w:tc>
            </w:tr>
            <w:tr w:rsidR="002D42C1" w:rsidRPr="00DE108C" w14:paraId="23BC5B51" w14:textId="77777777" w:rsidTr="002C05FD">
              <w:trPr>
                <w:trHeight w:val="285"/>
              </w:trPr>
              <w:tc>
                <w:tcPr>
                  <w:tcW w:w="2200" w:type="dxa"/>
                  <w:noWrap/>
                  <w:vAlign w:val="bottom"/>
                  <w:hideMark/>
                </w:tcPr>
                <w:p w14:paraId="6DE2B397" w14:textId="77777777" w:rsidR="002D42C1" w:rsidRPr="00DE108C" w:rsidRDefault="002D42C1">
                  <w:pPr>
                    <w:spacing w:line="240" w:lineRule="auto"/>
                    <w:rPr>
                      <w:rFonts w:ascii="Verdana" w:hAnsi="Verdana"/>
                      <w:b/>
                      <w:bCs/>
                      <w:color w:val="auto"/>
                      <w:sz w:val="16"/>
                      <w:szCs w:val="16"/>
                    </w:rPr>
                  </w:pPr>
                  <w:r w:rsidRPr="00DE108C">
                    <w:rPr>
                      <w:rFonts w:ascii="Verdana" w:hAnsi="Verdana"/>
                      <w:b/>
                      <w:bCs/>
                      <w:color w:val="auto"/>
                      <w:sz w:val="16"/>
                      <w:szCs w:val="16"/>
                    </w:rPr>
                    <w:t>Difference</w:t>
                  </w:r>
                </w:p>
              </w:tc>
              <w:tc>
                <w:tcPr>
                  <w:tcW w:w="1196" w:type="dxa"/>
                  <w:noWrap/>
                  <w:vAlign w:val="bottom"/>
                  <w:hideMark/>
                </w:tcPr>
                <w:p w14:paraId="2D108C7C"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$0.3 m</w:t>
                  </w:r>
                </w:p>
              </w:tc>
              <w:tc>
                <w:tcPr>
                  <w:tcW w:w="1080" w:type="dxa"/>
                  <w:noWrap/>
                  <w:vAlign w:val="bottom"/>
                  <w:hideMark/>
                </w:tcPr>
                <w:p w14:paraId="6EEA48C9"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$22.3 m</w:t>
                  </w:r>
                </w:p>
              </w:tc>
              <w:tc>
                <w:tcPr>
                  <w:tcW w:w="1112" w:type="dxa"/>
                  <w:noWrap/>
                  <w:vAlign w:val="bottom"/>
                  <w:hideMark/>
                </w:tcPr>
                <w:p w14:paraId="2CF73BC2" w14:textId="77777777" w:rsidR="002D42C1" w:rsidRPr="00DE108C" w:rsidRDefault="002D42C1">
                  <w:pPr>
                    <w:spacing w:line="240" w:lineRule="auto"/>
                    <w:jc w:val="right"/>
                    <w:rPr>
                      <w:rFonts w:ascii="Verdana" w:hAnsi="Verdana"/>
                      <w:color w:val="auto"/>
                      <w:sz w:val="16"/>
                      <w:szCs w:val="16"/>
                    </w:rPr>
                  </w:pPr>
                  <w:r w:rsidRPr="00DE108C">
                    <w:rPr>
                      <w:rFonts w:ascii="Verdana" w:hAnsi="Verdana"/>
                      <w:color w:val="auto"/>
                      <w:sz w:val="16"/>
                      <w:szCs w:val="16"/>
                    </w:rPr>
                    <w:t>$22.6 m</w:t>
                  </w:r>
                </w:p>
              </w:tc>
            </w:tr>
          </w:tbl>
          <w:p w14:paraId="0C08041A" w14:textId="77777777" w:rsidR="002D42C1" w:rsidRPr="00DE108C" w:rsidRDefault="002D42C1">
            <w:pPr>
              <w:pStyle w:val="TableText"/>
              <w:spacing w:line="240" w:lineRule="auto"/>
              <w:rPr>
                <w:rFonts w:cstheme="minorBidi"/>
                <w:b/>
                <w:bCs/>
                <w:color w:val="auto"/>
                <w:szCs w:val="16"/>
              </w:rPr>
            </w:pPr>
          </w:p>
          <w:p w14:paraId="2A920C79" w14:textId="77777777" w:rsidR="002D42C1" w:rsidRPr="00DE108C" w:rsidRDefault="002D42C1">
            <w:pPr>
              <w:pStyle w:val="TableText"/>
              <w:spacing w:line="240" w:lineRule="auto"/>
              <w:rPr>
                <w:rFonts w:cs="Arial"/>
                <w:color w:val="auto"/>
                <w:szCs w:val="16"/>
              </w:rPr>
            </w:pPr>
            <w:r w:rsidRPr="00DE108C">
              <w:rPr>
                <w:rFonts w:cstheme="minorBidi"/>
                <w:b/>
                <w:bCs/>
                <w:color w:val="auto"/>
                <w:szCs w:val="16"/>
              </w:rPr>
              <w:t>Original start/finish:</w:t>
            </w:r>
            <w:r w:rsidRPr="00DE108C">
              <w:rPr>
                <w:rFonts w:cs="Arial"/>
                <w:color w:val="auto"/>
                <w:szCs w:val="16"/>
              </w:rPr>
              <w:t xml:space="preserve"> 2020-21 to 2021-22</w:t>
            </w:r>
          </w:p>
          <w:p w14:paraId="3FF54C2F" w14:textId="77777777" w:rsidR="002D42C1" w:rsidRPr="00DE108C" w:rsidRDefault="002D42C1">
            <w:pPr>
              <w:pStyle w:val="TableText"/>
              <w:spacing w:line="240" w:lineRule="auto"/>
              <w:rPr>
                <w:rFonts w:cs="Arial"/>
                <w:color w:val="auto"/>
                <w:szCs w:val="16"/>
              </w:rPr>
            </w:pPr>
            <w:r w:rsidRPr="00DE108C">
              <w:rPr>
                <w:rFonts w:cs="Arial"/>
                <w:b/>
                <w:bCs/>
                <w:color w:val="auto"/>
                <w:szCs w:val="16"/>
              </w:rPr>
              <w:t xml:space="preserve">Expected start/finish: </w:t>
            </w:r>
            <w:r w:rsidRPr="00DE108C">
              <w:rPr>
                <w:rFonts w:cs="Arial"/>
                <w:color w:val="auto"/>
                <w:szCs w:val="16"/>
              </w:rPr>
              <w:t>2025-26 to 2027-28</w:t>
            </w:r>
          </w:p>
          <w:p w14:paraId="407872D4" w14:textId="77777777" w:rsidR="002D42C1" w:rsidRPr="00DE108C" w:rsidRDefault="002D42C1">
            <w:pPr>
              <w:pStyle w:val="TableText"/>
              <w:spacing w:line="240" w:lineRule="auto"/>
              <w:rPr>
                <w:rFonts w:cstheme="minorBidi"/>
                <w:b/>
                <w:bCs/>
                <w:color w:val="auto"/>
                <w:szCs w:val="16"/>
              </w:rPr>
            </w:pPr>
          </w:p>
          <w:p w14:paraId="67D9FAFE" w14:textId="77777777" w:rsidR="002D42C1" w:rsidRPr="00DE108C" w:rsidRDefault="002D42C1">
            <w:pPr>
              <w:pStyle w:val="TableText"/>
              <w:spacing w:line="240" w:lineRule="auto"/>
              <w:rPr>
                <w:rFonts w:cstheme="minorBidi"/>
                <w:b/>
                <w:bCs/>
                <w:color w:val="auto"/>
                <w:szCs w:val="16"/>
              </w:rPr>
            </w:pPr>
            <w:r w:rsidRPr="00DE108C">
              <w:rPr>
                <w:rFonts w:cstheme="minorBidi"/>
                <w:b/>
                <w:bCs/>
                <w:color w:val="auto"/>
                <w:szCs w:val="16"/>
              </w:rPr>
              <w:t>Reasons for delay</w:t>
            </w:r>
          </w:p>
          <w:p w14:paraId="307EC328" w14:textId="77777777" w:rsidR="002D42C1" w:rsidRPr="00DE108C" w:rsidRDefault="002D42C1">
            <w:pPr>
              <w:pStyle w:val="TableText"/>
              <w:spacing w:line="240" w:lineRule="auto"/>
              <w:rPr>
                <w:rFonts w:cstheme="minorBidi"/>
                <w:color w:val="auto"/>
                <w:szCs w:val="16"/>
              </w:rPr>
            </w:pPr>
            <w:r w:rsidRPr="00DE108C">
              <w:rPr>
                <w:rFonts w:cstheme="minorBidi"/>
                <w:color w:val="auto"/>
                <w:szCs w:val="16"/>
              </w:rPr>
              <w:t xml:space="preserve">The project has been delayed whilst the project is developed further and costs are refined. </w:t>
            </w:r>
          </w:p>
          <w:p w14:paraId="0A11AA0E" w14:textId="77777777" w:rsidR="002D42C1" w:rsidRPr="00DE108C" w:rsidRDefault="002D42C1">
            <w:pPr>
              <w:pStyle w:val="TableText"/>
              <w:spacing w:line="240" w:lineRule="auto"/>
              <w:rPr>
                <w:rFonts w:cstheme="minorBidi"/>
                <w:color w:val="auto"/>
                <w:szCs w:val="16"/>
              </w:rPr>
            </w:pPr>
          </w:p>
          <w:p w14:paraId="62B58A5D" w14:textId="77777777" w:rsidR="002D42C1" w:rsidRPr="00DE108C" w:rsidRDefault="002D42C1">
            <w:pPr>
              <w:pStyle w:val="TableText"/>
              <w:spacing w:line="240" w:lineRule="auto"/>
              <w:rPr>
                <w:rFonts w:cstheme="minorBidi"/>
                <w:color w:val="auto"/>
                <w:szCs w:val="16"/>
              </w:rPr>
            </w:pPr>
            <w:r w:rsidRPr="00DE108C">
              <w:rPr>
                <w:rFonts w:cstheme="minorBidi"/>
                <w:b/>
                <w:bCs/>
                <w:color w:val="auto"/>
                <w:szCs w:val="16"/>
              </w:rPr>
              <w:t>Impact to customers and community</w:t>
            </w:r>
          </w:p>
          <w:p w14:paraId="2317F90F" w14:textId="1C4F0B0C" w:rsidR="002D42C1" w:rsidRPr="00DE108C" w:rsidRDefault="002D42C1" w:rsidP="7CA51BFC">
            <w:pPr>
              <w:pStyle w:val="TableText"/>
              <w:spacing w:line="240" w:lineRule="auto"/>
              <w:rPr>
                <w:rFonts w:cstheme="minorBidi"/>
                <w:color w:val="auto"/>
              </w:rPr>
            </w:pPr>
            <w:r w:rsidRPr="00DE108C">
              <w:rPr>
                <w:rFonts w:cstheme="minorBidi"/>
                <w:color w:val="auto"/>
              </w:rPr>
              <w:t>The project improves the waterway health via nitrogen removal from the wetland. The project delay has delayed realisation of the project benefits.</w:t>
            </w:r>
          </w:p>
        </w:tc>
      </w:tr>
    </w:tbl>
    <w:p w14:paraId="33A40D8F" w14:textId="77777777" w:rsidR="002D42C1" w:rsidRPr="00DE108C" w:rsidRDefault="002D42C1"/>
    <w:p w14:paraId="37A8EBA9" w14:textId="77777777" w:rsidR="002D42C1" w:rsidRPr="00DE108C" w:rsidRDefault="002D42C1">
      <w:r w:rsidRPr="00DE108C">
        <w:br w:type="page"/>
      </w:r>
    </w:p>
    <w:p w14:paraId="66657B86" w14:textId="77777777" w:rsidR="002D42C1" w:rsidRPr="00DE108C" w:rsidRDefault="002D42C1" w:rsidP="00ED094E">
      <w:pPr>
        <w:pStyle w:val="Heading1"/>
      </w:pPr>
      <w:bookmarkStart w:id="1301" w:name="_Toc207892953"/>
      <w:bookmarkStart w:id="1302" w:name="_Toc207853446"/>
      <w:bookmarkStart w:id="1303" w:name="_Toc210229050"/>
      <w:r w:rsidRPr="00DE108C">
        <w:lastRenderedPageBreak/>
        <w:t>Appendix D: Guaranteed Service Levels proposal</w:t>
      </w:r>
      <w:bookmarkStart w:id="1304" w:name="_Hlk204871960"/>
      <w:bookmarkEnd w:id="1301"/>
      <w:bookmarkEnd w:id="1302"/>
      <w:bookmarkEnd w:id="1303"/>
    </w:p>
    <w:p w14:paraId="5E40A84F" w14:textId="77777777" w:rsidR="002D42C1" w:rsidRPr="00DE108C" w:rsidRDefault="002D42C1" w:rsidP="00ED094E">
      <w:r w:rsidRPr="00DE108C">
        <w:t xml:space="preserve">Melbourne Water is committed to providing high standards of service. We’ve engaged with water corporations on the Guaranteed Service Level (GSL) scheme that has been in place during the 2021-26 regulatory period, which recognises that occasionally, Melbourne Water is the cause of a water corporation breaching one of its GSLs. Melbourne Water commits to compensating the water corporation for the rebate amount to its end customers in these cases, as well as a contribution towards administration or contact centre costs as a result of the breach. </w:t>
      </w:r>
    </w:p>
    <w:p w14:paraId="7185B65D" w14:textId="37605A1D" w:rsidR="002D42C1" w:rsidRPr="00DE108C" w:rsidRDefault="002D42C1" w:rsidP="00ED094E">
      <w:r w:rsidRPr="00DE108C">
        <w:t xml:space="preserve">Feedback from the water corporations has been that we should continue with our current GSLs, extend the scheme to include regional water corporations if a Melbourne Water issue results in them paying out a rebate, and introduce a new GSL around water quality, which they would also incorporate into their GSL schemes. </w:t>
      </w:r>
    </w:p>
    <w:p w14:paraId="31B1FB8E" w14:textId="77777777" w:rsidR="002D42C1" w:rsidRPr="00DE108C" w:rsidRDefault="002D42C1" w:rsidP="00ED094E">
      <w:r w:rsidRPr="00DE108C">
        <w:t xml:space="preserve">The following principles for allocation of rebates to customers where Melbourne Water is the cause have been used to prepare our GSLs: </w:t>
      </w:r>
    </w:p>
    <w:p w14:paraId="140C5479" w14:textId="38C66CB4" w:rsidR="002D42C1" w:rsidRPr="00DE108C" w:rsidRDefault="002D42C1" w:rsidP="00D47245">
      <w:pPr>
        <w:pStyle w:val="ListBullet"/>
      </w:pPr>
      <w:r w:rsidRPr="00DE108C">
        <w:t xml:space="preserve">GSLs should be passed ultimately to the end customer or otherwise impacted parties. Therefore, most are simply reimbursing </w:t>
      </w:r>
      <w:r w:rsidR="00FB646F" w:rsidRPr="00FB646F">
        <w:t xml:space="preserve">metropolitan water corporation </w:t>
      </w:r>
      <w:r w:rsidRPr="00DE108C">
        <w:t xml:space="preserve">out of pockets for paying out GSLs, where Melbourne Water has caused the impact, with the remainder being some form of recompense for heightened call centre and administrative costs at water corporations for unplanned events (including where minimum notice periods for planned events not met) </w:t>
      </w:r>
    </w:p>
    <w:p w14:paraId="38117049" w14:textId="0B2A167F" w:rsidR="002D42C1" w:rsidRPr="00DE108C" w:rsidRDefault="00FB646F" w:rsidP="00D47245">
      <w:pPr>
        <w:pStyle w:val="ListBullet"/>
      </w:pPr>
      <w:r>
        <w:t>metropolitan water corporations</w:t>
      </w:r>
      <w:r w:rsidR="002D42C1" w:rsidRPr="00DE108C">
        <w:t xml:space="preserve"> should not be out of pocket where an issue is caused by Melbourne Water</w:t>
      </w:r>
    </w:p>
    <w:p w14:paraId="100D818E" w14:textId="77777777" w:rsidR="002D42C1" w:rsidRPr="00DE108C" w:rsidRDefault="002D42C1" w:rsidP="00D47245">
      <w:pPr>
        <w:pStyle w:val="ListBullet"/>
      </w:pPr>
      <w:r w:rsidRPr="00DE108C">
        <w:t xml:space="preserve">consistency between water corporations where possible – with deviation from this relates to slightly different rebate values and trigger thresholds </w:t>
      </w:r>
    </w:p>
    <w:p w14:paraId="712FE0AD" w14:textId="77777777" w:rsidR="002D42C1" w:rsidRPr="00DE108C" w:rsidRDefault="002D42C1" w:rsidP="00D47245">
      <w:pPr>
        <w:pStyle w:val="ListBullet"/>
      </w:pPr>
      <w:r w:rsidRPr="00DE108C">
        <w:t xml:space="preserve">any payment to end retail customer because of Melbourne Water breaching a GSL would be made by the water corporation to their customer </w:t>
      </w:r>
    </w:p>
    <w:p w14:paraId="54CB409C" w14:textId="77777777" w:rsidR="002D42C1" w:rsidRPr="00DE108C" w:rsidRDefault="002D42C1" w:rsidP="00D47245">
      <w:pPr>
        <w:pStyle w:val="ListBullet"/>
      </w:pPr>
      <w:r w:rsidRPr="00DE108C">
        <w:t xml:space="preserve">keep the GSLs as simple as possible to measure and administer </w:t>
      </w:r>
    </w:p>
    <w:p w14:paraId="147A92F1" w14:textId="77777777" w:rsidR="002D42C1" w:rsidRPr="00DE108C" w:rsidRDefault="002D42C1" w:rsidP="00D47245">
      <w:pPr>
        <w:pStyle w:val="ListBullet"/>
      </w:pPr>
      <w:r w:rsidRPr="00DE108C">
        <w:t>utilise existing systems where possible</w:t>
      </w:r>
    </w:p>
    <w:p w14:paraId="3D63DB1A" w14:textId="0FEA4CF5" w:rsidR="002D42C1" w:rsidRPr="00DE108C" w:rsidRDefault="002D42C1" w:rsidP="00D47245">
      <w:pPr>
        <w:pStyle w:val="ListBullet"/>
      </w:pPr>
      <w:r w:rsidRPr="00DE108C">
        <w:t xml:space="preserve">Melbourne Water recognises that from time to time there are significant events </w:t>
      </w:r>
      <w:r w:rsidR="3CA407A4">
        <w:t>that</w:t>
      </w:r>
      <w:r w:rsidRPr="00DE108C">
        <w:t xml:space="preserve"> would require additional consideration, such as the wide-scale Silvan incident (while these are infrequent, they are highly variable in nature and impact, therefore, our submission to the ESC includes provision for bespoke reimbursement for such major incidents).</w:t>
      </w:r>
    </w:p>
    <w:p w14:paraId="3AD94D16" w14:textId="77777777" w:rsidR="002D42C1" w:rsidRPr="00DE108C" w:rsidRDefault="002D42C1" w:rsidP="00ED094E">
      <w:r w:rsidRPr="00DE108C">
        <w:t xml:space="preserve">Our GSL scheme is summarised against the following two categories and shown in Table D.1: </w:t>
      </w:r>
    </w:p>
    <w:p w14:paraId="3D6F1A43" w14:textId="77777777" w:rsidR="002D42C1" w:rsidRPr="00DE108C" w:rsidRDefault="002D42C1" w:rsidP="00D47245">
      <w:pPr>
        <w:pStyle w:val="ListBullet"/>
      </w:pPr>
      <w:r w:rsidRPr="00DE108C">
        <w:t>back-to-back abatements to water corporations’ customers</w:t>
      </w:r>
    </w:p>
    <w:p w14:paraId="6A4F4AF0" w14:textId="77777777" w:rsidR="002D42C1" w:rsidRPr="00DE108C" w:rsidRDefault="002D42C1" w:rsidP="00D47245">
      <w:pPr>
        <w:pStyle w:val="ListBullet"/>
      </w:pPr>
      <w:r w:rsidRPr="00DE108C">
        <w:t>additional direct water corporation compensation.</w:t>
      </w:r>
    </w:p>
    <w:p w14:paraId="7EFAC7C7" w14:textId="77777777" w:rsidR="002D42C1" w:rsidRPr="00DE108C" w:rsidRDefault="002D42C1" w:rsidP="00ED094E">
      <w:pPr>
        <w:rPr>
          <w:sz w:val="22"/>
          <w:szCs w:val="22"/>
        </w:rPr>
      </w:pPr>
    </w:p>
    <w:p w14:paraId="75CF2163" w14:textId="77777777" w:rsidR="002D42C1" w:rsidRPr="00DE108C" w:rsidRDefault="002D42C1" w:rsidP="00ED094E">
      <w:pPr>
        <w:sectPr w:rsidR="002D42C1" w:rsidRPr="00DE108C" w:rsidSect="002D42C1">
          <w:headerReference w:type="even" r:id="rId133"/>
          <w:headerReference w:type="default" r:id="rId134"/>
          <w:footerReference w:type="even" r:id="rId135"/>
          <w:footerReference w:type="default" r:id="rId136"/>
          <w:headerReference w:type="first" r:id="rId137"/>
          <w:footerReference w:type="first" r:id="rId138"/>
          <w:pgSz w:w="11906" w:h="16838" w:code="9"/>
          <w:pgMar w:top="1134" w:right="1134" w:bottom="1134" w:left="1134" w:header="567" w:footer="680" w:gutter="0"/>
          <w:cols w:space="708"/>
          <w:docGrid w:linePitch="360"/>
        </w:sectPr>
      </w:pPr>
      <w:r w:rsidRPr="00DE108C">
        <w:rPr>
          <w:sz w:val="22"/>
          <w:szCs w:val="22"/>
        </w:rPr>
        <w:br w:type="page"/>
      </w:r>
    </w:p>
    <w:p w14:paraId="2640DC29" w14:textId="77777777" w:rsidR="002D42C1" w:rsidRPr="00DE108C" w:rsidRDefault="002D42C1" w:rsidP="00ED094E"/>
    <w:p w14:paraId="214ADADA" w14:textId="77777777" w:rsidR="002D42C1" w:rsidRPr="00DE108C" w:rsidRDefault="002D42C1" w:rsidP="00ED094E">
      <w:pPr>
        <w:pStyle w:val="Caption"/>
      </w:pPr>
      <w:bookmarkStart w:id="1305" w:name="_Toc207893133"/>
      <w:bookmarkStart w:id="1306" w:name="_Toc208490657"/>
      <w:bookmarkStart w:id="1307" w:name="_Toc208490995"/>
      <w:bookmarkStart w:id="1308" w:name="_Toc208911153"/>
      <w:bookmarkStart w:id="1309" w:name="_Toc210051459"/>
      <w:bookmarkEnd w:id="1304"/>
      <w:r w:rsidRPr="00DE108C">
        <w:t>Table D.1: Proposed Guaranteed Service Level scheme</w:t>
      </w:r>
      <w:bookmarkEnd w:id="1305"/>
      <w:bookmarkEnd w:id="1306"/>
      <w:bookmarkEnd w:id="1307"/>
      <w:bookmarkEnd w:id="1308"/>
      <w:bookmarkEnd w:id="1309"/>
    </w:p>
    <w:tbl>
      <w:tblPr>
        <w:tblStyle w:val="MWTableGrid"/>
        <w:tblW w:w="5000" w:type="pct"/>
        <w:tblLook w:val="0420" w:firstRow="1" w:lastRow="0" w:firstColumn="0" w:lastColumn="0" w:noHBand="0" w:noVBand="1"/>
      </w:tblPr>
      <w:tblGrid>
        <w:gridCol w:w="1875"/>
        <w:gridCol w:w="2033"/>
        <w:gridCol w:w="2513"/>
        <w:gridCol w:w="2606"/>
        <w:gridCol w:w="3058"/>
        <w:gridCol w:w="2475"/>
      </w:tblGrid>
      <w:tr w:rsidR="00556A0D" w:rsidRPr="00DE108C" w14:paraId="46A4B785" w14:textId="77777777" w:rsidTr="00A42079">
        <w:trPr>
          <w:cnfStyle w:val="100000000000" w:firstRow="1" w:lastRow="0" w:firstColumn="0" w:lastColumn="0" w:oddVBand="0" w:evenVBand="0" w:oddHBand="0" w:evenHBand="0" w:firstRowFirstColumn="0" w:firstRowLastColumn="0" w:lastRowFirstColumn="0" w:lastRowLastColumn="0"/>
          <w:trHeight w:val="298"/>
        </w:trPr>
        <w:tc>
          <w:tcPr>
            <w:tcW w:w="644" w:type="pct"/>
            <w:vAlign w:val="center"/>
            <w:hideMark/>
          </w:tcPr>
          <w:p w14:paraId="44E7F5AA" w14:textId="77777777" w:rsidR="002D42C1" w:rsidRPr="00D47245" w:rsidRDefault="002D42C1" w:rsidP="00A42079">
            <w:pPr>
              <w:rPr>
                <w:color w:val="FFFFFF" w:themeColor="background1"/>
                <w:sz w:val="16"/>
                <w:szCs w:val="16"/>
              </w:rPr>
            </w:pPr>
            <w:r w:rsidRPr="00D47245">
              <w:rPr>
                <w:b/>
                <w:color w:val="FFFFFF" w:themeColor="background1"/>
                <w:sz w:val="16"/>
                <w:szCs w:val="16"/>
              </w:rPr>
              <w:t>Category</w:t>
            </w:r>
          </w:p>
        </w:tc>
        <w:tc>
          <w:tcPr>
            <w:tcW w:w="698" w:type="pct"/>
            <w:vAlign w:val="center"/>
            <w:hideMark/>
          </w:tcPr>
          <w:p w14:paraId="11C8464A" w14:textId="77777777" w:rsidR="002D42C1" w:rsidRPr="00D47245" w:rsidRDefault="002D42C1" w:rsidP="00A42079">
            <w:pPr>
              <w:rPr>
                <w:color w:val="FFFFFF" w:themeColor="background1"/>
                <w:sz w:val="16"/>
                <w:szCs w:val="16"/>
              </w:rPr>
            </w:pPr>
            <w:r w:rsidRPr="00D47245">
              <w:rPr>
                <w:b/>
                <w:color w:val="FFFFFF" w:themeColor="background1"/>
                <w:sz w:val="16"/>
                <w:szCs w:val="16"/>
              </w:rPr>
              <w:t>GSL</w:t>
            </w:r>
          </w:p>
        </w:tc>
        <w:tc>
          <w:tcPr>
            <w:tcW w:w="863" w:type="pct"/>
            <w:vAlign w:val="center"/>
            <w:hideMark/>
          </w:tcPr>
          <w:p w14:paraId="4B3D3BF4" w14:textId="77777777" w:rsidR="002D42C1" w:rsidRPr="00D47245" w:rsidRDefault="002D42C1" w:rsidP="00A42079">
            <w:pPr>
              <w:rPr>
                <w:color w:val="FFFFFF" w:themeColor="background1"/>
                <w:sz w:val="16"/>
                <w:szCs w:val="16"/>
              </w:rPr>
            </w:pPr>
            <w:r w:rsidRPr="00D47245">
              <w:rPr>
                <w:b/>
                <w:color w:val="FFFFFF" w:themeColor="background1"/>
                <w:sz w:val="16"/>
                <w:szCs w:val="16"/>
              </w:rPr>
              <w:t>GWW*</w:t>
            </w:r>
          </w:p>
        </w:tc>
        <w:tc>
          <w:tcPr>
            <w:tcW w:w="895" w:type="pct"/>
            <w:vAlign w:val="center"/>
            <w:hideMark/>
          </w:tcPr>
          <w:p w14:paraId="0731ECE4" w14:textId="77777777" w:rsidR="002D42C1" w:rsidRPr="00D47245" w:rsidRDefault="002D42C1" w:rsidP="00A42079">
            <w:pPr>
              <w:rPr>
                <w:color w:val="FFFFFF" w:themeColor="background1"/>
                <w:sz w:val="16"/>
                <w:szCs w:val="16"/>
              </w:rPr>
            </w:pPr>
            <w:r w:rsidRPr="00D47245">
              <w:rPr>
                <w:b/>
                <w:color w:val="FFFFFF" w:themeColor="background1"/>
                <w:sz w:val="16"/>
                <w:szCs w:val="16"/>
              </w:rPr>
              <w:t>SEW</w:t>
            </w:r>
          </w:p>
        </w:tc>
        <w:tc>
          <w:tcPr>
            <w:tcW w:w="1050" w:type="pct"/>
            <w:vAlign w:val="center"/>
            <w:hideMark/>
          </w:tcPr>
          <w:p w14:paraId="215993DD" w14:textId="77777777" w:rsidR="002D42C1" w:rsidRPr="00D47245" w:rsidRDefault="002D42C1" w:rsidP="00A42079">
            <w:pPr>
              <w:rPr>
                <w:color w:val="FFFFFF" w:themeColor="background1"/>
                <w:sz w:val="16"/>
                <w:szCs w:val="16"/>
              </w:rPr>
            </w:pPr>
            <w:r w:rsidRPr="00D47245">
              <w:rPr>
                <w:b/>
                <w:color w:val="FFFFFF" w:themeColor="background1"/>
                <w:sz w:val="16"/>
                <w:szCs w:val="16"/>
              </w:rPr>
              <w:t>YVW</w:t>
            </w:r>
          </w:p>
        </w:tc>
        <w:tc>
          <w:tcPr>
            <w:tcW w:w="850" w:type="pct"/>
            <w:vAlign w:val="center"/>
          </w:tcPr>
          <w:p w14:paraId="048A3F22" w14:textId="066DDA1D" w:rsidR="002D42C1" w:rsidRPr="00D47245" w:rsidRDefault="002D42C1" w:rsidP="00A42079">
            <w:pPr>
              <w:rPr>
                <w:b/>
                <w:color w:val="FFFFFF" w:themeColor="background1"/>
                <w:sz w:val="16"/>
                <w:szCs w:val="16"/>
              </w:rPr>
            </w:pPr>
            <w:r w:rsidRPr="00D47245">
              <w:rPr>
                <w:b/>
                <w:color w:val="FFFFFF" w:themeColor="background1"/>
                <w:sz w:val="16"/>
                <w:szCs w:val="16"/>
              </w:rPr>
              <w:t>Other connected water corporations</w:t>
            </w:r>
          </w:p>
        </w:tc>
      </w:tr>
      <w:tr w:rsidR="002D42C1" w:rsidRPr="00DE108C" w14:paraId="45469081" w14:textId="77777777" w:rsidTr="00ED094E">
        <w:trPr>
          <w:trHeight w:val="2535"/>
        </w:trPr>
        <w:tc>
          <w:tcPr>
            <w:tcW w:w="644" w:type="pct"/>
            <w:vMerge w:val="restart"/>
          </w:tcPr>
          <w:p w14:paraId="38213DB0" w14:textId="77777777" w:rsidR="002D42C1" w:rsidRPr="00D47245" w:rsidRDefault="002D42C1" w:rsidP="00ED094E">
            <w:pPr>
              <w:rPr>
                <w:sz w:val="16"/>
                <w:szCs w:val="16"/>
              </w:rPr>
            </w:pPr>
            <w:r w:rsidRPr="00D47245">
              <w:rPr>
                <w:sz w:val="16"/>
                <w:szCs w:val="16"/>
              </w:rPr>
              <w:t xml:space="preserve">Back-to-back abatements to water corporations </w:t>
            </w:r>
          </w:p>
          <w:p w14:paraId="6E4850A4" w14:textId="77777777" w:rsidR="002D42C1" w:rsidRPr="00D47245" w:rsidRDefault="002D42C1" w:rsidP="00ED094E">
            <w:pPr>
              <w:rPr>
                <w:sz w:val="16"/>
                <w:szCs w:val="16"/>
              </w:rPr>
            </w:pPr>
          </w:p>
          <w:p w14:paraId="674A9D42" w14:textId="77777777" w:rsidR="002D42C1" w:rsidRPr="00D47245" w:rsidRDefault="002D42C1" w:rsidP="00ED094E">
            <w:pPr>
              <w:rPr>
                <w:sz w:val="16"/>
                <w:szCs w:val="16"/>
              </w:rPr>
            </w:pPr>
          </w:p>
        </w:tc>
        <w:tc>
          <w:tcPr>
            <w:tcW w:w="698" w:type="pct"/>
          </w:tcPr>
          <w:p w14:paraId="347FEC95" w14:textId="77777777" w:rsidR="002D42C1" w:rsidRPr="00D47245" w:rsidRDefault="002D42C1" w:rsidP="00ED094E">
            <w:pPr>
              <w:rPr>
                <w:sz w:val="16"/>
                <w:szCs w:val="16"/>
              </w:rPr>
            </w:pPr>
            <w:r w:rsidRPr="00D47245">
              <w:rPr>
                <w:sz w:val="16"/>
                <w:szCs w:val="16"/>
              </w:rPr>
              <w:t>Unplanned water quality</w:t>
            </w:r>
          </w:p>
          <w:p w14:paraId="2AA3D06B" w14:textId="77777777" w:rsidR="002D42C1" w:rsidRPr="00D47245" w:rsidRDefault="002D42C1" w:rsidP="00ED094E">
            <w:pPr>
              <w:rPr>
                <w:sz w:val="16"/>
                <w:szCs w:val="16"/>
              </w:rPr>
            </w:pPr>
          </w:p>
        </w:tc>
        <w:tc>
          <w:tcPr>
            <w:tcW w:w="3658" w:type="pct"/>
            <w:gridSpan w:val="4"/>
          </w:tcPr>
          <w:p w14:paraId="697F6CDD" w14:textId="77777777" w:rsidR="002D42C1" w:rsidRPr="00D47245" w:rsidRDefault="002D42C1" w:rsidP="00FB646F">
            <w:pPr>
              <w:pStyle w:val="Tablebullet"/>
            </w:pPr>
            <w:r w:rsidRPr="00D47245">
              <w:t>If a precautionary drinking water advisory is issued due to a potential issue with drinking water supplied by Melbourne Water:</w:t>
            </w:r>
          </w:p>
          <w:p w14:paraId="58804BE0" w14:textId="67B6EAEB" w:rsidR="002D42C1" w:rsidRPr="00D47245" w:rsidRDefault="002D42C1" w:rsidP="00FB646F">
            <w:pPr>
              <w:pStyle w:val="Tablebullet2"/>
            </w:pPr>
            <w:r w:rsidRPr="00D47245">
              <w:t xml:space="preserve">Bottled water reimbursement to </w:t>
            </w:r>
            <w:r w:rsidR="00FB646F">
              <w:t>metropolitan water corporation</w:t>
            </w:r>
            <w:r w:rsidRPr="00D47245">
              <w:t xml:space="preserve"> customers (on application)</w:t>
            </w:r>
          </w:p>
          <w:p w14:paraId="4CEBB84D" w14:textId="27BF4187" w:rsidR="002D42C1" w:rsidRPr="00D47245" w:rsidRDefault="002D42C1" w:rsidP="00FB646F">
            <w:pPr>
              <w:pStyle w:val="Tablebullet2"/>
            </w:pPr>
            <w:r w:rsidRPr="00D47245">
              <w:t xml:space="preserve">Reimbursement of </w:t>
            </w:r>
            <w:r w:rsidR="00E7119E">
              <w:t>metropolitan water corporation</w:t>
            </w:r>
            <w:r w:rsidRPr="00D47245">
              <w:t xml:space="preserve"> incident administration costs</w:t>
            </w:r>
          </w:p>
          <w:p w14:paraId="0A0A3958" w14:textId="3F7DB0D1" w:rsidR="002D42C1" w:rsidRPr="00D47245" w:rsidRDefault="002D42C1" w:rsidP="00FB646F">
            <w:pPr>
              <w:pStyle w:val="Tablebullet"/>
            </w:pPr>
            <w:r w:rsidRPr="00D47245">
              <w:t xml:space="preserve">Matching </w:t>
            </w:r>
            <w:r w:rsidR="00E7119E">
              <w:t>metropolitan water corporation</w:t>
            </w:r>
            <w:r w:rsidRPr="00D47245">
              <w:t xml:space="preserve"> GSL rebate, up to $75 rebate per property if drinking water supplied does not meet the microbial characteristics of health-based drinking water quality standards</w:t>
            </w:r>
            <w:r w:rsidRPr="00D47245">
              <w:rPr>
                <w:vertAlign w:val="superscript"/>
              </w:rPr>
              <w:t>1</w:t>
            </w:r>
            <w:r w:rsidRPr="00D47245">
              <w:t>, and Melbourne Water, or a failure in Melbourne Water’s system, caused the non-compliance</w:t>
            </w:r>
            <w:r w:rsidRPr="00D47245">
              <w:rPr>
                <w:vertAlign w:val="superscript"/>
              </w:rPr>
              <w:t>2</w:t>
            </w:r>
            <w:r w:rsidRPr="00D47245">
              <w:t>.</w:t>
            </w:r>
          </w:p>
        </w:tc>
      </w:tr>
      <w:tr w:rsidR="00087FD3" w:rsidRPr="00DE108C" w14:paraId="581F6FD9" w14:textId="77777777" w:rsidTr="7CA51BFC">
        <w:trPr>
          <w:cnfStyle w:val="000000010000" w:firstRow="0" w:lastRow="0" w:firstColumn="0" w:lastColumn="0" w:oddVBand="0" w:evenVBand="0" w:oddHBand="0" w:evenHBand="1" w:firstRowFirstColumn="0" w:firstRowLastColumn="0" w:lastRowFirstColumn="0" w:lastRowLastColumn="0"/>
        </w:trPr>
        <w:tc>
          <w:tcPr>
            <w:tcW w:w="644" w:type="pct"/>
            <w:vMerge/>
            <w:hideMark/>
          </w:tcPr>
          <w:p w14:paraId="3F226CCB" w14:textId="77777777" w:rsidR="002D42C1" w:rsidRPr="00D47245" w:rsidRDefault="002D42C1" w:rsidP="00ED094E">
            <w:pPr>
              <w:rPr>
                <w:sz w:val="16"/>
                <w:szCs w:val="16"/>
              </w:rPr>
            </w:pPr>
          </w:p>
        </w:tc>
        <w:tc>
          <w:tcPr>
            <w:tcW w:w="698" w:type="pct"/>
            <w:hideMark/>
          </w:tcPr>
          <w:p w14:paraId="26B48FF9" w14:textId="77777777" w:rsidR="002D42C1" w:rsidRPr="00D47245" w:rsidRDefault="002D42C1" w:rsidP="00ED094E">
            <w:pPr>
              <w:rPr>
                <w:sz w:val="16"/>
                <w:szCs w:val="16"/>
              </w:rPr>
            </w:pPr>
            <w:r w:rsidRPr="00D47245">
              <w:rPr>
                <w:sz w:val="16"/>
                <w:szCs w:val="16"/>
              </w:rPr>
              <w:t>Unplanned water service interruption </w:t>
            </w:r>
          </w:p>
        </w:tc>
        <w:tc>
          <w:tcPr>
            <w:tcW w:w="863" w:type="pct"/>
            <w:hideMark/>
          </w:tcPr>
          <w:p w14:paraId="78041055" w14:textId="77777777" w:rsidR="002D42C1" w:rsidRPr="00D47245" w:rsidRDefault="002D42C1" w:rsidP="00FB646F">
            <w:pPr>
              <w:pStyle w:val="Tablebullet"/>
            </w:pPr>
            <w:r w:rsidRPr="00D47245">
              <w:t xml:space="preserve">$250 rebate for more than 5 unplanned interruptions per year, $125 for more than 3 </w:t>
            </w:r>
          </w:p>
          <w:p w14:paraId="4EF374A7" w14:textId="77777777" w:rsidR="002D42C1" w:rsidRPr="00D47245" w:rsidRDefault="002D42C1" w:rsidP="00FB646F">
            <w:pPr>
              <w:pStyle w:val="Tablebullet"/>
            </w:pPr>
            <w:r w:rsidRPr="00D47245">
              <w:t xml:space="preserve">$125 water service unplanned disruption not resolved within 5 hours of notification </w:t>
            </w:r>
          </w:p>
        </w:tc>
        <w:tc>
          <w:tcPr>
            <w:tcW w:w="895" w:type="pct"/>
            <w:hideMark/>
          </w:tcPr>
          <w:p w14:paraId="6CCF1A89" w14:textId="2C866816" w:rsidR="002D42C1" w:rsidRPr="00D47245" w:rsidRDefault="002D42C1" w:rsidP="00FB646F">
            <w:pPr>
              <w:pStyle w:val="Tablebullet"/>
            </w:pPr>
            <w:r w:rsidRPr="00D47245">
              <w:t>$60 rebate for more than 5 interruptions (water, sewer and water quality) per year, or unplanned interruption longer than 5 hours to resolve.</w:t>
            </w:r>
          </w:p>
        </w:tc>
        <w:tc>
          <w:tcPr>
            <w:tcW w:w="1050" w:type="pct"/>
            <w:hideMark/>
          </w:tcPr>
          <w:p w14:paraId="6039DAE0" w14:textId="77777777" w:rsidR="002D42C1" w:rsidRPr="00D47245" w:rsidRDefault="002D42C1" w:rsidP="00FB646F">
            <w:pPr>
              <w:pStyle w:val="Tablebullet"/>
            </w:pPr>
            <w:r w:rsidRPr="00D47245">
              <w:t>$50 for more than 4 hours unplanned event.</w:t>
            </w:r>
          </w:p>
          <w:p w14:paraId="268EACCD" w14:textId="77777777" w:rsidR="002D42C1" w:rsidRPr="00D47245" w:rsidRDefault="002D42C1" w:rsidP="00FB646F">
            <w:pPr>
              <w:pStyle w:val="Tablebullet"/>
            </w:pPr>
            <w:r w:rsidRPr="00D47245">
              <w:t>$100 for more than 12 hours unplanned event.</w:t>
            </w:r>
          </w:p>
          <w:p w14:paraId="4A87FDC1" w14:textId="77777777" w:rsidR="002D42C1" w:rsidRPr="00D47245" w:rsidRDefault="002D42C1" w:rsidP="00FB646F">
            <w:pPr>
              <w:pStyle w:val="Tablebullet"/>
            </w:pPr>
            <w:r w:rsidRPr="00D47245">
              <w:t>$50 for 3 or more unplanned events 12 months (rolling 12 months)</w:t>
            </w:r>
          </w:p>
        </w:tc>
        <w:tc>
          <w:tcPr>
            <w:tcW w:w="850" w:type="pct"/>
          </w:tcPr>
          <w:p w14:paraId="5E1EA150" w14:textId="77777777" w:rsidR="002D42C1" w:rsidRPr="00D47245" w:rsidRDefault="002D42C1" w:rsidP="00FB646F">
            <w:pPr>
              <w:pStyle w:val="Tablebullet"/>
            </w:pPr>
            <w:r w:rsidRPr="00D47245">
              <w:t>As per corporation GSL scheme</w:t>
            </w:r>
          </w:p>
        </w:tc>
      </w:tr>
      <w:tr w:rsidR="002D42C1" w:rsidRPr="00DE108C" w14:paraId="492E6907" w14:textId="77777777" w:rsidTr="00ED094E">
        <w:trPr>
          <w:trHeight w:val="584"/>
        </w:trPr>
        <w:tc>
          <w:tcPr>
            <w:tcW w:w="644" w:type="pct"/>
            <w:vMerge/>
            <w:hideMark/>
          </w:tcPr>
          <w:p w14:paraId="4912C65A" w14:textId="77777777" w:rsidR="002D42C1" w:rsidRPr="00D47245" w:rsidRDefault="002D42C1" w:rsidP="00ED094E">
            <w:pPr>
              <w:rPr>
                <w:sz w:val="16"/>
                <w:szCs w:val="16"/>
              </w:rPr>
            </w:pPr>
          </w:p>
        </w:tc>
        <w:tc>
          <w:tcPr>
            <w:tcW w:w="698" w:type="pct"/>
            <w:hideMark/>
          </w:tcPr>
          <w:p w14:paraId="70504176" w14:textId="77777777" w:rsidR="002D42C1" w:rsidRPr="00D47245" w:rsidRDefault="002D42C1" w:rsidP="00ED094E">
            <w:pPr>
              <w:rPr>
                <w:sz w:val="16"/>
                <w:szCs w:val="16"/>
              </w:rPr>
            </w:pPr>
            <w:r w:rsidRPr="00D47245">
              <w:rPr>
                <w:sz w:val="16"/>
                <w:szCs w:val="16"/>
              </w:rPr>
              <w:t>Unplanned sewer service interruption </w:t>
            </w:r>
          </w:p>
        </w:tc>
        <w:tc>
          <w:tcPr>
            <w:tcW w:w="863" w:type="pct"/>
            <w:hideMark/>
          </w:tcPr>
          <w:p w14:paraId="51EC32BE" w14:textId="77777777" w:rsidR="002D42C1" w:rsidRPr="00D47245" w:rsidRDefault="002D42C1" w:rsidP="00FB646F">
            <w:pPr>
              <w:pStyle w:val="Tablebullet"/>
            </w:pPr>
            <w:r w:rsidRPr="00D47245">
              <w:t>$125 more than 3 sewer blockages in a year</w:t>
            </w:r>
          </w:p>
          <w:p w14:paraId="6D638BFF" w14:textId="77777777" w:rsidR="002D42C1" w:rsidRPr="00D47245" w:rsidRDefault="002D42C1" w:rsidP="00FB646F">
            <w:pPr>
              <w:pStyle w:val="Tablebullet"/>
            </w:pPr>
            <w:r w:rsidRPr="00D47245">
              <w:t>$100 sewer blockage not resolved within 5 hours of notification</w:t>
            </w:r>
          </w:p>
        </w:tc>
        <w:tc>
          <w:tcPr>
            <w:tcW w:w="895" w:type="pct"/>
            <w:hideMark/>
          </w:tcPr>
          <w:p w14:paraId="1EFEA1D6" w14:textId="77777777" w:rsidR="002D42C1" w:rsidRPr="00D47245" w:rsidRDefault="002D42C1" w:rsidP="00FB646F">
            <w:pPr>
              <w:pStyle w:val="Tablebullet"/>
            </w:pPr>
            <w:r w:rsidRPr="00D47245">
              <w:t>$60 rebate for more than 2 interruptions per year, or unplanned interruption longer than 4 hours to resolve.</w:t>
            </w:r>
          </w:p>
        </w:tc>
        <w:tc>
          <w:tcPr>
            <w:tcW w:w="1050" w:type="pct"/>
            <w:hideMark/>
          </w:tcPr>
          <w:p w14:paraId="29934D4F" w14:textId="77777777" w:rsidR="002D42C1" w:rsidRPr="00D47245" w:rsidRDefault="002D42C1" w:rsidP="00FB646F">
            <w:pPr>
              <w:pStyle w:val="Tablebullet"/>
            </w:pPr>
            <w:r w:rsidRPr="00D47245">
              <w:t>$50 interruption more than 4 hours</w:t>
            </w:r>
          </w:p>
          <w:p w14:paraId="13099CE1" w14:textId="77777777" w:rsidR="002D42C1" w:rsidRPr="00D47245" w:rsidRDefault="002D42C1" w:rsidP="00FB646F">
            <w:pPr>
              <w:pStyle w:val="Tablebullet"/>
            </w:pPr>
            <w:r w:rsidRPr="00D47245">
              <w:t>$100 interruption more than 12 hours</w:t>
            </w:r>
          </w:p>
          <w:p w14:paraId="72D41AA8" w14:textId="77777777" w:rsidR="002D42C1" w:rsidRPr="00D47245" w:rsidRDefault="002D42C1" w:rsidP="00FB646F">
            <w:pPr>
              <w:pStyle w:val="Tablebullet"/>
            </w:pPr>
            <w:r w:rsidRPr="00D47245">
              <w:t>$50 for 3 or more interruptions last 12 months (rolling 12 months)</w:t>
            </w:r>
          </w:p>
        </w:tc>
        <w:tc>
          <w:tcPr>
            <w:tcW w:w="850" w:type="pct"/>
          </w:tcPr>
          <w:p w14:paraId="4E0FA4B4" w14:textId="77777777" w:rsidR="002D42C1" w:rsidRPr="00D47245" w:rsidRDefault="002D42C1" w:rsidP="00F44AC8">
            <w:pPr>
              <w:pStyle w:val="TableText"/>
            </w:pPr>
            <w:r w:rsidRPr="00D47245">
              <w:t>N/A</w:t>
            </w:r>
          </w:p>
        </w:tc>
      </w:tr>
      <w:tr w:rsidR="00087FD3" w:rsidRPr="00DE108C" w14:paraId="3E052A75" w14:textId="77777777" w:rsidTr="7CA51BFC">
        <w:trPr>
          <w:cnfStyle w:val="000000010000" w:firstRow="0" w:lastRow="0" w:firstColumn="0" w:lastColumn="0" w:oddVBand="0" w:evenVBand="0" w:oddHBand="0" w:evenHBand="1" w:firstRowFirstColumn="0" w:firstRowLastColumn="0" w:lastRowFirstColumn="0" w:lastRowLastColumn="0"/>
          <w:trHeight w:val="584"/>
        </w:trPr>
        <w:tc>
          <w:tcPr>
            <w:tcW w:w="644" w:type="pct"/>
            <w:vMerge/>
            <w:hideMark/>
          </w:tcPr>
          <w:p w14:paraId="14801101" w14:textId="77777777" w:rsidR="002D42C1" w:rsidRPr="00D47245" w:rsidRDefault="002D42C1" w:rsidP="00ED094E">
            <w:pPr>
              <w:rPr>
                <w:sz w:val="16"/>
                <w:szCs w:val="16"/>
              </w:rPr>
            </w:pPr>
          </w:p>
        </w:tc>
        <w:tc>
          <w:tcPr>
            <w:tcW w:w="698" w:type="pct"/>
            <w:hideMark/>
          </w:tcPr>
          <w:p w14:paraId="10191694" w14:textId="77777777" w:rsidR="002D42C1" w:rsidRPr="00D47245" w:rsidRDefault="002D42C1" w:rsidP="00ED094E">
            <w:pPr>
              <w:rPr>
                <w:sz w:val="16"/>
                <w:szCs w:val="16"/>
              </w:rPr>
            </w:pPr>
            <w:r w:rsidRPr="00D47245">
              <w:rPr>
                <w:sz w:val="16"/>
                <w:szCs w:val="16"/>
              </w:rPr>
              <w:t>Sewer spill (caused by system failure) </w:t>
            </w:r>
          </w:p>
        </w:tc>
        <w:tc>
          <w:tcPr>
            <w:tcW w:w="863" w:type="pct"/>
            <w:hideMark/>
          </w:tcPr>
          <w:p w14:paraId="2D83DC9F" w14:textId="77777777" w:rsidR="002D42C1" w:rsidRPr="00D47245" w:rsidRDefault="002D42C1" w:rsidP="00FB646F">
            <w:pPr>
              <w:pStyle w:val="Tablebullet"/>
            </w:pPr>
            <w:r w:rsidRPr="00D47245">
              <w:t>$1,200 sewer spill in house</w:t>
            </w:r>
          </w:p>
          <w:p w14:paraId="36B383B9" w14:textId="77777777" w:rsidR="002D42C1" w:rsidRPr="00D47245" w:rsidRDefault="002D42C1" w:rsidP="00FB646F">
            <w:pPr>
              <w:pStyle w:val="Tablebullet"/>
            </w:pPr>
            <w:r w:rsidRPr="00D47245">
              <w:t>$3,500 sewer spill in house not contained within 1 hour</w:t>
            </w:r>
          </w:p>
          <w:p w14:paraId="1FD12062" w14:textId="77777777" w:rsidR="002D42C1" w:rsidRPr="00D47245" w:rsidRDefault="002D42C1" w:rsidP="00FB646F">
            <w:pPr>
              <w:pStyle w:val="Tablebullet"/>
            </w:pPr>
            <w:r w:rsidRPr="00D47245">
              <w:t>$100 sewer spill in property not contained within 5 hours of notification</w:t>
            </w:r>
          </w:p>
        </w:tc>
        <w:tc>
          <w:tcPr>
            <w:tcW w:w="895" w:type="pct"/>
            <w:hideMark/>
          </w:tcPr>
          <w:p w14:paraId="34D410B7" w14:textId="77777777" w:rsidR="002D42C1" w:rsidRPr="00D47245" w:rsidRDefault="002D42C1" w:rsidP="00FB646F">
            <w:pPr>
              <w:pStyle w:val="Tablebullet"/>
            </w:pPr>
            <w:r w:rsidRPr="00D47245">
              <w:t>$1,000 rebate when sewer spill on property takes more than 5 hours to contain.</w:t>
            </w:r>
          </w:p>
          <w:p w14:paraId="46921066" w14:textId="77777777" w:rsidR="002D42C1" w:rsidRPr="00D47245" w:rsidRDefault="002D42C1" w:rsidP="00FB646F">
            <w:pPr>
              <w:pStyle w:val="Tablebullet"/>
            </w:pPr>
            <w:r w:rsidRPr="00D47245">
              <w:t>$3,000 rebate for sewer spill within the house.</w:t>
            </w:r>
          </w:p>
        </w:tc>
        <w:tc>
          <w:tcPr>
            <w:tcW w:w="1050" w:type="pct"/>
            <w:hideMark/>
          </w:tcPr>
          <w:p w14:paraId="6C8C03AD" w14:textId="77777777" w:rsidR="002D42C1" w:rsidRPr="00D47245" w:rsidRDefault="002D42C1" w:rsidP="00FB646F">
            <w:pPr>
              <w:pStyle w:val="Tablebullet"/>
            </w:pPr>
            <w:r w:rsidRPr="00D47245">
              <w:t>$1,000 spill inside property for over one hour</w:t>
            </w:r>
          </w:p>
          <w:p w14:paraId="5275EFE5" w14:textId="77777777" w:rsidR="002D42C1" w:rsidRPr="00D47245" w:rsidRDefault="002D42C1" w:rsidP="00FB646F">
            <w:pPr>
              <w:pStyle w:val="Tablebullet"/>
            </w:pPr>
            <w:r w:rsidRPr="00D47245">
              <w:t>$2,000 subsequent spill inside property last 12 months for over 1 hour</w:t>
            </w:r>
          </w:p>
          <w:p w14:paraId="1180FB56" w14:textId="77777777" w:rsidR="002D42C1" w:rsidRPr="00D47245" w:rsidRDefault="002D42C1" w:rsidP="00FB646F">
            <w:pPr>
              <w:pStyle w:val="Tablebullet"/>
            </w:pPr>
            <w:r w:rsidRPr="00D47245">
              <w:t>$1,000 uncontained spill on property more than 4 hours</w:t>
            </w:r>
          </w:p>
          <w:p w14:paraId="1C36CF3D" w14:textId="77777777" w:rsidR="002D42C1" w:rsidRPr="00D47245" w:rsidRDefault="002D42C1" w:rsidP="00FB646F">
            <w:pPr>
              <w:pStyle w:val="Tablebullet"/>
            </w:pPr>
            <w:r w:rsidRPr="00D47245">
              <w:t>$2,000 subsequent uncontained spill on property for over 4 hours last 12 months</w:t>
            </w:r>
          </w:p>
        </w:tc>
        <w:tc>
          <w:tcPr>
            <w:tcW w:w="850" w:type="pct"/>
          </w:tcPr>
          <w:p w14:paraId="7DB90516" w14:textId="77777777" w:rsidR="002D42C1" w:rsidRPr="00D47245" w:rsidRDefault="002D42C1" w:rsidP="00F44AC8">
            <w:pPr>
              <w:pStyle w:val="TableText"/>
            </w:pPr>
            <w:r w:rsidRPr="00D47245">
              <w:t>N/A</w:t>
            </w:r>
          </w:p>
        </w:tc>
      </w:tr>
      <w:tr w:rsidR="002D42C1" w:rsidRPr="00DE108C" w14:paraId="05348FE7" w14:textId="77777777" w:rsidTr="00ED094E">
        <w:trPr>
          <w:trHeight w:val="584"/>
        </w:trPr>
        <w:tc>
          <w:tcPr>
            <w:tcW w:w="644" w:type="pct"/>
            <w:vMerge/>
            <w:hideMark/>
          </w:tcPr>
          <w:p w14:paraId="673AA1F1" w14:textId="77777777" w:rsidR="002D42C1" w:rsidRPr="00D47245" w:rsidRDefault="002D42C1" w:rsidP="00ED094E">
            <w:pPr>
              <w:rPr>
                <w:sz w:val="16"/>
                <w:szCs w:val="16"/>
              </w:rPr>
            </w:pPr>
          </w:p>
        </w:tc>
        <w:tc>
          <w:tcPr>
            <w:tcW w:w="698" w:type="pct"/>
            <w:hideMark/>
          </w:tcPr>
          <w:p w14:paraId="4F6399C7" w14:textId="096BFE5D" w:rsidR="002D42C1" w:rsidRPr="00D47245" w:rsidRDefault="002D42C1" w:rsidP="00ED094E">
            <w:pPr>
              <w:rPr>
                <w:sz w:val="16"/>
                <w:szCs w:val="16"/>
              </w:rPr>
            </w:pPr>
            <w:r w:rsidRPr="00D47245">
              <w:rPr>
                <w:sz w:val="16"/>
                <w:szCs w:val="16"/>
              </w:rPr>
              <w:t xml:space="preserve">Planned event – non-emergency – breach of minimum notice period to </w:t>
            </w:r>
            <w:r w:rsidR="00E7119E">
              <w:rPr>
                <w:sz w:val="16"/>
                <w:szCs w:val="16"/>
              </w:rPr>
              <w:t>metropolitan water corporation</w:t>
            </w:r>
            <w:r w:rsidRPr="00D47245">
              <w:rPr>
                <w:sz w:val="16"/>
                <w:szCs w:val="16"/>
              </w:rPr>
              <w:t> </w:t>
            </w:r>
          </w:p>
        </w:tc>
        <w:tc>
          <w:tcPr>
            <w:tcW w:w="863" w:type="pct"/>
            <w:hideMark/>
          </w:tcPr>
          <w:p w14:paraId="3B0F5178" w14:textId="77777777" w:rsidR="002D42C1" w:rsidRPr="00D47245" w:rsidRDefault="002D42C1" w:rsidP="00ED094E">
            <w:pPr>
              <w:rPr>
                <w:color w:val="auto"/>
                <w:sz w:val="16"/>
                <w:szCs w:val="16"/>
              </w:rPr>
            </w:pPr>
            <w:r w:rsidRPr="00D47245">
              <w:rPr>
                <w:color w:val="auto"/>
                <w:sz w:val="16"/>
                <w:szCs w:val="16"/>
              </w:rPr>
              <w:t xml:space="preserve">Match GWW payment of $100 to household customer </w:t>
            </w:r>
            <w:r w:rsidRPr="00D47245">
              <w:rPr>
                <w:color w:val="auto"/>
                <w:sz w:val="16"/>
                <w:szCs w:val="16"/>
              </w:rPr>
              <w:tab/>
            </w:r>
          </w:p>
        </w:tc>
        <w:tc>
          <w:tcPr>
            <w:tcW w:w="895" w:type="pct"/>
            <w:hideMark/>
          </w:tcPr>
          <w:p w14:paraId="55B52AD4" w14:textId="77777777" w:rsidR="002D42C1" w:rsidRPr="00D47245" w:rsidRDefault="002D42C1" w:rsidP="00ED094E">
            <w:pPr>
              <w:rPr>
                <w:sz w:val="16"/>
                <w:szCs w:val="16"/>
              </w:rPr>
            </w:pPr>
            <w:r w:rsidRPr="00D47245">
              <w:rPr>
                <w:sz w:val="16"/>
                <w:szCs w:val="16"/>
              </w:rPr>
              <w:t>N/A - SEW don’t make a payment to customers for breach of minimum notice periods</w:t>
            </w:r>
          </w:p>
        </w:tc>
        <w:tc>
          <w:tcPr>
            <w:tcW w:w="1050" w:type="pct"/>
            <w:hideMark/>
          </w:tcPr>
          <w:p w14:paraId="2238F6BC" w14:textId="77777777" w:rsidR="002D42C1" w:rsidRPr="00D47245" w:rsidRDefault="002D42C1" w:rsidP="00ED094E">
            <w:pPr>
              <w:rPr>
                <w:sz w:val="16"/>
                <w:szCs w:val="16"/>
              </w:rPr>
            </w:pPr>
            <w:r w:rsidRPr="00D47245">
              <w:rPr>
                <w:sz w:val="16"/>
                <w:szCs w:val="16"/>
              </w:rPr>
              <w:t xml:space="preserve">Match YVW payment of $50 to household customer </w:t>
            </w:r>
          </w:p>
        </w:tc>
        <w:tc>
          <w:tcPr>
            <w:tcW w:w="850" w:type="pct"/>
          </w:tcPr>
          <w:p w14:paraId="7E5E5D77" w14:textId="77777777" w:rsidR="002D42C1" w:rsidRPr="00D47245" w:rsidRDefault="002D42C1" w:rsidP="00ED094E">
            <w:pPr>
              <w:rPr>
                <w:sz w:val="16"/>
                <w:szCs w:val="16"/>
              </w:rPr>
            </w:pPr>
            <w:r w:rsidRPr="00D47245">
              <w:rPr>
                <w:sz w:val="16"/>
                <w:szCs w:val="16"/>
              </w:rPr>
              <w:t>As per corporation GSL scheme</w:t>
            </w:r>
          </w:p>
        </w:tc>
      </w:tr>
      <w:tr w:rsidR="00087FD3" w:rsidRPr="00DE108C" w14:paraId="1BDC0275" w14:textId="77777777" w:rsidTr="7CA51BFC">
        <w:trPr>
          <w:cnfStyle w:val="000000010000" w:firstRow="0" w:lastRow="0" w:firstColumn="0" w:lastColumn="0" w:oddVBand="0" w:evenVBand="0" w:oddHBand="0" w:evenHBand="1" w:firstRowFirstColumn="0" w:firstRowLastColumn="0" w:lastRowFirstColumn="0" w:lastRowLastColumn="0"/>
          <w:trHeight w:val="584"/>
        </w:trPr>
        <w:tc>
          <w:tcPr>
            <w:tcW w:w="644" w:type="pct"/>
          </w:tcPr>
          <w:p w14:paraId="4C813329" w14:textId="77777777" w:rsidR="002D42C1" w:rsidRPr="00D47245" w:rsidRDefault="002D42C1" w:rsidP="00ED094E">
            <w:pPr>
              <w:rPr>
                <w:sz w:val="16"/>
                <w:szCs w:val="16"/>
              </w:rPr>
            </w:pPr>
          </w:p>
        </w:tc>
        <w:tc>
          <w:tcPr>
            <w:tcW w:w="698" w:type="pct"/>
          </w:tcPr>
          <w:p w14:paraId="1394861C" w14:textId="77777777" w:rsidR="002D42C1" w:rsidRPr="00D47245" w:rsidRDefault="002D42C1" w:rsidP="00ED094E">
            <w:pPr>
              <w:rPr>
                <w:sz w:val="16"/>
                <w:szCs w:val="16"/>
              </w:rPr>
            </w:pPr>
            <w:r w:rsidRPr="00D47245">
              <w:rPr>
                <w:sz w:val="16"/>
                <w:szCs w:val="16"/>
              </w:rPr>
              <w:t xml:space="preserve">Recurring aesthetic water quality customer complaints </w:t>
            </w:r>
          </w:p>
        </w:tc>
        <w:tc>
          <w:tcPr>
            <w:tcW w:w="863" w:type="pct"/>
          </w:tcPr>
          <w:p w14:paraId="43E9AE52" w14:textId="77777777" w:rsidR="002D42C1" w:rsidRPr="00D47245" w:rsidRDefault="002D42C1" w:rsidP="00ED094E">
            <w:pPr>
              <w:rPr>
                <w:sz w:val="16"/>
                <w:szCs w:val="16"/>
              </w:rPr>
            </w:pPr>
            <w:r w:rsidRPr="00D47245">
              <w:rPr>
                <w:sz w:val="16"/>
                <w:szCs w:val="16"/>
              </w:rPr>
              <w:t>N/A</w:t>
            </w:r>
          </w:p>
        </w:tc>
        <w:tc>
          <w:tcPr>
            <w:tcW w:w="895" w:type="pct"/>
          </w:tcPr>
          <w:p w14:paraId="76D16AEF" w14:textId="77777777" w:rsidR="002D42C1" w:rsidRPr="00D47245" w:rsidRDefault="002D42C1" w:rsidP="00ED094E">
            <w:pPr>
              <w:rPr>
                <w:sz w:val="16"/>
                <w:szCs w:val="16"/>
              </w:rPr>
            </w:pPr>
            <w:r w:rsidRPr="00D47245">
              <w:rPr>
                <w:sz w:val="16"/>
                <w:szCs w:val="16"/>
              </w:rPr>
              <w:t>N/A</w:t>
            </w:r>
          </w:p>
        </w:tc>
        <w:tc>
          <w:tcPr>
            <w:tcW w:w="1050" w:type="pct"/>
          </w:tcPr>
          <w:p w14:paraId="5B004949" w14:textId="77777777" w:rsidR="002D42C1" w:rsidRPr="00D47245" w:rsidRDefault="002D42C1" w:rsidP="00ED094E">
            <w:pPr>
              <w:rPr>
                <w:sz w:val="16"/>
                <w:szCs w:val="16"/>
              </w:rPr>
            </w:pPr>
            <w:r w:rsidRPr="00D47245">
              <w:rPr>
                <w:sz w:val="16"/>
                <w:szCs w:val="16"/>
              </w:rPr>
              <w:t>$50 to household customers for the third and subsequent contact/complaint about separate water quality issues in a rolling 12-month period</w:t>
            </w:r>
          </w:p>
        </w:tc>
        <w:tc>
          <w:tcPr>
            <w:tcW w:w="850" w:type="pct"/>
          </w:tcPr>
          <w:p w14:paraId="3508561A" w14:textId="77777777" w:rsidR="002D42C1" w:rsidRPr="00D47245" w:rsidRDefault="002D42C1" w:rsidP="00ED094E">
            <w:pPr>
              <w:rPr>
                <w:sz w:val="16"/>
                <w:szCs w:val="16"/>
              </w:rPr>
            </w:pPr>
            <w:r w:rsidRPr="00D47245">
              <w:rPr>
                <w:sz w:val="16"/>
                <w:szCs w:val="16"/>
              </w:rPr>
              <w:t>N/A</w:t>
            </w:r>
          </w:p>
        </w:tc>
      </w:tr>
      <w:tr w:rsidR="002D42C1" w:rsidRPr="00DE108C" w14:paraId="48E6CDA2" w14:textId="77777777" w:rsidTr="00ED094E">
        <w:trPr>
          <w:trHeight w:val="584"/>
        </w:trPr>
        <w:tc>
          <w:tcPr>
            <w:tcW w:w="644" w:type="pct"/>
            <w:vMerge w:val="restart"/>
            <w:hideMark/>
          </w:tcPr>
          <w:p w14:paraId="62570244" w14:textId="77777777" w:rsidR="002D42C1" w:rsidRPr="00D47245" w:rsidRDefault="002D42C1" w:rsidP="00ED094E">
            <w:pPr>
              <w:rPr>
                <w:sz w:val="16"/>
                <w:szCs w:val="16"/>
              </w:rPr>
            </w:pPr>
            <w:r w:rsidRPr="00D47245">
              <w:rPr>
                <w:sz w:val="16"/>
                <w:szCs w:val="16"/>
              </w:rPr>
              <w:t>Additional direct water corporation compensation</w:t>
            </w:r>
          </w:p>
        </w:tc>
        <w:tc>
          <w:tcPr>
            <w:tcW w:w="698" w:type="pct"/>
            <w:hideMark/>
          </w:tcPr>
          <w:p w14:paraId="3EFEDAA5" w14:textId="77777777" w:rsidR="002D42C1" w:rsidRPr="00D47245" w:rsidRDefault="002D42C1" w:rsidP="00ED094E">
            <w:pPr>
              <w:rPr>
                <w:sz w:val="16"/>
                <w:szCs w:val="16"/>
              </w:rPr>
            </w:pPr>
            <w:r w:rsidRPr="00D47245">
              <w:rPr>
                <w:sz w:val="16"/>
                <w:szCs w:val="16"/>
              </w:rPr>
              <w:t>Unplanned event or Planned event (minimum notice period not met</w:t>
            </w:r>
            <w:r w:rsidRPr="00D47245">
              <w:rPr>
                <w:sz w:val="16"/>
                <w:szCs w:val="16"/>
                <w:vertAlign w:val="superscript"/>
              </w:rPr>
              <w:t>3</w:t>
            </w:r>
            <w:r w:rsidRPr="00D47245">
              <w:rPr>
                <w:sz w:val="16"/>
                <w:szCs w:val="16"/>
              </w:rPr>
              <w:t xml:space="preserve">), </w:t>
            </w:r>
            <w:r w:rsidRPr="00D47245">
              <w:rPr>
                <w:sz w:val="16"/>
                <w:szCs w:val="16"/>
              </w:rPr>
              <w:lastRenderedPageBreak/>
              <w:t>Additional management of customer calls / complaints </w:t>
            </w:r>
          </w:p>
        </w:tc>
        <w:tc>
          <w:tcPr>
            <w:tcW w:w="863" w:type="pct"/>
            <w:hideMark/>
          </w:tcPr>
          <w:p w14:paraId="5216D404" w14:textId="77777777" w:rsidR="002D42C1" w:rsidRPr="00D47245" w:rsidRDefault="002D42C1" w:rsidP="00ED094E">
            <w:pPr>
              <w:rPr>
                <w:sz w:val="16"/>
                <w:szCs w:val="16"/>
              </w:rPr>
            </w:pPr>
            <w:r w:rsidRPr="00D47245">
              <w:rPr>
                <w:sz w:val="16"/>
                <w:szCs w:val="16"/>
              </w:rPr>
              <w:lastRenderedPageBreak/>
              <w:t>Average calls/day 140</w:t>
            </w:r>
          </w:p>
          <w:p w14:paraId="50D082C1" w14:textId="77777777" w:rsidR="002D42C1" w:rsidRPr="00D47245" w:rsidRDefault="002D42C1" w:rsidP="00ED094E">
            <w:pPr>
              <w:rPr>
                <w:sz w:val="16"/>
                <w:szCs w:val="16"/>
              </w:rPr>
            </w:pPr>
            <w:r w:rsidRPr="00D47245">
              <w:rPr>
                <w:sz w:val="16"/>
                <w:szCs w:val="16"/>
              </w:rPr>
              <w:lastRenderedPageBreak/>
              <w:t>Greater than 35 calls/day increase per event caused by MW</w:t>
            </w:r>
          </w:p>
          <w:p w14:paraId="6A351621" w14:textId="77777777" w:rsidR="002D42C1" w:rsidRPr="00D47245" w:rsidRDefault="002D42C1" w:rsidP="00ED094E">
            <w:pPr>
              <w:rPr>
                <w:sz w:val="16"/>
                <w:szCs w:val="16"/>
              </w:rPr>
            </w:pPr>
            <w:r w:rsidRPr="00D47245">
              <w:rPr>
                <w:sz w:val="16"/>
                <w:szCs w:val="16"/>
              </w:rPr>
              <w:t>Or</w:t>
            </w:r>
          </w:p>
          <w:p w14:paraId="119EDF09" w14:textId="77777777" w:rsidR="002D42C1" w:rsidRPr="00D47245" w:rsidRDefault="002D42C1" w:rsidP="00ED094E">
            <w:pPr>
              <w:rPr>
                <w:sz w:val="16"/>
                <w:szCs w:val="16"/>
              </w:rPr>
            </w:pPr>
            <w:r w:rsidRPr="00D47245">
              <w:rPr>
                <w:sz w:val="16"/>
                <w:szCs w:val="16"/>
              </w:rPr>
              <w:t>Greater than 10 calls/hour per event caused by MW</w:t>
            </w:r>
          </w:p>
          <w:p w14:paraId="16DF1717" w14:textId="77777777" w:rsidR="002D42C1" w:rsidRPr="00D47245" w:rsidRDefault="002D42C1" w:rsidP="00ED094E">
            <w:pPr>
              <w:rPr>
                <w:sz w:val="16"/>
                <w:szCs w:val="16"/>
              </w:rPr>
            </w:pPr>
            <w:r w:rsidRPr="00D47245">
              <w:rPr>
                <w:sz w:val="16"/>
                <w:szCs w:val="16"/>
              </w:rPr>
              <w:t xml:space="preserve">Compensation of $5,000 per incident to retail water company </w:t>
            </w:r>
          </w:p>
        </w:tc>
        <w:tc>
          <w:tcPr>
            <w:tcW w:w="895" w:type="pct"/>
            <w:hideMark/>
          </w:tcPr>
          <w:p w14:paraId="07859763" w14:textId="77777777" w:rsidR="002D42C1" w:rsidRPr="00D47245" w:rsidRDefault="002D42C1" w:rsidP="00ED094E">
            <w:pPr>
              <w:rPr>
                <w:sz w:val="16"/>
                <w:szCs w:val="16"/>
              </w:rPr>
            </w:pPr>
            <w:r w:rsidRPr="00D47245">
              <w:rPr>
                <w:sz w:val="16"/>
                <w:szCs w:val="16"/>
              </w:rPr>
              <w:lastRenderedPageBreak/>
              <w:t>Average calls/day 400</w:t>
            </w:r>
          </w:p>
          <w:p w14:paraId="2B0D7620" w14:textId="77777777" w:rsidR="002D42C1" w:rsidRPr="00D47245" w:rsidRDefault="002D42C1" w:rsidP="00ED094E">
            <w:pPr>
              <w:rPr>
                <w:sz w:val="16"/>
                <w:szCs w:val="16"/>
              </w:rPr>
            </w:pPr>
            <w:r w:rsidRPr="00D47245">
              <w:rPr>
                <w:sz w:val="16"/>
                <w:szCs w:val="16"/>
              </w:rPr>
              <w:lastRenderedPageBreak/>
              <w:t>Greater than 100 calls/day increase per event caused by MW</w:t>
            </w:r>
          </w:p>
          <w:p w14:paraId="3E797634" w14:textId="77777777" w:rsidR="002D42C1" w:rsidRPr="00D47245" w:rsidRDefault="002D42C1" w:rsidP="00ED094E">
            <w:pPr>
              <w:rPr>
                <w:sz w:val="16"/>
                <w:szCs w:val="16"/>
              </w:rPr>
            </w:pPr>
            <w:r w:rsidRPr="00D47245">
              <w:rPr>
                <w:sz w:val="16"/>
                <w:szCs w:val="16"/>
              </w:rPr>
              <w:t>Or</w:t>
            </w:r>
          </w:p>
          <w:p w14:paraId="54B874CB" w14:textId="77777777" w:rsidR="002D42C1" w:rsidRPr="00D47245" w:rsidRDefault="002D42C1" w:rsidP="00ED094E">
            <w:pPr>
              <w:rPr>
                <w:sz w:val="16"/>
                <w:szCs w:val="16"/>
              </w:rPr>
            </w:pPr>
            <w:r w:rsidRPr="00D47245">
              <w:rPr>
                <w:sz w:val="16"/>
                <w:szCs w:val="16"/>
              </w:rPr>
              <w:t>Greater than 10 calls/hour per event caused by MW</w:t>
            </w:r>
          </w:p>
          <w:p w14:paraId="436569A9" w14:textId="77777777" w:rsidR="002D42C1" w:rsidRPr="00D47245" w:rsidRDefault="002D42C1" w:rsidP="00ED094E">
            <w:pPr>
              <w:rPr>
                <w:sz w:val="16"/>
                <w:szCs w:val="16"/>
              </w:rPr>
            </w:pPr>
            <w:r w:rsidRPr="00D47245">
              <w:rPr>
                <w:sz w:val="16"/>
                <w:szCs w:val="16"/>
              </w:rPr>
              <w:t>Compensation of $5,000 per incident to retail water company</w:t>
            </w:r>
          </w:p>
        </w:tc>
        <w:tc>
          <w:tcPr>
            <w:tcW w:w="1050" w:type="pct"/>
            <w:hideMark/>
          </w:tcPr>
          <w:p w14:paraId="24935109" w14:textId="77777777" w:rsidR="002D42C1" w:rsidRPr="00D47245" w:rsidRDefault="002D42C1" w:rsidP="00ED094E">
            <w:pPr>
              <w:rPr>
                <w:sz w:val="16"/>
                <w:szCs w:val="16"/>
              </w:rPr>
            </w:pPr>
            <w:r w:rsidRPr="00D47245">
              <w:rPr>
                <w:sz w:val="16"/>
                <w:szCs w:val="16"/>
              </w:rPr>
              <w:lastRenderedPageBreak/>
              <w:t>Average calls/day 400</w:t>
            </w:r>
          </w:p>
          <w:p w14:paraId="42989B8A" w14:textId="77777777" w:rsidR="002D42C1" w:rsidRPr="00D47245" w:rsidRDefault="002D42C1" w:rsidP="00ED094E">
            <w:pPr>
              <w:rPr>
                <w:sz w:val="16"/>
                <w:szCs w:val="16"/>
              </w:rPr>
            </w:pPr>
            <w:r w:rsidRPr="00D47245">
              <w:rPr>
                <w:sz w:val="16"/>
                <w:szCs w:val="16"/>
              </w:rPr>
              <w:t>Greater than 100 calls/day increase per event caused by MW</w:t>
            </w:r>
          </w:p>
          <w:p w14:paraId="7393CBBB" w14:textId="77777777" w:rsidR="002D42C1" w:rsidRPr="00D47245" w:rsidRDefault="002D42C1" w:rsidP="00ED094E">
            <w:pPr>
              <w:rPr>
                <w:sz w:val="16"/>
                <w:szCs w:val="16"/>
              </w:rPr>
            </w:pPr>
            <w:r w:rsidRPr="00D47245">
              <w:rPr>
                <w:sz w:val="16"/>
                <w:szCs w:val="16"/>
              </w:rPr>
              <w:lastRenderedPageBreak/>
              <w:t>Or</w:t>
            </w:r>
          </w:p>
          <w:p w14:paraId="07FBB388" w14:textId="77777777" w:rsidR="002D42C1" w:rsidRPr="00D47245" w:rsidRDefault="002D42C1" w:rsidP="00ED094E">
            <w:pPr>
              <w:rPr>
                <w:sz w:val="16"/>
                <w:szCs w:val="16"/>
              </w:rPr>
            </w:pPr>
            <w:r w:rsidRPr="00D47245">
              <w:rPr>
                <w:sz w:val="16"/>
                <w:szCs w:val="16"/>
              </w:rPr>
              <w:t>Greater than 10 calls/hour per event caused by MW</w:t>
            </w:r>
          </w:p>
          <w:p w14:paraId="5E231FC7" w14:textId="77777777" w:rsidR="002D42C1" w:rsidRPr="00D47245" w:rsidRDefault="002D42C1" w:rsidP="00ED094E">
            <w:pPr>
              <w:rPr>
                <w:sz w:val="16"/>
                <w:szCs w:val="16"/>
              </w:rPr>
            </w:pPr>
            <w:r w:rsidRPr="00D47245">
              <w:rPr>
                <w:sz w:val="16"/>
                <w:szCs w:val="16"/>
              </w:rPr>
              <w:t>Compensation of $5,000 per incident to retail water company</w:t>
            </w:r>
          </w:p>
        </w:tc>
        <w:tc>
          <w:tcPr>
            <w:tcW w:w="850" w:type="pct"/>
          </w:tcPr>
          <w:p w14:paraId="0486F80D" w14:textId="77777777" w:rsidR="002D42C1" w:rsidRPr="00D47245" w:rsidRDefault="002D42C1" w:rsidP="00ED094E">
            <w:pPr>
              <w:rPr>
                <w:sz w:val="16"/>
                <w:szCs w:val="16"/>
              </w:rPr>
            </w:pPr>
            <w:r w:rsidRPr="00D47245">
              <w:rPr>
                <w:sz w:val="16"/>
                <w:szCs w:val="16"/>
              </w:rPr>
              <w:lastRenderedPageBreak/>
              <w:t>N/A</w:t>
            </w:r>
          </w:p>
        </w:tc>
      </w:tr>
      <w:tr w:rsidR="00087FD3" w:rsidRPr="00DE108C" w14:paraId="34ACAAC0" w14:textId="77777777" w:rsidTr="7CA51BFC">
        <w:trPr>
          <w:cnfStyle w:val="000000010000" w:firstRow="0" w:lastRow="0" w:firstColumn="0" w:lastColumn="0" w:oddVBand="0" w:evenVBand="0" w:oddHBand="0" w:evenHBand="1" w:firstRowFirstColumn="0" w:firstRowLastColumn="0" w:lastRowFirstColumn="0" w:lastRowLastColumn="0"/>
          <w:trHeight w:val="584"/>
        </w:trPr>
        <w:tc>
          <w:tcPr>
            <w:tcW w:w="644" w:type="pct"/>
            <w:vMerge/>
            <w:hideMark/>
          </w:tcPr>
          <w:p w14:paraId="596BA18F" w14:textId="77777777" w:rsidR="002D42C1" w:rsidRPr="00D47245" w:rsidRDefault="002D42C1" w:rsidP="00ED094E">
            <w:pPr>
              <w:rPr>
                <w:sz w:val="16"/>
                <w:szCs w:val="16"/>
              </w:rPr>
            </w:pPr>
          </w:p>
        </w:tc>
        <w:tc>
          <w:tcPr>
            <w:tcW w:w="698" w:type="pct"/>
            <w:hideMark/>
          </w:tcPr>
          <w:p w14:paraId="1121BF66" w14:textId="77777777" w:rsidR="002D42C1" w:rsidRPr="00D47245" w:rsidRDefault="002D42C1" w:rsidP="00ED094E">
            <w:pPr>
              <w:rPr>
                <w:sz w:val="16"/>
                <w:szCs w:val="16"/>
              </w:rPr>
            </w:pPr>
            <w:r w:rsidRPr="00D47245">
              <w:rPr>
                <w:sz w:val="16"/>
                <w:szCs w:val="16"/>
              </w:rPr>
              <w:t>Significant Unplanned water or sewerage service disruption / event </w:t>
            </w:r>
          </w:p>
        </w:tc>
        <w:tc>
          <w:tcPr>
            <w:tcW w:w="863" w:type="pct"/>
            <w:hideMark/>
          </w:tcPr>
          <w:p w14:paraId="56B8545D" w14:textId="77777777" w:rsidR="002D42C1" w:rsidRPr="00D47245" w:rsidRDefault="002D42C1" w:rsidP="00ED094E">
            <w:pPr>
              <w:rPr>
                <w:sz w:val="16"/>
                <w:szCs w:val="16"/>
              </w:rPr>
            </w:pPr>
            <w:r w:rsidRPr="00D47245">
              <w:rPr>
                <w:sz w:val="16"/>
                <w:szCs w:val="16"/>
              </w:rPr>
              <w:t xml:space="preserve">Melbourne Water would make payments at our discretion to GWW based on an assessment of the impact </w:t>
            </w:r>
          </w:p>
        </w:tc>
        <w:tc>
          <w:tcPr>
            <w:tcW w:w="895" w:type="pct"/>
            <w:hideMark/>
          </w:tcPr>
          <w:p w14:paraId="78896958" w14:textId="77777777" w:rsidR="002D42C1" w:rsidRPr="00D47245" w:rsidRDefault="002D42C1" w:rsidP="00ED094E">
            <w:pPr>
              <w:rPr>
                <w:sz w:val="16"/>
                <w:szCs w:val="16"/>
              </w:rPr>
            </w:pPr>
            <w:r w:rsidRPr="00D47245">
              <w:rPr>
                <w:sz w:val="16"/>
                <w:szCs w:val="16"/>
              </w:rPr>
              <w:t>Melbourne Water would make payments at our discretion to SEW based on an assessment of the impact</w:t>
            </w:r>
          </w:p>
        </w:tc>
        <w:tc>
          <w:tcPr>
            <w:tcW w:w="1050" w:type="pct"/>
            <w:hideMark/>
          </w:tcPr>
          <w:p w14:paraId="4A9B54F2" w14:textId="77777777" w:rsidR="002D42C1" w:rsidRPr="00D47245" w:rsidRDefault="002D42C1" w:rsidP="00ED094E">
            <w:pPr>
              <w:rPr>
                <w:sz w:val="16"/>
                <w:szCs w:val="16"/>
              </w:rPr>
            </w:pPr>
            <w:r w:rsidRPr="00D47245">
              <w:rPr>
                <w:sz w:val="16"/>
                <w:szCs w:val="16"/>
              </w:rPr>
              <w:t>Melbourne Water would make payments at our discretion to YVW based on an assessment of the impact</w:t>
            </w:r>
          </w:p>
        </w:tc>
        <w:tc>
          <w:tcPr>
            <w:tcW w:w="850" w:type="pct"/>
          </w:tcPr>
          <w:p w14:paraId="4416AB0B" w14:textId="77777777" w:rsidR="002D42C1" w:rsidRPr="00D47245" w:rsidRDefault="002D42C1" w:rsidP="00ED094E">
            <w:pPr>
              <w:rPr>
                <w:sz w:val="16"/>
                <w:szCs w:val="16"/>
              </w:rPr>
            </w:pPr>
            <w:r w:rsidRPr="00D47245">
              <w:rPr>
                <w:sz w:val="16"/>
                <w:szCs w:val="16"/>
              </w:rPr>
              <w:t>N/A</w:t>
            </w:r>
          </w:p>
        </w:tc>
      </w:tr>
      <w:tr w:rsidR="002D42C1" w:rsidRPr="00DE108C" w14:paraId="40D9A5BC" w14:textId="77777777" w:rsidTr="00ED094E">
        <w:trPr>
          <w:trHeight w:val="584"/>
        </w:trPr>
        <w:tc>
          <w:tcPr>
            <w:tcW w:w="644" w:type="pct"/>
            <w:vMerge/>
            <w:hideMark/>
          </w:tcPr>
          <w:p w14:paraId="5F1F54DA" w14:textId="77777777" w:rsidR="002D42C1" w:rsidRPr="00D47245" w:rsidRDefault="002D42C1" w:rsidP="00ED094E">
            <w:pPr>
              <w:rPr>
                <w:sz w:val="16"/>
                <w:szCs w:val="16"/>
              </w:rPr>
            </w:pPr>
          </w:p>
        </w:tc>
        <w:tc>
          <w:tcPr>
            <w:tcW w:w="698" w:type="pct"/>
            <w:hideMark/>
          </w:tcPr>
          <w:p w14:paraId="50070583" w14:textId="77777777" w:rsidR="002D42C1" w:rsidRPr="00D47245" w:rsidRDefault="002D42C1" w:rsidP="00ED094E">
            <w:pPr>
              <w:rPr>
                <w:sz w:val="16"/>
                <w:szCs w:val="16"/>
              </w:rPr>
            </w:pPr>
            <w:r w:rsidRPr="00D47245">
              <w:rPr>
                <w:sz w:val="16"/>
                <w:szCs w:val="16"/>
              </w:rPr>
              <w:t>Pressure deviations above tolerances </w:t>
            </w:r>
          </w:p>
        </w:tc>
        <w:tc>
          <w:tcPr>
            <w:tcW w:w="863" w:type="pct"/>
            <w:hideMark/>
          </w:tcPr>
          <w:p w14:paraId="386B5605" w14:textId="77777777" w:rsidR="002D42C1" w:rsidRPr="00D47245" w:rsidRDefault="002D42C1" w:rsidP="00ED094E">
            <w:pPr>
              <w:rPr>
                <w:sz w:val="16"/>
                <w:szCs w:val="16"/>
              </w:rPr>
            </w:pPr>
            <w:r w:rsidRPr="00D47245">
              <w:rPr>
                <w:sz w:val="16"/>
                <w:szCs w:val="16"/>
              </w:rPr>
              <w:t xml:space="preserve">Actual cost where &gt;$10K per incident to GWW </w:t>
            </w:r>
            <w:r w:rsidRPr="00D47245">
              <w:rPr>
                <w:sz w:val="16"/>
                <w:szCs w:val="16"/>
              </w:rPr>
              <w:tab/>
            </w:r>
          </w:p>
        </w:tc>
        <w:tc>
          <w:tcPr>
            <w:tcW w:w="895" w:type="pct"/>
            <w:hideMark/>
          </w:tcPr>
          <w:p w14:paraId="08CFD915" w14:textId="77777777" w:rsidR="002D42C1" w:rsidRPr="00D47245" w:rsidRDefault="002D42C1" w:rsidP="00ED094E">
            <w:pPr>
              <w:rPr>
                <w:sz w:val="16"/>
                <w:szCs w:val="16"/>
              </w:rPr>
            </w:pPr>
            <w:r w:rsidRPr="00D47245">
              <w:rPr>
                <w:sz w:val="16"/>
                <w:szCs w:val="16"/>
              </w:rPr>
              <w:t>Actual cost where &gt;$10K per incident to SEW</w:t>
            </w:r>
          </w:p>
        </w:tc>
        <w:tc>
          <w:tcPr>
            <w:tcW w:w="1050" w:type="pct"/>
            <w:hideMark/>
          </w:tcPr>
          <w:p w14:paraId="28C7B73F" w14:textId="77777777" w:rsidR="002D42C1" w:rsidRPr="00D47245" w:rsidRDefault="002D42C1" w:rsidP="00ED094E">
            <w:pPr>
              <w:rPr>
                <w:sz w:val="16"/>
                <w:szCs w:val="16"/>
              </w:rPr>
            </w:pPr>
            <w:r w:rsidRPr="00D47245">
              <w:rPr>
                <w:sz w:val="16"/>
                <w:szCs w:val="16"/>
              </w:rPr>
              <w:t>Actual cost where &gt;$10K per incident to YVW</w:t>
            </w:r>
          </w:p>
        </w:tc>
        <w:tc>
          <w:tcPr>
            <w:tcW w:w="850" w:type="pct"/>
          </w:tcPr>
          <w:p w14:paraId="10CDC3B5" w14:textId="77777777" w:rsidR="002D42C1" w:rsidRPr="00D47245" w:rsidRDefault="002D42C1" w:rsidP="00ED094E">
            <w:pPr>
              <w:rPr>
                <w:sz w:val="16"/>
                <w:szCs w:val="16"/>
              </w:rPr>
            </w:pPr>
            <w:r w:rsidRPr="00D47245">
              <w:rPr>
                <w:sz w:val="16"/>
                <w:szCs w:val="16"/>
              </w:rPr>
              <w:t>N/A</w:t>
            </w:r>
          </w:p>
        </w:tc>
      </w:tr>
    </w:tbl>
    <w:p w14:paraId="4405A30F" w14:textId="274D4C18" w:rsidR="00431F30" w:rsidRDefault="00431F30" w:rsidP="00ED094E">
      <w:pPr>
        <w:rPr>
          <w:b/>
          <w:sz w:val="16"/>
          <w:szCs w:val="16"/>
        </w:rPr>
      </w:pPr>
      <w:r w:rsidRPr="00D47245">
        <w:rPr>
          <w:sz w:val="16"/>
          <w:szCs w:val="16"/>
        </w:rPr>
        <w:t>*Rebates for Greater Western Water (GWW) customers have been increased to match GWW determination</w:t>
      </w:r>
    </w:p>
    <w:p w14:paraId="78B7F2DD" w14:textId="7F60EA33" w:rsidR="002D42C1" w:rsidRPr="00D47245" w:rsidRDefault="002D42C1" w:rsidP="00ED094E">
      <w:pPr>
        <w:rPr>
          <w:sz w:val="16"/>
          <w:szCs w:val="16"/>
        </w:rPr>
      </w:pPr>
      <w:r w:rsidRPr="00D47245">
        <w:rPr>
          <w:b/>
          <w:sz w:val="16"/>
          <w:szCs w:val="16"/>
        </w:rPr>
        <w:t xml:space="preserve">Note 1: </w:t>
      </w:r>
      <w:r w:rsidRPr="00D47245">
        <w:rPr>
          <w:sz w:val="16"/>
          <w:szCs w:val="16"/>
        </w:rPr>
        <w:t xml:space="preserve">Clause 16(2) of the </w:t>
      </w:r>
      <w:r w:rsidRPr="0071592C">
        <w:rPr>
          <w:i/>
          <w:sz w:val="16"/>
          <w:szCs w:val="16"/>
        </w:rPr>
        <w:t>Safe Drinking Water Regulations</w:t>
      </w:r>
      <w:r w:rsidRPr="00D47245">
        <w:rPr>
          <w:sz w:val="16"/>
          <w:szCs w:val="16"/>
        </w:rPr>
        <w:t xml:space="preserve"> (2025) </w:t>
      </w:r>
    </w:p>
    <w:p w14:paraId="43ECF2C2" w14:textId="0739706A" w:rsidR="002D42C1" w:rsidRPr="00D47245" w:rsidRDefault="002D42C1" w:rsidP="00ED094E">
      <w:pPr>
        <w:rPr>
          <w:sz w:val="16"/>
          <w:szCs w:val="16"/>
        </w:rPr>
      </w:pPr>
      <w:r w:rsidRPr="00D47245">
        <w:rPr>
          <w:b/>
          <w:sz w:val="16"/>
          <w:szCs w:val="16"/>
        </w:rPr>
        <w:t>Note 2:</w:t>
      </w:r>
      <w:r w:rsidRPr="00D47245">
        <w:rPr>
          <w:sz w:val="16"/>
          <w:szCs w:val="16"/>
        </w:rPr>
        <w:t xml:space="preserve"> Excludes events that are beyond the reasonable control of Melbourne Water</w:t>
      </w:r>
      <w:r w:rsidR="0758EAF8" w:rsidRPr="00D47245">
        <w:rPr>
          <w:sz w:val="16"/>
          <w:szCs w:val="16"/>
        </w:rPr>
        <w:t>,</w:t>
      </w:r>
      <w:r w:rsidRPr="00D47245">
        <w:rPr>
          <w:sz w:val="16"/>
          <w:szCs w:val="16"/>
        </w:rPr>
        <w:t xml:space="preserve"> including acts of God, lightning, storm, flood, fire, earthquake or any other natural disaster, explosion, pandemic or epidemic</w:t>
      </w:r>
    </w:p>
    <w:p w14:paraId="7429DAA9" w14:textId="77777777" w:rsidR="002D42C1" w:rsidRPr="00D47245" w:rsidRDefault="002D42C1" w:rsidP="00ED094E">
      <w:pPr>
        <w:rPr>
          <w:sz w:val="16"/>
          <w:szCs w:val="16"/>
        </w:rPr>
      </w:pPr>
      <w:r w:rsidRPr="00D47245">
        <w:rPr>
          <w:b/>
          <w:sz w:val="16"/>
          <w:szCs w:val="16"/>
        </w:rPr>
        <w:t>Note 3:</w:t>
      </w:r>
      <w:r w:rsidRPr="00D47245">
        <w:rPr>
          <w:sz w:val="16"/>
          <w:szCs w:val="16"/>
        </w:rPr>
        <w:t xml:space="preserve"> Minimum notice periods for planned interruptions</w:t>
      </w:r>
    </w:p>
    <w:p w14:paraId="04B66B9A" w14:textId="28957F9C" w:rsidR="002D42C1" w:rsidRPr="00D47245" w:rsidRDefault="002D42C1" w:rsidP="00362808">
      <w:pPr>
        <w:pStyle w:val="ListBullet"/>
        <w:rPr>
          <w:sz w:val="16"/>
          <w:szCs w:val="16"/>
        </w:rPr>
      </w:pPr>
      <w:r w:rsidRPr="00D47245">
        <w:rPr>
          <w:sz w:val="16"/>
          <w:szCs w:val="16"/>
        </w:rPr>
        <w:t xml:space="preserve">For planned water or sewer service interruptions, </w:t>
      </w:r>
      <w:r w:rsidR="00E7119E">
        <w:rPr>
          <w:sz w:val="16"/>
          <w:szCs w:val="16"/>
        </w:rPr>
        <w:t>metropolitan water corporation</w:t>
      </w:r>
      <w:r w:rsidRPr="00D47245">
        <w:rPr>
          <w:sz w:val="16"/>
          <w:szCs w:val="16"/>
        </w:rPr>
        <w:t xml:space="preserve"> to be advised 14 days in advance or by agreement 7 days in advance (Control Room to Control Room). </w:t>
      </w:r>
    </w:p>
    <w:p w14:paraId="654A9D21" w14:textId="2F126DCF" w:rsidR="002D42C1" w:rsidRPr="00D47245" w:rsidRDefault="002D42C1" w:rsidP="00362808">
      <w:pPr>
        <w:pStyle w:val="ListBullet"/>
        <w:rPr>
          <w:sz w:val="16"/>
          <w:szCs w:val="16"/>
        </w:rPr>
      </w:pPr>
      <w:r w:rsidRPr="00D47245">
        <w:rPr>
          <w:sz w:val="16"/>
          <w:szCs w:val="16"/>
        </w:rPr>
        <w:lastRenderedPageBreak/>
        <w:t xml:space="preserve">For change of primary water source, </w:t>
      </w:r>
      <w:r w:rsidR="00E7119E">
        <w:rPr>
          <w:sz w:val="16"/>
          <w:szCs w:val="16"/>
        </w:rPr>
        <w:t>metropolitan water corporation</w:t>
      </w:r>
      <w:r w:rsidRPr="00D47245">
        <w:rPr>
          <w:sz w:val="16"/>
          <w:szCs w:val="16"/>
        </w:rPr>
        <w:t xml:space="preserve"> to be advised per the schedule below (or less by agreement or emergency</w:t>
      </w:r>
      <w:r w:rsidRPr="00B822F7">
        <w:rPr>
          <w:sz w:val="16"/>
          <w:szCs w:val="16"/>
          <w:vertAlign w:val="superscript"/>
        </w:rPr>
        <w:t>4</w:t>
      </w:r>
      <w:r w:rsidRPr="00D47245">
        <w:rPr>
          <w:sz w:val="16"/>
          <w:szCs w:val="16"/>
        </w:rPr>
        <w:t xml:space="preserve">) in advance of change (Control Room to Control Room): </w:t>
      </w:r>
    </w:p>
    <w:p w14:paraId="7A7ADEF0" w14:textId="7E80E754" w:rsidR="002D42C1" w:rsidRPr="00D47245" w:rsidRDefault="002D42C1" w:rsidP="00362808">
      <w:pPr>
        <w:pStyle w:val="ListBullet2"/>
        <w:rPr>
          <w:sz w:val="16"/>
          <w:szCs w:val="16"/>
        </w:rPr>
      </w:pPr>
      <w:r w:rsidRPr="00D47245">
        <w:rPr>
          <w:sz w:val="16"/>
          <w:szCs w:val="16"/>
        </w:rPr>
        <w:t>St Albans supply from Winneke vs Greenvale (via Sharps Road)</w:t>
      </w:r>
      <w:r w:rsidRPr="00D47245">
        <w:rPr>
          <w:sz w:val="16"/>
          <w:szCs w:val="16"/>
        </w:rPr>
        <w:tab/>
      </w:r>
      <w:r w:rsidRPr="00D47245">
        <w:rPr>
          <w:sz w:val="16"/>
          <w:szCs w:val="16"/>
        </w:rPr>
        <w:tab/>
      </w:r>
      <w:r w:rsidRPr="00D47245">
        <w:rPr>
          <w:sz w:val="16"/>
          <w:szCs w:val="16"/>
        </w:rPr>
        <w:tab/>
      </w:r>
      <w:r>
        <w:rPr>
          <w:sz w:val="16"/>
          <w:szCs w:val="16"/>
        </w:rPr>
        <w:tab/>
      </w:r>
      <w:r>
        <w:rPr>
          <w:sz w:val="16"/>
          <w:szCs w:val="16"/>
        </w:rPr>
        <w:tab/>
      </w:r>
      <w:r w:rsidRPr="00D47245">
        <w:rPr>
          <w:sz w:val="16"/>
          <w:szCs w:val="16"/>
        </w:rPr>
        <w:t>2 business days</w:t>
      </w:r>
    </w:p>
    <w:p w14:paraId="56C7A93A" w14:textId="1697E03F" w:rsidR="002D42C1" w:rsidRPr="00D47245" w:rsidRDefault="002D42C1" w:rsidP="00362808">
      <w:pPr>
        <w:pStyle w:val="ListBullet2"/>
        <w:rPr>
          <w:sz w:val="16"/>
          <w:szCs w:val="16"/>
        </w:rPr>
      </w:pPr>
      <w:r w:rsidRPr="00D47245">
        <w:rPr>
          <w:sz w:val="16"/>
          <w:szCs w:val="16"/>
        </w:rPr>
        <w:t>Greenvale by-pass (Winneke / Silvan shandy)</w:t>
      </w:r>
      <w:r w:rsidRPr="00D47245">
        <w:rPr>
          <w:sz w:val="16"/>
          <w:szCs w:val="16"/>
        </w:rPr>
        <w:tab/>
      </w:r>
      <w:r w:rsidRPr="00D47245">
        <w:rPr>
          <w:sz w:val="16"/>
          <w:szCs w:val="16"/>
        </w:rPr>
        <w:tab/>
      </w:r>
      <w:r w:rsidRPr="00D47245">
        <w:rPr>
          <w:sz w:val="16"/>
          <w:szCs w:val="16"/>
        </w:rPr>
        <w:tab/>
      </w:r>
      <w:r w:rsidRPr="00D47245">
        <w:rPr>
          <w:sz w:val="16"/>
          <w:szCs w:val="16"/>
        </w:rPr>
        <w:tab/>
      </w:r>
      <w:r w:rsidRPr="00D47245">
        <w:rPr>
          <w:sz w:val="16"/>
          <w:szCs w:val="16"/>
        </w:rPr>
        <w:tab/>
      </w:r>
      <w:r>
        <w:rPr>
          <w:sz w:val="16"/>
          <w:szCs w:val="16"/>
        </w:rPr>
        <w:tab/>
      </w:r>
      <w:r>
        <w:rPr>
          <w:sz w:val="16"/>
          <w:szCs w:val="16"/>
        </w:rPr>
        <w:tab/>
      </w:r>
      <w:r w:rsidRPr="00D47245">
        <w:rPr>
          <w:sz w:val="16"/>
          <w:szCs w:val="16"/>
        </w:rPr>
        <w:t>2 business days</w:t>
      </w:r>
    </w:p>
    <w:p w14:paraId="44B402A4" w14:textId="42738DC5" w:rsidR="002D42C1" w:rsidRPr="00D47245" w:rsidRDefault="002D42C1" w:rsidP="00362808">
      <w:pPr>
        <w:pStyle w:val="ListBullet2"/>
        <w:rPr>
          <w:sz w:val="16"/>
          <w:szCs w:val="16"/>
        </w:rPr>
      </w:pPr>
      <w:r w:rsidRPr="00D47245">
        <w:rPr>
          <w:sz w:val="16"/>
          <w:szCs w:val="16"/>
        </w:rPr>
        <w:t>Tarago to Cardinia, CP1 &gt;50</w:t>
      </w:r>
      <w:r w:rsidR="5F58E770" w:rsidRPr="00D47245">
        <w:rPr>
          <w:sz w:val="16"/>
          <w:szCs w:val="16"/>
        </w:rPr>
        <w:t xml:space="preserve"> per cent</w:t>
      </w:r>
      <w:r w:rsidRPr="00D47245">
        <w:rPr>
          <w:sz w:val="16"/>
          <w:szCs w:val="16"/>
        </w:rPr>
        <w:t xml:space="preserve"> change in desalinated supply vs Cardinia supply to Peninsula</w:t>
      </w:r>
      <w:r w:rsidRPr="00D47245">
        <w:rPr>
          <w:sz w:val="16"/>
          <w:szCs w:val="16"/>
        </w:rPr>
        <w:tab/>
        <w:t>2 business days</w:t>
      </w:r>
    </w:p>
    <w:p w14:paraId="48D62EFC" w14:textId="3A16CA35" w:rsidR="002D42C1" w:rsidRPr="00D47245" w:rsidRDefault="002D42C1" w:rsidP="00362808">
      <w:pPr>
        <w:pStyle w:val="ListBullet2"/>
        <w:rPr>
          <w:sz w:val="16"/>
          <w:szCs w:val="16"/>
        </w:rPr>
      </w:pPr>
      <w:r w:rsidRPr="00D47245">
        <w:rPr>
          <w:sz w:val="16"/>
          <w:szCs w:val="16"/>
        </w:rPr>
        <w:t>Upper Yarra to O’Shannassy / Tribs for Yarra Valley Towns</w:t>
      </w:r>
      <w:r w:rsidRPr="00D47245">
        <w:rPr>
          <w:sz w:val="16"/>
          <w:szCs w:val="16"/>
        </w:rPr>
        <w:tab/>
      </w:r>
      <w:r w:rsidRPr="00D47245">
        <w:rPr>
          <w:sz w:val="16"/>
          <w:szCs w:val="16"/>
        </w:rPr>
        <w:tab/>
      </w:r>
      <w:r w:rsidRPr="00D47245">
        <w:rPr>
          <w:sz w:val="16"/>
          <w:szCs w:val="16"/>
        </w:rPr>
        <w:tab/>
      </w:r>
      <w:r>
        <w:rPr>
          <w:sz w:val="16"/>
          <w:szCs w:val="16"/>
        </w:rPr>
        <w:tab/>
      </w:r>
      <w:r>
        <w:rPr>
          <w:sz w:val="16"/>
          <w:szCs w:val="16"/>
        </w:rPr>
        <w:tab/>
      </w:r>
      <w:r w:rsidRPr="00D47245">
        <w:rPr>
          <w:sz w:val="16"/>
          <w:szCs w:val="16"/>
        </w:rPr>
        <w:t>2 business days</w:t>
      </w:r>
    </w:p>
    <w:p w14:paraId="5BD5587B" w14:textId="2AB8BB0F" w:rsidR="002D42C1" w:rsidRPr="00D47245" w:rsidRDefault="002D42C1" w:rsidP="00362808">
      <w:pPr>
        <w:pStyle w:val="ListBullet2"/>
        <w:rPr>
          <w:sz w:val="16"/>
          <w:szCs w:val="16"/>
        </w:rPr>
      </w:pPr>
      <w:r w:rsidRPr="00D47245">
        <w:rPr>
          <w:sz w:val="16"/>
          <w:szCs w:val="16"/>
        </w:rPr>
        <w:t>Winneke to Silvan for Yan Yean / Plenty corridor &amp; Western Transfer main</w:t>
      </w:r>
      <w:r w:rsidRPr="00D47245">
        <w:rPr>
          <w:sz w:val="16"/>
          <w:szCs w:val="16"/>
        </w:rPr>
        <w:tab/>
      </w:r>
      <w:r w:rsidRPr="00D47245">
        <w:rPr>
          <w:sz w:val="16"/>
          <w:szCs w:val="16"/>
        </w:rPr>
        <w:tab/>
      </w:r>
      <w:r>
        <w:rPr>
          <w:sz w:val="16"/>
          <w:szCs w:val="16"/>
        </w:rPr>
        <w:tab/>
      </w:r>
      <w:r>
        <w:rPr>
          <w:sz w:val="16"/>
          <w:szCs w:val="16"/>
        </w:rPr>
        <w:tab/>
      </w:r>
      <w:r w:rsidRPr="00D47245">
        <w:rPr>
          <w:sz w:val="16"/>
          <w:szCs w:val="16"/>
        </w:rPr>
        <w:t>7 business days</w:t>
      </w:r>
      <w:r w:rsidR="33E3E4C9" w:rsidRPr="00D47245">
        <w:rPr>
          <w:sz w:val="16"/>
          <w:szCs w:val="16"/>
        </w:rPr>
        <w:t>.</w:t>
      </w:r>
    </w:p>
    <w:p w14:paraId="22B045D8" w14:textId="77777777" w:rsidR="002D42C1" w:rsidRPr="00D47245" w:rsidRDefault="002D42C1" w:rsidP="00ED094E">
      <w:pPr>
        <w:rPr>
          <w:sz w:val="16"/>
          <w:szCs w:val="16"/>
        </w:rPr>
      </w:pPr>
      <w:r w:rsidRPr="00D47245">
        <w:rPr>
          <w:b/>
          <w:sz w:val="16"/>
          <w:szCs w:val="16"/>
        </w:rPr>
        <w:t>Note 4:</w:t>
      </w:r>
      <w:r w:rsidRPr="00D47245">
        <w:rPr>
          <w:sz w:val="16"/>
          <w:szCs w:val="16"/>
        </w:rPr>
        <w:t xml:space="preserve"> Emergency event</w:t>
      </w:r>
    </w:p>
    <w:p w14:paraId="5F743D2B" w14:textId="73A86E49" w:rsidR="002D42C1" w:rsidRPr="00D47245" w:rsidRDefault="002D42C1" w:rsidP="001C0B3A">
      <w:pPr>
        <w:pStyle w:val="ListBullet"/>
        <w:spacing w:after="100" w:afterAutospacing="1" w:line="320" w:lineRule="atLeast"/>
        <w:rPr>
          <w:sz w:val="16"/>
          <w:szCs w:val="16"/>
        </w:rPr>
      </w:pPr>
      <w:r w:rsidRPr="00D47245">
        <w:rPr>
          <w:sz w:val="16"/>
          <w:szCs w:val="16"/>
        </w:rPr>
        <w:t>Change required to avert significant supply disruption or water quality issue</w:t>
      </w:r>
      <w:r w:rsidR="0B6E6C0D" w:rsidRPr="00D47245">
        <w:rPr>
          <w:sz w:val="16"/>
          <w:szCs w:val="16"/>
        </w:rPr>
        <w:t>,</w:t>
      </w:r>
      <w:r w:rsidRPr="00D47245">
        <w:rPr>
          <w:sz w:val="16"/>
          <w:szCs w:val="16"/>
        </w:rPr>
        <w:t xml:space="preserve"> but supply remains B</w:t>
      </w:r>
      <w:r w:rsidR="64178FCE" w:rsidRPr="00D47245">
        <w:rPr>
          <w:sz w:val="16"/>
          <w:szCs w:val="16"/>
        </w:rPr>
        <w:t xml:space="preserve">ulk </w:t>
      </w:r>
      <w:r w:rsidRPr="00D47245">
        <w:rPr>
          <w:sz w:val="16"/>
          <w:szCs w:val="16"/>
        </w:rPr>
        <w:t>W</w:t>
      </w:r>
      <w:r w:rsidR="58451674" w:rsidRPr="00D47245">
        <w:rPr>
          <w:sz w:val="16"/>
          <w:szCs w:val="16"/>
        </w:rPr>
        <w:t xml:space="preserve">ater </w:t>
      </w:r>
      <w:r w:rsidRPr="00D47245">
        <w:rPr>
          <w:sz w:val="16"/>
          <w:szCs w:val="16"/>
        </w:rPr>
        <w:t>S</w:t>
      </w:r>
      <w:r w:rsidR="00798CEF" w:rsidRPr="00D47245">
        <w:rPr>
          <w:sz w:val="16"/>
          <w:szCs w:val="16"/>
        </w:rPr>
        <w:t xml:space="preserve">upply </w:t>
      </w:r>
      <w:r w:rsidRPr="00D47245">
        <w:rPr>
          <w:sz w:val="16"/>
          <w:szCs w:val="16"/>
        </w:rPr>
        <w:t>A</w:t>
      </w:r>
      <w:r w:rsidR="2363A914" w:rsidRPr="00D47245">
        <w:rPr>
          <w:sz w:val="16"/>
          <w:szCs w:val="16"/>
        </w:rPr>
        <w:t>greement</w:t>
      </w:r>
      <w:r w:rsidRPr="00D47245">
        <w:rPr>
          <w:sz w:val="16"/>
          <w:szCs w:val="16"/>
        </w:rPr>
        <w:t xml:space="preserve"> compliant</w:t>
      </w:r>
      <w:r w:rsidR="5825F80A" w:rsidRPr="00D47245">
        <w:rPr>
          <w:sz w:val="16"/>
          <w:szCs w:val="16"/>
        </w:rPr>
        <w:t>.</w:t>
      </w:r>
    </w:p>
    <w:sectPr w:rsidR="002D42C1" w:rsidRPr="00D47245" w:rsidSect="001C0B3A">
      <w:pgSz w:w="16838" w:h="11906" w:orient="landscape" w:code="9"/>
      <w:pgMar w:top="1134" w:right="1134" w:bottom="1134" w:left="1134"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21361" w14:textId="77777777" w:rsidR="00BB11D1" w:rsidRDefault="00BB11D1" w:rsidP="00256624">
      <w:r>
        <w:separator/>
      </w:r>
    </w:p>
    <w:p w14:paraId="1EEE36E6" w14:textId="77777777" w:rsidR="00BB11D1" w:rsidRDefault="00BB11D1"/>
  </w:endnote>
  <w:endnote w:type="continuationSeparator" w:id="0">
    <w:p w14:paraId="6E1F9691" w14:textId="77777777" w:rsidR="00BB11D1" w:rsidRDefault="00BB11D1" w:rsidP="00256624">
      <w:r>
        <w:continuationSeparator/>
      </w:r>
    </w:p>
    <w:p w14:paraId="4CE01A15" w14:textId="77777777" w:rsidR="00BB11D1" w:rsidRDefault="00BB1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NIAX E+ Bliss">
    <w:altName w:val="Times New Roman"/>
    <w:charset w:val="00"/>
    <w:family w:val="auto"/>
    <w:pitch w:val="default"/>
  </w:font>
  <w:font w:name="Bliss">
    <w:altName w:val="Times New Roman"/>
    <w:charset w:val="00"/>
    <w:family w:val="auto"/>
    <w:pitch w:val="default"/>
  </w:font>
  <w:font w:name="Bliss-Light">
    <w:altName w:val="Times New Roman"/>
    <w:panose1 w:val="00000000000000000000"/>
    <w:charset w:val="00"/>
    <w:family w:val="auto"/>
    <w:notTrueType/>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Bliss Light">
    <w:altName w:val="Calibri"/>
    <w:panose1 w:val="00000000000000000000"/>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2001D07" w14:paraId="12DA45B5" w14:textId="77777777" w:rsidTr="72001D07">
      <w:trPr>
        <w:trHeight w:val="300"/>
      </w:trPr>
      <w:tc>
        <w:tcPr>
          <w:tcW w:w="3210" w:type="dxa"/>
        </w:tcPr>
        <w:p w14:paraId="064AA7C3" w14:textId="1273E00E" w:rsidR="72001D07" w:rsidRDefault="72001D07" w:rsidP="72001D07">
          <w:pPr>
            <w:pStyle w:val="Header"/>
            <w:ind w:left="-115"/>
            <w:jc w:val="left"/>
          </w:pPr>
        </w:p>
      </w:tc>
      <w:tc>
        <w:tcPr>
          <w:tcW w:w="3210" w:type="dxa"/>
        </w:tcPr>
        <w:p w14:paraId="637C609C" w14:textId="6C06D760" w:rsidR="72001D07" w:rsidRDefault="72001D07" w:rsidP="72001D07">
          <w:pPr>
            <w:pStyle w:val="Header"/>
            <w:jc w:val="center"/>
          </w:pPr>
        </w:p>
      </w:tc>
      <w:tc>
        <w:tcPr>
          <w:tcW w:w="3210" w:type="dxa"/>
        </w:tcPr>
        <w:p w14:paraId="5A890394" w14:textId="07951144" w:rsidR="72001D07" w:rsidRDefault="72001D07" w:rsidP="72001D07">
          <w:pPr>
            <w:pStyle w:val="Header"/>
            <w:ind w:right="-115"/>
          </w:pPr>
        </w:p>
      </w:tc>
    </w:tr>
  </w:tbl>
  <w:p w14:paraId="6EB39342" w14:textId="355D5128" w:rsidR="001D70FA" w:rsidRDefault="001D70F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595BC" w14:textId="77777777" w:rsidR="00767B75" w:rsidRDefault="00767B7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179545732"/>
      <w:docPartObj>
        <w:docPartGallery w:val="Page Numbers (Bottom of Page)"/>
        <w:docPartUnique/>
      </w:docPartObj>
    </w:sdtPr>
    <w:sdtEndPr>
      <w:rPr>
        <w:noProof/>
      </w:rPr>
    </w:sdtEndPr>
    <w:sdtContent>
      <w:p w14:paraId="504A276A" w14:textId="4F8E5A34" w:rsidR="008F1DB2" w:rsidRDefault="008F1DB2">
        <w:pPr>
          <w:pStyle w:val="Footer"/>
        </w:pPr>
        <w:r>
          <w:rPr>
            <w:noProof w:val="0"/>
          </w:rPr>
          <w:fldChar w:fldCharType="begin"/>
        </w:r>
        <w:r>
          <w:instrText xml:space="preserve"> PAGE   \* MERGEFORMAT </w:instrText>
        </w:r>
        <w:r>
          <w:rPr>
            <w:noProof w:val="0"/>
          </w:rPr>
          <w:fldChar w:fldCharType="separate"/>
        </w:r>
        <w:r>
          <w:t>2</w:t>
        </w:r>
        <w:r>
          <w:fldChar w:fldCharType="end"/>
        </w:r>
      </w:p>
    </w:sdtContent>
  </w:sdt>
  <w:p w14:paraId="14E996BA" w14:textId="77777777" w:rsidR="00767B75" w:rsidRDefault="00767B7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D5BD2" w14:textId="77777777" w:rsidR="00767B75" w:rsidRDefault="00767B7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86B" w14:textId="77777777" w:rsidR="009B637D" w:rsidRPr="00B03007" w:rsidRDefault="00B03007" w:rsidP="00B03007">
    <w:pPr>
      <w:pStyle w:val="Footer"/>
    </w:pPr>
    <w:r>
      <w:rPr>
        <w:noProof w:val="0"/>
      </w:rPr>
      <w:fldChar w:fldCharType="begin"/>
    </w:r>
    <w:r>
      <w:instrText xml:space="preserve"> PAGE   \* MERGEFORMAT </w:instrText>
    </w:r>
    <w:r>
      <w:rPr>
        <w:noProof w:val="0"/>
      </w:rPr>
      <w:fldChar w:fldCharType="separate"/>
    </w:r>
    <w:r>
      <w:t>1</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BA41" w14:textId="77777777" w:rsidR="00046BD5" w:rsidRPr="00B03007" w:rsidRDefault="00046BD5" w:rsidP="00B03007">
    <w:pPr>
      <w:pStyle w:val="Footer"/>
    </w:pPr>
    <w:r>
      <w:rPr>
        <w:noProof w:val="0"/>
      </w:rPr>
      <w:fldChar w:fldCharType="begin"/>
    </w:r>
    <w:r>
      <w:instrText xml:space="preserve"> PAGE   \* MERGEFORMAT </w:instrText>
    </w:r>
    <w:r>
      <w:rPr>
        <w:noProof w:val="0"/>
      </w:rPr>
      <w:fldChar w:fldCharType="separate"/>
    </w:r>
    <w:r>
      <w:t>1</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FA582" w14:textId="77777777" w:rsidR="002D42C1" w:rsidRDefault="002D42C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2DB2" w14:textId="77777777" w:rsidR="002D42C1" w:rsidRPr="00B03007" w:rsidRDefault="002D42C1" w:rsidP="00B03007">
    <w:pPr>
      <w:pStyle w:val="Footer"/>
    </w:pPr>
    <w:r>
      <w:rPr>
        <w:noProof w:val="0"/>
      </w:rPr>
      <w:fldChar w:fldCharType="begin"/>
    </w:r>
    <w:r>
      <w:instrText xml:space="preserve"> PAGE   \* MERGEFORMAT </w:instrText>
    </w:r>
    <w:r>
      <w:rPr>
        <w:noProof w:val="0"/>
      </w:rPr>
      <w:fldChar w:fldCharType="separate"/>
    </w:r>
    <w:r>
      <w:t>1</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5DD15" w14:textId="77777777" w:rsidR="002D42C1" w:rsidRDefault="002D42C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40E95" w14:textId="77777777" w:rsidR="002D42C1" w:rsidRDefault="002D42C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671FD" w14:textId="77777777" w:rsidR="002D42C1" w:rsidRDefault="002D42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48DA9" w14:textId="3FBC7EAC" w:rsidR="001D70FA" w:rsidRDefault="001D70F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C3B33" w14:textId="77777777" w:rsidR="002D42C1" w:rsidRDefault="002D42C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A15C9" w14:textId="77777777" w:rsidR="002D42C1" w:rsidRDefault="002D42C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863D3" w14:textId="25C1D5D8" w:rsidR="002D42C1" w:rsidRDefault="00DB791E">
    <w:pPr>
      <w:pStyle w:val="Footer"/>
    </w:pPr>
    <w:r>
      <w:rPr>
        <w:noProof w:val="0"/>
      </w:rPr>
      <w:fldChar w:fldCharType="begin"/>
    </w:r>
    <w:r>
      <w:instrText xml:space="preserve"> PAGE   \* MERGEFORMAT </w:instrText>
    </w:r>
    <w:r>
      <w:rPr>
        <w:noProof w:val="0"/>
      </w:rPr>
      <w:fldChar w:fldCharType="separate"/>
    </w:r>
    <w:r>
      <w:t>1</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A0F4F" w14:textId="77777777" w:rsidR="002D42C1" w:rsidRDefault="002D42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DF31" w14:textId="77777777" w:rsidR="00767B75" w:rsidRDefault="00767B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AF22C" w14:textId="5537FE80" w:rsidR="00767B75" w:rsidRDefault="00767B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E184B" w14:textId="77777777" w:rsidR="00767B75" w:rsidRDefault="00767B7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77F36" w14:textId="77777777" w:rsidR="00990566" w:rsidRDefault="00990566">
    <w:pPr>
      <w:pStyle w:val="Footer"/>
    </w:pPr>
    <w:r>
      <w:rPr>
        <w:noProof w:val="0"/>
      </w:rPr>
      <w:fldChar w:fldCharType="begin"/>
    </w:r>
    <w:r>
      <w:instrText xml:space="preserve"> PAGE   \* MERGEFORMAT </w:instrText>
    </w:r>
    <w:r>
      <w:rPr>
        <w:noProof w:val="0"/>
      </w:rPr>
      <w:fldChar w:fldCharType="separate"/>
    </w:r>
    <w: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B1B7F" w14:textId="77777777" w:rsidR="00767B75" w:rsidRDefault="00767B7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805379467"/>
      <w:docPartObj>
        <w:docPartGallery w:val="Page Numbers (Bottom of Page)"/>
        <w:docPartUnique/>
      </w:docPartObj>
    </w:sdtPr>
    <w:sdtEndPr>
      <w:rPr>
        <w:noProof/>
      </w:rPr>
    </w:sdtEndPr>
    <w:sdtContent>
      <w:p w14:paraId="5637038F" w14:textId="248C09D6" w:rsidR="00767B75" w:rsidRDefault="00CC2561" w:rsidP="00CC2561">
        <w:pPr>
          <w:pStyle w:val="Footer"/>
        </w:pPr>
        <w:r>
          <w:rPr>
            <w:noProof w:val="0"/>
          </w:rPr>
          <w:fldChar w:fldCharType="begin"/>
        </w:r>
        <w:r>
          <w:instrText xml:space="preserve"> PAGE   \* MERGEFORMAT </w:instrText>
        </w:r>
        <w:r>
          <w:rPr>
            <w:noProof w:val="0"/>
          </w:rPr>
          <w:fldChar w:fldCharType="separate"/>
        </w:r>
        <w:r>
          <w:t>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CACCF" w14:textId="77777777" w:rsidR="00767B75" w:rsidRDefault="00767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F0A25" w14:textId="77777777" w:rsidR="00BB11D1" w:rsidRDefault="00BB11D1" w:rsidP="00256624">
      <w:r>
        <w:separator/>
      </w:r>
    </w:p>
    <w:p w14:paraId="67E4EF60" w14:textId="77777777" w:rsidR="00BB11D1" w:rsidRDefault="00BB11D1"/>
  </w:footnote>
  <w:footnote w:type="continuationSeparator" w:id="0">
    <w:p w14:paraId="6C017948" w14:textId="77777777" w:rsidR="00BB11D1" w:rsidRDefault="00BB11D1" w:rsidP="00256624">
      <w:r>
        <w:continuationSeparator/>
      </w:r>
    </w:p>
    <w:p w14:paraId="0F96AF54" w14:textId="77777777" w:rsidR="00BB11D1" w:rsidRDefault="00BB11D1"/>
  </w:footnote>
  <w:footnote w:id="1">
    <w:p w14:paraId="00BA5C1F" w14:textId="5CFA185D" w:rsidR="00622B76" w:rsidRDefault="00622B76">
      <w:pPr>
        <w:pStyle w:val="FootnoteText"/>
      </w:pPr>
      <w:r>
        <w:rPr>
          <w:rStyle w:val="FootnoteReference"/>
        </w:rPr>
        <w:footnoteRef/>
      </w:r>
      <w:r>
        <w:t xml:space="preserve"> Including partial capitalisation of contract cost payment for Victorian Desalination Project </w:t>
      </w:r>
    </w:p>
  </w:footnote>
  <w:footnote w:id="2">
    <w:p w14:paraId="43022F7B" w14:textId="64F7516A" w:rsidR="001D5D6B" w:rsidRDefault="001D5D6B" w:rsidP="001D5D6B">
      <w:pPr>
        <w:pStyle w:val="FootnoteText"/>
      </w:pPr>
      <w:r>
        <w:rPr>
          <w:rStyle w:val="FootnoteReference"/>
        </w:rPr>
        <w:footnoteRef/>
      </w:r>
      <w:r>
        <w:t xml:space="preserve"> Note that the </w:t>
      </w:r>
      <w:r w:rsidR="7F9C7A5E">
        <w:t>O</w:t>
      </w:r>
      <w:r>
        <w:t xml:space="preserve">utcomes reporting is in </w:t>
      </w:r>
      <w:r w:rsidR="7F9C7A5E">
        <w:t>$</w:t>
      </w:r>
      <w:r>
        <w:t xml:space="preserve">real 2020-21 to align with Melbourne Water’s 2021 Determination. </w:t>
      </w:r>
    </w:p>
  </w:footnote>
  <w:footnote w:id="3">
    <w:p w14:paraId="2E64EADB" w14:textId="3CD3AC11" w:rsidR="005A76C0" w:rsidRDefault="005A76C0">
      <w:pPr>
        <w:pStyle w:val="FootnoteText"/>
      </w:pPr>
      <w:r>
        <w:rPr>
          <w:rStyle w:val="FootnoteReference"/>
        </w:rPr>
        <w:footnoteRef/>
      </w:r>
      <w:r>
        <w:t xml:space="preserve"> </w:t>
      </w:r>
      <w:r w:rsidR="00AF61B1" w:rsidRPr="00AF61B1">
        <w:t>Direct service customers are Tidal Waterways and Quiet Lakes in the Patterson Lakes area who services specific to their properties, including maintenance of jetties and bore flushing of lakes that abut their properties. Precept rate customers refer to property owners in the Koo Wee Rup–Longwarry Flood Protection District.</w:t>
      </w:r>
    </w:p>
  </w:footnote>
  <w:footnote w:id="4">
    <w:p w14:paraId="1E44E718" w14:textId="1596D27D" w:rsidR="00447ED1" w:rsidRDefault="00447ED1">
      <w:pPr>
        <w:pStyle w:val="FootnoteText"/>
      </w:pPr>
      <w:r>
        <w:rPr>
          <w:rStyle w:val="FootnoteReference"/>
        </w:rPr>
        <w:footnoteRef/>
      </w:r>
      <w:r>
        <w:t xml:space="preserve"> </w:t>
      </w:r>
      <w:r w:rsidR="007B5FAF">
        <w:t xml:space="preserve">We engaged with Southern Rural Water through other mechanisms to ensure </w:t>
      </w:r>
      <w:r w:rsidR="001119D3">
        <w:t>their voices and interests were reflected in the submission.</w:t>
      </w:r>
    </w:p>
  </w:footnote>
  <w:footnote w:id="5">
    <w:p w14:paraId="196A6C3C" w14:textId="77777777" w:rsidR="00A57A55" w:rsidRDefault="00A57A55" w:rsidP="00A57A55">
      <w:pPr>
        <w:pStyle w:val="FootnoteText"/>
      </w:pPr>
      <w:r>
        <w:rPr>
          <w:rStyle w:val="FootnoteReference"/>
        </w:rPr>
        <w:footnoteRef/>
      </w:r>
      <w:r>
        <w:t xml:space="preserve"> See </w:t>
      </w:r>
      <w:hyperlink r:id="rId1" w:history="1">
        <w:r w:rsidRPr="00257F3F">
          <w:rPr>
            <w:rStyle w:val="Hyperlink"/>
          </w:rPr>
          <w:t>Principles-for-provision-of-waterway-and-drainage-services-for-urban-growth.pdf</w:t>
        </w:r>
      </w:hyperlink>
    </w:p>
  </w:footnote>
  <w:footnote w:id="6">
    <w:p w14:paraId="4086C25A" w14:textId="5E704305" w:rsidR="00441980" w:rsidRDefault="00441980">
      <w:pPr>
        <w:pStyle w:val="FootnoteText"/>
      </w:pPr>
      <w:r w:rsidRPr="7C57A136">
        <w:rPr>
          <w:rStyle w:val="FootnoteReference"/>
        </w:rPr>
        <w:footnoteRef/>
      </w:r>
      <w:r>
        <w:t xml:space="preserve"> We are proposing to amend this measure in </w:t>
      </w:r>
      <w:r w:rsidR="00D50803">
        <w:t>y</w:t>
      </w:r>
      <w:r>
        <w:t xml:space="preserve">ear 2 of the regulatory period to shift towards a more reflective measure of satisfaction with our delivery of our waterways service. We are proposing to distinguish between waterway customers and will be developed as part of forums set up for the </w:t>
      </w:r>
      <w:r w:rsidR="40AD8E0A">
        <w:t>WDIP</w:t>
      </w:r>
      <w:r>
        <w:t xml:space="preserve"> work and next iteration of the </w:t>
      </w:r>
      <w:r w:rsidRPr="00D6284D">
        <w:rPr>
          <w:i/>
          <w:iCs/>
        </w:rPr>
        <w:t>Healthy Waterways Strategy</w:t>
      </w:r>
      <w:r>
        <w:t>. In the interim, we will continue to monitor and track overall satisfaction with our waterways service until a more appropriate measure is developed.</w:t>
      </w:r>
    </w:p>
  </w:footnote>
  <w:footnote w:id="7">
    <w:p w14:paraId="0CDAD555" w14:textId="77777777" w:rsidR="00767B75" w:rsidRPr="006E001D" w:rsidRDefault="00767B75">
      <w:pPr>
        <w:pStyle w:val="FootnoteText"/>
        <w:rPr>
          <w:sz w:val="18"/>
          <w:szCs w:val="18"/>
        </w:rPr>
      </w:pPr>
      <w:r>
        <w:rPr>
          <w:rStyle w:val="FootnoteReference"/>
        </w:rPr>
        <w:footnoteRef/>
      </w:r>
      <w:r>
        <w:t xml:space="preserve"> </w:t>
      </w:r>
      <w:r w:rsidRPr="006E001D">
        <w:rPr>
          <w:i/>
          <w:iCs/>
          <w:sz w:val="18"/>
          <w:szCs w:val="18"/>
        </w:rPr>
        <w:t>Clause 16(2) of the Safe Drinking Water Regulations (2025)</w:t>
      </w:r>
    </w:p>
  </w:footnote>
  <w:footnote w:id="8">
    <w:p w14:paraId="4236E12A" w14:textId="05C1C127" w:rsidR="00767B75" w:rsidRPr="006E001D" w:rsidRDefault="00767B75">
      <w:pPr>
        <w:pStyle w:val="FootnoteText"/>
        <w:rPr>
          <w:sz w:val="18"/>
          <w:szCs w:val="18"/>
        </w:rPr>
      </w:pPr>
      <w:r w:rsidRPr="006E001D">
        <w:rPr>
          <w:rStyle w:val="FootnoteReference"/>
          <w:sz w:val="18"/>
          <w:szCs w:val="18"/>
        </w:rPr>
        <w:footnoteRef/>
      </w:r>
      <w:r w:rsidRPr="006E001D">
        <w:rPr>
          <w:sz w:val="18"/>
          <w:szCs w:val="18"/>
        </w:rPr>
        <w:t xml:space="preserve"> </w:t>
      </w:r>
      <w:r w:rsidRPr="006E001D">
        <w:rPr>
          <w:i/>
          <w:iCs/>
          <w:sz w:val="18"/>
          <w:szCs w:val="18"/>
        </w:rPr>
        <w:t>Excludes events that are beyond the reasonable control of Melbourne Water</w:t>
      </w:r>
      <w:r w:rsidR="40AD8E0A" w:rsidRPr="40AD8E0A">
        <w:rPr>
          <w:i/>
          <w:iCs/>
          <w:sz w:val="18"/>
          <w:szCs w:val="18"/>
        </w:rPr>
        <w:t>,</w:t>
      </w:r>
      <w:r w:rsidRPr="006E001D">
        <w:rPr>
          <w:i/>
          <w:iCs/>
          <w:sz w:val="18"/>
          <w:szCs w:val="18"/>
        </w:rPr>
        <w:t xml:space="preserve"> including acts of God, lightning, storm, flood, fire, earthquake or any other natural disaster, explosion, pandemic or epidemic</w:t>
      </w:r>
      <w:r w:rsidR="40AD8E0A" w:rsidRPr="40AD8E0A">
        <w:rPr>
          <w:i/>
          <w:iCs/>
          <w:sz w:val="18"/>
          <w:szCs w:val="18"/>
        </w:rPr>
        <w:t>.</w:t>
      </w:r>
    </w:p>
  </w:footnote>
  <w:footnote w:id="9">
    <w:p w14:paraId="2703009B" w14:textId="1AE234E0" w:rsidR="00046BD5" w:rsidRDefault="00046BD5">
      <w:pPr>
        <w:pStyle w:val="FootnoteText"/>
        <w:rPr>
          <w:sz w:val="18"/>
          <w:szCs w:val="18"/>
        </w:rPr>
      </w:pPr>
      <w:r>
        <w:rPr>
          <w:rStyle w:val="FootnoteReference"/>
        </w:rPr>
        <w:footnoteRef/>
      </w:r>
      <w:r>
        <w:t xml:space="preserve"> </w:t>
      </w:r>
      <w:r w:rsidRPr="00CA1542">
        <w:rPr>
          <w:sz w:val="18"/>
          <w:szCs w:val="18"/>
        </w:rPr>
        <w:t xml:space="preserve">We have equally allocated waterways and drainage corporate and IT capital costs between </w:t>
      </w:r>
      <w:r w:rsidR="005E197F">
        <w:rPr>
          <w:sz w:val="18"/>
          <w:szCs w:val="18"/>
        </w:rPr>
        <w:t>O</w:t>
      </w:r>
      <w:r w:rsidRPr="00CA1542">
        <w:rPr>
          <w:sz w:val="18"/>
          <w:szCs w:val="18"/>
        </w:rPr>
        <w:t xml:space="preserve">utcome 3 and </w:t>
      </w:r>
      <w:r w:rsidR="00C522B3">
        <w:rPr>
          <w:sz w:val="18"/>
          <w:szCs w:val="18"/>
        </w:rPr>
        <w:t>O</w:t>
      </w:r>
      <w:r w:rsidRPr="00CA1542">
        <w:rPr>
          <w:sz w:val="18"/>
          <w:szCs w:val="18"/>
        </w:rPr>
        <w:t>utcome 4</w:t>
      </w:r>
      <w:r>
        <w:rPr>
          <w:sz w:val="18"/>
          <w:szCs w:val="18"/>
        </w:rPr>
        <w:t xml:space="preserve">. Outcome 3 and 4 capital expenditure is offset by customer and government contributions as outlined in </w:t>
      </w:r>
      <w:r w:rsidR="00C522B3">
        <w:rPr>
          <w:sz w:val="18"/>
          <w:szCs w:val="18"/>
        </w:rPr>
        <w:t>S</w:t>
      </w:r>
      <w:r>
        <w:rPr>
          <w:sz w:val="18"/>
          <w:szCs w:val="18"/>
        </w:rPr>
        <w:t>ection 6.2.4 and 6.2.5.</w:t>
      </w:r>
    </w:p>
  </w:footnote>
  <w:footnote w:id="10">
    <w:p w14:paraId="393AFE1F" w14:textId="26A14E5C" w:rsidR="00046BD5" w:rsidRDefault="00046BD5" w:rsidP="00ED094E">
      <w:pPr>
        <w:pStyle w:val="FootnoteText"/>
        <w:rPr>
          <w:sz w:val="18"/>
          <w:szCs w:val="18"/>
        </w:rPr>
      </w:pPr>
      <w:r>
        <w:rPr>
          <w:rStyle w:val="FootnoteReference"/>
        </w:rPr>
        <w:footnoteRef/>
      </w:r>
      <w:r>
        <w:t xml:space="preserve"> </w:t>
      </w:r>
      <w:r w:rsidRPr="00CA1542">
        <w:rPr>
          <w:sz w:val="18"/>
          <w:szCs w:val="18"/>
        </w:rPr>
        <w:t xml:space="preserve">We have equally allocated waterways and drainage corporate and IT capital costs between </w:t>
      </w:r>
      <w:r w:rsidR="005E197F">
        <w:rPr>
          <w:sz w:val="18"/>
          <w:szCs w:val="18"/>
        </w:rPr>
        <w:t>O</w:t>
      </w:r>
      <w:r w:rsidRPr="00CA1542">
        <w:rPr>
          <w:sz w:val="18"/>
          <w:szCs w:val="18"/>
        </w:rPr>
        <w:t xml:space="preserve">utcome 3 and </w:t>
      </w:r>
      <w:r w:rsidR="005E197F">
        <w:rPr>
          <w:sz w:val="18"/>
          <w:szCs w:val="18"/>
        </w:rPr>
        <w:t>O</w:t>
      </w:r>
      <w:r w:rsidRPr="00CA1542">
        <w:rPr>
          <w:sz w:val="18"/>
          <w:szCs w:val="18"/>
        </w:rPr>
        <w:t>utcome 4</w:t>
      </w:r>
      <w:r>
        <w:rPr>
          <w:sz w:val="18"/>
          <w:szCs w:val="18"/>
        </w:rPr>
        <w:t xml:space="preserve">. </w:t>
      </w:r>
      <w:r w:rsidRPr="1E62F6AE">
        <w:rPr>
          <w:sz w:val="18"/>
          <w:szCs w:val="18"/>
        </w:rPr>
        <w:t xml:space="preserve">Outcome 3 and 4 capital expenditure is offset by customer and government contributions as outlined in </w:t>
      </w:r>
      <w:r w:rsidR="005E197F">
        <w:rPr>
          <w:sz w:val="18"/>
          <w:szCs w:val="18"/>
        </w:rPr>
        <w:t>S</w:t>
      </w:r>
      <w:r w:rsidRPr="1E62F6AE">
        <w:rPr>
          <w:sz w:val="18"/>
          <w:szCs w:val="18"/>
        </w:rPr>
        <w:t>ection 6.2.4 and 6.2.5.</w:t>
      </w:r>
    </w:p>
  </w:footnote>
  <w:footnote w:id="11">
    <w:p w14:paraId="2733AD80" w14:textId="77777777" w:rsidR="00046BD5" w:rsidRDefault="00046BD5">
      <w:pPr>
        <w:pStyle w:val="FootnoteText"/>
      </w:pPr>
      <w:r>
        <w:rPr>
          <w:rStyle w:val="FootnoteReference"/>
        </w:rPr>
        <w:footnoteRef/>
      </w:r>
      <w:r>
        <w:t xml:space="preserve"> </w:t>
      </w:r>
      <w:r w:rsidRPr="00334AD0">
        <w:rPr>
          <w:sz w:val="18"/>
          <w:szCs w:val="18"/>
        </w:rPr>
        <w:t>This excludes allocated corporate and IT capital expenditure</w:t>
      </w:r>
      <w:r>
        <w:rPr>
          <w:sz w:val="18"/>
          <w:szCs w:val="18"/>
        </w:rPr>
        <w:t>.</w:t>
      </w:r>
    </w:p>
  </w:footnote>
  <w:footnote w:id="12">
    <w:p w14:paraId="0493D0DC" w14:textId="77777777" w:rsidR="00046BD5" w:rsidRDefault="00046BD5">
      <w:pPr>
        <w:pStyle w:val="FootnoteText"/>
      </w:pPr>
      <w:r>
        <w:rPr>
          <w:rStyle w:val="FootnoteReference"/>
        </w:rPr>
        <w:footnoteRef/>
      </w:r>
      <w:r>
        <w:t xml:space="preserve"> This excludes allocated corporate and IT capital expenditure.</w:t>
      </w:r>
    </w:p>
  </w:footnote>
  <w:footnote w:id="13">
    <w:p w14:paraId="35C034BB" w14:textId="751BA26C" w:rsidR="00046BD5" w:rsidRDefault="00046BD5">
      <w:pPr>
        <w:pStyle w:val="FootnoteText"/>
      </w:pPr>
      <w:r>
        <w:rPr>
          <w:rStyle w:val="FootnoteReference"/>
        </w:rPr>
        <w:footnoteRef/>
      </w:r>
      <w:r>
        <w:t xml:space="preserve"> This excludes allocated corporate and IT </w:t>
      </w:r>
      <w:r w:rsidR="425138B5">
        <w:t>capex</w:t>
      </w:r>
      <w:r>
        <w:t xml:space="preserve"> and is offset in part by government contributions, as outlined in Section 8.3</w:t>
      </w:r>
      <w:r w:rsidR="425138B5">
        <w:t xml:space="preserve"> (Government contributions)</w:t>
      </w:r>
    </w:p>
  </w:footnote>
  <w:footnote w:id="14">
    <w:p w14:paraId="29B3B53D" w14:textId="2390F1CB" w:rsidR="00046BD5" w:rsidRDefault="00046BD5">
      <w:pPr>
        <w:pStyle w:val="FootnoteText"/>
      </w:pPr>
      <w:r>
        <w:rPr>
          <w:rStyle w:val="FootnoteReference"/>
        </w:rPr>
        <w:footnoteRef/>
      </w:r>
      <w:r>
        <w:t xml:space="preserve"> This excludes allocated corporate and IT capital expenditure</w:t>
      </w:r>
      <w:r w:rsidR="425138B5">
        <w:t>.</w:t>
      </w:r>
    </w:p>
  </w:footnote>
  <w:footnote w:id="15">
    <w:p w14:paraId="6E3CADB0" w14:textId="4032FE59" w:rsidR="00046BD5" w:rsidRDefault="00046BD5">
      <w:pPr>
        <w:pStyle w:val="FootnoteText"/>
      </w:pPr>
      <w:r w:rsidRPr="000D70C4">
        <w:rPr>
          <w:rStyle w:val="FootnoteReference"/>
        </w:rPr>
        <w:footnoteRef/>
      </w:r>
      <w:r w:rsidRPr="000D70C4">
        <w:t xml:space="preserve"> This is comprised of $1,</w:t>
      </w:r>
      <w:r w:rsidR="00EF38E9" w:rsidRPr="000D70C4">
        <w:t>307</w:t>
      </w:r>
      <w:r w:rsidRPr="000D70C4">
        <w:t xml:space="preserve"> million in </w:t>
      </w:r>
      <w:r w:rsidR="425138B5" w:rsidRPr="000D70C4">
        <w:t xml:space="preserve">DSS </w:t>
      </w:r>
      <w:r w:rsidRPr="000D70C4">
        <w:t>and $10 million in stormwater quality offsets.</w:t>
      </w:r>
      <w:r>
        <w:t xml:space="preserve"> </w:t>
      </w:r>
    </w:p>
  </w:footnote>
  <w:footnote w:id="16">
    <w:p w14:paraId="28E0328C" w14:textId="77777777" w:rsidR="00046BD5" w:rsidRDefault="00046BD5">
      <w:pPr>
        <w:pStyle w:val="FootnoteText"/>
      </w:pPr>
      <w:r>
        <w:rPr>
          <w:rStyle w:val="FootnoteReference"/>
        </w:rPr>
        <w:footnoteRef/>
      </w:r>
      <w:r>
        <w:t xml:space="preserve"> These are projects that are delivered by Melbourne Water and funded by Waterways and Drainage customers, therefore excludes developer funded assets. </w:t>
      </w:r>
    </w:p>
  </w:footnote>
  <w:footnote w:id="17">
    <w:p w14:paraId="3BFFF735" w14:textId="77777777" w:rsidR="00046BD5" w:rsidRDefault="00046BD5">
      <w:pPr>
        <w:pStyle w:val="FootnoteText"/>
      </w:pPr>
      <w:r w:rsidRPr="00C41A5B">
        <w:rPr>
          <w:rStyle w:val="FootnoteReference"/>
        </w:rPr>
        <w:footnoteRef/>
      </w:r>
      <w:r w:rsidRPr="00C41A5B">
        <w:t xml:space="preserve"> </w:t>
      </w:r>
      <w:r w:rsidRPr="00334AD0">
        <w:rPr>
          <w:sz w:val="18"/>
          <w:szCs w:val="18"/>
        </w:rPr>
        <w:t>Anaerobic Pot 25W is outside the scope of period de-scumming and desludging as it was deemed to be replaced by a new capex program instead.</w:t>
      </w:r>
    </w:p>
  </w:footnote>
  <w:footnote w:id="18">
    <w:p w14:paraId="65BB77A1" w14:textId="65BC4DDD" w:rsidR="00046BD5" w:rsidRDefault="00046BD5">
      <w:pPr>
        <w:pStyle w:val="FootnoteText"/>
      </w:pPr>
      <w:r>
        <w:rPr>
          <w:rStyle w:val="FootnoteReference"/>
        </w:rPr>
        <w:footnoteRef/>
      </w:r>
      <w:r>
        <w:t xml:space="preserve"> This is the amount that is recovered through </w:t>
      </w:r>
      <w:r w:rsidR="302B4FD1">
        <w:t xml:space="preserve">opex </w:t>
      </w:r>
      <w:r>
        <w:t xml:space="preserve">and does not include the component that has been capitalised or any desalinated water orders that have occurred. </w:t>
      </w:r>
    </w:p>
  </w:footnote>
  <w:footnote w:id="19">
    <w:p w14:paraId="63E95159" w14:textId="77777777" w:rsidR="00046BD5" w:rsidRDefault="00046BD5">
      <w:pPr>
        <w:pStyle w:val="FootnoteText"/>
      </w:pPr>
      <w:r>
        <w:rPr>
          <w:rStyle w:val="FootnoteReference"/>
        </w:rPr>
        <w:footnoteRef/>
      </w:r>
      <w:r>
        <w:t xml:space="preserve"> Figures have been rounded and may not add in the table. </w:t>
      </w:r>
    </w:p>
  </w:footnote>
  <w:footnote w:id="20">
    <w:p w14:paraId="08E2B8D3" w14:textId="77777777" w:rsidR="00B73B16" w:rsidRDefault="00B73B16">
      <w:pPr>
        <w:pStyle w:val="FootnoteText"/>
      </w:pPr>
      <w:r>
        <w:rPr>
          <w:rStyle w:val="FootnoteReference"/>
        </w:rPr>
        <w:footnoteRef/>
      </w:r>
      <w:r>
        <w:t xml:space="preserve"> These were classified as non-controllable in the 2021 Determination. We are not proposing any additional categories to be non-controllable for the 2026-31 regulatory period. </w:t>
      </w:r>
    </w:p>
  </w:footnote>
  <w:footnote w:id="21">
    <w:p w14:paraId="7CD922EE" w14:textId="77777777" w:rsidR="00046BD5" w:rsidRPr="00093F6E" w:rsidRDefault="00046BD5">
      <w:pPr>
        <w:pStyle w:val="FootnoteText"/>
        <w:rPr>
          <w:sz w:val="18"/>
          <w:szCs w:val="16"/>
        </w:rPr>
      </w:pPr>
      <w:r>
        <w:rPr>
          <w:rStyle w:val="FootnoteReference"/>
        </w:rPr>
        <w:footnoteRef/>
      </w:r>
      <w:r>
        <w:t xml:space="preserve"> </w:t>
      </w:r>
      <w:r w:rsidRPr="00093F6E">
        <w:rPr>
          <w:sz w:val="18"/>
          <w:szCs w:val="16"/>
        </w:rPr>
        <w:t xml:space="preserve">The accounting treatment of the expenditure associated with these projects would see it expensed and not capitalised. The accounting rationale is based on the license for projects under a SaaS arrangement provides a right to receive access rather than a right to use the software. Therefore, it does not meet the requirements to be classified as either a lease or an intangible asset. </w:t>
      </w:r>
    </w:p>
  </w:footnote>
  <w:footnote w:id="22">
    <w:p w14:paraId="311E1214" w14:textId="77777777" w:rsidR="00046BD5" w:rsidRDefault="00046BD5">
      <w:pPr>
        <w:pStyle w:val="FootnoteText"/>
      </w:pPr>
      <w:r>
        <w:rPr>
          <w:rStyle w:val="FootnoteReference"/>
        </w:rPr>
        <w:footnoteRef/>
      </w:r>
      <w:r>
        <w:t xml:space="preserve"> </w:t>
      </w:r>
      <w:r w:rsidRPr="00093F6E">
        <w:rPr>
          <w:sz w:val="18"/>
          <w:szCs w:val="16"/>
        </w:rPr>
        <w:t xml:space="preserve">ESC 2009. </w:t>
      </w:r>
      <w:r w:rsidRPr="00093F6E">
        <w:rPr>
          <w:i/>
          <w:iCs/>
          <w:sz w:val="18"/>
          <w:szCs w:val="16"/>
        </w:rPr>
        <w:t>Water Industry Regulatory Accounting Code</w:t>
      </w:r>
      <w:r w:rsidRPr="00093F6E">
        <w:rPr>
          <w:sz w:val="18"/>
          <w:szCs w:val="16"/>
        </w:rPr>
        <w:t>, Issue 4.</w:t>
      </w:r>
    </w:p>
  </w:footnote>
  <w:footnote w:id="23">
    <w:p w14:paraId="69A8486E" w14:textId="6614E14C" w:rsidR="00046BD5" w:rsidRDefault="00046BD5">
      <w:pPr>
        <w:pStyle w:val="FootnoteText"/>
      </w:pPr>
      <w:r>
        <w:rPr>
          <w:rStyle w:val="FootnoteReference"/>
        </w:rPr>
        <w:footnoteRef/>
      </w:r>
      <w:r>
        <w:t xml:space="preserve"> </w:t>
      </w:r>
      <w:r w:rsidRPr="00E769AF">
        <w:t xml:space="preserve">One-off events can cause significant increases in </w:t>
      </w:r>
      <w:r w:rsidR="0D8C7A49" w:rsidRPr="00E769AF">
        <w:t>opex</w:t>
      </w:r>
      <w:r w:rsidRPr="00E769AF">
        <w:t xml:space="preserve"> but are not representative of the long term pattern of </w:t>
      </w:r>
      <w:r w:rsidR="0D8C7A49" w:rsidRPr="00E769AF">
        <w:t>opex</w:t>
      </w:r>
      <w:r w:rsidRPr="00E769AF">
        <w:t xml:space="preserve"> growth. Hence, when comparing average customer and </w:t>
      </w:r>
      <w:r w:rsidR="0D8C7A49" w:rsidRPr="00E769AF">
        <w:t>opex</w:t>
      </w:r>
      <w:r w:rsidRPr="00E769AF">
        <w:t xml:space="preserve"> growth</w:t>
      </w:r>
      <w:r w:rsidR="0D8C7A49" w:rsidRPr="00E769AF">
        <w:t>,</w:t>
      </w:r>
      <w:r w:rsidRPr="00E769AF">
        <w:t xml:space="preserve"> we examine both total </w:t>
      </w:r>
      <w:r w:rsidR="035221F9" w:rsidRPr="00E769AF">
        <w:t>opex</w:t>
      </w:r>
      <w:r w:rsidRPr="00E769AF">
        <w:t xml:space="preserve"> and total </w:t>
      </w:r>
      <w:r w:rsidR="035221F9" w:rsidRPr="00E769AF">
        <w:t>opex</w:t>
      </w:r>
      <w:r w:rsidRPr="00E769AF">
        <w:t xml:space="preserve"> excluding corporate costs (as a proxy for excluding one-off costs).</w:t>
      </w:r>
    </w:p>
  </w:footnote>
  <w:footnote w:id="24">
    <w:p w14:paraId="77EF8284" w14:textId="77777777" w:rsidR="00046BD5" w:rsidRDefault="00046BD5" w:rsidP="00ED094E">
      <w:pPr>
        <w:pStyle w:val="FootnoteText"/>
      </w:pPr>
      <w:r w:rsidRPr="4B91E776">
        <w:rPr>
          <w:rStyle w:val="FootnoteReference"/>
        </w:rPr>
        <w:footnoteRef/>
      </w:r>
      <w:r>
        <w:t xml:space="preserve"> For example, see Greater Western Water price review 2024, Barwon Water price review 2023 and South East Water price review 2023, where the proposed opex growth rates were all based on connections growth.</w:t>
      </w:r>
    </w:p>
  </w:footnote>
  <w:footnote w:id="25">
    <w:p w14:paraId="3A6F0AFF" w14:textId="77777777" w:rsidR="00046BD5" w:rsidRDefault="00046BD5">
      <w:pPr>
        <w:pStyle w:val="FootnoteText"/>
      </w:pPr>
      <w:r>
        <w:rPr>
          <w:rStyle w:val="FootnoteReference"/>
        </w:rPr>
        <w:footnoteRef/>
      </w:r>
      <w:r>
        <w:t xml:space="preserve"> As per the financial template provided to Melbourne Water.</w:t>
      </w:r>
    </w:p>
  </w:footnote>
  <w:footnote w:id="26">
    <w:p w14:paraId="5105BB04" w14:textId="77777777" w:rsidR="00046BD5" w:rsidRPr="00752DE8" w:rsidDel="00B97BAA" w:rsidRDefault="00046BD5">
      <w:pPr>
        <w:pStyle w:val="FootnoteText"/>
        <w:rPr>
          <w:i/>
          <w:iCs/>
          <w:sz w:val="18"/>
          <w:szCs w:val="18"/>
        </w:rPr>
      </w:pPr>
      <w:r>
        <w:rPr>
          <w:rStyle w:val="FootnoteReference"/>
        </w:rPr>
        <w:footnoteRef/>
      </w:r>
      <w:r>
        <w:t xml:space="preserve"> </w:t>
      </w:r>
      <w:r w:rsidRPr="00752DE8">
        <w:rPr>
          <w:sz w:val="18"/>
          <w:szCs w:val="18"/>
        </w:rPr>
        <w:t xml:space="preserve">Abrams, B., Kumaradevan, S., Sarafidis, V. and Spaninks, F. (2011) </w:t>
      </w:r>
      <w:r w:rsidRPr="00752DE8">
        <w:rPr>
          <w:i/>
          <w:iCs/>
          <w:sz w:val="18"/>
          <w:szCs w:val="18"/>
        </w:rPr>
        <w:t>The Residential Price Elasticity of Demand for Water</w:t>
      </w:r>
      <w:r w:rsidRPr="00752DE8">
        <w:rPr>
          <w:sz w:val="18"/>
          <w:szCs w:val="18"/>
        </w:rPr>
        <w:t>, Joint Research Study, Sydney, February</w:t>
      </w:r>
    </w:p>
  </w:footnote>
  <w:footnote w:id="27">
    <w:p w14:paraId="63E4753F" w14:textId="77777777" w:rsidR="00046BD5" w:rsidRDefault="00046BD5">
      <w:pPr>
        <w:pStyle w:val="FootnoteText"/>
      </w:pPr>
      <w:r>
        <w:rPr>
          <w:rStyle w:val="FootnoteReference"/>
        </w:rPr>
        <w:footnoteRef/>
      </w:r>
      <w:r>
        <w:t xml:space="preserve"> Sourced from </w:t>
      </w:r>
      <w:hyperlink r:id="rId2" w:history="1">
        <w:r w:rsidRPr="00DC105F">
          <w:rPr>
            <w:rStyle w:val="Hyperlink"/>
          </w:rPr>
          <w:t>http://www.bom.gov.au/climate/data/</w:t>
        </w:r>
      </w:hyperlink>
      <w:r>
        <w:t xml:space="preserve"> </w:t>
      </w:r>
    </w:p>
  </w:footnote>
  <w:footnote w:id="28">
    <w:p w14:paraId="4E72E833" w14:textId="77777777" w:rsidR="00046BD5" w:rsidRDefault="00046BD5">
      <w:pPr>
        <w:pStyle w:val="FootnoteText"/>
      </w:pPr>
      <w:r>
        <w:rPr>
          <w:rStyle w:val="FootnoteReference"/>
        </w:rPr>
        <w:footnoteRef/>
      </w:r>
      <w:r>
        <w:t xml:space="preserve"> </w:t>
      </w:r>
      <w:r w:rsidRPr="00752DE8">
        <w:rPr>
          <w:sz w:val="18"/>
          <w:szCs w:val="18"/>
        </w:rPr>
        <w:t>We have excluded Gippsland Water from this analysis. Although they draw upon the Melbourne water system, they take raw water only and pay a separate raw water charge. This analysis is solely focused on treated bulk water charge.</w:t>
      </w:r>
    </w:p>
  </w:footnote>
  <w:footnote w:id="29">
    <w:p w14:paraId="2942BF1A" w14:textId="77777777" w:rsidR="00046BD5" w:rsidRDefault="00046BD5">
      <w:pPr>
        <w:pStyle w:val="FootnoteText"/>
      </w:pPr>
      <w:r>
        <w:rPr>
          <w:rStyle w:val="FootnoteReference"/>
        </w:rPr>
        <w:footnoteRef/>
      </w:r>
      <w:r>
        <w:t xml:space="preserve"> </w:t>
      </w:r>
      <w:r w:rsidRPr="003F0AEA">
        <w:rPr>
          <w:sz w:val="18"/>
          <w:szCs w:val="18"/>
        </w:rPr>
        <w:t>Essential Services Commission, New Customer Contributions: Explanatory Note, December 2013, p. 5, cl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AE520" w14:textId="5F58522B" w:rsidR="00767B75" w:rsidRDefault="00E654D5">
    <w:pPr>
      <w:pStyle w:val="Header"/>
    </w:pPr>
    <w:r>
      <w:rPr>
        <w:noProof/>
      </w:rPr>
      <mc:AlternateContent>
        <mc:Choice Requires="wps">
          <w:drawing>
            <wp:anchor distT="0" distB="0" distL="0" distR="0" simplePos="0" relativeHeight="251659264" behindDoc="0" locked="0" layoutInCell="1" allowOverlap="1" wp14:anchorId="5A551D8D" wp14:editId="39B422A3">
              <wp:simplePos x="635" y="635"/>
              <wp:positionH relativeFrom="page">
                <wp:align>center</wp:align>
              </wp:positionH>
              <wp:positionV relativeFrom="page">
                <wp:align>top</wp:align>
              </wp:positionV>
              <wp:extent cx="643255" cy="483870"/>
              <wp:effectExtent l="0" t="0" r="4445" b="11430"/>
              <wp:wrapNone/>
              <wp:docPr id="7708195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6A3930B6" w14:textId="2F0EACCE"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551D8D" id="_x0000_t202" coordsize="21600,21600" o:spt="202" path="m,l,21600r21600,l21600,xe">
              <v:stroke joinstyle="miter"/>
              <v:path gradientshapeok="t" o:connecttype="rect"/>
            </v:shapetype>
            <v:shape id="_x0000_s1056" type="#_x0000_t202" alt="OFFICIAL" style="position:absolute;left:0;text-align:left;margin-left:0;margin-top:0;width:50.65pt;height:38.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" filled="f" stroked="f">
              <v:fill o:detectmouseclick="t"/>
              <v:textbox style="mso-fit-shape-to-text:t" inset="0,15pt,0,0">
                <w:txbxContent>
                  <w:p w14:paraId="6A3930B6" w14:textId="2F0EACCE"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E667" w14:textId="32DAF636" w:rsidR="00767B75" w:rsidRDefault="00E654D5">
    <w:pPr>
      <w:pStyle w:val="Header"/>
    </w:pPr>
    <w:r>
      <w:rPr>
        <w:noProof/>
      </w:rPr>
      <mc:AlternateContent>
        <mc:Choice Requires="wps">
          <w:drawing>
            <wp:anchor distT="0" distB="0" distL="0" distR="0" simplePos="0" relativeHeight="251668480" behindDoc="0" locked="0" layoutInCell="1" allowOverlap="1" wp14:anchorId="15243C47" wp14:editId="4999BF81">
              <wp:simplePos x="635" y="635"/>
              <wp:positionH relativeFrom="page">
                <wp:align>center</wp:align>
              </wp:positionH>
              <wp:positionV relativeFrom="page">
                <wp:align>top</wp:align>
              </wp:positionV>
              <wp:extent cx="643255" cy="483870"/>
              <wp:effectExtent l="0" t="0" r="4445" b="11430"/>
              <wp:wrapNone/>
              <wp:docPr id="161627347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08E16CBB" w14:textId="4B14FCFA"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243C47" id="_x0000_t202" coordsize="21600,21600" o:spt="202" path="m,l,21600r21600,l21600,xe">
              <v:stroke joinstyle="miter"/>
              <v:path gradientshapeok="t" o:connecttype="rect"/>
            </v:shapetype>
            <v:shape id="Text Box 11" o:spid="_x0000_s1065" type="#_x0000_t202" alt="OFFICIAL" style="position:absolute;left:0;text-align:left;margin-left:0;margin-top:0;width:50.65pt;height:38.1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ORcQ5kQAgAA&#10;HAQAAA4AAAAAAAAAAAAAAAAALgIAAGRycy9lMm9Eb2MueG1sUEsBAi0AFAAGAAgAAAAhAHyCawHa&#10;AAAABAEAAA8AAAAAAAAAAAAAAAAAagQAAGRycy9kb3ducmV2LnhtbFBLBQYAAAAABAAEAPMAAABx&#10;BQAAAAA=&#10;" filled="f" stroked="f">
              <v:fill o:detectmouseclick="t"/>
              <v:textbox style="mso-fit-shape-to-text:t" inset="0,15pt,0,0">
                <w:txbxContent>
                  <w:p w14:paraId="08E16CBB" w14:textId="4B14FCFA"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B0155" w14:textId="0B3DE2DB" w:rsidR="00767B75" w:rsidRDefault="00E654D5">
    <w:pPr>
      <w:pStyle w:val="Header"/>
    </w:pPr>
    <w:r>
      <w:rPr>
        <w:noProof/>
      </w:rPr>
      <mc:AlternateContent>
        <mc:Choice Requires="wps">
          <w:drawing>
            <wp:anchor distT="0" distB="0" distL="0" distR="0" simplePos="0" relativeHeight="251669504" behindDoc="0" locked="0" layoutInCell="1" allowOverlap="1" wp14:anchorId="6034AD45" wp14:editId="55574125">
              <wp:simplePos x="635" y="635"/>
              <wp:positionH relativeFrom="page">
                <wp:align>center</wp:align>
              </wp:positionH>
              <wp:positionV relativeFrom="page">
                <wp:align>top</wp:align>
              </wp:positionV>
              <wp:extent cx="643255" cy="483870"/>
              <wp:effectExtent l="0" t="0" r="4445" b="11430"/>
              <wp:wrapNone/>
              <wp:docPr id="106379465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6588A72A" w14:textId="4681E54D"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34AD45" id="_x0000_t202" coordsize="21600,21600" o:spt="202" path="m,l,21600r21600,l21600,xe">
              <v:stroke joinstyle="miter"/>
              <v:path gradientshapeok="t" o:connecttype="rect"/>
            </v:shapetype>
            <v:shape id="Text Box 12" o:spid="_x0000_s1066" type="#_x0000_t202" alt="OFFICIAL" style="position:absolute;left:0;text-align:left;margin-left:0;margin-top:0;width:50.65pt;height:38.1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jZDgIAAB0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" filled="f" stroked="f">
              <v:fill o:detectmouseclick="t"/>
              <v:textbox style="mso-fit-shape-to-text:t" inset="0,15pt,0,0">
                <w:txbxContent>
                  <w:p w14:paraId="6588A72A" w14:textId="4681E54D"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42F9D" w14:textId="37BA9BFE" w:rsidR="00767B75" w:rsidRDefault="00E654D5">
    <w:pPr>
      <w:pStyle w:val="Header"/>
    </w:pPr>
    <w:r>
      <w:rPr>
        <w:noProof/>
      </w:rPr>
      <mc:AlternateContent>
        <mc:Choice Requires="wps">
          <w:drawing>
            <wp:anchor distT="0" distB="0" distL="0" distR="0" simplePos="0" relativeHeight="251667456" behindDoc="0" locked="0" layoutInCell="1" allowOverlap="1" wp14:anchorId="0CFF203D" wp14:editId="4E984200">
              <wp:simplePos x="635" y="635"/>
              <wp:positionH relativeFrom="page">
                <wp:align>center</wp:align>
              </wp:positionH>
              <wp:positionV relativeFrom="page">
                <wp:align>top</wp:align>
              </wp:positionV>
              <wp:extent cx="643255" cy="483870"/>
              <wp:effectExtent l="0" t="0" r="4445" b="11430"/>
              <wp:wrapNone/>
              <wp:docPr id="306291542"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21B479F2" w14:textId="23B6FDDA"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FF203D" id="_x0000_t202" coordsize="21600,21600" o:spt="202" path="m,l,21600r21600,l21600,xe">
              <v:stroke joinstyle="miter"/>
              <v:path gradientshapeok="t" o:connecttype="rect"/>
            </v:shapetype>
            <v:shape id="Text Box 10" o:spid="_x0000_s1067" type="#_x0000_t202" alt="OFFICIAL" style="position:absolute;left:0;text-align:left;margin-left:0;margin-top:0;width:50.65pt;height:38.1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6OoK5A8CAAAd&#10;BAAADgAAAAAAAAAAAAAAAAAuAgAAZHJzL2Uyb0RvYy54bWxQSwECLQAUAAYACAAAACEAfIJrAdoA&#10;AAAEAQAADwAAAAAAAAAAAAAAAABpBAAAZHJzL2Rvd25yZXYueG1sUEsFBgAAAAAEAAQA8wAAAHAF&#10;AAAAAA==&#10;" filled="f" stroked="f">
              <v:fill o:detectmouseclick="t"/>
              <v:textbox style="mso-fit-shape-to-text:t" inset="0,15pt,0,0">
                <w:txbxContent>
                  <w:p w14:paraId="21B479F2" w14:textId="23B6FDDA"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03DA7" w14:textId="1AE0EC30" w:rsidR="009B637D" w:rsidRDefault="00E654D5" w:rsidP="009B637D">
    <w:pPr>
      <w:pStyle w:val="Header"/>
    </w:pPr>
    <w:r>
      <w:rPr>
        <w:noProof/>
      </w:rPr>
      <mc:AlternateContent>
        <mc:Choice Requires="wps">
          <w:drawing>
            <wp:anchor distT="0" distB="0" distL="0" distR="0" simplePos="0" relativeHeight="251670528" behindDoc="0" locked="0" layoutInCell="1" allowOverlap="1" wp14:anchorId="41D1B033" wp14:editId="16526853">
              <wp:simplePos x="635" y="635"/>
              <wp:positionH relativeFrom="page">
                <wp:align>center</wp:align>
              </wp:positionH>
              <wp:positionV relativeFrom="page">
                <wp:align>top</wp:align>
              </wp:positionV>
              <wp:extent cx="643255" cy="483870"/>
              <wp:effectExtent l="0" t="0" r="4445" b="11430"/>
              <wp:wrapNone/>
              <wp:docPr id="125448894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47EB084C" w14:textId="1EAA198A"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D1B033" id="_x0000_t202" coordsize="21600,21600" o:spt="202" path="m,l,21600r21600,l21600,xe">
              <v:stroke joinstyle="miter"/>
              <v:path gradientshapeok="t" o:connecttype="rect"/>
            </v:shapetype>
            <v:shape id="Text Box 13" o:spid="_x0000_s1068" type="#_x0000_t202" alt="OFFICIAL" style="position:absolute;left:0;text-align:left;margin-left:0;margin-top:0;width:50.65pt;height:38.1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2iEAIAAB0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qLpJ8P4W6iOtJWHE+HByVVDvdci4JPwxDAt&#10;QqrFRzq0ga7kcLY4q8H//Js/5hPwFOWsI8WU3JKkOTPfLRESxZWM8Zd8mtPND+7tYNh9ewekwzE9&#10;CSeTGfPQDKb20L6QnpexEYWEldSu5DiYd3iSLr0HqZbLlEQ6cgLXduNkLB3ximA+9y/CuzPiSFQ9&#10;wCAnUbwD/pQb/wxuuUeCP7ESsT0BeYacNJjIOr+XKPK395R1edWLX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F8r3aIQAgAA&#10;HQQAAA4AAAAAAAAAAAAAAAAALgIAAGRycy9lMm9Eb2MueG1sUEsBAi0AFAAGAAgAAAAhAHyCawHa&#10;AAAABAEAAA8AAAAAAAAAAAAAAAAAagQAAGRycy9kb3ducmV2LnhtbFBLBQYAAAAABAAEAPMAAABx&#10;BQAAAAA=&#10;" filled="f" stroked="f">
              <v:fill o:detectmouseclick="t"/>
              <v:textbox style="mso-fit-shape-to-text:t" inset="0,15pt,0,0">
                <w:txbxContent>
                  <w:p w14:paraId="47EB084C" w14:textId="1EAA198A"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r w:rsidR="009B637D">
      <w:fldChar w:fldCharType="begin"/>
    </w:r>
    <w:r w:rsidR="009B637D">
      <w:instrText xml:space="preserve">  </w:instrText>
    </w:r>
    <w:r w:rsidR="009B637D">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E6AB" w14:textId="61717ED2" w:rsidR="00046BD5" w:rsidRDefault="00E654D5">
    <w:pPr>
      <w:pStyle w:val="Header"/>
    </w:pPr>
    <w:r>
      <w:rPr>
        <w:noProof/>
      </w:rPr>
      <mc:AlternateContent>
        <mc:Choice Requires="wps">
          <w:drawing>
            <wp:anchor distT="0" distB="0" distL="0" distR="0" simplePos="0" relativeHeight="251672576" behindDoc="0" locked="0" layoutInCell="1" allowOverlap="1" wp14:anchorId="5A1B2384" wp14:editId="779F86F0">
              <wp:simplePos x="635" y="635"/>
              <wp:positionH relativeFrom="page">
                <wp:align>center</wp:align>
              </wp:positionH>
              <wp:positionV relativeFrom="page">
                <wp:align>top</wp:align>
              </wp:positionV>
              <wp:extent cx="643255" cy="483870"/>
              <wp:effectExtent l="0" t="0" r="4445" b="11430"/>
              <wp:wrapNone/>
              <wp:docPr id="1795955936"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3558BB2A" w14:textId="28111B11"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1B2384" id="_x0000_t202" coordsize="21600,21600" o:spt="202" path="m,l,21600r21600,l21600,xe">
              <v:stroke joinstyle="miter"/>
              <v:path gradientshapeok="t" o:connecttype="rect"/>
            </v:shapetype>
            <v:shape id="Text Box 15" o:spid="_x0000_s1069" type="#_x0000_t202" alt="OFFICIAL" style="position:absolute;left:0;text-align:left;margin-left:0;margin-top:0;width:50.65pt;height:38.1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DKUb58QAgAA&#10;HQQAAA4AAAAAAAAAAAAAAAAALgIAAGRycy9lMm9Eb2MueG1sUEsBAi0AFAAGAAgAAAAhAHyCawHa&#10;AAAABAEAAA8AAAAAAAAAAAAAAAAAagQAAGRycy9kb3ducmV2LnhtbFBLBQYAAAAABAAEAPMAAABx&#10;BQAAAAA=&#10;" filled="f" stroked="f">
              <v:fill o:detectmouseclick="t"/>
              <v:textbox style="mso-fit-shape-to-text:t" inset="0,15pt,0,0">
                <w:txbxContent>
                  <w:p w14:paraId="3558BB2A" w14:textId="28111B11"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17848" w14:textId="6DCED2DD" w:rsidR="00046BD5" w:rsidRDefault="00E654D5">
    <w:pPr>
      <w:pStyle w:val="Header"/>
    </w:pPr>
    <w:r>
      <w:rPr>
        <w:noProof/>
      </w:rPr>
      <mc:AlternateContent>
        <mc:Choice Requires="wps">
          <w:drawing>
            <wp:anchor distT="0" distB="0" distL="0" distR="0" simplePos="0" relativeHeight="251673600" behindDoc="0" locked="0" layoutInCell="1" allowOverlap="1" wp14:anchorId="327C47BF" wp14:editId="25F85447">
              <wp:simplePos x="635" y="635"/>
              <wp:positionH relativeFrom="page">
                <wp:align>center</wp:align>
              </wp:positionH>
              <wp:positionV relativeFrom="page">
                <wp:align>top</wp:align>
              </wp:positionV>
              <wp:extent cx="643255" cy="483870"/>
              <wp:effectExtent l="0" t="0" r="4445" b="11430"/>
              <wp:wrapNone/>
              <wp:docPr id="212411050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7ABCDD89" w14:textId="3A8BD937"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7C47BF" id="_x0000_t202" coordsize="21600,21600" o:spt="202" path="m,l,21600r21600,l21600,xe">
              <v:stroke joinstyle="miter"/>
              <v:path gradientshapeok="t" o:connecttype="rect"/>
            </v:shapetype>
            <v:shape id="Text Box 16" o:spid="_x0000_s1070" type="#_x0000_t202" alt="OFFICIAL" style="position:absolute;left:0;text-align:left;margin-left:0;margin-top:0;width:50.65pt;height:38.1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DGoci8QAgAA&#10;HQQAAA4AAAAAAAAAAAAAAAAALgIAAGRycy9lMm9Eb2MueG1sUEsBAi0AFAAGAAgAAAAhAHyCawHa&#10;AAAABAEAAA8AAAAAAAAAAAAAAAAAagQAAGRycy9kb3ducmV2LnhtbFBLBQYAAAAABAAEAPMAAABx&#10;BQAAAAA=&#10;" filled="f" stroked="f">
              <v:fill o:detectmouseclick="t"/>
              <v:textbox style="mso-fit-shape-to-text:t" inset="0,15pt,0,0">
                <w:txbxContent>
                  <w:p w14:paraId="7ABCDD89" w14:textId="3A8BD937"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2587A" w14:textId="27BA25B5" w:rsidR="00046BD5" w:rsidRDefault="00E654D5">
    <w:pPr>
      <w:pStyle w:val="Header"/>
    </w:pPr>
    <w:r>
      <w:rPr>
        <w:noProof/>
      </w:rPr>
      <mc:AlternateContent>
        <mc:Choice Requires="wps">
          <w:drawing>
            <wp:anchor distT="0" distB="0" distL="0" distR="0" simplePos="0" relativeHeight="251671552" behindDoc="0" locked="0" layoutInCell="1" allowOverlap="1" wp14:anchorId="2B4566B3" wp14:editId="1C30182D">
              <wp:simplePos x="635" y="635"/>
              <wp:positionH relativeFrom="page">
                <wp:align>center</wp:align>
              </wp:positionH>
              <wp:positionV relativeFrom="page">
                <wp:align>top</wp:align>
              </wp:positionV>
              <wp:extent cx="643255" cy="483870"/>
              <wp:effectExtent l="0" t="0" r="4445" b="11430"/>
              <wp:wrapNone/>
              <wp:docPr id="16888920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2821F3E8" w14:textId="3996C607"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566B3" id="_x0000_t202" coordsize="21600,21600" o:spt="202" path="m,l,21600r21600,l21600,xe">
              <v:stroke joinstyle="miter"/>
              <v:path gradientshapeok="t" o:connecttype="rect"/>
            </v:shapetype>
            <v:shape id="Text Box 14" o:spid="_x0000_s1071" type="#_x0000_t202" alt="OFFICIAL" style="position:absolute;left:0;text-align:left;margin-left:0;margin-top:0;width:50.65pt;height:38.1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ASEAIAAB0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qLpp8P4W6iOtJWHE+HByVVDvdci4JPwxDAt&#10;QqrFRzq0ga7kcLY4q8H//Js/5hPwFOWsI8WU3JKkOTPfLRESxZWM8Zd8mtPND+7tYNh9ewekwzE9&#10;CSeTGfPQDKb20L6QnpexEYWEldSu5DiYd3iSLr0HqZbLlEQ6cgLXduNkLB3ximA+9y/CuzPiSFQ9&#10;wCAnUbwD/pQb/wxuuUeCP7ESsT0BeYacNJjIOr+XKPK395R1edWLX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FwXwBIQAgAA&#10;HQQAAA4AAAAAAAAAAAAAAAAALgIAAGRycy9lMm9Eb2MueG1sUEsBAi0AFAAGAAgAAAAhAHyCawHa&#10;AAAABAEAAA8AAAAAAAAAAAAAAAAAagQAAGRycy9kb3ducmV2LnhtbFBLBQYAAAAABAAEAPMAAABx&#10;BQAAAAA=&#10;" filled="f" stroked="f">
              <v:fill o:detectmouseclick="t"/>
              <v:textbox style="mso-fit-shape-to-text:t" inset="0,15pt,0,0">
                <w:txbxContent>
                  <w:p w14:paraId="2821F3E8" w14:textId="3996C607"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4061C" w14:textId="3DB5BE01" w:rsidR="00046BD5" w:rsidRDefault="00E654D5" w:rsidP="00D20991">
    <w:pPr>
      <w:pStyle w:val="Header"/>
      <w:jc w:val="left"/>
    </w:pPr>
    <w:r>
      <w:rPr>
        <w:noProof/>
      </w:rPr>
      <mc:AlternateContent>
        <mc:Choice Requires="wps">
          <w:drawing>
            <wp:anchor distT="0" distB="0" distL="0" distR="0" simplePos="0" relativeHeight="251674624" behindDoc="0" locked="0" layoutInCell="1" allowOverlap="1" wp14:anchorId="0046F74C" wp14:editId="6B6B671D">
              <wp:simplePos x="635" y="635"/>
              <wp:positionH relativeFrom="page">
                <wp:align>center</wp:align>
              </wp:positionH>
              <wp:positionV relativeFrom="page">
                <wp:align>top</wp:align>
              </wp:positionV>
              <wp:extent cx="643255" cy="483870"/>
              <wp:effectExtent l="0" t="0" r="4445" b="11430"/>
              <wp:wrapNone/>
              <wp:docPr id="536277806"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693C7F76" w14:textId="50F2B0A7"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46F74C" id="_x0000_t202" coordsize="21600,21600" o:spt="202" path="m,l,21600r21600,l21600,xe">
              <v:stroke joinstyle="miter"/>
              <v:path gradientshapeok="t" o:connecttype="rect"/>
            </v:shapetype>
            <v:shape id="Text Box 17" o:spid="_x0000_s1072" type="#_x0000_t202" alt="OFFICIAL" style="position:absolute;margin-left:0;margin-top:0;width:50.65pt;height:38.1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dUEAIAAB0EAAAOAAAAZHJzL2Uyb0RvYy54bWysU99v2jAQfp+0/8Hy+0ighb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OvWF1QQAgAA&#10;HQQAAA4AAAAAAAAAAAAAAAAALgIAAGRycy9lMm9Eb2MueG1sUEsBAi0AFAAGAAgAAAAhAHyCawHa&#10;AAAABAEAAA8AAAAAAAAAAAAAAAAAagQAAGRycy9kb3ducmV2LnhtbFBLBQYAAAAABAAEAPMAAABx&#10;BQAAAAA=&#10;" filled="f" stroked="f">
              <v:fill o:detectmouseclick="t"/>
              <v:textbox style="mso-fit-shape-to-text:t" inset="0,15pt,0,0">
                <w:txbxContent>
                  <w:p w14:paraId="693C7F76" w14:textId="50F2B0A7"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r w:rsidR="00046BD5">
      <w:fldChar w:fldCharType="begin"/>
    </w:r>
    <w:r w:rsidR="00046BD5">
      <w:instrText xml:space="preserve">  </w:instrText>
    </w:r>
    <w:r w:rsidR="00046BD5">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BB287" w14:textId="22965FE4" w:rsidR="002D42C1" w:rsidRDefault="00E654D5">
    <w:pPr>
      <w:pStyle w:val="Header"/>
    </w:pPr>
    <w:r>
      <w:rPr>
        <w:noProof/>
      </w:rPr>
      <mc:AlternateContent>
        <mc:Choice Requires="wps">
          <w:drawing>
            <wp:anchor distT="0" distB="0" distL="0" distR="0" simplePos="0" relativeHeight="251676672" behindDoc="0" locked="0" layoutInCell="1" allowOverlap="1" wp14:anchorId="7DE96127" wp14:editId="0251FDB5">
              <wp:simplePos x="635" y="635"/>
              <wp:positionH relativeFrom="page">
                <wp:align>center</wp:align>
              </wp:positionH>
              <wp:positionV relativeFrom="page">
                <wp:align>top</wp:align>
              </wp:positionV>
              <wp:extent cx="643255" cy="483870"/>
              <wp:effectExtent l="0" t="0" r="4445" b="11430"/>
              <wp:wrapNone/>
              <wp:docPr id="1743123787"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418DB556" w14:textId="747271CA"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E96127" id="_x0000_t202" coordsize="21600,21600" o:spt="202" path="m,l,21600r21600,l21600,xe">
              <v:stroke joinstyle="miter"/>
              <v:path gradientshapeok="t" o:connecttype="rect"/>
            </v:shapetype>
            <v:shape id="Text Box 19" o:spid="_x0000_s1073" type="#_x0000_t202" alt="OFFICIAL" style="position:absolute;left:0;text-align:left;margin-left:0;margin-top:0;width:50.65pt;height:38.1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IZppWkQAgAA&#10;HQQAAA4AAAAAAAAAAAAAAAAALgIAAGRycy9lMm9Eb2MueG1sUEsBAi0AFAAGAAgAAAAhAHyCawHa&#10;AAAABAEAAA8AAAAAAAAAAAAAAAAAagQAAGRycy9kb3ducmV2LnhtbFBLBQYAAAAABAAEAPMAAABx&#10;BQAAAAA=&#10;" filled="f" stroked="f">
              <v:fill o:detectmouseclick="t"/>
              <v:textbox style="mso-fit-shape-to-text:t" inset="0,15pt,0,0">
                <w:txbxContent>
                  <w:p w14:paraId="418DB556" w14:textId="747271CA"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6EAD8" w14:textId="7F63F0F7" w:rsidR="002D42C1" w:rsidRDefault="00E654D5">
    <w:pPr>
      <w:pStyle w:val="Header"/>
    </w:pPr>
    <w:r>
      <w:rPr>
        <w:noProof/>
      </w:rPr>
      <mc:AlternateContent>
        <mc:Choice Requires="wps">
          <w:drawing>
            <wp:anchor distT="0" distB="0" distL="0" distR="0" simplePos="0" relativeHeight="251677696" behindDoc="0" locked="0" layoutInCell="1" allowOverlap="1" wp14:anchorId="382039B4" wp14:editId="634F18FB">
              <wp:simplePos x="635" y="635"/>
              <wp:positionH relativeFrom="page">
                <wp:align>center</wp:align>
              </wp:positionH>
              <wp:positionV relativeFrom="page">
                <wp:align>top</wp:align>
              </wp:positionV>
              <wp:extent cx="643255" cy="483870"/>
              <wp:effectExtent l="0" t="0" r="4445" b="11430"/>
              <wp:wrapNone/>
              <wp:docPr id="1376069332"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42F3A01B" w14:textId="175216E2"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2039B4" id="_x0000_t202" coordsize="21600,21600" o:spt="202" path="m,l,21600r21600,l21600,xe">
              <v:stroke joinstyle="miter"/>
              <v:path gradientshapeok="t" o:connecttype="rect"/>
            </v:shapetype>
            <v:shape id="Text Box 20" o:spid="_x0000_s1074" type="#_x0000_t202" alt="OFFICIAL" style="position:absolute;left:0;text-align:left;margin-left:0;margin-top:0;width:50.65pt;height:38.1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zvEAIAAB0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qLpZ8P4W6iOtJWHE+HByVVDvdci4JPwxDAt&#10;QqrFRzq0ga7kcLY4q8H//Js/5hPwFOWsI8WU3JKkOTPfLRESxZWM8Zd8mtPND+7tYNh9ewekwzE9&#10;CSeTGfPQDKb20L6QnpexEYWEldSu5DiYd3iSLr0HqZbLlEQ6cgLXduNkLB3ximA+9y/CuzPiSFQ9&#10;wCAnUbwD/pQb/wxuuUeCP7ESsT0BeYacNJjIOr+XKPK395R1edWLX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KyoXO8QAgAA&#10;HQQAAA4AAAAAAAAAAAAAAAAALgIAAGRycy9lMm9Eb2MueG1sUEsBAi0AFAAGAAgAAAAhAHyCawHa&#10;AAAABAEAAA8AAAAAAAAAAAAAAAAAagQAAGRycy9kb3ducmV2LnhtbFBLBQYAAAAABAAEAPMAAABx&#10;BQAAAAA=&#10;" filled="f" stroked="f">
              <v:fill o:detectmouseclick="t"/>
              <v:textbox style="mso-fit-shape-to-text:t" inset="0,15pt,0,0">
                <w:txbxContent>
                  <w:p w14:paraId="42F3A01B" w14:textId="175216E2"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0F81A" w14:textId="2A8C9DAC" w:rsidR="00767B75" w:rsidRPr="007527AB" w:rsidRDefault="00E654D5" w:rsidP="00EF798C">
    <w:r>
      <w:rPr>
        <w:noProof/>
      </w:rPr>
      <mc:AlternateContent>
        <mc:Choice Requires="wps">
          <w:drawing>
            <wp:anchor distT="0" distB="0" distL="0" distR="0" simplePos="0" relativeHeight="251660288" behindDoc="0" locked="0" layoutInCell="1" allowOverlap="1" wp14:anchorId="6F899A56" wp14:editId="39BB9C35">
              <wp:simplePos x="635" y="635"/>
              <wp:positionH relativeFrom="page">
                <wp:align>center</wp:align>
              </wp:positionH>
              <wp:positionV relativeFrom="page">
                <wp:align>top</wp:align>
              </wp:positionV>
              <wp:extent cx="643255" cy="483870"/>
              <wp:effectExtent l="0" t="0" r="4445" b="11430"/>
              <wp:wrapNone/>
              <wp:docPr id="174520396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57D70C0F" w14:textId="6FF67968"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899A56" id="_x0000_t202" coordsize="21600,21600" o:spt="202" path="m,l,21600r21600,l21600,xe">
              <v:stroke joinstyle="miter"/>
              <v:path gradientshapeok="t" o:connecttype="rect"/>
            </v:shapetype>
            <v:shape id="Text Box 3" o:spid="_x0000_s1057" type="#_x0000_t202" alt="OFFICIAL" style="position:absolute;margin-left:0;margin-top:0;width:50.65pt;height:38.1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" filled="f" stroked="f">
              <v:fill o:detectmouseclick="t"/>
              <v:textbox style="mso-fit-shape-to-text:t" inset="0,15pt,0,0">
                <w:txbxContent>
                  <w:p w14:paraId="57D70C0F" w14:textId="6FF67968"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C1E8" w14:textId="7C69B80F" w:rsidR="002D42C1" w:rsidRDefault="00E654D5">
    <w:pPr>
      <w:pStyle w:val="Header"/>
    </w:pPr>
    <w:r>
      <w:rPr>
        <w:noProof/>
      </w:rPr>
      <mc:AlternateContent>
        <mc:Choice Requires="wps">
          <w:drawing>
            <wp:anchor distT="0" distB="0" distL="0" distR="0" simplePos="0" relativeHeight="251675648" behindDoc="0" locked="0" layoutInCell="1" allowOverlap="1" wp14:anchorId="7EC71B2B" wp14:editId="4CF10C15">
              <wp:simplePos x="635" y="635"/>
              <wp:positionH relativeFrom="page">
                <wp:align>center</wp:align>
              </wp:positionH>
              <wp:positionV relativeFrom="page">
                <wp:align>top</wp:align>
              </wp:positionV>
              <wp:extent cx="643255" cy="483870"/>
              <wp:effectExtent l="0" t="0" r="4445" b="11430"/>
              <wp:wrapNone/>
              <wp:docPr id="2072584507"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04289AAD" w14:textId="24C2970C"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C71B2B" id="_x0000_t202" coordsize="21600,21600" o:spt="202" path="m,l,21600r21600,l21600,xe">
              <v:stroke joinstyle="miter"/>
              <v:path gradientshapeok="t" o:connecttype="rect"/>
            </v:shapetype>
            <v:shape id="Text Box 18" o:spid="_x0000_s1075" type="#_x0000_t202" alt="OFFICIAL" style="position:absolute;left:0;text-align:left;margin-left:0;margin-top:0;width:50.65pt;height:38.1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MEX7tIQAgAA&#10;HQQAAA4AAAAAAAAAAAAAAAAALgIAAGRycy9lMm9Eb2MueG1sUEsBAi0AFAAGAAgAAAAhAHyCawHa&#10;AAAABAEAAA8AAAAAAAAAAAAAAAAAagQAAGRycy9kb3ducmV2LnhtbFBLBQYAAAAABAAEAPMAAABx&#10;BQAAAAA=&#10;" filled="f" stroked="f">
              <v:fill o:detectmouseclick="t"/>
              <v:textbox style="mso-fit-shape-to-text:t" inset="0,15pt,0,0">
                <w:txbxContent>
                  <w:p w14:paraId="04289AAD" w14:textId="24C2970C"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B06E8" w14:textId="35786AA0" w:rsidR="002D42C1" w:rsidRDefault="00E654D5">
    <w:pPr>
      <w:pStyle w:val="Header"/>
    </w:pPr>
    <w:r>
      <w:rPr>
        <w:noProof/>
      </w:rPr>
      <mc:AlternateContent>
        <mc:Choice Requires="wps">
          <w:drawing>
            <wp:anchor distT="0" distB="0" distL="0" distR="0" simplePos="0" relativeHeight="251679744" behindDoc="0" locked="0" layoutInCell="1" allowOverlap="1" wp14:anchorId="679F4B9F" wp14:editId="3DF7940B">
              <wp:simplePos x="635" y="635"/>
              <wp:positionH relativeFrom="page">
                <wp:align>center</wp:align>
              </wp:positionH>
              <wp:positionV relativeFrom="page">
                <wp:align>top</wp:align>
              </wp:positionV>
              <wp:extent cx="643255" cy="483870"/>
              <wp:effectExtent l="0" t="0" r="4445" b="11430"/>
              <wp:wrapNone/>
              <wp:docPr id="340581364"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58BA51E5" w14:textId="7EE4A570"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9F4B9F" id="_x0000_t202" coordsize="21600,21600" o:spt="202" path="m,l,21600r21600,l21600,xe">
              <v:stroke joinstyle="miter"/>
              <v:path gradientshapeok="t" o:connecttype="rect"/>
            </v:shapetype>
            <v:shape id="Text Box 22" o:spid="_x0000_s1076" type="#_x0000_t202" alt="OFFICIAL" style="position:absolute;left:0;text-align:left;margin-left:0;margin-top:0;width:50.65pt;height:38.1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uMDwIAAB0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ir5JDWOri1UR9rKw4nw4OSqod5rEfBJeGKY&#10;FiHV4iMd2kBXcjhbnNXgf/7NH/MJeIpy1pFiSm5J0pyZ75YIieJKxvhLPs3p5gf3djDsvr0D0uGY&#10;noSTyYx5aAZTe2hfSM/L2IhCwkpqV3IczDs8SZfeg1TLZUoiHTmBa7txMpaOeEUwn/sX4d0ZcSSq&#10;HmCQkyjeAX/KjX8Gt9wjwZ9YuQB5hpw0mMg6v5co8rf3lHV51YtfAA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a6T7jA8CAAAd&#10;BAAADgAAAAAAAAAAAAAAAAAuAgAAZHJzL2Uyb0RvYy54bWxQSwECLQAUAAYACAAAACEAfIJrAdoA&#10;AAAEAQAADwAAAAAAAAAAAAAAAABpBAAAZHJzL2Rvd25yZXYueG1sUEsFBgAAAAAEAAQA8wAAAHAF&#10;AAAAAA==&#10;" filled="f" stroked="f">
              <v:fill o:detectmouseclick="t"/>
              <v:textbox style="mso-fit-shape-to-text:t" inset="0,15pt,0,0">
                <w:txbxContent>
                  <w:p w14:paraId="58BA51E5" w14:textId="7EE4A570"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62C74" w14:textId="72E68F6B" w:rsidR="002D42C1" w:rsidRDefault="00E654D5">
    <w:pPr>
      <w:pStyle w:val="Header"/>
    </w:pPr>
    <w:r>
      <w:rPr>
        <w:noProof/>
      </w:rPr>
      <mc:AlternateContent>
        <mc:Choice Requires="wps">
          <w:drawing>
            <wp:anchor distT="0" distB="0" distL="0" distR="0" simplePos="0" relativeHeight="251680768" behindDoc="0" locked="0" layoutInCell="1" allowOverlap="1" wp14:anchorId="1218F69B" wp14:editId="378071C0">
              <wp:simplePos x="635" y="635"/>
              <wp:positionH relativeFrom="page">
                <wp:align>center</wp:align>
              </wp:positionH>
              <wp:positionV relativeFrom="page">
                <wp:align>top</wp:align>
              </wp:positionV>
              <wp:extent cx="643255" cy="483870"/>
              <wp:effectExtent l="0" t="0" r="4445" b="11430"/>
              <wp:wrapNone/>
              <wp:docPr id="462158094"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7CAB0C83" w14:textId="490BF4F3"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18F69B" id="_x0000_t202" coordsize="21600,21600" o:spt="202" path="m,l,21600r21600,l21600,xe">
              <v:stroke joinstyle="miter"/>
              <v:path gradientshapeok="t" o:connecttype="rect"/>
            </v:shapetype>
            <v:shape id="Text Box 23" o:spid="_x0000_s1077" type="#_x0000_t202" alt="OFFICIAL" style="position:absolute;left:0;text-align:left;margin-left:0;margin-top:0;width:50.65pt;height:38.1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AYbSbEQAgAA&#10;HQQAAA4AAAAAAAAAAAAAAAAALgIAAGRycy9lMm9Eb2MueG1sUEsBAi0AFAAGAAgAAAAhAHyCawHa&#10;AAAABAEAAA8AAAAAAAAAAAAAAAAAagQAAGRycy9kb3ducmV2LnhtbFBLBQYAAAAABAAEAPMAAABx&#10;BQAAAAA=&#10;" filled="f" stroked="f">
              <v:fill o:detectmouseclick="t"/>
              <v:textbox style="mso-fit-shape-to-text:t" inset="0,15pt,0,0">
                <w:txbxContent>
                  <w:p w14:paraId="7CAB0C83" w14:textId="490BF4F3"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E4CD6" w14:textId="4190D753" w:rsidR="002D42C1" w:rsidRDefault="00E654D5">
    <w:pPr>
      <w:pStyle w:val="Header"/>
    </w:pPr>
    <w:r>
      <w:rPr>
        <w:noProof/>
      </w:rPr>
      <mc:AlternateContent>
        <mc:Choice Requires="wps">
          <w:drawing>
            <wp:anchor distT="0" distB="0" distL="0" distR="0" simplePos="0" relativeHeight="251678720" behindDoc="0" locked="0" layoutInCell="1" allowOverlap="1" wp14:anchorId="6CA15C26" wp14:editId="28FD349A">
              <wp:simplePos x="635" y="635"/>
              <wp:positionH relativeFrom="page">
                <wp:align>center</wp:align>
              </wp:positionH>
              <wp:positionV relativeFrom="page">
                <wp:align>top</wp:align>
              </wp:positionV>
              <wp:extent cx="643255" cy="483870"/>
              <wp:effectExtent l="0" t="0" r="4445" b="11430"/>
              <wp:wrapNone/>
              <wp:docPr id="410429637"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43298F35" w14:textId="2C67ACA3"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A15C26" id="_x0000_t202" coordsize="21600,21600" o:spt="202" path="m,l,21600r21600,l21600,xe">
              <v:stroke joinstyle="miter"/>
              <v:path gradientshapeok="t" o:connecttype="rect"/>
            </v:shapetype>
            <v:shape id="Text Box 21" o:spid="_x0000_s1078" type="#_x0000_t202" alt="OFFICIAL" style="position:absolute;left:0;text-align:left;margin-left:0;margin-top:0;width:50.65pt;height:38.1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73EAIAAB0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ir5ZDKMv4XqSFt5OBEenFw11HstAj4JTwzT&#10;IqRafKRDG+hKDmeLsxr8z7/5Yz4BT1HOOlJMyS1JmjPz3RIhUVzJGH/Jpznd/ODeDobdt3dAOhzT&#10;k3AymTEPzWBqD+0L6XkZG1FIWEntSo6DeYcn6dJ7kGq5TEmkIydwbTdOxtIRrwjmc/8ivDsjjkTV&#10;AwxyEsU74E+58c/glnsk+BMrEdsTkGfISYOJrPN7iSJ/e09Zl1e9+AU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LHanvcQAgAA&#10;HQQAAA4AAAAAAAAAAAAAAAAALgIAAGRycy9lMm9Eb2MueG1sUEsBAi0AFAAGAAgAAAAhAHyCawHa&#10;AAAABAEAAA8AAAAAAAAAAAAAAAAAagQAAGRycy9kb3ducmV2LnhtbFBLBQYAAAAABAAEAPMAAABx&#10;BQAAAAA=&#10;" filled="f" stroked="f">
              <v:fill o:detectmouseclick="t"/>
              <v:textbox style="mso-fit-shape-to-text:t" inset="0,15pt,0,0">
                <w:txbxContent>
                  <w:p w14:paraId="43298F35" w14:textId="2C67ACA3"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19B60" w14:textId="614FDF87" w:rsidR="002D42C1" w:rsidRDefault="00E654D5">
    <w:pPr>
      <w:pStyle w:val="Header"/>
    </w:pPr>
    <w:r>
      <w:rPr>
        <w:noProof/>
      </w:rPr>
      <mc:AlternateContent>
        <mc:Choice Requires="wps">
          <w:drawing>
            <wp:anchor distT="0" distB="0" distL="0" distR="0" simplePos="0" relativeHeight="251682816" behindDoc="0" locked="0" layoutInCell="1" allowOverlap="1" wp14:anchorId="503F296A" wp14:editId="73A77274">
              <wp:simplePos x="635" y="635"/>
              <wp:positionH relativeFrom="page">
                <wp:align>center</wp:align>
              </wp:positionH>
              <wp:positionV relativeFrom="page">
                <wp:align>top</wp:align>
              </wp:positionV>
              <wp:extent cx="643255" cy="483870"/>
              <wp:effectExtent l="0" t="0" r="4445" b="11430"/>
              <wp:wrapNone/>
              <wp:docPr id="39118009"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73FAF1BB" w14:textId="7D189275"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3F296A" id="_x0000_t202" coordsize="21600,21600" o:spt="202" path="m,l,21600r21600,l21600,xe">
              <v:stroke joinstyle="miter"/>
              <v:path gradientshapeok="t" o:connecttype="rect"/>
            </v:shapetype>
            <v:shape id="Text Box 25" o:spid="_x0000_s1079" type="#_x0000_t202" alt="OFFICIAL" style="position:absolute;left:0;text-align:left;margin-left:0;margin-top:0;width:50.65pt;height:38.1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NxlLMoQAgAA&#10;HQQAAA4AAAAAAAAAAAAAAAAALgIAAGRycy9lMm9Eb2MueG1sUEsBAi0AFAAGAAgAAAAhAHyCawHa&#10;AAAABAEAAA8AAAAAAAAAAAAAAAAAagQAAGRycy9kb3ducmV2LnhtbFBLBQYAAAAABAAEAPMAAABx&#10;BQAAAAA=&#10;" filled="f" stroked="f">
              <v:fill o:detectmouseclick="t"/>
              <v:textbox style="mso-fit-shape-to-text:t" inset="0,15pt,0,0">
                <w:txbxContent>
                  <w:p w14:paraId="73FAF1BB" w14:textId="7D189275"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48B52" w14:textId="70BFDB67" w:rsidR="002D42C1" w:rsidRDefault="00E654D5">
    <w:pPr>
      <w:pStyle w:val="Header"/>
    </w:pPr>
    <w:r>
      <w:rPr>
        <w:noProof/>
      </w:rPr>
      <mc:AlternateContent>
        <mc:Choice Requires="wps">
          <w:drawing>
            <wp:anchor distT="0" distB="0" distL="0" distR="0" simplePos="0" relativeHeight="251683840" behindDoc="0" locked="0" layoutInCell="1" allowOverlap="1" wp14:anchorId="0B50FCD3" wp14:editId="333C9EA2">
              <wp:simplePos x="635" y="635"/>
              <wp:positionH relativeFrom="page">
                <wp:align>center</wp:align>
              </wp:positionH>
              <wp:positionV relativeFrom="page">
                <wp:align>top</wp:align>
              </wp:positionV>
              <wp:extent cx="643255" cy="483870"/>
              <wp:effectExtent l="0" t="0" r="4445" b="11430"/>
              <wp:wrapNone/>
              <wp:docPr id="1942186201"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4171CD35" w14:textId="45DA51BB"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50FCD3" id="_x0000_t202" coordsize="21600,21600" o:spt="202" path="m,l,21600r21600,l21600,xe">
              <v:stroke joinstyle="miter"/>
              <v:path gradientshapeok="t" o:connecttype="rect"/>
            </v:shapetype>
            <v:shape id="Text Box 26" o:spid="_x0000_s1080" type="#_x0000_t202" alt="OFFICIAL" style="position:absolute;left:0;text-align:left;margin-left:0;margin-top:0;width:50.65pt;height:38.1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N9ZMXoQAgAA&#10;HQQAAA4AAAAAAAAAAAAAAAAALgIAAGRycy9lMm9Eb2MueG1sUEsBAi0AFAAGAAgAAAAhAHyCawHa&#10;AAAABAEAAA8AAAAAAAAAAAAAAAAAagQAAGRycy9kb3ducmV2LnhtbFBLBQYAAAAABAAEAPMAAABx&#10;BQAAAAA=&#10;" filled="f" stroked="f">
              <v:fill o:detectmouseclick="t"/>
              <v:textbox style="mso-fit-shape-to-text:t" inset="0,15pt,0,0">
                <w:txbxContent>
                  <w:p w14:paraId="4171CD35" w14:textId="45DA51BB"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F6DF" w14:textId="5D8969DF" w:rsidR="002D42C1" w:rsidRDefault="00E654D5">
    <w:pPr>
      <w:pStyle w:val="Header"/>
    </w:pPr>
    <w:r>
      <w:rPr>
        <w:noProof/>
      </w:rPr>
      <mc:AlternateContent>
        <mc:Choice Requires="wps">
          <w:drawing>
            <wp:anchor distT="0" distB="0" distL="0" distR="0" simplePos="0" relativeHeight="251681792" behindDoc="0" locked="0" layoutInCell="1" allowOverlap="1" wp14:anchorId="7BAF6E7E" wp14:editId="62B7F998">
              <wp:simplePos x="635" y="635"/>
              <wp:positionH relativeFrom="page">
                <wp:align>center</wp:align>
              </wp:positionH>
              <wp:positionV relativeFrom="page">
                <wp:align>top</wp:align>
              </wp:positionV>
              <wp:extent cx="643255" cy="483870"/>
              <wp:effectExtent l="0" t="0" r="4445" b="11430"/>
              <wp:wrapNone/>
              <wp:docPr id="128498211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64684042" w14:textId="0E76096F"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AF6E7E" id="_x0000_t202" coordsize="21600,21600" o:spt="202" path="m,l,21600r21600,l21600,xe">
              <v:stroke joinstyle="miter"/>
              <v:path gradientshapeok="t" o:connecttype="rect"/>
            </v:shapetype>
            <v:shape id="Text Box 24" o:spid="_x0000_s1081" type="#_x0000_t202" alt="OFFICIAL" style="position:absolute;left:0;text-align:left;margin-left:0;margin-top:0;width:50.65pt;height:38.1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NHEAIAAB0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ir5ZDqMv4XqSFt5OBEenFw11HstAj4JTwzT&#10;IqRafKRDG+hKDmeLsxr8z7/5Yz4BT1HOOlJMyS1JmjPz3RIhUVzJGH/Jpznd/ODeDobdt3dAOhzT&#10;k3AymTEPzWBqD+0L6XkZG1FIWEntSo6DeYcn6dJ7kGq5TEmkIydwbTdOxtIRrwjmc/8ivDsjjkTV&#10;AwxyEsU74E+58c/glnsk+BMrEdsTkGfISYOJrPN7iSJ/e09Zl1e9+AU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LLmg0cQAgAA&#10;HQQAAA4AAAAAAAAAAAAAAAAALgIAAGRycy9lMm9Eb2MueG1sUEsBAi0AFAAGAAgAAAAhAHyCawHa&#10;AAAABAEAAA8AAAAAAAAAAAAAAAAAagQAAGRycy9kb3ducmV2LnhtbFBLBQYAAAAABAAEAPMAAABx&#10;BQAAAAA=&#10;" filled="f" stroked="f">
              <v:fill o:detectmouseclick="t"/>
              <v:textbox style="mso-fit-shape-to-text:t" inset="0,15pt,0,0">
                <w:txbxContent>
                  <w:p w14:paraId="64684042" w14:textId="0E76096F"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EC7D8" w14:textId="15D61DFE" w:rsidR="00767B75" w:rsidRDefault="00E654D5">
    <w:pPr>
      <w:pStyle w:val="Header"/>
    </w:pPr>
    <w:r>
      <w:rPr>
        <w:noProof/>
      </w:rPr>
      <mc:AlternateContent>
        <mc:Choice Requires="wps">
          <w:drawing>
            <wp:anchor distT="0" distB="0" distL="0" distR="0" simplePos="0" relativeHeight="251658240" behindDoc="0" locked="0" layoutInCell="1" allowOverlap="1" wp14:anchorId="52495D88" wp14:editId="5E0DB8EB">
              <wp:simplePos x="635" y="635"/>
              <wp:positionH relativeFrom="page">
                <wp:align>center</wp:align>
              </wp:positionH>
              <wp:positionV relativeFrom="page">
                <wp:align>top</wp:align>
              </wp:positionV>
              <wp:extent cx="643255" cy="483870"/>
              <wp:effectExtent l="0" t="0" r="4445" b="11430"/>
              <wp:wrapNone/>
              <wp:docPr id="158907592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0FE83723" w14:textId="5A97E8C5"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495D88" id="_x0000_t202" coordsize="21600,21600" o:spt="202" path="m,l,21600r21600,l21600,xe">
              <v:stroke joinstyle="miter"/>
              <v:path gradientshapeok="t" o:connecttype="rect"/>
            </v:shapetype>
            <v:shape id="_x0000_s1058" type="#_x0000_t202" alt="OFFICIAL" style="position:absolute;left:0;text-align:left;margin-left:0;margin-top:0;width:50.65pt;height:38.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DpDwIAABw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ir5ZJh+C9WRlvJw4js4uWqo9VoEfBKeCKY9&#10;SLT4SIc20JUczhZnNfiff/PHfMKdopx1JJiSW1I0Z+a7JT6itpIx/pJPc7r5wb0dDLtv74BkOKYX&#10;4WQyYx6awdQe2heS8zI2opCwktqVHAfzDk/Kpecg1XKZkkhGTuDabpyMpSNcEcvn/kV4dwYciakH&#10;GNQkine4n3Ljn8Et90joJ1IitCcgz4iTBBNX5+cSNf72nrIuj3rxCw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emBw6Q8CAAAc&#10;BAAADgAAAAAAAAAAAAAAAAAuAgAAZHJzL2Uyb0RvYy54bWxQSwECLQAUAAYACAAAACEAfIJrAdoA&#10;AAAEAQAADwAAAAAAAAAAAAAAAABpBAAAZHJzL2Rvd25yZXYueG1sUEsFBgAAAAAEAAQA8wAAAHAF&#10;AAAAAA==&#10;" filled="f" stroked="f">
              <v:fill o:detectmouseclick="t"/>
              <v:textbox style="mso-fit-shape-to-text:t" inset="0,15pt,0,0">
                <w:txbxContent>
                  <w:p w14:paraId="0FE83723" w14:textId="5A97E8C5"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4684" w14:textId="29E72E23" w:rsidR="00767B75" w:rsidRDefault="00E654D5">
    <w:pPr>
      <w:pStyle w:val="Header"/>
    </w:pPr>
    <w:r>
      <w:rPr>
        <w:noProof/>
      </w:rPr>
      <mc:AlternateContent>
        <mc:Choice Requires="wps">
          <w:drawing>
            <wp:anchor distT="0" distB="0" distL="0" distR="0" simplePos="0" relativeHeight="251662336" behindDoc="0" locked="0" layoutInCell="1" allowOverlap="1" wp14:anchorId="24E1C8C9" wp14:editId="7E480553">
              <wp:simplePos x="635" y="635"/>
              <wp:positionH relativeFrom="page">
                <wp:align>center</wp:align>
              </wp:positionH>
              <wp:positionV relativeFrom="page">
                <wp:align>top</wp:align>
              </wp:positionV>
              <wp:extent cx="643255" cy="483870"/>
              <wp:effectExtent l="0" t="0" r="4445" b="11430"/>
              <wp:wrapNone/>
              <wp:docPr id="149134263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3762B6C9" w14:textId="610B14C2"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E1C8C9" id="_x0000_t202" coordsize="21600,21600" o:spt="202" path="m,l,21600r21600,l21600,xe">
              <v:stroke joinstyle="miter"/>
              <v:path gradientshapeok="t" o:connecttype="rect"/>
            </v:shapetype>
            <v:shape id="Text Box 5" o:spid="_x0000_s1059" type="#_x0000_t202" alt="OFFICIAL" style="position:absolute;left:0;text-align:left;margin-left:0;margin-top:0;width:50.65pt;height:38.1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F9/C1A8CAAAc&#10;BAAADgAAAAAAAAAAAAAAAAAuAgAAZHJzL2Uyb0RvYy54bWxQSwECLQAUAAYACAAAACEAfIJrAdoA&#10;AAAEAQAADwAAAAAAAAAAAAAAAABpBAAAZHJzL2Rvd25yZXYueG1sUEsFBgAAAAAEAAQA8wAAAHAF&#10;AAAAAA==&#10;" filled="f" stroked="f">
              <v:fill o:detectmouseclick="t"/>
              <v:textbox style="mso-fit-shape-to-text:t" inset="0,15pt,0,0">
                <w:txbxContent>
                  <w:p w14:paraId="3762B6C9" w14:textId="610B14C2"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F1A00" w14:textId="4446D3A2" w:rsidR="00767B75" w:rsidRDefault="00E654D5">
    <w:pPr>
      <w:pStyle w:val="Header"/>
    </w:pPr>
    <w:r>
      <w:rPr>
        <w:noProof/>
      </w:rPr>
      <mc:AlternateContent>
        <mc:Choice Requires="wps">
          <w:drawing>
            <wp:anchor distT="0" distB="0" distL="0" distR="0" simplePos="0" relativeHeight="251663360" behindDoc="0" locked="0" layoutInCell="1" allowOverlap="1" wp14:anchorId="6C31D699" wp14:editId="04DD2E0A">
              <wp:simplePos x="721895" y="360947"/>
              <wp:positionH relativeFrom="page">
                <wp:align>center</wp:align>
              </wp:positionH>
              <wp:positionV relativeFrom="page">
                <wp:align>top</wp:align>
              </wp:positionV>
              <wp:extent cx="643255" cy="483870"/>
              <wp:effectExtent l="0" t="0" r="4445" b="11430"/>
              <wp:wrapNone/>
              <wp:docPr id="192935347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3423542A" w14:textId="4A60A247"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31D699" id="_x0000_t202" coordsize="21600,21600" o:spt="202" path="m,l,21600r21600,l21600,xe">
              <v:stroke joinstyle="miter"/>
              <v:path gradientshapeok="t" o:connecttype="rect"/>
            </v:shapetype>
            <v:shape id="Text Box 6" o:spid="_x0000_s1060" type="#_x0000_t202" alt="OFFICIAL" style="position:absolute;left:0;text-align:left;margin-left:0;margin-top:0;width:50.65pt;height:38.1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FOPfZA8CAAAc&#10;BAAADgAAAAAAAAAAAAAAAAAuAgAAZHJzL2Uyb0RvYy54bWxQSwECLQAUAAYACAAAACEAfIJrAdoA&#10;AAAEAQAADwAAAAAAAAAAAAAAAABpBAAAZHJzL2Rvd25yZXYueG1sUEsFBgAAAAAEAAQA8wAAAHAF&#10;AAAAAA==&#10;" filled="f" stroked="f">
              <v:fill o:detectmouseclick="t"/>
              <v:textbox style="mso-fit-shape-to-text:t" inset="0,15pt,0,0">
                <w:txbxContent>
                  <w:p w14:paraId="3423542A" w14:textId="4A60A247"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C4D1" w14:textId="42116734" w:rsidR="00767B75" w:rsidRDefault="00E654D5">
    <w:pPr>
      <w:pStyle w:val="Header"/>
    </w:pPr>
    <w:r>
      <w:rPr>
        <w:noProof/>
      </w:rPr>
      <mc:AlternateContent>
        <mc:Choice Requires="wps">
          <w:drawing>
            <wp:anchor distT="0" distB="0" distL="0" distR="0" simplePos="0" relativeHeight="251661312" behindDoc="0" locked="0" layoutInCell="1" allowOverlap="1" wp14:anchorId="30B0FC40" wp14:editId="4D9B16B1">
              <wp:simplePos x="635" y="635"/>
              <wp:positionH relativeFrom="page">
                <wp:align>center</wp:align>
              </wp:positionH>
              <wp:positionV relativeFrom="page">
                <wp:align>top</wp:align>
              </wp:positionV>
              <wp:extent cx="643255" cy="483870"/>
              <wp:effectExtent l="0" t="0" r="4445" b="11430"/>
              <wp:wrapNone/>
              <wp:docPr id="31625287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2D786A21" w14:textId="7F8C2D88"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B0FC40" id="_x0000_t202" coordsize="21600,21600" o:spt="202" path="m,l,21600r21600,l21600,xe">
              <v:stroke joinstyle="miter"/>
              <v:path gradientshapeok="t" o:connecttype="rect"/>
            </v:shapetype>
            <v:shape id="Text Box 4" o:spid="_x0000_s1061" type="#_x0000_t202" alt="OFFICIAL" style="position:absolute;left:0;text-align:left;margin-left:0;margin-top:0;width:50.65pt;height:38.1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1ZDwIAABw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ir5dJh+C9WRlvJw4js4uWqo9VoEfBKeCKY9&#10;SLT4SIc20JUczhZnNfiff/PHfMKdopx1JJiSW1I0Z+a7JT6itpIx/pJPc7r5wb0dDLtv74BkOKYX&#10;4WQyYx6awdQe2heS8zI2opCwktqVHAfzDk/Kpecg1XKZkkhGTuDabpyMpSNcEcvn/kV4dwYciakH&#10;GNQkine4n3Ljn8Et90joJ1IitCcgz4iTBBNX5+cSNf72nrIuj3rxCw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eVxtWQ8CAAAc&#10;BAAADgAAAAAAAAAAAAAAAAAuAgAAZHJzL2Uyb0RvYy54bWxQSwECLQAUAAYACAAAACEAfIJrAdoA&#10;AAAEAQAADwAAAAAAAAAAAAAAAABpBAAAZHJzL2Rvd25yZXYueG1sUEsFBgAAAAAEAAQA8wAAAHAF&#10;AAAAAA==&#10;" filled="f" stroked="f">
              <v:fill o:detectmouseclick="t"/>
              <v:textbox style="mso-fit-shape-to-text:t" inset="0,15pt,0,0">
                <w:txbxContent>
                  <w:p w14:paraId="2D786A21" w14:textId="7F8C2D88"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C994" w14:textId="11A0C30A" w:rsidR="00767B75" w:rsidRDefault="00E654D5">
    <w:pPr>
      <w:pStyle w:val="Header"/>
    </w:pPr>
    <w:r>
      <w:rPr>
        <w:noProof/>
      </w:rPr>
      <mc:AlternateContent>
        <mc:Choice Requires="wps">
          <w:drawing>
            <wp:anchor distT="0" distB="0" distL="0" distR="0" simplePos="0" relativeHeight="251665408" behindDoc="0" locked="0" layoutInCell="1" allowOverlap="1" wp14:anchorId="5F670A55" wp14:editId="208299FB">
              <wp:simplePos x="635" y="635"/>
              <wp:positionH relativeFrom="page">
                <wp:align>center</wp:align>
              </wp:positionH>
              <wp:positionV relativeFrom="page">
                <wp:align>top</wp:align>
              </wp:positionV>
              <wp:extent cx="643255" cy="483870"/>
              <wp:effectExtent l="0" t="0" r="4445" b="11430"/>
              <wp:wrapNone/>
              <wp:docPr id="26436836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31E96688" w14:textId="620F3EC1"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670A55" id="_x0000_t202" coordsize="21600,21600" o:spt="202" path="m,l,21600r21600,l21600,xe">
              <v:stroke joinstyle="miter"/>
              <v:path gradientshapeok="t" o:connecttype="rect"/>
            </v:shapetype>
            <v:shape id="Text Box 8" o:spid="_x0000_s1062" type="#_x0000_t202" alt="OFFICIAL" style="position:absolute;left:0;text-align:left;margin-left:0;margin-top:0;width:50.65pt;height:38.1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zp26Hw8CAAAc&#10;BAAADgAAAAAAAAAAAAAAAAAuAgAAZHJzL2Uyb0RvYy54bWxQSwECLQAUAAYACAAAACEAfIJrAdoA&#10;AAAEAQAADwAAAAAAAAAAAAAAAABpBAAAZHJzL2Rvd25yZXYueG1sUEsFBgAAAAAEAAQA8wAAAHAF&#10;AAAAAA==&#10;" filled="f" stroked="f">
              <v:fill o:detectmouseclick="t"/>
              <v:textbox style="mso-fit-shape-to-text:t" inset="0,15pt,0,0">
                <w:txbxContent>
                  <w:p w14:paraId="31E96688" w14:textId="620F3EC1"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1A0F1" w14:textId="0CFA5400" w:rsidR="00767B75" w:rsidRDefault="00E654D5">
    <w:pPr>
      <w:pStyle w:val="Header"/>
    </w:pPr>
    <w:r>
      <w:rPr>
        <w:noProof/>
      </w:rPr>
      <mc:AlternateContent>
        <mc:Choice Requires="wps">
          <w:drawing>
            <wp:anchor distT="0" distB="0" distL="0" distR="0" simplePos="0" relativeHeight="251666432" behindDoc="0" locked="0" layoutInCell="1" allowOverlap="1" wp14:anchorId="7A7541D0" wp14:editId="7B2C8F19">
              <wp:simplePos x="635" y="635"/>
              <wp:positionH relativeFrom="page">
                <wp:align>center</wp:align>
              </wp:positionH>
              <wp:positionV relativeFrom="page">
                <wp:align>top</wp:align>
              </wp:positionV>
              <wp:extent cx="643255" cy="483870"/>
              <wp:effectExtent l="0" t="0" r="4445" b="11430"/>
              <wp:wrapNone/>
              <wp:docPr id="100755331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3DCD4293" w14:textId="067FDD0B"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7541D0" id="_x0000_t202" coordsize="21600,21600" o:spt="202" path="m,l,21600r21600,l21600,xe">
              <v:stroke joinstyle="miter"/>
              <v:path gradientshapeok="t" o:connecttype="rect"/>
            </v:shapetype>
            <v:shape id="Text Box 9" o:spid="_x0000_s1063" type="#_x0000_t202" alt="OFFICIAL" style="position:absolute;left:0;text-align:left;margin-left:0;margin-top:0;width:50.65pt;height:38.1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KMiCCIQAgAA&#10;HAQAAA4AAAAAAAAAAAAAAAAALgIAAGRycy9lMm9Eb2MueG1sUEsBAi0AFAAGAAgAAAAhAHyCawHa&#10;AAAABAEAAA8AAAAAAAAAAAAAAAAAagQAAGRycy9kb3ducmV2LnhtbFBLBQYAAAAABAAEAPMAAABx&#10;BQAAAAA=&#10;" filled="f" stroked="f">
              <v:fill o:detectmouseclick="t"/>
              <v:textbox style="mso-fit-shape-to-text:t" inset="0,15pt,0,0">
                <w:txbxContent>
                  <w:p w14:paraId="3DCD4293" w14:textId="067FDD0B"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8CD6" w14:textId="7BFA0B5B" w:rsidR="00767B75" w:rsidRDefault="00E654D5">
    <w:pPr>
      <w:pStyle w:val="Header"/>
    </w:pPr>
    <w:r>
      <w:rPr>
        <w:noProof/>
      </w:rPr>
      <mc:AlternateContent>
        <mc:Choice Requires="wps">
          <w:drawing>
            <wp:anchor distT="0" distB="0" distL="0" distR="0" simplePos="0" relativeHeight="251664384" behindDoc="0" locked="0" layoutInCell="1" allowOverlap="1" wp14:anchorId="42928EEE" wp14:editId="720EB459">
              <wp:simplePos x="635" y="635"/>
              <wp:positionH relativeFrom="page">
                <wp:align>center</wp:align>
              </wp:positionH>
              <wp:positionV relativeFrom="page">
                <wp:align>top</wp:align>
              </wp:positionV>
              <wp:extent cx="643255" cy="483870"/>
              <wp:effectExtent l="0" t="0" r="4445" b="11430"/>
              <wp:wrapNone/>
              <wp:docPr id="106588088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18CA9290" w14:textId="2E65547D"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928EEE" id="_x0000_t202" coordsize="21600,21600" o:spt="202" path="m,l,21600r21600,l21600,xe">
              <v:stroke joinstyle="miter"/>
              <v:path gradientshapeok="t" o:connecttype="rect"/>
            </v:shapetype>
            <v:shape id="Text Box 7" o:spid="_x0000_s1064" type="#_x0000_t202" alt="OFFICIAL" style="position:absolute;left:0;text-align:left;margin-left:0;margin-top:0;width:50.65pt;height:38.1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kDwIAABw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ir5bJh+C9WRlvJw4js4uWqo9VoEfBKeCKY9&#10;SLT4SIc20JUczhZnNfiff/PHfMKdopx1JJiSW1I0Z+a7JT6itpIx/pJPc7r5wb0dDLtv74BkOKYX&#10;4WQyYx6awdQe2heS8zI2opCwktqVHAfzDk/Kpecg1XKZkkhGTuDabpyMpSNcEcvn/kV4dwYciakH&#10;GNQkine4n3Ljn8Et90joJ1IitCcgz4iTBBNX5+cSNf72nrIuj3rxCw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iePxpA8CAAAc&#10;BAAADgAAAAAAAAAAAAAAAAAuAgAAZHJzL2Uyb0RvYy54bWxQSwECLQAUAAYACAAAACEAfIJrAdoA&#10;AAAEAQAADwAAAAAAAAAAAAAAAABpBAAAZHJzL2Rvd25yZXYueG1sUEsFBgAAAAAEAAQA8wAAAHAF&#10;AAAAAA==&#10;" filled="f" stroked="f">
              <v:fill o:detectmouseclick="t"/>
              <v:textbox style="mso-fit-shape-to-text:t" inset="0,15pt,0,0">
                <w:txbxContent>
                  <w:p w14:paraId="18CA9290" w14:textId="2E65547D" w:rsidR="00E654D5" w:rsidRPr="00E654D5" w:rsidRDefault="00E654D5" w:rsidP="00E654D5">
                    <w:pPr>
                      <w:spacing w:after="0"/>
                      <w:rPr>
                        <w:rFonts w:ascii="Calibri" w:eastAsia="Calibri" w:hAnsi="Calibri" w:cs="Calibri"/>
                        <w:noProof/>
                        <w:color w:val="FF0000"/>
                        <w:sz w:val="28"/>
                        <w:szCs w:val="28"/>
                      </w:rPr>
                    </w:pPr>
                    <w:r w:rsidRPr="00E654D5">
                      <w:rPr>
                        <w:rFonts w:ascii="Calibri" w:eastAsia="Calibri" w:hAnsi="Calibri" w:cs="Calibri"/>
                        <w:noProof/>
                        <w:color w:val="FF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B3687DA"/>
    <w:lvl w:ilvl="0">
      <w:start w:val="11"/>
      <w:numFmt w:val="bullet"/>
      <w:pStyle w:val="ListBullet2"/>
      <w:lvlText w:val="-"/>
      <w:lvlJc w:val="left"/>
      <w:pPr>
        <w:ind w:left="1363" w:hanging="360"/>
      </w:pPr>
      <w:rPr>
        <w:rFonts w:ascii="Verdana" w:eastAsia="Aptos Display" w:hAnsi="Verdana" w:cs="Times New Roman" w:hint="default"/>
      </w:rPr>
    </w:lvl>
  </w:abstractNum>
  <w:abstractNum w:abstractNumId="1" w15:restartNumberingAfterBreak="0">
    <w:nsid w:val="FFFFFF89"/>
    <w:multiLevelType w:val="singleLevel"/>
    <w:tmpl w:val="1A0C8CE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19F4F"/>
    <w:multiLevelType w:val="hybridMultilevel"/>
    <w:tmpl w:val="FFFFFFFF"/>
    <w:lvl w:ilvl="0" w:tplc="F9F031B6">
      <w:start w:val="1"/>
      <w:numFmt w:val="bullet"/>
      <w:lvlText w:val=""/>
      <w:lvlJc w:val="left"/>
      <w:pPr>
        <w:ind w:left="720" w:hanging="360"/>
      </w:pPr>
      <w:rPr>
        <w:rFonts w:ascii="Symbol" w:hAnsi="Symbol" w:hint="default"/>
      </w:rPr>
    </w:lvl>
    <w:lvl w:ilvl="1" w:tplc="6AB4144A">
      <w:start w:val="1"/>
      <w:numFmt w:val="bullet"/>
      <w:lvlText w:val="o"/>
      <w:lvlJc w:val="left"/>
      <w:pPr>
        <w:ind w:left="1440" w:hanging="360"/>
      </w:pPr>
      <w:rPr>
        <w:rFonts w:ascii="Courier New" w:hAnsi="Courier New" w:hint="default"/>
      </w:rPr>
    </w:lvl>
    <w:lvl w:ilvl="2" w:tplc="B936DAA4">
      <w:start w:val="1"/>
      <w:numFmt w:val="bullet"/>
      <w:lvlText w:val=""/>
      <w:lvlJc w:val="left"/>
      <w:pPr>
        <w:ind w:left="2160" w:hanging="360"/>
      </w:pPr>
      <w:rPr>
        <w:rFonts w:ascii="Wingdings" w:hAnsi="Wingdings" w:hint="default"/>
      </w:rPr>
    </w:lvl>
    <w:lvl w:ilvl="3" w:tplc="4740CD04">
      <w:start w:val="1"/>
      <w:numFmt w:val="bullet"/>
      <w:lvlText w:val=""/>
      <w:lvlJc w:val="left"/>
      <w:pPr>
        <w:ind w:left="2880" w:hanging="360"/>
      </w:pPr>
      <w:rPr>
        <w:rFonts w:ascii="Symbol" w:hAnsi="Symbol" w:hint="default"/>
      </w:rPr>
    </w:lvl>
    <w:lvl w:ilvl="4" w:tplc="9EE8D25E">
      <w:start w:val="1"/>
      <w:numFmt w:val="bullet"/>
      <w:lvlText w:val="o"/>
      <w:lvlJc w:val="left"/>
      <w:pPr>
        <w:ind w:left="3600" w:hanging="360"/>
      </w:pPr>
      <w:rPr>
        <w:rFonts w:ascii="Courier New" w:hAnsi="Courier New" w:hint="default"/>
      </w:rPr>
    </w:lvl>
    <w:lvl w:ilvl="5" w:tplc="E2C40538">
      <w:start w:val="1"/>
      <w:numFmt w:val="bullet"/>
      <w:lvlText w:val=""/>
      <w:lvlJc w:val="left"/>
      <w:pPr>
        <w:ind w:left="4320" w:hanging="360"/>
      </w:pPr>
      <w:rPr>
        <w:rFonts w:ascii="Wingdings" w:hAnsi="Wingdings" w:hint="default"/>
      </w:rPr>
    </w:lvl>
    <w:lvl w:ilvl="6" w:tplc="8AAA3C84">
      <w:start w:val="1"/>
      <w:numFmt w:val="bullet"/>
      <w:lvlText w:val=""/>
      <w:lvlJc w:val="left"/>
      <w:pPr>
        <w:ind w:left="5040" w:hanging="360"/>
      </w:pPr>
      <w:rPr>
        <w:rFonts w:ascii="Symbol" w:hAnsi="Symbol" w:hint="default"/>
      </w:rPr>
    </w:lvl>
    <w:lvl w:ilvl="7" w:tplc="0E0C2C6A">
      <w:start w:val="1"/>
      <w:numFmt w:val="bullet"/>
      <w:lvlText w:val="o"/>
      <w:lvlJc w:val="left"/>
      <w:pPr>
        <w:ind w:left="5760" w:hanging="360"/>
      </w:pPr>
      <w:rPr>
        <w:rFonts w:ascii="Courier New" w:hAnsi="Courier New" w:hint="default"/>
      </w:rPr>
    </w:lvl>
    <w:lvl w:ilvl="8" w:tplc="5D9EFB64">
      <w:start w:val="1"/>
      <w:numFmt w:val="bullet"/>
      <w:lvlText w:val=""/>
      <w:lvlJc w:val="left"/>
      <w:pPr>
        <w:ind w:left="6480" w:hanging="360"/>
      </w:pPr>
      <w:rPr>
        <w:rFonts w:ascii="Wingdings" w:hAnsi="Wingdings" w:hint="default"/>
      </w:rPr>
    </w:lvl>
  </w:abstractNum>
  <w:abstractNum w:abstractNumId="3" w15:restartNumberingAfterBreak="0">
    <w:nsid w:val="00E2AAF0"/>
    <w:multiLevelType w:val="hybridMultilevel"/>
    <w:tmpl w:val="FFFFFFFF"/>
    <w:lvl w:ilvl="0" w:tplc="C664912A">
      <w:start w:val="1"/>
      <w:numFmt w:val="bullet"/>
      <w:lvlText w:val=""/>
      <w:lvlJc w:val="left"/>
      <w:pPr>
        <w:ind w:left="720" w:hanging="360"/>
      </w:pPr>
      <w:rPr>
        <w:rFonts w:ascii="Symbol" w:hAnsi="Symbol" w:hint="default"/>
      </w:rPr>
    </w:lvl>
    <w:lvl w:ilvl="1" w:tplc="660AFD1A">
      <w:start w:val="1"/>
      <w:numFmt w:val="bullet"/>
      <w:lvlText w:val="o"/>
      <w:lvlJc w:val="left"/>
      <w:pPr>
        <w:ind w:left="1440" w:hanging="360"/>
      </w:pPr>
      <w:rPr>
        <w:rFonts w:ascii="Courier New" w:hAnsi="Courier New" w:hint="default"/>
      </w:rPr>
    </w:lvl>
    <w:lvl w:ilvl="2" w:tplc="66A40B46">
      <w:start w:val="1"/>
      <w:numFmt w:val="bullet"/>
      <w:lvlText w:val=""/>
      <w:lvlJc w:val="left"/>
      <w:pPr>
        <w:ind w:left="2160" w:hanging="360"/>
      </w:pPr>
      <w:rPr>
        <w:rFonts w:ascii="Wingdings" w:hAnsi="Wingdings" w:hint="default"/>
      </w:rPr>
    </w:lvl>
    <w:lvl w:ilvl="3" w:tplc="EA86DD02">
      <w:start w:val="1"/>
      <w:numFmt w:val="bullet"/>
      <w:lvlText w:val=""/>
      <w:lvlJc w:val="left"/>
      <w:pPr>
        <w:ind w:left="2880" w:hanging="360"/>
      </w:pPr>
      <w:rPr>
        <w:rFonts w:ascii="Symbol" w:hAnsi="Symbol" w:hint="default"/>
      </w:rPr>
    </w:lvl>
    <w:lvl w:ilvl="4" w:tplc="54C20100">
      <w:start w:val="1"/>
      <w:numFmt w:val="bullet"/>
      <w:lvlText w:val="o"/>
      <w:lvlJc w:val="left"/>
      <w:pPr>
        <w:ind w:left="3600" w:hanging="360"/>
      </w:pPr>
      <w:rPr>
        <w:rFonts w:ascii="Courier New" w:hAnsi="Courier New" w:hint="default"/>
      </w:rPr>
    </w:lvl>
    <w:lvl w:ilvl="5" w:tplc="9FAE3E46">
      <w:start w:val="1"/>
      <w:numFmt w:val="bullet"/>
      <w:lvlText w:val=""/>
      <w:lvlJc w:val="left"/>
      <w:pPr>
        <w:ind w:left="4320" w:hanging="360"/>
      </w:pPr>
      <w:rPr>
        <w:rFonts w:ascii="Wingdings" w:hAnsi="Wingdings" w:hint="default"/>
      </w:rPr>
    </w:lvl>
    <w:lvl w:ilvl="6" w:tplc="87204048">
      <w:start w:val="1"/>
      <w:numFmt w:val="bullet"/>
      <w:lvlText w:val=""/>
      <w:lvlJc w:val="left"/>
      <w:pPr>
        <w:ind w:left="5040" w:hanging="360"/>
      </w:pPr>
      <w:rPr>
        <w:rFonts w:ascii="Symbol" w:hAnsi="Symbol" w:hint="default"/>
      </w:rPr>
    </w:lvl>
    <w:lvl w:ilvl="7" w:tplc="82D0E084">
      <w:start w:val="1"/>
      <w:numFmt w:val="bullet"/>
      <w:lvlText w:val="o"/>
      <w:lvlJc w:val="left"/>
      <w:pPr>
        <w:ind w:left="5760" w:hanging="360"/>
      </w:pPr>
      <w:rPr>
        <w:rFonts w:ascii="Courier New" w:hAnsi="Courier New" w:hint="default"/>
      </w:rPr>
    </w:lvl>
    <w:lvl w:ilvl="8" w:tplc="AF5CDC54">
      <w:start w:val="1"/>
      <w:numFmt w:val="bullet"/>
      <w:lvlText w:val=""/>
      <w:lvlJc w:val="left"/>
      <w:pPr>
        <w:ind w:left="6480" w:hanging="360"/>
      </w:pPr>
      <w:rPr>
        <w:rFonts w:ascii="Wingdings" w:hAnsi="Wingdings" w:hint="default"/>
      </w:rPr>
    </w:lvl>
  </w:abstractNum>
  <w:abstractNum w:abstractNumId="4" w15:restartNumberingAfterBreak="0">
    <w:nsid w:val="01D57E9D"/>
    <w:multiLevelType w:val="hybridMultilevel"/>
    <w:tmpl w:val="682605A6"/>
    <w:lvl w:ilvl="0" w:tplc="C1B6D458">
      <w:start w:val="11"/>
      <w:numFmt w:val="bullet"/>
      <w:pStyle w:val="ListBullet3"/>
      <w:lvlText w:val="&gt;"/>
      <w:lvlJc w:val="left"/>
      <w:pPr>
        <w:ind w:left="1854" w:hanging="360"/>
      </w:pPr>
      <w:rPr>
        <w:rFonts w:ascii="Verdana" w:eastAsia="Aptos Display" w:hAnsi="Verdana" w:cs="Times New Roman"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036F68CE"/>
    <w:multiLevelType w:val="multilevel"/>
    <w:tmpl w:val="FFFFFFFF"/>
    <w:styleLink w:val="Bullets"/>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4513821"/>
    <w:multiLevelType w:val="hybridMultilevel"/>
    <w:tmpl w:val="B0927040"/>
    <w:lvl w:ilvl="0" w:tplc="D3BC4D42">
      <w:start w:val="1"/>
      <w:numFmt w:val="decimal"/>
      <w:pStyle w:val="numbers"/>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4E44FD0"/>
    <w:multiLevelType w:val="hybridMultilevel"/>
    <w:tmpl w:val="7DD00718"/>
    <w:name w:val="Bullets2"/>
    <w:lvl w:ilvl="0" w:tplc="A6E0513C">
      <w:start w:val="1"/>
      <w:numFmt w:val="bullet"/>
      <w:lvlText w:val="–"/>
      <w:lvlJc w:val="left"/>
      <w:pPr>
        <w:ind w:left="1494"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4F3C5B"/>
    <w:multiLevelType w:val="multilevel"/>
    <w:tmpl w:val="638C74BE"/>
    <w:name w:val="Bullets"/>
    <w:lvl w:ilvl="0">
      <w:start w:val="1"/>
      <w:numFmt w:val="bullet"/>
      <w:lvlText w:val="•"/>
      <w:lvlJc w:val="left"/>
      <w:pPr>
        <w:ind w:left="567" w:hanging="567"/>
      </w:pPr>
      <w:rPr>
        <w:rFonts w:ascii="Verdana" w:hAnsi="Verdana" w:hint="default"/>
      </w:rPr>
    </w:lvl>
    <w:lvl w:ilvl="1">
      <w:start w:val="1"/>
      <w:numFmt w:val="bullet"/>
      <w:lvlText w:val="–"/>
      <w:lvlJc w:val="left"/>
      <w:pPr>
        <w:ind w:left="1134" w:hanging="567"/>
      </w:pPr>
      <w:rPr>
        <w:rFonts w:ascii="Verdana" w:hAnsi="Verdana" w:hint="default"/>
      </w:rPr>
    </w:lvl>
    <w:lvl w:ilvl="2">
      <w:start w:val="1"/>
      <w:numFmt w:val="bullet"/>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8C7D261"/>
    <w:multiLevelType w:val="hybridMultilevel"/>
    <w:tmpl w:val="FFFFFFFF"/>
    <w:lvl w:ilvl="0" w:tplc="8C761C64">
      <w:start w:val="1"/>
      <w:numFmt w:val="bullet"/>
      <w:lvlText w:val=""/>
      <w:lvlJc w:val="left"/>
      <w:pPr>
        <w:ind w:left="720" w:hanging="360"/>
      </w:pPr>
      <w:rPr>
        <w:rFonts w:ascii="Symbol" w:hAnsi="Symbol" w:hint="default"/>
      </w:rPr>
    </w:lvl>
    <w:lvl w:ilvl="1" w:tplc="7D50C7F4">
      <w:start w:val="1"/>
      <w:numFmt w:val="bullet"/>
      <w:lvlText w:val="o"/>
      <w:lvlJc w:val="left"/>
      <w:pPr>
        <w:ind w:left="1440" w:hanging="360"/>
      </w:pPr>
      <w:rPr>
        <w:rFonts w:ascii="Courier New" w:hAnsi="Courier New" w:hint="default"/>
      </w:rPr>
    </w:lvl>
    <w:lvl w:ilvl="2" w:tplc="8FCE33EA">
      <w:start w:val="1"/>
      <w:numFmt w:val="bullet"/>
      <w:lvlText w:val=""/>
      <w:lvlJc w:val="left"/>
      <w:pPr>
        <w:ind w:left="2160" w:hanging="360"/>
      </w:pPr>
      <w:rPr>
        <w:rFonts w:ascii="Wingdings" w:hAnsi="Wingdings" w:hint="default"/>
      </w:rPr>
    </w:lvl>
    <w:lvl w:ilvl="3" w:tplc="FB384D6C">
      <w:start w:val="1"/>
      <w:numFmt w:val="bullet"/>
      <w:lvlText w:val=""/>
      <w:lvlJc w:val="left"/>
      <w:pPr>
        <w:ind w:left="2880" w:hanging="360"/>
      </w:pPr>
      <w:rPr>
        <w:rFonts w:ascii="Symbol" w:hAnsi="Symbol" w:hint="default"/>
      </w:rPr>
    </w:lvl>
    <w:lvl w:ilvl="4" w:tplc="B46877D8">
      <w:start w:val="1"/>
      <w:numFmt w:val="bullet"/>
      <w:lvlText w:val="o"/>
      <w:lvlJc w:val="left"/>
      <w:pPr>
        <w:ind w:left="3600" w:hanging="360"/>
      </w:pPr>
      <w:rPr>
        <w:rFonts w:ascii="Courier New" w:hAnsi="Courier New" w:hint="default"/>
      </w:rPr>
    </w:lvl>
    <w:lvl w:ilvl="5" w:tplc="058C4586">
      <w:start w:val="1"/>
      <w:numFmt w:val="bullet"/>
      <w:lvlText w:val=""/>
      <w:lvlJc w:val="left"/>
      <w:pPr>
        <w:ind w:left="4320" w:hanging="360"/>
      </w:pPr>
      <w:rPr>
        <w:rFonts w:ascii="Wingdings" w:hAnsi="Wingdings" w:hint="default"/>
      </w:rPr>
    </w:lvl>
    <w:lvl w:ilvl="6" w:tplc="A3FEC6B4">
      <w:start w:val="1"/>
      <w:numFmt w:val="bullet"/>
      <w:lvlText w:val=""/>
      <w:lvlJc w:val="left"/>
      <w:pPr>
        <w:ind w:left="5040" w:hanging="360"/>
      </w:pPr>
      <w:rPr>
        <w:rFonts w:ascii="Symbol" w:hAnsi="Symbol" w:hint="default"/>
      </w:rPr>
    </w:lvl>
    <w:lvl w:ilvl="7" w:tplc="77E4F32A">
      <w:start w:val="1"/>
      <w:numFmt w:val="bullet"/>
      <w:lvlText w:val="o"/>
      <w:lvlJc w:val="left"/>
      <w:pPr>
        <w:ind w:left="5760" w:hanging="360"/>
      </w:pPr>
      <w:rPr>
        <w:rFonts w:ascii="Courier New" w:hAnsi="Courier New" w:hint="default"/>
      </w:rPr>
    </w:lvl>
    <w:lvl w:ilvl="8" w:tplc="3E0255BC">
      <w:start w:val="1"/>
      <w:numFmt w:val="bullet"/>
      <w:lvlText w:val=""/>
      <w:lvlJc w:val="left"/>
      <w:pPr>
        <w:ind w:left="6480" w:hanging="360"/>
      </w:pPr>
      <w:rPr>
        <w:rFonts w:ascii="Wingdings" w:hAnsi="Wingdings" w:hint="default"/>
      </w:rPr>
    </w:lvl>
  </w:abstractNum>
  <w:abstractNum w:abstractNumId="12" w15:restartNumberingAfterBreak="0">
    <w:nsid w:val="0A7A04C5"/>
    <w:multiLevelType w:val="hybridMultilevel"/>
    <w:tmpl w:val="FFFFFFFF"/>
    <w:lvl w:ilvl="0" w:tplc="CEC4D976">
      <w:start w:val="1"/>
      <w:numFmt w:val="decimal"/>
      <w:lvlText w:val="%1."/>
      <w:lvlJc w:val="left"/>
      <w:pPr>
        <w:ind w:left="720" w:hanging="360"/>
      </w:pPr>
    </w:lvl>
    <w:lvl w:ilvl="1" w:tplc="1AAEF704">
      <w:start w:val="1"/>
      <w:numFmt w:val="lowerLetter"/>
      <w:lvlText w:val="%2."/>
      <w:lvlJc w:val="left"/>
      <w:pPr>
        <w:ind w:left="1440" w:hanging="360"/>
      </w:pPr>
    </w:lvl>
    <w:lvl w:ilvl="2" w:tplc="E49E0690">
      <w:start w:val="1"/>
      <w:numFmt w:val="lowerRoman"/>
      <w:lvlText w:val="%3."/>
      <w:lvlJc w:val="right"/>
      <w:pPr>
        <w:ind w:left="2160" w:hanging="180"/>
      </w:pPr>
    </w:lvl>
    <w:lvl w:ilvl="3" w:tplc="2D08DD62">
      <w:start w:val="1"/>
      <w:numFmt w:val="decimal"/>
      <w:lvlText w:val="%4."/>
      <w:lvlJc w:val="left"/>
      <w:pPr>
        <w:ind w:left="2880" w:hanging="360"/>
      </w:pPr>
    </w:lvl>
    <w:lvl w:ilvl="4" w:tplc="752A6A4E">
      <w:start w:val="1"/>
      <w:numFmt w:val="lowerLetter"/>
      <w:lvlText w:val="%5."/>
      <w:lvlJc w:val="left"/>
      <w:pPr>
        <w:ind w:left="3600" w:hanging="360"/>
      </w:pPr>
    </w:lvl>
    <w:lvl w:ilvl="5" w:tplc="D3AA96C2">
      <w:start w:val="1"/>
      <w:numFmt w:val="lowerRoman"/>
      <w:lvlText w:val="%6."/>
      <w:lvlJc w:val="right"/>
      <w:pPr>
        <w:ind w:left="4320" w:hanging="180"/>
      </w:pPr>
    </w:lvl>
    <w:lvl w:ilvl="6" w:tplc="3AC633F4">
      <w:start w:val="1"/>
      <w:numFmt w:val="decimal"/>
      <w:lvlText w:val="%7."/>
      <w:lvlJc w:val="left"/>
      <w:pPr>
        <w:ind w:left="5040" w:hanging="360"/>
      </w:pPr>
    </w:lvl>
    <w:lvl w:ilvl="7" w:tplc="8CC49F70">
      <w:start w:val="1"/>
      <w:numFmt w:val="lowerLetter"/>
      <w:lvlText w:val="%8."/>
      <w:lvlJc w:val="left"/>
      <w:pPr>
        <w:ind w:left="5760" w:hanging="360"/>
      </w:pPr>
    </w:lvl>
    <w:lvl w:ilvl="8" w:tplc="15DACCAA">
      <w:start w:val="1"/>
      <w:numFmt w:val="lowerRoman"/>
      <w:lvlText w:val="%9."/>
      <w:lvlJc w:val="right"/>
      <w:pPr>
        <w:ind w:left="6480" w:hanging="180"/>
      </w:pPr>
    </w:lvl>
  </w:abstractNum>
  <w:abstractNum w:abstractNumId="13" w15:restartNumberingAfterBreak="0">
    <w:nsid w:val="0A8A633D"/>
    <w:multiLevelType w:val="multilevel"/>
    <w:tmpl w:val="C9881CB4"/>
    <w:styleLink w:val="MyListNumbering"/>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4" w15:restartNumberingAfterBreak="0">
    <w:nsid w:val="0C1238CF"/>
    <w:multiLevelType w:val="multilevel"/>
    <w:tmpl w:val="D2386AF6"/>
    <w:name w:val="Bullets4"/>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6" w15:restartNumberingAfterBreak="0">
    <w:nsid w:val="0E243C5A"/>
    <w:multiLevelType w:val="hybridMultilevel"/>
    <w:tmpl w:val="113C8B88"/>
    <w:lvl w:ilvl="0" w:tplc="51CA16EE">
      <w:start w:val="11"/>
      <w:numFmt w:val="bullet"/>
      <w:lvlText w:val="-"/>
      <w:lvlJc w:val="left"/>
      <w:pPr>
        <w:ind w:left="720" w:hanging="360"/>
      </w:pPr>
      <w:rPr>
        <w:rFonts w:ascii="Verdana" w:eastAsia="Aptos Display"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74C595"/>
    <w:multiLevelType w:val="hybridMultilevel"/>
    <w:tmpl w:val="FFFFFFFF"/>
    <w:lvl w:ilvl="0" w:tplc="E72ADF86">
      <w:start w:val="1"/>
      <w:numFmt w:val="bullet"/>
      <w:lvlText w:val=""/>
      <w:lvlJc w:val="left"/>
      <w:pPr>
        <w:ind w:left="720" w:hanging="360"/>
      </w:pPr>
      <w:rPr>
        <w:rFonts w:ascii="Symbol" w:hAnsi="Symbol" w:hint="default"/>
      </w:rPr>
    </w:lvl>
    <w:lvl w:ilvl="1" w:tplc="A7609678">
      <w:start w:val="1"/>
      <w:numFmt w:val="bullet"/>
      <w:lvlText w:val="o"/>
      <w:lvlJc w:val="left"/>
      <w:pPr>
        <w:ind w:left="1440" w:hanging="360"/>
      </w:pPr>
      <w:rPr>
        <w:rFonts w:ascii="Courier New" w:hAnsi="Courier New" w:hint="default"/>
      </w:rPr>
    </w:lvl>
    <w:lvl w:ilvl="2" w:tplc="2614100A">
      <w:start w:val="1"/>
      <w:numFmt w:val="bullet"/>
      <w:lvlText w:val=""/>
      <w:lvlJc w:val="left"/>
      <w:pPr>
        <w:ind w:left="2160" w:hanging="360"/>
      </w:pPr>
      <w:rPr>
        <w:rFonts w:ascii="Wingdings" w:hAnsi="Wingdings" w:hint="default"/>
      </w:rPr>
    </w:lvl>
    <w:lvl w:ilvl="3" w:tplc="CE482FBE">
      <w:start w:val="1"/>
      <w:numFmt w:val="bullet"/>
      <w:lvlText w:val=""/>
      <w:lvlJc w:val="left"/>
      <w:pPr>
        <w:ind w:left="2880" w:hanging="360"/>
      </w:pPr>
      <w:rPr>
        <w:rFonts w:ascii="Symbol" w:hAnsi="Symbol" w:hint="default"/>
      </w:rPr>
    </w:lvl>
    <w:lvl w:ilvl="4" w:tplc="DF74E07C">
      <w:start w:val="1"/>
      <w:numFmt w:val="bullet"/>
      <w:lvlText w:val="o"/>
      <w:lvlJc w:val="left"/>
      <w:pPr>
        <w:ind w:left="3600" w:hanging="360"/>
      </w:pPr>
      <w:rPr>
        <w:rFonts w:ascii="Courier New" w:hAnsi="Courier New" w:hint="default"/>
      </w:rPr>
    </w:lvl>
    <w:lvl w:ilvl="5" w:tplc="B4C0C15E">
      <w:start w:val="1"/>
      <w:numFmt w:val="bullet"/>
      <w:lvlText w:val=""/>
      <w:lvlJc w:val="left"/>
      <w:pPr>
        <w:ind w:left="4320" w:hanging="360"/>
      </w:pPr>
      <w:rPr>
        <w:rFonts w:ascii="Wingdings" w:hAnsi="Wingdings" w:hint="default"/>
      </w:rPr>
    </w:lvl>
    <w:lvl w:ilvl="6" w:tplc="C660CB96">
      <w:start w:val="1"/>
      <w:numFmt w:val="bullet"/>
      <w:lvlText w:val=""/>
      <w:lvlJc w:val="left"/>
      <w:pPr>
        <w:ind w:left="5040" w:hanging="360"/>
      </w:pPr>
      <w:rPr>
        <w:rFonts w:ascii="Symbol" w:hAnsi="Symbol" w:hint="default"/>
      </w:rPr>
    </w:lvl>
    <w:lvl w:ilvl="7" w:tplc="C276B01E">
      <w:start w:val="1"/>
      <w:numFmt w:val="bullet"/>
      <w:lvlText w:val="o"/>
      <w:lvlJc w:val="left"/>
      <w:pPr>
        <w:ind w:left="5760" w:hanging="360"/>
      </w:pPr>
      <w:rPr>
        <w:rFonts w:ascii="Courier New" w:hAnsi="Courier New" w:hint="default"/>
      </w:rPr>
    </w:lvl>
    <w:lvl w:ilvl="8" w:tplc="E0D6FC7C">
      <w:start w:val="1"/>
      <w:numFmt w:val="bullet"/>
      <w:lvlText w:val=""/>
      <w:lvlJc w:val="left"/>
      <w:pPr>
        <w:ind w:left="6480" w:hanging="360"/>
      </w:pPr>
      <w:rPr>
        <w:rFonts w:ascii="Wingdings" w:hAnsi="Wingdings" w:hint="default"/>
      </w:rPr>
    </w:lvl>
  </w:abstractNum>
  <w:abstractNum w:abstractNumId="18" w15:restartNumberingAfterBreak="0">
    <w:nsid w:val="14FE0B31"/>
    <w:multiLevelType w:val="hybridMultilevel"/>
    <w:tmpl w:val="15862938"/>
    <w:lvl w:ilvl="0" w:tplc="C2F6FA56">
      <w:start w:val="1"/>
      <w:numFmt w:val="bullet"/>
      <w:pStyle w:val="Tablebullet"/>
      <w:lvlText w:val=""/>
      <w:lvlJc w:val="left"/>
      <w:pPr>
        <w:ind w:left="149"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58F45B9"/>
    <w:multiLevelType w:val="hybridMultilevel"/>
    <w:tmpl w:val="884C33E0"/>
    <w:lvl w:ilvl="0" w:tplc="9E3016B4">
      <w:start w:val="1"/>
      <w:numFmt w:val="bullet"/>
      <w:lvlText w:val=""/>
      <w:lvlJc w:val="left"/>
      <w:pPr>
        <w:ind w:left="720" w:hanging="360"/>
      </w:pPr>
      <w:rPr>
        <w:rFonts w:ascii="Symbol" w:hAnsi="Symbol" w:hint="default"/>
      </w:rPr>
    </w:lvl>
    <w:lvl w:ilvl="1" w:tplc="7B1A378C">
      <w:start w:val="1"/>
      <w:numFmt w:val="bullet"/>
      <w:lvlText w:val="o"/>
      <w:lvlJc w:val="left"/>
      <w:pPr>
        <w:ind w:left="1440" w:hanging="360"/>
      </w:pPr>
      <w:rPr>
        <w:rFonts w:ascii="Courier New" w:hAnsi="Courier New" w:hint="default"/>
      </w:rPr>
    </w:lvl>
    <w:lvl w:ilvl="2" w:tplc="3F04CD36">
      <w:start w:val="1"/>
      <w:numFmt w:val="bullet"/>
      <w:lvlText w:val=""/>
      <w:lvlJc w:val="left"/>
      <w:pPr>
        <w:ind w:left="2160" w:hanging="360"/>
      </w:pPr>
      <w:rPr>
        <w:rFonts w:ascii="Wingdings" w:hAnsi="Wingdings" w:hint="default"/>
      </w:rPr>
    </w:lvl>
    <w:lvl w:ilvl="3" w:tplc="21AC1DB4">
      <w:start w:val="1"/>
      <w:numFmt w:val="bullet"/>
      <w:lvlText w:val=""/>
      <w:lvlJc w:val="left"/>
      <w:pPr>
        <w:ind w:left="2880" w:hanging="360"/>
      </w:pPr>
      <w:rPr>
        <w:rFonts w:ascii="Symbol" w:hAnsi="Symbol" w:hint="default"/>
      </w:rPr>
    </w:lvl>
    <w:lvl w:ilvl="4" w:tplc="D63EAB58">
      <w:start w:val="1"/>
      <w:numFmt w:val="bullet"/>
      <w:lvlText w:val="o"/>
      <w:lvlJc w:val="left"/>
      <w:pPr>
        <w:ind w:left="3600" w:hanging="360"/>
      </w:pPr>
      <w:rPr>
        <w:rFonts w:ascii="Courier New" w:hAnsi="Courier New" w:hint="default"/>
      </w:rPr>
    </w:lvl>
    <w:lvl w:ilvl="5" w:tplc="CE181966">
      <w:start w:val="1"/>
      <w:numFmt w:val="bullet"/>
      <w:lvlText w:val=""/>
      <w:lvlJc w:val="left"/>
      <w:pPr>
        <w:ind w:left="4320" w:hanging="360"/>
      </w:pPr>
      <w:rPr>
        <w:rFonts w:ascii="Wingdings" w:hAnsi="Wingdings" w:hint="default"/>
      </w:rPr>
    </w:lvl>
    <w:lvl w:ilvl="6" w:tplc="9CC22D84">
      <w:start w:val="1"/>
      <w:numFmt w:val="bullet"/>
      <w:lvlText w:val=""/>
      <w:lvlJc w:val="left"/>
      <w:pPr>
        <w:ind w:left="5040" w:hanging="360"/>
      </w:pPr>
      <w:rPr>
        <w:rFonts w:ascii="Symbol" w:hAnsi="Symbol" w:hint="default"/>
      </w:rPr>
    </w:lvl>
    <w:lvl w:ilvl="7" w:tplc="9172281C">
      <w:start w:val="1"/>
      <w:numFmt w:val="bullet"/>
      <w:lvlText w:val="o"/>
      <w:lvlJc w:val="left"/>
      <w:pPr>
        <w:ind w:left="5760" w:hanging="360"/>
      </w:pPr>
      <w:rPr>
        <w:rFonts w:ascii="Courier New" w:hAnsi="Courier New" w:hint="default"/>
      </w:rPr>
    </w:lvl>
    <w:lvl w:ilvl="8" w:tplc="39664D6C">
      <w:start w:val="1"/>
      <w:numFmt w:val="bullet"/>
      <w:lvlText w:val=""/>
      <w:lvlJc w:val="left"/>
      <w:pPr>
        <w:ind w:left="6480" w:hanging="360"/>
      </w:pPr>
      <w:rPr>
        <w:rFonts w:ascii="Wingdings" w:hAnsi="Wingdings" w:hint="default"/>
      </w:rPr>
    </w:lvl>
  </w:abstractNum>
  <w:abstractNum w:abstractNumId="20" w15:restartNumberingAfterBreak="0">
    <w:nsid w:val="1B3160A6"/>
    <w:multiLevelType w:val="multilevel"/>
    <w:tmpl w:val="1818AE3E"/>
    <w:name w:val="NumberedLists"/>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6344763"/>
    <w:multiLevelType w:val="hybridMultilevel"/>
    <w:tmpl w:val="D33E9F02"/>
    <w:lvl w:ilvl="0" w:tplc="1C66E1BC">
      <w:start w:val="11"/>
      <w:numFmt w:val="bullet"/>
      <w:pStyle w:val="Tablebullet2"/>
      <w:lvlText w:val="-"/>
      <w:lvlJc w:val="left"/>
      <w:pPr>
        <w:ind w:left="720" w:hanging="360"/>
      </w:pPr>
      <w:rPr>
        <w:rFonts w:ascii="Verdana" w:eastAsia="Aptos Display"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AA01C4"/>
    <w:multiLevelType w:val="multilevel"/>
    <w:tmpl w:val="6F82699C"/>
    <w:name w:val="NumberedList"/>
    <w:lvl w:ilvl="0">
      <w:start w:val="1"/>
      <w:numFmt w:val="decimal"/>
      <w:lvlText w:val="%1."/>
      <w:lvlJc w:val="left"/>
      <w:pPr>
        <w:ind w:left="747" w:hanging="567"/>
      </w:pPr>
      <w:rPr>
        <w:rFonts w:hint="default"/>
      </w:rPr>
    </w:lvl>
    <w:lvl w:ilvl="1">
      <w:start w:val="1"/>
      <w:numFmt w:val="lowerLetter"/>
      <w:lvlText w:val="%2."/>
      <w:lvlJc w:val="left"/>
      <w:pPr>
        <w:ind w:left="1314" w:hanging="567"/>
      </w:pPr>
      <w:rPr>
        <w:rFonts w:hint="default"/>
      </w:rPr>
    </w:lvl>
    <w:lvl w:ilvl="2">
      <w:start w:val="1"/>
      <w:numFmt w:val="lowerRoman"/>
      <w:lvlText w:val="%3."/>
      <w:lvlJc w:val="left"/>
      <w:pPr>
        <w:ind w:left="1881" w:hanging="567"/>
      </w:pPr>
      <w:rPr>
        <w:rFonts w:hint="default"/>
      </w:rPr>
    </w:lvl>
    <w:lvl w:ilvl="3">
      <w:start w:val="1"/>
      <w:numFmt w:val="upperLetter"/>
      <w:lvlText w:val="%4."/>
      <w:lvlJc w:val="left"/>
      <w:pPr>
        <w:ind w:left="2448" w:hanging="567"/>
      </w:pPr>
      <w:rPr>
        <w:rFonts w:hint="default"/>
      </w:rPr>
    </w:lvl>
    <w:lvl w:ilvl="4">
      <w:start w:val="1"/>
      <w:numFmt w:val="upperRoman"/>
      <w:lvlText w:val="%5."/>
      <w:lvlJc w:val="left"/>
      <w:pPr>
        <w:ind w:left="3015" w:hanging="567"/>
      </w:pPr>
      <w:rPr>
        <w:rFonts w:hint="default"/>
      </w:rPr>
    </w:lvl>
    <w:lvl w:ilvl="5">
      <w:start w:val="1"/>
      <w:numFmt w:val="bullet"/>
      <w:lvlText w:val=""/>
      <w:lvlJc w:val="left"/>
      <w:pPr>
        <w:ind w:left="3582" w:hanging="567"/>
      </w:pPr>
      <w:rPr>
        <w:rFonts w:ascii="Wingdings" w:hAnsi="Wingdings" w:hint="default"/>
      </w:rPr>
    </w:lvl>
    <w:lvl w:ilvl="6">
      <w:start w:val="1"/>
      <w:numFmt w:val="bullet"/>
      <w:lvlText w:val=""/>
      <w:lvlJc w:val="left"/>
      <w:pPr>
        <w:ind w:left="4149" w:hanging="567"/>
      </w:pPr>
      <w:rPr>
        <w:rFonts w:ascii="Symbol" w:hAnsi="Symbol" w:hint="default"/>
      </w:rPr>
    </w:lvl>
    <w:lvl w:ilvl="7">
      <w:start w:val="1"/>
      <w:numFmt w:val="bullet"/>
      <w:lvlText w:val="o"/>
      <w:lvlJc w:val="left"/>
      <w:pPr>
        <w:ind w:left="4716" w:hanging="567"/>
      </w:pPr>
      <w:rPr>
        <w:rFonts w:ascii="Courier New" w:hAnsi="Courier New" w:cs="Courier New" w:hint="default"/>
      </w:rPr>
    </w:lvl>
    <w:lvl w:ilvl="8">
      <w:start w:val="1"/>
      <w:numFmt w:val="bullet"/>
      <w:lvlText w:val=""/>
      <w:lvlJc w:val="left"/>
      <w:pPr>
        <w:ind w:left="5283" w:hanging="567"/>
      </w:pPr>
      <w:rPr>
        <w:rFonts w:ascii="Wingdings" w:hAnsi="Wingdings" w:hint="default"/>
      </w:rPr>
    </w:lvl>
  </w:abstractNum>
  <w:abstractNum w:abstractNumId="23" w15:restartNumberingAfterBreak="0">
    <w:nsid w:val="26C800FC"/>
    <w:multiLevelType w:val="multilevel"/>
    <w:tmpl w:val="35BA7794"/>
    <w:lvl w:ilvl="0">
      <w:start w:val="1"/>
      <w:numFmt w:val="bullet"/>
      <w:pStyle w:val="Bullet1"/>
      <w:lvlText w:val="•"/>
      <w:lvlJc w:val="left"/>
      <w:pPr>
        <w:ind w:left="170" w:hanging="170"/>
      </w:pPr>
      <w:rPr>
        <w:rFonts w:ascii="Verdana" w:hAnsi="Verdana" w:hint="default"/>
        <w:color w:val="EFF5FB" w:themeColor="background2"/>
      </w:rPr>
    </w:lvl>
    <w:lvl w:ilvl="1">
      <w:start w:val="1"/>
      <w:numFmt w:val="bullet"/>
      <w:pStyle w:val="Bullet2"/>
      <w:lvlText w:val="•"/>
      <w:lvlJc w:val="left"/>
      <w:pPr>
        <w:ind w:left="340" w:hanging="170"/>
      </w:pPr>
      <w:rPr>
        <w:rFonts w:ascii="Verdana" w:hAnsi="Verdana" w:hint="default"/>
        <w:color w:val="EFF5FB" w:themeColor="background2"/>
      </w:rPr>
    </w:lvl>
    <w:lvl w:ilvl="2">
      <w:numFmt w:val="bullet"/>
      <w:lvlText w:val="-"/>
      <w:lvlJc w:val="left"/>
      <w:pPr>
        <w:ind w:left="510" w:hanging="170"/>
      </w:pPr>
      <w:rPr>
        <w:rFonts w:ascii="Verdana" w:eastAsia="Times New Roman" w:hAnsi="Verdana" w:cs="Times New Roman" w:hint="default"/>
        <w:color w:val="EFF5FB" w:themeColor="background2"/>
      </w:rPr>
    </w:lvl>
    <w:lvl w:ilvl="3">
      <w:start w:val="1"/>
      <w:numFmt w:val="bullet"/>
      <w:lvlText w:val="•"/>
      <w:lvlJc w:val="left"/>
      <w:pPr>
        <w:ind w:left="680" w:hanging="170"/>
      </w:pPr>
      <w:rPr>
        <w:rFonts w:ascii="Verdana" w:hAnsi="Verdana" w:hint="default"/>
        <w:color w:val="EFF5FB" w:themeColor="background2"/>
      </w:rPr>
    </w:lvl>
    <w:lvl w:ilvl="4">
      <w:start w:val="1"/>
      <w:numFmt w:val="bullet"/>
      <w:lvlText w:val="•"/>
      <w:lvlJc w:val="left"/>
      <w:pPr>
        <w:ind w:left="850" w:hanging="170"/>
      </w:pPr>
      <w:rPr>
        <w:rFonts w:ascii="Verdana" w:hAnsi="Verdana" w:hint="default"/>
        <w:color w:val="EFF5FB" w:themeColor="background2"/>
      </w:rPr>
    </w:lvl>
    <w:lvl w:ilvl="5">
      <w:start w:val="1"/>
      <w:numFmt w:val="bullet"/>
      <w:lvlText w:val="•"/>
      <w:lvlJc w:val="left"/>
      <w:pPr>
        <w:ind w:left="1020" w:hanging="170"/>
      </w:pPr>
      <w:rPr>
        <w:rFonts w:ascii="Verdana" w:hAnsi="Verdana" w:hint="default"/>
        <w:color w:val="EFF5FB" w:themeColor="background2"/>
      </w:rPr>
    </w:lvl>
    <w:lvl w:ilvl="6">
      <w:start w:val="1"/>
      <w:numFmt w:val="bullet"/>
      <w:lvlText w:val="•"/>
      <w:lvlJc w:val="left"/>
      <w:pPr>
        <w:ind w:left="1190" w:hanging="170"/>
      </w:pPr>
      <w:rPr>
        <w:rFonts w:ascii="Verdana" w:hAnsi="Verdana" w:hint="default"/>
        <w:color w:val="EFF5FB" w:themeColor="background2"/>
      </w:rPr>
    </w:lvl>
    <w:lvl w:ilvl="7">
      <w:start w:val="1"/>
      <w:numFmt w:val="bullet"/>
      <w:pStyle w:val="TableBullet1"/>
      <w:lvlText w:val="•"/>
      <w:lvlJc w:val="left"/>
      <w:pPr>
        <w:ind w:left="170" w:hanging="170"/>
      </w:pPr>
      <w:rPr>
        <w:rFonts w:ascii="Verdana" w:hAnsi="Verdana" w:hint="default"/>
        <w:color w:val="EFF5FB" w:themeColor="background2"/>
      </w:rPr>
    </w:lvl>
    <w:lvl w:ilvl="8">
      <w:start w:val="1"/>
      <w:numFmt w:val="bullet"/>
      <w:pStyle w:val="TableBullet20"/>
      <w:lvlText w:val="•"/>
      <w:lvlJc w:val="left"/>
      <w:pPr>
        <w:ind w:left="340" w:hanging="170"/>
      </w:pPr>
      <w:rPr>
        <w:rFonts w:ascii="Verdana" w:hAnsi="Verdana" w:hint="default"/>
        <w:color w:val="EFF5FB" w:themeColor="background2"/>
      </w:rPr>
    </w:lvl>
  </w:abstractNum>
  <w:abstractNum w:abstractNumId="24" w15:restartNumberingAfterBreak="0">
    <w:nsid w:val="26DB617B"/>
    <w:multiLevelType w:val="hybridMultilevel"/>
    <w:tmpl w:val="CAFCA66A"/>
    <w:lvl w:ilvl="0" w:tplc="00F4CBE2">
      <w:start w:val="1"/>
      <w:numFmt w:val="decimal"/>
      <w:pStyle w:val="ListNumb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911260D"/>
    <w:multiLevelType w:val="multilevel"/>
    <w:tmpl w:val="A368767C"/>
    <w:name w:val="NotesNumbering"/>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A18410E"/>
    <w:multiLevelType w:val="hybridMultilevel"/>
    <w:tmpl w:val="FFFFFFFF"/>
    <w:lvl w:ilvl="0" w:tplc="E5C8BD5C">
      <w:start w:val="1"/>
      <w:numFmt w:val="bullet"/>
      <w:lvlText w:val=""/>
      <w:lvlJc w:val="left"/>
      <w:pPr>
        <w:ind w:left="720" w:hanging="360"/>
      </w:pPr>
      <w:rPr>
        <w:rFonts w:ascii="Symbol" w:hAnsi="Symbol" w:hint="default"/>
      </w:rPr>
    </w:lvl>
    <w:lvl w:ilvl="1" w:tplc="E200BD0E">
      <w:start w:val="1"/>
      <w:numFmt w:val="bullet"/>
      <w:lvlText w:val="o"/>
      <w:lvlJc w:val="left"/>
      <w:pPr>
        <w:ind w:left="1440" w:hanging="360"/>
      </w:pPr>
      <w:rPr>
        <w:rFonts w:ascii="Courier New" w:hAnsi="Courier New" w:hint="default"/>
      </w:rPr>
    </w:lvl>
    <w:lvl w:ilvl="2" w:tplc="32D2205C">
      <w:start w:val="1"/>
      <w:numFmt w:val="bullet"/>
      <w:lvlText w:val=""/>
      <w:lvlJc w:val="left"/>
      <w:pPr>
        <w:ind w:left="2160" w:hanging="360"/>
      </w:pPr>
      <w:rPr>
        <w:rFonts w:ascii="Wingdings" w:hAnsi="Wingdings" w:hint="default"/>
      </w:rPr>
    </w:lvl>
    <w:lvl w:ilvl="3" w:tplc="E47C043C">
      <w:start w:val="1"/>
      <w:numFmt w:val="bullet"/>
      <w:lvlText w:val=""/>
      <w:lvlJc w:val="left"/>
      <w:pPr>
        <w:ind w:left="2880" w:hanging="360"/>
      </w:pPr>
      <w:rPr>
        <w:rFonts w:ascii="Symbol" w:hAnsi="Symbol" w:hint="default"/>
      </w:rPr>
    </w:lvl>
    <w:lvl w:ilvl="4" w:tplc="B96622AE">
      <w:start w:val="1"/>
      <w:numFmt w:val="bullet"/>
      <w:lvlText w:val="o"/>
      <w:lvlJc w:val="left"/>
      <w:pPr>
        <w:ind w:left="3600" w:hanging="360"/>
      </w:pPr>
      <w:rPr>
        <w:rFonts w:ascii="Courier New" w:hAnsi="Courier New" w:hint="default"/>
      </w:rPr>
    </w:lvl>
    <w:lvl w:ilvl="5" w:tplc="E8209FF2">
      <w:start w:val="1"/>
      <w:numFmt w:val="bullet"/>
      <w:lvlText w:val=""/>
      <w:lvlJc w:val="left"/>
      <w:pPr>
        <w:ind w:left="4320" w:hanging="360"/>
      </w:pPr>
      <w:rPr>
        <w:rFonts w:ascii="Wingdings" w:hAnsi="Wingdings" w:hint="default"/>
      </w:rPr>
    </w:lvl>
    <w:lvl w:ilvl="6" w:tplc="AEAA56CC">
      <w:start w:val="1"/>
      <w:numFmt w:val="bullet"/>
      <w:lvlText w:val=""/>
      <w:lvlJc w:val="left"/>
      <w:pPr>
        <w:ind w:left="5040" w:hanging="360"/>
      </w:pPr>
      <w:rPr>
        <w:rFonts w:ascii="Symbol" w:hAnsi="Symbol" w:hint="default"/>
      </w:rPr>
    </w:lvl>
    <w:lvl w:ilvl="7" w:tplc="5456C316">
      <w:start w:val="1"/>
      <w:numFmt w:val="bullet"/>
      <w:lvlText w:val="o"/>
      <w:lvlJc w:val="left"/>
      <w:pPr>
        <w:ind w:left="5760" w:hanging="360"/>
      </w:pPr>
      <w:rPr>
        <w:rFonts w:ascii="Courier New" w:hAnsi="Courier New" w:hint="default"/>
      </w:rPr>
    </w:lvl>
    <w:lvl w:ilvl="8" w:tplc="D0D03F3E">
      <w:start w:val="1"/>
      <w:numFmt w:val="bullet"/>
      <w:lvlText w:val=""/>
      <w:lvlJc w:val="left"/>
      <w:pPr>
        <w:ind w:left="6480" w:hanging="360"/>
      </w:pPr>
      <w:rPr>
        <w:rFonts w:ascii="Wingdings" w:hAnsi="Wingdings" w:hint="default"/>
      </w:rPr>
    </w:lvl>
  </w:abstractNum>
  <w:abstractNum w:abstractNumId="27" w15:restartNumberingAfterBreak="0">
    <w:nsid w:val="2F7B5086"/>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8" w15:restartNumberingAfterBreak="0">
    <w:nsid w:val="31486077"/>
    <w:multiLevelType w:val="hybridMultilevel"/>
    <w:tmpl w:val="07E41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30" w15:restartNumberingAfterBreak="0">
    <w:nsid w:val="3B16DEAA"/>
    <w:multiLevelType w:val="hybridMultilevel"/>
    <w:tmpl w:val="FFFFFFFF"/>
    <w:lvl w:ilvl="0" w:tplc="CBE8F726">
      <w:start w:val="1"/>
      <w:numFmt w:val="bullet"/>
      <w:lvlText w:val=""/>
      <w:lvlJc w:val="left"/>
      <w:pPr>
        <w:ind w:left="720" w:hanging="360"/>
      </w:pPr>
      <w:rPr>
        <w:rFonts w:ascii="Symbol" w:hAnsi="Symbol" w:hint="default"/>
      </w:rPr>
    </w:lvl>
    <w:lvl w:ilvl="1" w:tplc="339AE548">
      <w:start w:val="1"/>
      <w:numFmt w:val="bullet"/>
      <w:lvlText w:val="o"/>
      <w:lvlJc w:val="left"/>
      <w:pPr>
        <w:ind w:left="1440" w:hanging="360"/>
      </w:pPr>
      <w:rPr>
        <w:rFonts w:ascii="Courier New" w:hAnsi="Courier New" w:hint="default"/>
      </w:rPr>
    </w:lvl>
    <w:lvl w:ilvl="2" w:tplc="B7666E90">
      <w:start w:val="1"/>
      <w:numFmt w:val="bullet"/>
      <w:lvlText w:val=""/>
      <w:lvlJc w:val="left"/>
      <w:pPr>
        <w:ind w:left="2160" w:hanging="360"/>
      </w:pPr>
      <w:rPr>
        <w:rFonts w:ascii="Wingdings" w:hAnsi="Wingdings" w:hint="default"/>
      </w:rPr>
    </w:lvl>
    <w:lvl w:ilvl="3" w:tplc="E90AC3BA">
      <w:start w:val="1"/>
      <w:numFmt w:val="bullet"/>
      <w:lvlText w:val=""/>
      <w:lvlJc w:val="left"/>
      <w:pPr>
        <w:ind w:left="2880" w:hanging="360"/>
      </w:pPr>
      <w:rPr>
        <w:rFonts w:ascii="Symbol" w:hAnsi="Symbol" w:hint="default"/>
      </w:rPr>
    </w:lvl>
    <w:lvl w:ilvl="4" w:tplc="6F1CF6F0">
      <w:start w:val="1"/>
      <w:numFmt w:val="bullet"/>
      <w:lvlText w:val="o"/>
      <w:lvlJc w:val="left"/>
      <w:pPr>
        <w:ind w:left="3600" w:hanging="360"/>
      </w:pPr>
      <w:rPr>
        <w:rFonts w:ascii="Courier New" w:hAnsi="Courier New" w:hint="default"/>
      </w:rPr>
    </w:lvl>
    <w:lvl w:ilvl="5" w:tplc="EF3A454A">
      <w:start w:val="1"/>
      <w:numFmt w:val="bullet"/>
      <w:lvlText w:val=""/>
      <w:lvlJc w:val="left"/>
      <w:pPr>
        <w:ind w:left="4320" w:hanging="360"/>
      </w:pPr>
      <w:rPr>
        <w:rFonts w:ascii="Wingdings" w:hAnsi="Wingdings" w:hint="default"/>
      </w:rPr>
    </w:lvl>
    <w:lvl w:ilvl="6" w:tplc="884A1D88">
      <w:start w:val="1"/>
      <w:numFmt w:val="bullet"/>
      <w:lvlText w:val=""/>
      <w:lvlJc w:val="left"/>
      <w:pPr>
        <w:ind w:left="5040" w:hanging="360"/>
      </w:pPr>
      <w:rPr>
        <w:rFonts w:ascii="Symbol" w:hAnsi="Symbol" w:hint="default"/>
      </w:rPr>
    </w:lvl>
    <w:lvl w:ilvl="7" w:tplc="6CF0C91E">
      <w:start w:val="1"/>
      <w:numFmt w:val="bullet"/>
      <w:lvlText w:val="o"/>
      <w:lvlJc w:val="left"/>
      <w:pPr>
        <w:ind w:left="5760" w:hanging="360"/>
      </w:pPr>
      <w:rPr>
        <w:rFonts w:ascii="Courier New" w:hAnsi="Courier New" w:hint="default"/>
      </w:rPr>
    </w:lvl>
    <w:lvl w:ilvl="8" w:tplc="F6FA8268">
      <w:start w:val="1"/>
      <w:numFmt w:val="bullet"/>
      <w:lvlText w:val=""/>
      <w:lvlJc w:val="left"/>
      <w:pPr>
        <w:ind w:left="6480" w:hanging="360"/>
      </w:pPr>
      <w:rPr>
        <w:rFonts w:ascii="Wingdings" w:hAnsi="Wingdings" w:hint="default"/>
      </w:rPr>
    </w:lvl>
  </w:abstractNum>
  <w:abstractNum w:abstractNumId="31" w15:restartNumberingAfterBreak="0">
    <w:nsid w:val="47F7C635"/>
    <w:multiLevelType w:val="multilevel"/>
    <w:tmpl w:val="9ADC5578"/>
    <w:styleLink w:val="TableFootnotes"/>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32" w15:restartNumberingAfterBreak="0">
    <w:nsid w:val="4BF82DEE"/>
    <w:multiLevelType w:val="hybridMultilevel"/>
    <w:tmpl w:val="934A067A"/>
    <w:lvl w:ilvl="0" w:tplc="A310443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F67232"/>
    <w:multiLevelType w:val="multilevel"/>
    <w:tmpl w:val="6EBCA8FA"/>
    <w:styleLink w:val="TableNumbering"/>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5" w15:restartNumberingAfterBreak="0">
    <w:nsid w:val="567486AA"/>
    <w:multiLevelType w:val="hybridMultilevel"/>
    <w:tmpl w:val="FFFFFFFF"/>
    <w:lvl w:ilvl="0" w:tplc="235A92FE">
      <w:start w:val="1"/>
      <w:numFmt w:val="bullet"/>
      <w:lvlText w:val=""/>
      <w:lvlJc w:val="left"/>
      <w:pPr>
        <w:ind w:left="720" w:hanging="360"/>
      </w:pPr>
      <w:rPr>
        <w:rFonts w:ascii="Symbol" w:hAnsi="Symbol" w:hint="default"/>
      </w:rPr>
    </w:lvl>
    <w:lvl w:ilvl="1" w:tplc="90D240BC">
      <w:start w:val="1"/>
      <w:numFmt w:val="bullet"/>
      <w:lvlText w:val="o"/>
      <w:lvlJc w:val="left"/>
      <w:pPr>
        <w:ind w:left="1440" w:hanging="360"/>
      </w:pPr>
      <w:rPr>
        <w:rFonts w:ascii="Courier New" w:hAnsi="Courier New" w:hint="default"/>
      </w:rPr>
    </w:lvl>
    <w:lvl w:ilvl="2" w:tplc="BFEEB096">
      <w:start w:val="1"/>
      <w:numFmt w:val="bullet"/>
      <w:lvlText w:val=""/>
      <w:lvlJc w:val="left"/>
      <w:pPr>
        <w:ind w:left="2160" w:hanging="360"/>
      </w:pPr>
      <w:rPr>
        <w:rFonts w:ascii="Wingdings" w:hAnsi="Wingdings" w:hint="default"/>
      </w:rPr>
    </w:lvl>
    <w:lvl w:ilvl="3" w:tplc="1F045602">
      <w:start w:val="1"/>
      <w:numFmt w:val="bullet"/>
      <w:lvlText w:val=""/>
      <w:lvlJc w:val="left"/>
      <w:pPr>
        <w:ind w:left="2880" w:hanging="360"/>
      </w:pPr>
      <w:rPr>
        <w:rFonts w:ascii="Symbol" w:hAnsi="Symbol" w:hint="default"/>
      </w:rPr>
    </w:lvl>
    <w:lvl w:ilvl="4" w:tplc="EA30E180">
      <w:start w:val="1"/>
      <w:numFmt w:val="bullet"/>
      <w:lvlText w:val="o"/>
      <w:lvlJc w:val="left"/>
      <w:pPr>
        <w:ind w:left="3600" w:hanging="360"/>
      </w:pPr>
      <w:rPr>
        <w:rFonts w:ascii="Courier New" w:hAnsi="Courier New" w:hint="default"/>
      </w:rPr>
    </w:lvl>
    <w:lvl w:ilvl="5" w:tplc="A7781B7A">
      <w:start w:val="1"/>
      <w:numFmt w:val="bullet"/>
      <w:lvlText w:val=""/>
      <w:lvlJc w:val="left"/>
      <w:pPr>
        <w:ind w:left="4320" w:hanging="360"/>
      </w:pPr>
      <w:rPr>
        <w:rFonts w:ascii="Wingdings" w:hAnsi="Wingdings" w:hint="default"/>
      </w:rPr>
    </w:lvl>
    <w:lvl w:ilvl="6" w:tplc="62385E60">
      <w:start w:val="1"/>
      <w:numFmt w:val="bullet"/>
      <w:lvlText w:val=""/>
      <w:lvlJc w:val="left"/>
      <w:pPr>
        <w:ind w:left="5040" w:hanging="360"/>
      </w:pPr>
      <w:rPr>
        <w:rFonts w:ascii="Symbol" w:hAnsi="Symbol" w:hint="default"/>
      </w:rPr>
    </w:lvl>
    <w:lvl w:ilvl="7" w:tplc="1AA8F28E">
      <w:start w:val="1"/>
      <w:numFmt w:val="bullet"/>
      <w:lvlText w:val="o"/>
      <w:lvlJc w:val="left"/>
      <w:pPr>
        <w:ind w:left="5760" w:hanging="360"/>
      </w:pPr>
      <w:rPr>
        <w:rFonts w:ascii="Courier New" w:hAnsi="Courier New" w:hint="default"/>
      </w:rPr>
    </w:lvl>
    <w:lvl w:ilvl="8" w:tplc="C92E852C">
      <w:start w:val="1"/>
      <w:numFmt w:val="bullet"/>
      <w:lvlText w:val=""/>
      <w:lvlJc w:val="left"/>
      <w:pPr>
        <w:ind w:left="6480" w:hanging="360"/>
      </w:pPr>
      <w:rPr>
        <w:rFonts w:ascii="Wingdings" w:hAnsi="Wingdings" w:hint="default"/>
      </w:rPr>
    </w:lvl>
  </w:abstractNum>
  <w:abstractNum w:abstractNumId="36" w15:restartNumberingAfterBreak="0">
    <w:nsid w:val="578260D5"/>
    <w:multiLevelType w:val="multilevel"/>
    <w:tmpl w:val="39249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21312D"/>
    <w:multiLevelType w:val="multilevel"/>
    <w:tmpl w:val="1FD6BEB8"/>
    <w:name w:val="NumberedLists2"/>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8741D25"/>
    <w:multiLevelType w:val="multilevel"/>
    <w:tmpl w:val="10107B4A"/>
    <w:name w:val="TableNumbering"/>
    <w:styleLink w:val="TableBullet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2" w15:restartNumberingAfterBreak="0">
    <w:nsid w:val="5D0C6C2A"/>
    <w:multiLevelType w:val="hybridMultilevel"/>
    <w:tmpl w:val="70A62842"/>
    <w:name w:val="Bullets3"/>
    <w:lvl w:ilvl="0" w:tplc="3A32DB7A">
      <w:start w:val="1"/>
      <w:numFmt w:val="bullet"/>
      <w:lvlText w:val="&gt;"/>
      <w:lvlJc w:val="left"/>
      <w:pPr>
        <w:ind w:left="1494"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CC2ED3"/>
    <w:multiLevelType w:val="hybridMultilevel"/>
    <w:tmpl w:val="254886CA"/>
    <w:lvl w:ilvl="0" w:tplc="12546A3C">
      <w:start w:val="1"/>
      <w:numFmt w:val="decimal"/>
      <w:pStyle w:val="Table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41A6443"/>
    <w:multiLevelType w:val="hybridMultilevel"/>
    <w:tmpl w:val="3496E02C"/>
    <w:lvl w:ilvl="0" w:tplc="AB3833EA">
      <w:start w:val="1"/>
      <w:numFmt w:val="bullet"/>
      <w:lvlText w:val="-"/>
      <w:lvlJc w:val="left"/>
      <w:pPr>
        <w:ind w:left="1363" w:hanging="360"/>
      </w:pPr>
      <w:rPr>
        <w:rFonts w:ascii="Courier New" w:hAnsi="Courier New" w:hint="default"/>
      </w:rPr>
    </w:lvl>
    <w:lvl w:ilvl="1" w:tplc="0C090003" w:tentative="1">
      <w:start w:val="1"/>
      <w:numFmt w:val="bullet"/>
      <w:lvlText w:val="o"/>
      <w:lvlJc w:val="left"/>
      <w:pPr>
        <w:ind w:left="2083" w:hanging="360"/>
      </w:pPr>
      <w:rPr>
        <w:rFonts w:ascii="Courier New" w:hAnsi="Courier New" w:cs="Courier New" w:hint="default"/>
      </w:rPr>
    </w:lvl>
    <w:lvl w:ilvl="2" w:tplc="0C090005" w:tentative="1">
      <w:start w:val="1"/>
      <w:numFmt w:val="bullet"/>
      <w:lvlText w:val=""/>
      <w:lvlJc w:val="left"/>
      <w:pPr>
        <w:ind w:left="2803" w:hanging="360"/>
      </w:pPr>
      <w:rPr>
        <w:rFonts w:ascii="Wingdings" w:hAnsi="Wingdings" w:hint="default"/>
      </w:rPr>
    </w:lvl>
    <w:lvl w:ilvl="3" w:tplc="0C090001" w:tentative="1">
      <w:start w:val="1"/>
      <w:numFmt w:val="bullet"/>
      <w:lvlText w:val=""/>
      <w:lvlJc w:val="left"/>
      <w:pPr>
        <w:ind w:left="3523" w:hanging="360"/>
      </w:pPr>
      <w:rPr>
        <w:rFonts w:ascii="Symbol" w:hAnsi="Symbol" w:hint="default"/>
      </w:rPr>
    </w:lvl>
    <w:lvl w:ilvl="4" w:tplc="0C090003" w:tentative="1">
      <w:start w:val="1"/>
      <w:numFmt w:val="bullet"/>
      <w:lvlText w:val="o"/>
      <w:lvlJc w:val="left"/>
      <w:pPr>
        <w:ind w:left="4243" w:hanging="360"/>
      </w:pPr>
      <w:rPr>
        <w:rFonts w:ascii="Courier New" w:hAnsi="Courier New" w:cs="Courier New" w:hint="default"/>
      </w:rPr>
    </w:lvl>
    <w:lvl w:ilvl="5" w:tplc="0C090005" w:tentative="1">
      <w:start w:val="1"/>
      <w:numFmt w:val="bullet"/>
      <w:lvlText w:val=""/>
      <w:lvlJc w:val="left"/>
      <w:pPr>
        <w:ind w:left="4963" w:hanging="360"/>
      </w:pPr>
      <w:rPr>
        <w:rFonts w:ascii="Wingdings" w:hAnsi="Wingdings" w:hint="default"/>
      </w:rPr>
    </w:lvl>
    <w:lvl w:ilvl="6" w:tplc="0C090001" w:tentative="1">
      <w:start w:val="1"/>
      <w:numFmt w:val="bullet"/>
      <w:lvlText w:val=""/>
      <w:lvlJc w:val="left"/>
      <w:pPr>
        <w:ind w:left="5683" w:hanging="360"/>
      </w:pPr>
      <w:rPr>
        <w:rFonts w:ascii="Symbol" w:hAnsi="Symbol" w:hint="default"/>
      </w:rPr>
    </w:lvl>
    <w:lvl w:ilvl="7" w:tplc="0C090003" w:tentative="1">
      <w:start w:val="1"/>
      <w:numFmt w:val="bullet"/>
      <w:lvlText w:val="o"/>
      <w:lvlJc w:val="left"/>
      <w:pPr>
        <w:ind w:left="6403" w:hanging="360"/>
      </w:pPr>
      <w:rPr>
        <w:rFonts w:ascii="Courier New" w:hAnsi="Courier New" w:cs="Courier New" w:hint="default"/>
      </w:rPr>
    </w:lvl>
    <w:lvl w:ilvl="8" w:tplc="0C090005" w:tentative="1">
      <w:start w:val="1"/>
      <w:numFmt w:val="bullet"/>
      <w:lvlText w:val=""/>
      <w:lvlJc w:val="left"/>
      <w:pPr>
        <w:ind w:left="7123" w:hanging="360"/>
      </w:pPr>
      <w:rPr>
        <w:rFonts w:ascii="Wingdings" w:hAnsi="Wingdings" w:hint="default"/>
      </w:rPr>
    </w:lvl>
  </w:abstractNum>
  <w:abstractNum w:abstractNumId="45" w15:restartNumberingAfterBreak="0">
    <w:nsid w:val="7C627DE6"/>
    <w:multiLevelType w:val="hybridMultilevel"/>
    <w:tmpl w:val="F61C4AEE"/>
    <w:lvl w:ilvl="0" w:tplc="0C090001">
      <w:start w:val="1"/>
      <w:numFmt w:val="bullet"/>
      <w:lvlText w:val=""/>
      <w:lvlJc w:val="left"/>
      <w:pPr>
        <w:ind w:left="1080" w:hanging="360"/>
      </w:pPr>
      <w:rPr>
        <w:rFonts w:ascii="Symbol" w:hAnsi="Symbol" w:hint="default"/>
        <w:color w:val="221F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7DF2A821"/>
    <w:multiLevelType w:val="hybridMultilevel"/>
    <w:tmpl w:val="FFFFFFFF"/>
    <w:lvl w:ilvl="0" w:tplc="148EF2AA">
      <w:start w:val="1"/>
      <w:numFmt w:val="bullet"/>
      <w:lvlText w:val=""/>
      <w:lvlJc w:val="left"/>
      <w:pPr>
        <w:ind w:left="720" w:hanging="360"/>
      </w:pPr>
      <w:rPr>
        <w:rFonts w:ascii="Symbol" w:hAnsi="Symbol" w:hint="default"/>
      </w:rPr>
    </w:lvl>
    <w:lvl w:ilvl="1" w:tplc="2E748832">
      <w:start w:val="1"/>
      <w:numFmt w:val="bullet"/>
      <w:lvlText w:val="o"/>
      <w:lvlJc w:val="left"/>
      <w:pPr>
        <w:ind w:left="1440" w:hanging="360"/>
      </w:pPr>
      <w:rPr>
        <w:rFonts w:ascii="Courier New" w:hAnsi="Courier New" w:hint="default"/>
      </w:rPr>
    </w:lvl>
    <w:lvl w:ilvl="2" w:tplc="7C68FF86">
      <w:start w:val="1"/>
      <w:numFmt w:val="bullet"/>
      <w:lvlText w:val=""/>
      <w:lvlJc w:val="left"/>
      <w:pPr>
        <w:ind w:left="2160" w:hanging="360"/>
      </w:pPr>
      <w:rPr>
        <w:rFonts w:ascii="Wingdings" w:hAnsi="Wingdings" w:hint="default"/>
      </w:rPr>
    </w:lvl>
    <w:lvl w:ilvl="3" w:tplc="73DA0042">
      <w:start w:val="1"/>
      <w:numFmt w:val="bullet"/>
      <w:lvlText w:val=""/>
      <w:lvlJc w:val="left"/>
      <w:pPr>
        <w:ind w:left="2880" w:hanging="360"/>
      </w:pPr>
      <w:rPr>
        <w:rFonts w:ascii="Symbol" w:hAnsi="Symbol" w:hint="default"/>
      </w:rPr>
    </w:lvl>
    <w:lvl w:ilvl="4" w:tplc="500C327E">
      <w:start w:val="1"/>
      <w:numFmt w:val="bullet"/>
      <w:lvlText w:val="o"/>
      <w:lvlJc w:val="left"/>
      <w:pPr>
        <w:ind w:left="3600" w:hanging="360"/>
      </w:pPr>
      <w:rPr>
        <w:rFonts w:ascii="Courier New" w:hAnsi="Courier New" w:hint="default"/>
      </w:rPr>
    </w:lvl>
    <w:lvl w:ilvl="5" w:tplc="5C14012A">
      <w:start w:val="1"/>
      <w:numFmt w:val="bullet"/>
      <w:lvlText w:val=""/>
      <w:lvlJc w:val="left"/>
      <w:pPr>
        <w:ind w:left="4320" w:hanging="360"/>
      </w:pPr>
      <w:rPr>
        <w:rFonts w:ascii="Wingdings" w:hAnsi="Wingdings" w:hint="default"/>
      </w:rPr>
    </w:lvl>
    <w:lvl w:ilvl="6" w:tplc="1F265152">
      <w:start w:val="1"/>
      <w:numFmt w:val="bullet"/>
      <w:lvlText w:val=""/>
      <w:lvlJc w:val="left"/>
      <w:pPr>
        <w:ind w:left="5040" w:hanging="360"/>
      </w:pPr>
      <w:rPr>
        <w:rFonts w:ascii="Symbol" w:hAnsi="Symbol" w:hint="default"/>
      </w:rPr>
    </w:lvl>
    <w:lvl w:ilvl="7" w:tplc="4886C944">
      <w:start w:val="1"/>
      <w:numFmt w:val="bullet"/>
      <w:lvlText w:val="o"/>
      <w:lvlJc w:val="left"/>
      <w:pPr>
        <w:ind w:left="5760" w:hanging="360"/>
      </w:pPr>
      <w:rPr>
        <w:rFonts w:ascii="Courier New" w:hAnsi="Courier New" w:hint="default"/>
      </w:rPr>
    </w:lvl>
    <w:lvl w:ilvl="8" w:tplc="EAD200F0">
      <w:start w:val="1"/>
      <w:numFmt w:val="bullet"/>
      <w:lvlText w:val=""/>
      <w:lvlJc w:val="left"/>
      <w:pPr>
        <w:ind w:left="6480" w:hanging="360"/>
      </w:pPr>
      <w:rPr>
        <w:rFonts w:ascii="Wingdings" w:hAnsi="Wingdings" w:hint="default"/>
      </w:rPr>
    </w:lvl>
  </w:abstractNum>
  <w:abstractNum w:abstractNumId="47" w15:restartNumberingAfterBreak="0">
    <w:nsid w:val="7E030DAE"/>
    <w:multiLevelType w:val="multilevel"/>
    <w:tmpl w:val="BCBE5CD2"/>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16cid:durableId="987779799">
    <w:abstractNumId w:val="27"/>
  </w:num>
  <w:num w:numId="2" w16cid:durableId="984969002">
    <w:abstractNumId w:val="13"/>
  </w:num>
  <w:num w:numId="3" w16cid:durableId="249849635">
    <w:abstractNumId w:val="31"/>
  </w:num>
  <w:num w:numId="4" w16cid:durableId="1718703772">
    <w:abstractNumId w:val="5"/>
  </w:num>
  <w:num w:numId="5" w16cid:durableId="1022515645">
    <w:abstractNumId w:val="33"/>
  </w:num>
  <w:num w:numId="6" w16cid:durableId="1233615052">
    <w:abstractNumId w:val="1"/>
  </w:num>
  <w:num w:numId="7" w16cid:durableId="1410270416">
    <w:abstractNumId w:val="20"/>
  </w:num>
  <w:num w:numId="8" w16cid:durableId="187643596">
    <w:abstractNumId w:val="14"/>
  </w:num>
  <w:num w:numId="9" w16cid:durableId="1363243999">
    <w:abstractNumId w:val="37"/>
  </w:num>
  <w:num w:numId="10" w16cid:durableId="1202862692">
    <w:abstractNumId w:val="12"/>
  </w:num>
  <w:num w:numId="11" w16cid:durableId="727386325">
    <w:abstractNumId w:val="45"/>
  </w:num>
  <w:num w:numId="12" w16cid:durableId="907150364">
    <w:abstractNumId w:val="23"/>
  </w:num>
  <w:num w:numId="13" w16cid:durableId="1241408602">
    <w:abstractNumId w:val="7"/>
  </w:num>
  <w:num w:numId="14" w16cid:durableId="146673054">
    <w:abstractNumId w:val="18"/>
  </w:num>
  <w:num w:numId="15" w16cid:durableId="1864048284">
    <w:abstractNumId w:val="19"/>
  </w:num>
  <w:num w:numId="16" w16cid:durableId="2103915967">
    <w:abstractNumId w:val="16"/>
  </w:num>
  <w:num w:numId="17" w16cid:durableId="1106733777">
    <w:abstractNumId w:val="36"/>
  </w:num>
  <w:num w:numId="18" w16cid:durableId="12590985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2493957">
    <w:abstractNumId w:val="28"/>
  </w:num>
  <w:num w:numId="20" w16cid:durableId="1017392805">
    <w:abstractNumId w:val="46"/>
  </w:num>
  <w:num w:numId="21" w16cid:durableId="1069572949">
    <w:abstractNumId w:val="35"/>
  </w:num>
  <w:num w:numId="22" w16cid:durableId="1939748053">
    <w:abstractNumId w:val="0"/>
  </w:num>
  <w:num w:numId="23" w16cid:durableId="76099730">
    <w:abstractNumId w:val="17"/>
  </w:num>
  <w:num w:numId="24" w16cid:durableId="939917424">
    <w:abstractNumId w:val="26"/>
  </w:num>
  <w:num w:numId="25" w16cid:durableId="1379014845">
    <w:abstractNumId w:val="30"/>
  </w:num>
  <w:num w:numId="26" w16cid:durableId="1752695578">
    <w:abstractNumId w:val="2"/>
  </w:num>
  <w:num w:numId="27" w16cid:durableId="1339231758">
    <w:abstractNumId w:val="11"/>
  </w:num>
  <w:num w:numId="28" w16cid:durableId="1390304454">
    <w:abstractNumId w:val="3"/>
  </w:num>
  <w:num w:numId="29" w16cid:durableId="1720938065">
    <w:abstractNumId w:val="44"/>
  </w:num>
  <w:num w:numId="30" w16cid:durableId="168645158">
    <w:abstractNumId w:val="32"/>
  </w:num>
  <w:num w:numId="31" w16cid:durableId="177811439">
    <w:abstractNumId w:val="24"/>
  </w:num>
  <w:num w:numId="32" w16cid:durableId="87235490">
    <w:abstractNumId w:val="24"/>
    <w:lvlOverride w:ilvl="0">
      <w:startOverride w:val="1"/>
    </w:lvlOverride>
  </w:num>
  <w:num w:numId="33" w16cid:durableId="1906338084">
    <w:abstractNumId w:val="38"/>
  </w:num>
  <w:num w:numId="34" w16cid:durableId="1804155280">
    <w:abstractNumId w:val="4"/>
  </w:num>
  <w:num w:numId="35" w16cid:durableId="2041735643">
    <w:abstractNumId w:val="24"/>
    <w:lvlOverride w:ilvl="0">
      <w:startOverride w:val="1"/>
    </w:lvlOverride>
  </w:num>
  <w:num w:numId="36" w16cid:durableId="1948192690">
    <w:abstractNumId w:val="43"/>
  </w:num>
  <w:num w:numId="37" w16cid:durableId="1272275301">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removePersonalInformation/>
  <w:removeDateAndTime/>
  <w:embedSystemFonts/>
  <w:proofState w:spelling="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stomTemplates" w:val="True"/>
    <w:docVar w:name="Para" w:val="_x000d_"/>
    <w:docVar w:name="xAppendixName" w:val="Appendix"/>
  </w:docVars>
  <w:rsids>
    <w:rsidRoot w:val="009F78E6"/>
    <w:rsid w:val="00000194"/>
    <w:rsid w:val="00000A0B"/>
    <w:rsid w:val="00000DEB"/>
    <w:rsid w:val="00001141"/>
    <w:rsid w:val="00001400"/>
    <w:rsid w:val="00001489"/>
    <w:rsid w:val="00001896"/>
    <w:rsid w:val="00001B9B"/>
    <w:rsid w:val="00001C1E"/>
    <w:rsid w:val="00001CA9"/>
    <w:rsid w:val="00001EA8"/>
    <w:rsid w:val="0000205F"/>
    <w:rsid w:val="0000211B"/>
    <w:rsid w:val="00002573"/>
    <w:rsid w:val="00002623"/>
    <w:rsid w:val="00002650"/>
    <w:rsid w:val="00002C61"/>
    <w:rsid w:val="00002D06"/>
    <w:rsid w:val="00002E74"/>
    <w:rsid w:val="00003412"/>
    <w:rsid w:val="00003474"/>
    <w:rsid w:val="000035F6"/>
    <w:rsid w:val="00003739"/>
    <w:rsid w:val="00003972"/>
    <w:rsid w:val="000039F0"/>
    <w:rsid w:val="00004036"/>
    <w:rsid w:val="000042B2"/>
    <w:rsid w:val="00004327"/>
    <w:rsid w:val="00004536"/>
    <w:rsid w:val="000045B0"/>
    <w:rsid w:val="00004810"/>
    <w:rsid w:val="0000498A"/>
    <w:rsid w:val="00004A68"/>
    <w:rsid w:val="00004C81"/>
    <w:rsid w:val="00005403"/>
    <w:rsid w:val="00005ECA"/>
    <w:rsid w:val="0000624C"/>
    <w:rsid w:val="000067DD"/>
    <w:rsid w:val="00006842"/>
    <w:rsid w:val="00006BE7"/>
    <w:rsid w:val="00006ED6"/>
    <w:rsid w:val="00006F2A"/>
    <w:rsid w:val="00007386"/>
    <w:rsid w:val="00007715"/>
    <w:rsid w:val="00007AB9"/>
    <w:rsid w:val="00007DE7"/>
    <w:rsid w:val="00010448"/>
    <w:rsid w:val="000105A9"/>
    <w:rsid w:val="0001063F"/>
    <w:rsid w:val="00010844"/>
    <w:rsid w:val="00010878"/>
    <w:rsid w:val="000114AA"/>
    <w:rsid w:val="000114DD"/>
    <w:rsid w:val="00011C54"/>
    <w:rsid w:val="00012165"/>
    <w:rsid w:val="00012360"/>
    <w:rsid w:val="000125A5"/>
    <w:rsid w:val="0001273F"/>
    <w:rsid w:val="00012960"/>
    <w:rsid w:val="00012A2F"/>
    <w:rsid w:val="0001357B"/>
    <w:rsid w:val="00013754"/>
    <w:rsid w:val="000138E9"/>
    <w:rsid w:val="00013BD3"/>
    <w:rsid w:val="000141D0"/>
    <w:rsid w:val="000144FC"/>
    <w:rsid w:val="000145A3"/>
    <w:rsid w:val="00014912"/>
    <w:rsid w:val="00014A13"/>
    <w:rsid w:val="00014F11"/>
    <w:rsid w:val="000150D0"/>
    <w:rsid w:val="000153D4"/>
    <w:rsid w:val="0001556E"/>
    <w:rsid w:val="000155F9"/>
    <w:rsid w:val="000156DE"/>
    <w:rsid w:val="000157F4"/>
    <w:rsid w:val="00015B96"/>
    <w:rsid w:val="00015D54"/>
    <w:rsid w:val="00015F11"/>
    <w:rsid w:val="000160DB"/>
    <w:rsid w:val="00016A05"/>
    <w:rsid w:val="00016D01"/>
    <w:rsid w:val="00017348"/>
    <w:rsid w:val="000173F7"/>
    <w:rsid w:val="00017434"/>
    <w:rsid w:val="000174C6"/>
    <w:rsid w:val="000178CC"/>
    <w:rsid w:val="00017C5D"/>
    <w:rsid w:val="00017CB5"/>
    <w:rsid w:val="00017FEA"/>
    <w:rsid w:val="000200F7"/>
    <w:rsid w:val="0002020B"/>
    <w:rsid w:val="00020425"/>
    <w:rsid w:val="0002048A"/>
    <w:rsid w:val="00020BEE"/>
    <w:rsid w:val="00021409"/>
    <w:rsid w:val="0002156B"/>
    <w:rsid w:val="00021637"/>
    <w:rsid w:val="00021646"/>
    <w:rsid w:val="000216CE"/>
    <w:rsid w:val="0002267D"/>
    <w:rsid w:val="00022DBE"/>
    <w:rsid w:val="000230C8"/>
    <w:rsid w:val="00023368"/>
    <w:rsid w:val="000233F3"/>
    <w:rsid w:val="00023619"/>
    <w:rsid w:val="00023733"/>
    <w:rsid w:val="00023D0D"/>
    <w:rsid w:val="00023EB3"/>
    <w:rsid w:val="000244FE"/>
    <w:rsid w:val="000245B2"/>
    <w:rsid w:val="00024A27"/>
    <w:rsid w:val="00024A67"/>
    <w:rsid w:val="00024AEF"/>
    <w:rsid w:val="000253AD"/>
    <w:rsid w:val="00025433"/>
    <w:rsid w:val="0002547F"/>
    <w:rsid w:val="00025644"/>
    <w:rsid w:val="00025CA2"/>
    <w:rsid w:val="00025CFF"/>
    <w:rsid w:val="00025DB8"/>
    <w:rsid w:val="00026015"/>
    <w:rsid w:val="00026134"/>
    <w:rsid w:val="00026470"/>
    <w:rsid w:val="000265EA"/>
    <w:rsid w:val="000266D5"/>
    <w:rsid w:val="000269E7"/>
    <w:rsid w:val="00026EF6"/>
    <w:rsid w:val="00026FC8"/>
    <w:rsid w:val="0002765C"/>
    <w:rsid w:val="00027ACE"/>
    <w:rsid w:val="00027E17"/>
    <w:rsid w:val="00027E26"/>
    <w:rsid w:val="0003013E"/>
    <w:rsid w:val="000301D6"/>
    <w:rsid w:val="000310A5"/>
    <w:rsid w:val="00031244"/>
    <w:rsid w:val="00031F48"/>
    <w:rsid w:val="0003290C"/>
    <w:rsid w:val="0003299B"/>
    <w:rsid w:val="000329BD"/>
    <w:rsid w:val="000329CC"/>
    <w:rsid w:val="000329F4"/>
    <w:rsid w:val="00032A7A"/>
    <w:rsid w:val="00032D94"/>
    <w:rsid w:val="00032E91"/>
    <w:rsid w:val="00033319"/>
    <w:rsid w:val="00033484"/>
    <w:rsid w:val="00033892"/>
    <w:rsid w:val="000338E4"/>
    <w:rsid w:val="000339BC"/>
    <w:rsid w:val="00033FD2"/>
    <w:rsid w:val="0003402C"/>
    <w:rsid w:val="000343D3"/>
    <w:rsid w:val="0003458E"/>
    <w:rsid w:val="000347B4"/>
    <w:rsid w:val="00034D2E"/>
    <w:rsid w:val="00034E23"/>
    <w:rsid w:val="00034E7A"/>
    <w:rsid w:val="00034F8F"/>
    <w:rsid w:val="00034FDA"/>
    <w:rsid w:val="00035121"/>
    <w:rsid w:val="00035205"/>
    <w:rsid w:val="000357F9"/>
    <w:rsid w:val="000359DF"/>
    <w:rsid w:val="000361CD"/>
    <w:rsid w:val="000365EB"/>
    <w:rsid w:val="00036ACE"/>
    <w:rsid w:val="00036D45"/>
    <w:rsid w:val="0003706B"/>
    <w:rsid w:val="000374E9"/>
    <w:rsid w:val="00037503"/>
    <w:rsid w:val="000375FA"/>
    <w:rsid w:val="00037CC4"/>
    <w:rsid w:val="00037D9D"/>
    <w:rsid w:val="00040542"/>
    <w:rsid w:val="00040767"/>
    <w:rsid w:val="00040DC7"/>
    <w:rsid w:val="00040E34"/>
    <w:rsid w:val="00040EAA"/>
    <w:rsid w:val="00041206"/>
    <w:rsid w:val="00041294"/>
    <w:rsid w:val="00041445"/>
    <w:rsid w:val="00041613"/>
    <w:rsid w:val="00041A10"/>
    <w:rsid w:val="00042391"/>
    <w:rsid w:val="00042721"/>
    <w:rsid w:val="00042E00"/>
    <w:rsid w:val="00042ED1"/>
    <w:rsid w:val="00042F51"/>
    <w:rsid w:val="00043427"/>
    <w:rsid w:val="00043809"/>
    <w:rsid w:val="00043980"/>
    <w:rsid w:val="00043B67"/>
    <w:rsid w:val="00044094"/>
    <w:rsid w:val="00044347"/>
    <w:rsid w:val="00044366"/>
    <w:rsid w:val="0004499D"/>
    <w:rsid w:val="000455A5"/>
    <w:rsid w:val="000455F6"/>
    <w:rsid w:val="0004563E"/>
    <w:rsid w:val="0004567F"/>
    <w:rsid w:val="000458AF"/>
    <w:rsid w:val="00045D63"/>
    <w:rsid w:val="00045FD1"/>
    <w:rsid w:val="00046043"/>
    <w:rsid w:val="00046165"/>
    <w:rsid w:val="00046399"/>
    <w:rsid w:val="000464B3"/>
    <w:rsid w:val="000464DB"/>
    <w:rsid w:val="0004672F"/>
    <w:rsid w:val="00046796"/>
    <w:rsid w:val="000468D8"/>
    <w:rsid w:val="00046BD5"/>
    <w:rsid w:val="00046C64"/>
    <w:rsid w:val="00046FDC"/>
    <w:rsid w:val="000470DC"/>
    <w:rsid w:val="0004710B"/>
    <w:rsid w:val="0004727B"/>
    <w:rsid w:val="000478D3"/>
    <w:rsid w:val="000478FD"/>
    <w:rsid w:val="00047B8E"/>
    <w:rsid w:val="0005037A"/>
    <w:rsid w:val="000503F3"/>
    <w:rsid w:val="00050713"/>
    <w:rsid w:val="00050B59"/>
    <w:rsid w:val="00050DD5"/>
    <w:rsid w:val="00051065"/>
    <w:rsid w:val="000511D0"/>
    <w:rsid w:val="00051542"/>
    <w:rsid w:val="00051D5C"/>
    <w:rsid w:val="000522AE"/>
    <w:rsid w:val="00052454"/>
    <w:rsid w:val="0005252A"/>
    <w:rsid w:val="0005289A"/>
    <w:rsid w:val="000530F2"/>
    <w:rsid w:val="00053346"/>
    <w:rsid w:val="000538E0"/>
    <w:rsid w:val="000539BC"/>
    <w:rsid w:val="00053BF7"/>
    <w:rsid w:val="00053E56"/>
    <w:rsid w:val="00054520"/>
    <w:rsid w:val="000547CB"/>
    <w:rsid w:val="00054925"/>
    <w:rsid w:val="00054D1A"/>
    <w:rsid w:val="00054DD2"/>
    <w:rsid w:val="00054E75"/>
    <w:rsid w:val="00054E91"/>
    <w:rsid w:val="00054EAF"/>
    <w:rsid w:val="00054EEE"/>
    <w:rsid w:val="00055044"/>
    <w:rsid w:val="00055179"/>
    <w:rsid w:val="00055346"/>
    <w:rsid w:val="00055E19"/>
    <w:rsid w:val="00055EE2"/>
    <w:rsid w:val="00056024"/>
    <w:rsid w:val="0005609B"/>
    <w:rsid w:val="0005609C"/>
    <w:rsid w:val="000564F9"/>
    <w:rsid w:val="00056543"/>
    <w:rsid w:val="000566D0"/>
    <w:rsid w:val="00056770"/>
    <w:rsid w:val="000567B9"/>
    <w:rsid w:val="000568AB"/>
    <w:rsid w:val="00056A56"/>
    <w:rsid w:val="00056E47"/>
    <w:rsid w:val="00056F4D"/>
    <w:rsid w:val="000574CC"/>
    <w:rsid w:val="0005767A"/>
    <w:rsid w:val="000578AC"/>
    <w:rsid w:val="00057BC3"/>
    <w:rsid w:val="00057DEB"/>
    <w:rsid w:val="00057F84"/>
    <w:rsid w:val="0006017B"/>
    <w:rsid w:val="000605CA"/>
    <w:rsid w:val="00060A58"/>
    <w:rsid w:val="00060B56"/>
    <w:rsid w:val="00060B9F"/>
    <w:rsid w:val="00060F8A"/>
    <w:rsid w:val="0006123A"/>
    <w:rsid w:val="000612C4"/>
    <w:rsid w:val="00061576"/>
    <w:rsid w:val="0006164C"/>
    <w:rsid w:val="00061CC0"/>
    <w:rsid w:val="00061DDA"/>
    <w:rsid w:val="00062849"/>
    <w:rsid w:val="00062862"/>
    <w:rsid w:val="00062C3F"/>
    <w:rsid w:val="00062E51"/>
    <w:rsid w:val="00062FD0"/>
    <w:rsid w:val="00063381"/>
    <w:rsid w:val="000634B5"/>
    <w:rsid w:val="0006354D"/>
    <w:rsid w:val="0006376B"/>
    <w:rsid w:val="000638C1"/>
    <w:rsid w:val="00063A3D"/>
    <w:rsid w:val="00063B91"/>
    <w:rsid w:val="000641D7"/>
    <w:rsid w:val="000644AE"/>
    <w:rsid w:val="00064D1E"/>
    <w:rsid w:val="00064D6D"/>
    <w:rsid w:val="00064EE6"/>
    <w:rsid w:val="00064F4A"/>
    <w:rsid w:val="0006500C"/>
    <w:rsid w:val="000651D4"/>
    <w:rsid w:val="000652CA"/>
    <w:rsid w:val="00065395"/>
    <w:rsid w:val="00065480"/>
    <w:rsid w:val="000656C0"/>
    <w:rsid w:val="00065757"/>
    <w:rsid w:val="00065A28"/>
    <w:rsid w:val="00065B12"/>
    <w:rsid w:val="00065C6F"/>
    <w:rsid w:val="0006645D"/>
    <w:rsid w:val="00066600"/>
    <w:rsid w:val="000666FE"/>
    <w:rsid w:val="00066A4B"/>
    <w:rsid w:val="00066BEE"/>
    <w:rsid w:val="000672D0"/>
    <w:rsid w:val="00067591"/>
    <w:rsid w:val="0006769C"/>
    <w:rsid w:val="00067745"/>
    <w:rsid w:val="0006798E"/>
    <w:rsid w:val="00067A55"/>
    <w:rsid w:val="00067BC2"/>
    <w:rsid w:val="00067C7B"/>
    <w:rsid w:val="00070A6B"/>
    <w:rsid w:val="00071074"/>
    <w:rsid w:val="000712A0"/>
    <w:rsid w:val="00071AD7"/>
    <w:rsid w:val="00071B49"/>
    <w:rsid w:val="000720E6"/>
    <w:rsid w:val="000726DE"/>
    <w:rsid w:val="0007280C"/>
    <w:rsid w:val="00072D27"/>
    <w:rsid w:val="00072DFC"/>
    <w:rsid w:val="00072F8B"/>
    <w:rsid w:val="000734F8"/>
    <w:rsid w:val="00073677"/>
    <w:rsid w:val="000737CB"/>
    <w:rsid w:val="0007409B"/>
    <w:rsid w:val="000746DF"/>
    <w:rsid w:val="000747B7"/>
    <w:rsid w:val="0007487C"/>
    <w:rsid w:val="00074A16"/>
    <w:rsid w:val="00074DE9"/>
    <w:rsid w:val="00074DF6"/>
    <w:rsid w:val="00074EF6"/>
    <w:rsid w:val="0007571D"/>
    <w:rsid w:val="0007580E"/>
    <w:rsid w:val="0007586A"/>
    <w:rsid w:val="00075A15"/>
    <w:rsid w:val="00075D55"/>
    <w:rsid w:val="0007600B"/>
    <w:rsid w:val="000761FD"/>
    <w:rsid w:val="000764DD"/>
    <w:rsid w:val="00076883"/>
    <w:rsid w:val="00076CEC"/>
    <w:rsid w:val="00076DC2"/>
    <w:rsid w:val="000772B6"/>
    <w:rsid w:val="00077669"/>
    <w:rsid w:val="000776D1"/>
    <w:rsid w:val="000779DC"/>
    <w:rsid w:val="00077A00"/>
    <w:rsid w:val="00077AEC"/>
    <w:rsid w:val="00080158"/>
    <w:rsid w:val="000805EC"/>
    <w:rsid w:val="0008061C"/>
    <w:rsid w:val="000806B8"/>
    <w:rsid w:val="00080700"/>
    <w:rsid w:val="00080775"/>
    <w:rsid w:val="000808DC"/>
    <w:rsid w:val="00080A70"/>
    <w:rsid w:val="00080ADD"/>
    <w:rsid w:val="00080B2C"/>
    <w:rsid w:val="00080C9B"/>
    <w:rsid w:val="00080EE7"/>
    <w:rsid w:val="000810E2"/>
    <w:rsid w:val="00081A62"/>
    <w:rsid w:val="00081EC6"/>
    <w:rsid w:val="000821CC"/>
    <w:rsid w:val="000826C7"/>
    <w:rsid w:val="00082732"/>
    <w:rsid w:val="00082878"/>
    <w:rsid w:val="00082B1F"/>
    <w:rsid w:val="00082BFF"/>
    <w:rsid w:val="00082CAC"/>
    <w:rsid w:val="0008311A"/>
    <w:rsid w:val="00083122"/>
    <w:rsid w:val="000833C5"/>
    <w:rsid w:val="0008386C"/>
    <w:rsid w:val="00083940"/>
    <w:rsid w:val="00083B8C"/>
    <w:rsid w:val="00083C3F"/>
    <w:rsid w:val="00083CBC"/>
    <w:rsid w:val="00083EEC"/>
    <w:rsid w:val="00084307"/>
    <w:rsid w:val="00084651"/>
    <w:rsid w:val="00084669"/>
    <w:rsid w:val="000849BE"/>
    <w:rsid w:val="00084BA4"/>
    <w:rsid w:val="00085483"/>
    <w:rsid w:val="000854BB"/>
    <w:rsid w:val="0008555C"/>
    <w:rsid w:val="0008580B"/>
    <w:rsid w:val="000858B8"/>
    <w:rsid w:val="00085A3B"/>
    <w:rsid w:val="00085D2E"/>
    <w:rsid w:val="00086274"/>
    <w:rsid w:val="00086281"/>
    <w:rsid w:val="00086400"/>
    <w:rsid w:val="00086918"/>
    <w:rsid w:val="00086C5B"/>
    <w:rsid w:val="00087181"/>
    <w:rsid w:val="000873B7"/>
    <w:rsid w:val="00087738"/>
    <w:rsid w:val="00087ADE"/>
    <w:rsid w:val="00087E65"/>
    <w:rsid w:val="00087FD3"/>
    <w:rsid w:val="000905D6"/>
    <w:rsid w:val="0009063A"/>
    <w:rsid w:val="0009073D"/>
    <w:rsid w:val="00090A19"/>
    <w:rsid w:val="00090A55"/>
    <w:rsid w:val="00090A7C"/>
    <w:rsid w:val="00090AA9"/>
    <w:rsid w:val="00090D68"/>
    <w:rsid w:val="00090FF5"/>
    <w:rsid w:val="0009129D"/>
    <w:rsid w:val="000915E2"/>
    <w:rsid w:val="0009191A"/>
    <w:rsid w:val="00091AC6"/>
    <w:rsid w:val="00091C1F"/>
    <w:rsid w:val="00091E67"/>
    <w:rsid w:val="00091F7A"/>
    <w:rsid w:val="00092388"/>
    <w:rsid w:val="00092447"/>
    <w:rsid w:val="0009272B"/>
    <w:rsid w:val="00092AF3"/>
    <w:rsid w:val="00092D32"/>
    <w:rsid w:val="00092DCD"/>
    <w:rsid w:val="000940FD"/>
    <w:rsid w:val="0009424C"/>
    <w:rsid w:val="000942AA"/>
    <w:rsid w:val="000942EB"/>
    <w:rsid w:val="00094488"/>
    <w:rsid w:val="000946BE"/>
    <w:rsid w:val="00094A58"/>
    <w:rsid w:val="00094C96"/>
    <w:rsid w:val="00094CD4"/>
    <w:rsid w:val="00094D93"/>
    <w:rsid w:val="00095A2C"/>
    <w:rsid w:val="00095C2A"/>
    <w:rsid w:val="00095C6E"/>
    <w:rsid w:val="00095E1B"/>
    <w:rsid w:val="00096182"/>
    <w:rsid w:val="000965AF"/>
    <w:rsid w:val="00096B38"/>
    <w:rsid w:val="00096C60"/>
    <w:rsid w:val="0009716F"/>
    <w:rsid w:val="000972A7"/>
    <w:rsid w:val="0009749E"/>
    <w:rsid w:val="0009772A"/>
    <w:rsid w:val="00097A90"/>
    <w:rsid w:val="00097D58"/>
    <w:rsid w:val="000A03F3"/>
    <w:rsid w:val="000A043A"/>
    <w:rsid w:val="000A06C5"/>
    <w:rsid w:val="000A0D39"/>
    <w:rsid w:val="000A1138"/>
    <w:rsid w:val="000A14C7"/>
    <w:rsid w:val="000A161B"/>
    <w:rsid w:val="000A175A"/>
    <w:rsid w:val="000A179B"/>
    <w:rsid w:val="000A1973"/>
    <w:rsid w:val="000A1A10"/>
    <w:rsid w:val="000A1CD1"/>
    <w:rsid w:val="000A1D04"/>
    <w:rsid w:val="000A1D5A"/>
    <w:rsid w:val="000A1DBD"/>
    <w:rsid w:val="000A1F5E"/>
    <w:rsid w:val="000A2109"/>
    <w:rsid w:val="000A22F6"/>
    <w:rsid w:val="000A2300"/>
    <w:rsid w:val="000A2399"/>
    <w:rsid w:val="000A2424"/>
    <w:rsid w:val="000A24E9"/>
    <w:rsid w:val="000A2827"/>
    <w:rsid w:val="000A2A5F"/>
    <w:rsid w:val="000A2CB2"/>
    <w:rsid w:val="000A2DCF"/>
    <w:rsid w:val="000A3113"/>
    <w:rsid w:val="000A31E7"/>
    <w:rsid w:val="000A35A2"/>
    <w:rsid w:val="000A363C"/>
    <w:rsid w:val="000A37F7"/>
    <w:rsid w:val="000A3C72"/>
    <w:rsid w:val="000A3FAE"/>
    <w:rsid w:val="000A3FC3"/>
    <w:rsid w:val="000A3FE8"/>
    <w:rsid w:val="000A4089"/>
    <w:rsid w:val="000A4C70"/>
    <w:rsid w:val="000A504B"/>
    <w:rsid w:val="000A5095"/>
    <w:rsid w:val="000A51A0"/>
    <w:rsid w:val="000A5776"/>
    <w:rsid w:val="000A5B1C"/>
    <w:rsid w:val="000A5DA2"/>
    <w:rsid w:val="000A5FB5"/>
    <w:rsid w:val="000A64D2"/>
    <w:rsid w:val="000A687B"/>
    <w:rsid w:val="000A68BA"/>
    <w:rsid w:val="000A705B"/>
    <w:rsid w:val="000A70F4"/>
    <w:rsid w:val="000A7183"/>
    <w:rsid w:val="000A71AD"/>
    <w:rsid w:val="000A799D"/>
    <w:rsid w:val="000A7CB2"/>
    <w:rsid w:val="000A7D4A"/>
    <w:rsid w:val="000B009B"/>
    <w:rsid w:val="000B016F"/>
    <w:rsid w:val="000B0373"/>
    <w:rsid w:val="000B0777"/>
    <w:rsid w:val="000B07BC"/>
    <w:rsid w:val="000B07C0"/>
    <w:rsid w:val="000B083A"/>
    <w:rsid w:val="000B0887"/>
    <w:rsid w:val="000B09BA"/>
    <w:rsid w:val="000B0E62"/>
    <w:rsid w:val="000B118C"/>
    <w:rsid w:val="000B12A8"/>
    <w:rsid w:val="000B19C5"/>
    <w:rsid w:val="000B1D0E"/>
    <w:rsid w:val="000B1F7A"/>
    <w:rsid w:val="000B1FA6"/>
    <w:rsid w:val="000B2337"/>
    <w:rsid w:val="000B2345"/>
    <w:rsid w:val="000B250F"/>
    <w:rsid w:val="000B2A0D"/>
    <w:rsid w:val="000B2D58"/>
    <w:rsid w:val="000B36F7"/>
    <w:rsid w:val="000B376A"/>
    <w:rsid w:val="000B3959"/>
    <w:rsid w:val="000B3AA0"/>
    <w:rsid w:val="000B3DEE"/>
    <w:rsid w:val="000B3E26"/>
    <w:rsid w:val="000B3E59"/>
    <w:rsid w:val="000B3EE2"/>
    <w:rsid w:val="000B421E"/>
    <w:rsid w:val="000B42E4"/>
    <w:rsid w:val="000B4428"/>
    <w:rsid w:val="000B46DF"/>
    <w:rsid w:val="000B4796"/>
    <w:rsid w:val="000B481B"/>
    <w:rsid w:val="000B4A7F"/>
    <w:rsid w:val="000B4C39"/>
    <w:rsid w:val="000B4E25"/>
    <w:rsid w:val="000B50E1"/>
    <w:rsid w:val="000B562C"/>
    <w:rsid w:val="000B5790"/>
    <w:rsid w:val="000B5813"/>
    <w:rsid w:val="000B5998"/>
    <w:rsid w:val="000B59CB"/>
    <w:rsid w:val="000B5AC1"/>
    <w:rsid w:val="000B5C54"/>
    <w:rsid w:val="000B5C72"/>
    <w:rsid w:val="000B5E36"/>
    <w:rsid w:val="000B608F"/>
    <w:rsid w:val="000B62B1"/>
    <w:rsid w:val="000B65EE"/>
    <w:rsid w:val="000B6620"/>
    <w:rsid w:val="000B6638"/>
    <w:rsid w:val="000B66D0"/>
    <w:rsid w:val="000B67C3"/>
    <w:rsid w:val="000B6C66"/>
    <w:rsid w:val="000B6CF5"/>
    <w:rsid w:val="000B7040"/>
    <w:rsid w:val="000B757C"/>
    <w:rsid w:val="000B7734"/>
    <w:rsid w:val="000B7A1B"/>
    <w:rsid w:val="000C02F4"/>
    <w:rsid w:val="000C0365"/>
    <w:rsid w:val="000C036C"/>
    <w:rsid w:val="000C043D"/>
    <w:rsid w:val="000C06AD"/>
    <w:rsid w:val="000C06C1"/>
    <w:rsid w:val="000C092E"/>
    <w:rsid w:val="000C1270"/>
    <w:rsid w:val="000C1842"/>
    <w:rsid w:val="000C1901"/>
    <w:rsid w:val="000C1AE0"/>
    <w:rsid w:val="000C208F"/>
    <w:rsid w:val="000C225E"/>
    <w:rsid w:val="000C22FE"/>
    <w:rsid w:val="000C2348"/>
    <w:rsid w:val="000C250A"/>
    <w:rsid w:val="000C269E"/>
    <w:rsid w:val="000C2AEC"/>
    <w:rsid w:val="000C2B8A"/>
    <w:rsid w:val="000C2C12"/>
    <w:rsid w:val="000C2C47"/>
    <w:rsid w:val="000C304B"/>
    <w:rsid w:val="000C3390"/>
    <w:rsid w:val="000C3740"/>
    <w:rsid w:val="000C3A2D"/>
    <w:rsid w:val="000C3D0D"/>
    <w:rsid w:val="000C3E91"/>
    <w:rsid w:val="000C42F4"/>
    <w:rsid w:val="000C4324"/>
    <w:rsid w:val="000C44CF"/>
    <w:rsid w:val="000C467B"/>
    <w:rsid w:val="000C4696"/>
    <w:rsid w:val="000C4A31"/>
    <w:rsid w:val="000C4B84"/>
    <w:rsid w:val="000C4C6E"/>
    <w:rsid w:val="000C5129"/>
    <w:rsid w:val="000C53E0"/>
    <w:rsid w:val="000C55BF"/>
    <w:rsid w:val="000C5965"/>
    <w:rsid w:val="000C5D68"/>
    <w:rsid w:val="000C615E"/>
    <w:rsid w:val="000C6210"/>
    <w:rsid w:val="000C641B"/>
    <w:rsid w:val="000C65B7"/>
    <w:rsid w:val="000C6CD3"/>
    <w:rsid w:val="000C6DA7"/>
    <w:rsid w:val="000C6E8C"/>
    <w:rsid w:val="000C7096"/>
    <w:rsid w:val="000C7374"/>
    <w:rsid w:val="000C742B"/>
    <w:rsid w:val="000C767D"/>
    <w:rsid w:val="000C77F4"/>
    <w:rsid w:val="000C782D"/>
    <w:rsid w:val="000C7BB4"/>
    <w:rsid w:val="000C7CF6"/>
    <w:rsid w:val="000D01DB"/>
    <w:rsid w:val="000D0436"/>
    <w:rsid w:val="000D04A5"/>
    <w:rsid w:val="000D0B27"/>
    <w:rsid w:val="000D0CF5"/>
    <w:rsid w:val="000D0D71"/>
    <w:rsid w:val="000D1182"/>
    <w:rsid w:val="000D160D"/>
    <w:rsid w:val="000D1D2A"/>
    <w:rsid w:val="000D1DA0"/>
    <w:rsid w:val="000D1F15"/>
    <w:rsid w:val="000D2062"/>
    <w:rsid w:val="000D2167"/>
    <w:rsid w:val="000D2572"/>
    <w:rsid w:val="000D263C"/>
    <w:rsid w:val="000D26BB"/>
    <w:rsid w:val="000D2717"/>
    <w:rsid w:val="000D2C7A"/>
    <w:rsid w:val="000D2CA0"/>
    <w:rsid w:val="000D30BA"/>
    <w:rsid w:val="000D3132"/>
    <w:rsid w:val="000D32F1"/>
    <w:rsid w:val="000D3881"/>
    <w:rsid w:val="000D3D9D"/>
    <w:rsid w:val="000D43CB"/>
    <w:rsid w:val="000D4C22"/>
    <w:rsid w:val="000D55A6"/>
    <w:rsid w:val="000D569C"/>
    <w:rsid w:val="000D5967"/>
    <w:rsid w:val="000D5AEF"/>
    <w:rsid w:val="000D5C71"/>
    <w:rsid w:val="000D5D4B"/>
    <w:rsid w:val="000D631F"/>
    <w:rsid w:val="000D657B"/>
    <w:rsid w:val="000D66AF"/>
    <w:rsid w:val="000D70C4"/>
    <w:rsid w:val="000D7112"/>
    <w:rsid w:val="000D733A"/>
    <w:rsid w:val="000D73BF"/>
    <w:rsid w:val="000D763A"/>
    <w:rsid w:val="000D768F"/>
    <w:rsid w:val="000D77C4"/>
    <w:rsid w:val="000D78AC"/>
    <w:rsid w:val="000D78B2"/>
    <w:rsid w:val="000D7AF4"/>
    <w:rsid w:val="000D7F5B"/>
    <w:rsid w:val="000E0068"/>
    <w:rsid w:val="000E047E"/>
    <w:rsid w:val="000E0898"/>
    <w:rsid w:val="000E09E7"/>
    <w:rsid w:val="000E0F7D"/>
    <w:rsid w:val="000E13B1"/>
    <w:rsid w:val="000E160D"/>
    <w:rsid w:val="000E18A6"/>
    <w:rsid w:val="000E1A39"/>
    <w:rsid w:val="000E1B1F"/>
    <w:rsid w:val="000E1F92"/>
    <w:rsid w:val="000E1FD2"/>
    <w:rsid w:val="000E224C"/>
    <w:rsid w:val="000E2664"/>
    <w:rsid w:val="000E270B"/>
    <w:rsid w:val="000E2E35"/>
    <w:rsid w:val="000E2E73"/>
    <w:rsid w:val="000E2F22"/>
    <w:rsid w:val="000E342F"/>
    <w:rsid w:val="000E3A4F"/>
    <w:rsid w:val="000E3D2C"/>
    <w:rsid w:val="000E3F38"/>
    <w:rsid w:val="000E3FE9"/>
    <w:rsid w:val="000E4105"/>
    <w:rsid w:val="000E491F"/>
    <w:rsid w:val="000E4D51"/>
    <w:rsid w:val="000E4DE7"/>
    <w:rsid w:val="000E4EF0"/>
    <w:rsid w:val="000E53D3"/>
    <w:rsid w:val="000E5431"/>
    <w:rsid w:val="000E5AFF"/>
    <w:rsid w:val="000E5BC2"/>
    <w:rsid w:val="000E5BEE"/>
    <w:rsid w:val="000E5D58"/>
    <w:rsid w:val="000E6008"/>
    <w:rsid w:val="000E62C7"/>
    <w:rsid w:val="000E6911"/>
    <w:rsid w:val="000E69EA"/>
    <w:rsid w:val="000E6B9F"/>
    <w:rsid w:val="000E6E1D"/>
    <w:rsid w:val="000E713D"/>
    <w:rsid w:val="000E75E4"/>
    <w:rsid w:val="000E77D3"/>
    <w:rsid w:val="000F0483"/>
    <w:rsid w:val="000F0ACB"/>
    <w:rsid w:val="000F1017"/>
    <w:rsid w:val="000F14D9"/>
    <w:rsid w:val="000F1D95"/>
    <w:rsid w:val="000F1DB4"/>
    <w:rsid w:val="000F1F07"/>
    <w:rsid w:val="000F291D"/>
    <w:rsid w:val="000F2A82"/>
    <w:rsid w:val="000F2AC1"/>
    <w:rsid w:val="000F2E93"/>
    <w:rsid w:val="000F319F"/>
    <w:rsid w:val="000F3362"/>
    <w:rsid w:val="000F33FB"/>
    <w:rsid w:val="000F373C"/>
    <w:rsid w:val="000F37B6"/>
    <w:rsid w:val="000F3A75"/>
    <w:rsid w:val="000F3B3E"/>
    <w:rsid w:val="000F4794"/>
    <w:rsid w:val="000F47F5"/>
    <w:rsid w:val="000F4897"/>
    <w:rsid w:val="000F4914"/>
    <w:rsid w:val="000F4B12"/>
    <w:rsid w:val="000F4D26"/>
    <w:rsid w:val="000F4F0B"/>
    <w:rsid w:val="000F50DA"/>
    <w:rsid w:val="000F5223"/>
    <w:rsid w:val="000F52E3"/>
    <w:rsid w:val="000F5699"/>
    <w:rsid w:val="000F59FB"/>
    <w:rsid w:val="000F5A50"/>
    <w:rsid w:val="000F5A55"/>
    <w:rsid w:val="000F5E55"/>
    <w:rsid w:val="000F6093"/>
    <w:rsid w:val="000F60ED"/>
    <w:rsid w:val="000F6249"/>
    <w:rsid w:val="000F6550"/>
    <w:rsid w:val="000F6851"/>
    <w:rsid w:val="000F7207"/>
    <w:rsid w:val="000F72A8"/>
    <w:rsid w:val="000F73E1"/>
    <w:rsid w:val="000F73E2"/>
    <w:rsid w:val="000F7466"/>
    <w:rsid w:val="000F764D"/>
    <w:rsid w:val="000F7695"/>
    <w:rsid w:val="000F7858"/>
    <w:rsid w:val="000F78A7"/>
    <w:rsid w:val="000F7B88"/>
    <w:rsid w:val="000F7CD8"/>
    <w:rsid w:val="00100358"/>
    <w:rsid w:val="001005BF"/>
    <w:rsid w:val="0010075A"/>
    <w:rsid w:val="00101195"/>
    <w:rsid w:val="001016A1"/>
    <w:rsid w:val="001017B8"/>
    <w:rsid w:val="001018DA"/>
    <w:rsid w:val="00101DDB"/>
    <w:rsid w:val="00102444"/>
    <w:rsid w:val="00102A01"/>
    <w:rsid w:val="00102DD8"/>
    <w:rsid w:val="0010320B"/>
    <w:rsid w:val="001032DA"/>
    <w:rsid w:val="00103553"/>
    <w:rsid w:val="00103986"/>
    <w:rsid w:val="00103AF5"/>
    <w:rsid w:val="00103BC8"/>
    <w:rsid w:val="00103F02"/>
    <w:rsid w:val="001042B6"/>
    <w:rsid w:val="001042E1"/>
    <w:rsid w:val="00104384"/>
    <w:rsid w:val="0010451F"/>
    <w:rsid w:val="0010456C"/>
    <w:rsid w:val="00104975"/>
    <w:rsid w:val="001051E9"/>
    <w:rsid w:val="00105ED7"/>
    <w:rsid w:val="00105FC2"/>
    <w:rsid w:val="00106026"/>
    <w:rsid w:val="001061A6"/>
    <w:rsid w:val="0010621E"/>
    <w:rsid w:val="00106340"/>
    <w:rsid w:val="0010691B"/>
    <w:rsid w:val="00106C13"/>
    <w:rsid w:val="001072AA"/>
    <w:rsid w:val="0010775E"/>
    <w:rsid w:val="00107A36"/>
    <w:rsid w:val="00107D8B"/>
    <w:rsid w:val="001103C2"/>
    <w:rsid w:val="001106C5"/>
    <w:rsid w:val="0011087C"/>
    <w:rsid w:val="00110978"/>
    <w:rsid w:val="00110EF0"/>
    <w:rsid w:val="0011106F"/>
    <w:rsid w:val="00111821"/>
    <w:rsid w:val="00111883"/>
    <w:rsid w:val="001119D3"/>
    <w:rsid w:val="00111B78"/>
    <w:rsid w:val="00112614"/>
    <w:rsid w:val="00112639"/>
    <w:rsid w:val="00112A6E"/>
    <w:rsid w:val="00112EDB"/>
    <w:rsid w:val="00112F6C"/>
    <w:rsid w:val="00112FA8"/>
    <w:rsid w:val="0011371C"/>
    <w:rsid w:val="00113747"/>
    <w:rsid w:val="0011398B"/>
    <w:rsid w:val="00113AA4"/>
    <w:rsid w:val="00113B6D"/>
    <w:rsid w:val="00113D6C"/>
    <w:rsid w:val="00113FD7"/>
    <w:rsid w:val="00114377"/>
    <w:rsid w:val="001148CC"/>
    <w:rsid w:val="00114D61"/>
    <w:rsid w:val="00114EA1"/>
    <w:rsid w:val="00114F7A"/>
    <w:rsid w:val="001158FC"/>
    <w:rsid w:val="00115AFB"/>
    <w:rsid w:val="00115D55"/>
    <w:rsid w:val="00115D63"/>
    <w:rsid w:val="00116264"/>
    <w:rsid w:val="001163A3"/>
    <w:rsid w:val="001164EE"/>
    <w:rsid w:val="0011686B"/>
    <w:rsid w:val="00116CD7"/>
    <w:rsid w:val="00116DB1"/>
    <w:rsid w:val="001172E1"/>
    <w:rsid w:val="0011735A"/>
    <w:rsid w:val="001176AC"/>
    <w:rsid w:val="00117B16"/>
    <w:rsid w:val="00117B22"/>
    <w:rsid w:val="001200EC"/>
    <w:rsid w:val="001204E4"/>
    <w:rsid w:val="001206A3"/>
    <w:rsid w:val="00120750"/>
    <w:rsid w:val="00120A6F"/>
    <w:rsid w:val="00120CFF"/>
    <w:rsid w:val="00120E19"/>
    <w:rsid w:val="0012108E"/>
    <w:rsid w:val="0012169C"/>
    <w:rsid w:val="00121A40"/>
    <w:rsid w:val="001224DD"/>
    <w:rsid w:val="001226B8"/>
    <w:rsid w:val="001228C9"/>
    <w:rsid w:val="00122B49"/>
    <w:rsid w:val="00123079"/>
    <w:rsid w:val="001230A0"/>
    <w:rsid w:val="001231FC"/>
    <w:rsid w:val="0012356B"/>
    <w:rsid w:val="001235DB"/>
    <w:rsid w:val="001238BF"/>
    <w:rsid w:val="0012399B"/>
    <w:rsid w:val="00123DEC"/>
    <w:rsid w:val="00124288"/>
    <w:rsid w:val="0012486C"/>
    <w:rsid w:val="00124AB9"/>
    <w:rsid w:val="00124F32"/>
    <w:rsid w:val="00125146"/>
    <w:rsid w:val="001251BB"/>
    <w:rsid w:val="0012529F"/>
    <w:rsid w:val="001258D3"/>
    <w:rsid w:val="00125954"/>
    <w:rsid w:val="00125DCA"/>
    <w:rsid w:val="00125E1C"/>
    <w:rsid w:val="00125F9C"/>
    <w:rsid w:val="00125FED"/>
    <w:rsid w:val="0012658E"/>
    <w:rsid w:val="0012683E"/>
    <w:rsid w:val="00126BA4"/>
    <w:rsid w:val="00126DF0"/>
    <w:rsid w:val="00126F98"/>
    <w:rsid w:val="001275F7"/>
    <w:rsid w:val="00127828"/>
    <w:rsid w:val="00127844"/>
    <w:rsid w:val="00127E99"/>
    <w:rsid w:val="0012FFF2"/>
    <w:rsid w:val="00130248"/>
    <w:rsid w:val="001303CF"/>
    <w:rsid w:val="0013044E"/>
    <w:rsid w:val="0013067E"/>
    <w:rsid w:val="00130746"/>
    <w:rsid w:val="001308C8"/>
    <w:rsid w:val="00130A07"/>
    <w:rsid w:val="00130C1B"/>
    <w:rsid w:val="00131546"/>
    <w:rsid w:val="0013162D"/>
    <w:rsid w:val="001319CC"/>
    <w:rsid w:val="00131E90"/>
    <w:rsid w:val="0013208B"/>
    <w:rsid w:val="001320DB"/>
    <w:rsid w:val="001325D5"/>
    <w:rsid w:val="001327C7"/>
    <w:rsid w:val="00133029"/>
    <w:rsid w:val="001330BE"/>
    <w:rsid w:val="0013324D"/>
    <w:rsid w:val="0013330D"/>
    <w:rsid w:val="001336A2"/>
    <w:rsid w:val="00133A30"/>
    <w:rsid w:val="00133BF8"/>
    <w:rsid w:val="00133CEB"/>
    <w:rsid w:val="00133F14"/>
    <w:rsid w:val="00133FBE"/>
    <w:rsid w:val="001341C0"/>
    <w:rsid w:val="0013441F"/>
    <w:rsid w:val="00134545"/>
    <w:rsid w:val="0013456B"/>
    <w:rsid w:val="00134A69"/>
    <w:rsid w:val="00135282"/>
    <w:rsid w:val="001352FF"/>
    <w:rsid w:val="0013565C"/>
    <w:rsid w:val="0013583D"/>
    <w:rsid w:val="001358E2"/>
    <w:rsid w:val="00135B6D"/>
    <w:rsid w:val="00135C5E"/>
    <w:rsid w:val="00135D5A"/>
    <w:rsid w:val="00135E87"/>
    <w:rsid w:val="00136016"/>
    <w:rsid w:val="001363BF"/>
    <w:rsid w:val="00136A7E"/>
    <w:rsid w:val="00137372"/>
    <w:rsid w:val="00137485"/>
    <w:rsid w:val="0013757F"/>
    <w:rsid w:val="001377D4"/>
    <w:rsid w:val="00137A24"/>
    <w:rsid w:val="00137B00"/>
    <w:rsid w:val="00137F20"/>
    <w:rsid w:val="00137F21"/>
    <w:rsid w:val="00140392"/>
    <w:rsid w:val="00140608"/>
    <w:rsid w:val="00140793"/>
    <w:rsid w:val="00140804"/>
    <w:rsid w:val="00140891"/>
    <w:rsid w:val="00140ADC"/>
    <w:rsid w:val="0014136D"/>
    <w:rsid w:val="00141439"/>
    <w:rsid w:val="00141806"/>
    <w:rsid w:val="00141CE9"/>
    <w:rsid w:val="001426F4"/>
    <w:rsid w:val="00142CA5"/>
    <w:rsid w:val="00142E3E"/>
    <w:rsid w:val="00142FDD"/>
    <w:rsid w:val="00143607"/>
    <w:rsid w:val="00143698"/>
    <w:rsid w:val="00143BDF"/>
    <w:rsid w:val="00143BEC"/>
    <w:rsid w:val="00143C33"/>
    <w:rsid w:val="00144034"/>
    <w:rsid w:val="00144139"/>
    <w:rsid w:val="00144A1C"/>
    <w:rsid w:val="00144B86"/>
    <w:rsid w:val="00144D44"/>
    <w:rsid w:val="00144E27"/>
    <w:rsid w:val="00144FC8"/>
    <w:rsid w:val="001453DC"/>
    <w:rsid w:val="00145973"/>
    <w:rsid w:val="0014607D"/>
    <w:rsid w:val="00146795"/>
    <w:rsid w:val="00146947"/>
    <w:rsid w:val="00146A9C"/>
    <w:rsid w:val="00146C72"/>
    <w:rsid w:val="00146F97"/>
    <w:rsid w:val="00147141"/>
    <w:rsid w:val="001471D2"/>
    <w:rsid w:val="0014722D"/>
    <w:rsid w:val="0014726A"/>
    <w:rsid w:val="00147583"/>
    <w:rsid w:val="00147698"/>
    <w:rsid w:val="00147B8B"/>
    <w:rsid w:val="00147CBF"/>
    <w:rsid w:val="00147DAD"/>
    <w:rsid w:val="00147F69"/>
    <w:rsid w:val="001501D5"/>
    <w:rsid w:val="001504FD"/>
    <w:rsid w:val="00150B16"/>
    <w:rsid w:val="00150BBB"/>
    <w:rsid w:val="00150C56"/>
    <w:rsid w:val="0015154E"/>
    <w:rsid w:val="00151746"/>
    <w:rsid w:val="00152128"/>
    <w:rsid w:val="001523E6"/>
    <w:rsid w:val="00152511"/>
    <w:rsid w:val="001526B5"/>
    <w:rsid w:val="001532A0"/>
    <w:rsid w:val="001535E7"/>
    <w:rsid w:val="001536B2"/>
    <w:rsid w:val="001538D8"/>
    <w:rsid w:val="001540C9"/>
    <w:rsid w:val="001540D8"/>
    <w:rsid w:val="00154453"/>
    <w:rsid w:val="0015446D"/>
    <w:rsid w:val="00154723"/>
    <w:rsid w:val="00154C30"/>
    <w:rsid w:val="00155348"/>
    <w:rsid w:val="001553B5"/>
    <w:rsid w:val="001555B3"/>
    <w:rsid w:val="0015581A"/>
    <w:rsid w:val="00155B41"/>
    <w:rsid w:val="00155E68"/>
    <w:rsid w:val="00155E87"/>
    <w:rsid w:val="00155F72"/>
    <w:rsid w:val="0015604D"/>
    <w:rsid w:val="001563D2"/>
    <w:rsid w:val="00156428"/>
    <w:rsid w:val="00156627"/>
    <w:rsid w:val="0015669A"/>
    <w:rsid w:val="00156B96"/>
    <w:rsid w:val="00156C37"/>
    <w:rsid w:val="00157049"/>
    <w:rsid w:val="001571C1"/>
    <w:rsid w:val="00157399"/>
    <w:rsid w:val="00157443"/>
    <w:rsid w:val="00157BAD"/>
    <w:rsid w:val="00157D9D"/>
    <w:rsid w:val="00157F04"/>
    <w:rsid w:val="001600EA"/>
    <w:rsid w:val="00160658"/>
    <w:rsid w:val="0016080A"/>
    <w:rsid w:val="00160BF7"/>
    <w:rsid w:val="00160C09"/>
    <w:rsid w:val="00160CD3"/>
    <w:rsid w:val="00160D86"/>
    <w:rsid w:val="00160D97"/>
    <w:rsid w:val="00160DB1"/>
    <w:rsid w:val="0016126F"/>
    <w:rsid w:val="00161598"/>
    <w:rsid w:val="001615ED"/>
    <w:rsid w:val="00161CF6"/>
    <w:rsid w:val="00161D08"/>
    <w:rsid w:val="001620C7"/>
    <w:rsid w:val="00162508"/>
    <w:rsid w:val="0016257A"/>
    <w:rsid w:val="0016271B"/>
    <w:rsid w:val="00162809"/>
    <w:rsid w:val="00162A1D"/>
    <w:rsid w:val="00162ADE"/>
    <w:rsid w:val="00162C2C"/>
    <w:rsid w:val="00162D7E"/>
    <w:rsid w:val="001637AC"/>
    <w:rsid w:val="00163E1B"/>
    <w:rsid w:val="00163EA3"/>
    <w:rsid w:val="00164080"/>
    <w:rsid w:val="00164168"/>
    <w:rsid w:val="00164716"/>
    <w:rsid w:val="0016472B"/>
    <w:rsid w:val="00164749"/>
    <w:rsid w:val="00165172"/>
    <w:rsid w:val="0016539D"/>
    <w:rsid w:val="001653DB"/>
    <w:rsid w:val="0016545D"/>
    <w:rsid w:val="00165517"/>
    <w:rsid w:val="001657B6"/>
    <w:rsid w:val="001658B7"/>
    <w:rsid w:val="00165C28"/>
    <w:rsid w:val="00165D64"/>
    <w:rsid w:val="00166097"/>
    <w:rsid w:val="00166111"/>
    <w:rsid w:val="0016617A"/>
    <w:rsid w:val="00166205"/>
    <w:rsid w:val="001666E4"/>
    <w:rsid w:val="0016695E"/>
    <w:rsid w:val="00166A48"/>
    <w:rsid w:val="00166BA2"/>
    <w:rsid w:val="00166DCD"/>
    <w:rsid w:val="00166E14"/>
    <w:rsid w:val="00166E6D"/>
    <w:rsid w:val="00166ED8"/>
    <w:rsid w:val="00166FEF"/>
    <w:rsid w:val="00167665"/>
    <w:rsid w:val="00167727"/>
    <w:rsid w:val="001678B5"/>
    <w:rsid w:val="00167911"/>
    <w:rsid w:val="00167C0F"/>
    <w:rsid w:val="00167EC6"/>
    <w:rsid w:val="001702C5"/>
    <w:rsid w:val="00170441"/>
    <w:rsid w:val="00170499"/>
    <w:rsid w:val="00170ADF"/>
    <w:rsid w:val="00170D24"/>
    <w:rsid w:val="00171366"/>
    <w:rsid w:val="00171440"/>
    <w:rsid w:val="00171753"/>
    <w:rsid w:val="0017179C"/>
    <w:rsid w:val="00171803"/>
    <w:rsid w:val="00171842"/>
    <w:rsid w:val="0017228D"/>
    <w:rsid w:val="001722A7"/>
    <w:rsid w:val="001726D4"/>
    <w:rsid w:val="00172764"/>
    <w:rsid w:val="00172846"/>
    <w:rsid w:val="00172D01"/>
    <w:rsid w:val="0017318C"/>
    <w:rsid w:val="0017337D"/>
    <w:rsid w:val="0017365B"/>
    <w:rsid w:val="001741BB"/>
    <w:rsid w:val="001742D7"/>
    <w:rsid w:val="0017434F"/>
    <w:rsid w:val="0017452B"/>
    <w:rsid w:val="001749C2"/>
    <w:rsid w:val="001749F8"/>
    <w:rsid w:val="00174F8B"/>
    <w:rsid w:val="00174FD7"/>
    <w:rsid w:val="0017508B"/>
    <w:rsid w:val="001750A0"/>
    <w:rsid w:val="0017585B"/>
    <w:rsid w:val="00175A70"/>
    <w:rsid w:val="00175A7E"/>
    <w:rsid w:val="0017612E"/>
    <w:rsid w:val="001762C3"/>
    <w:rsid w:val="001763AC"/>
    <w:rsid w:val="001765CB"/>
    <w:rsid w:val="00176785"/>
    <w:rsid w:val="001767A5"/>
    <w:rsid w:val="001768F8"/>
    <w:rsid w:val="00177201"/>
    <w:rsid w:val="001775F1"/>
    <w:rsid w:val="00177967"/>
    <w:rsid w:val="00180042"/>
    <w:rsid w:val="001801E3"/>
    <w:rsid w:val="001804B8"/>
    <w:rsid w:val="00180BCF"/>
    <w:rsid w:val="00180E58"/>
    <w:rsid w:val="00180FBB"/>
    <w:rsid w:val="001810D1"/>
    <w:rsid w:val="001815C9"/>
    <w:rsid w:val="001818C5"/>
    <w:rsid w:val="001818D8"/>
    <w:rsid w:val="00181F60"/>
    <w:rsid w:val="00182243"/>
    <w:rsid w:val="00182394"/>
    <w:rsid w:val="001826B9"/>
    <w:rsid w:val="00182766"/>
    <w:rsid w:val="001827CC"/>
    <w:rsid w:val="001828AC"/>
    <w:rsid w:val="001829B7"/>
    <w:rsid w:val="00182BE8"/>
    <w:rsid w:val="00182F7F"/>
    <w:rsid w:val="0018307D"/>
    <w:rsid w:val="0018373F"/>
    <w:rsid w:val="001838D5"/>
    <w:rsid w:val="001839BC"/>
    <w:rsid w:val="00183A16"/>
    <w:rsid w:val="00183A7F"/>
    <w:rsid w:val="00183D89"/>
    <w:rsid w:val="0018426D"/>
    <w:rsid w:val="001843B0"/>
    <w:rsid w:val="00184490"/>
    <w:rsid w:val="001844C6"/>
    <w:rsid w:val="001845EF"/>
    <w:rsid w:val="00184776"/>
    <w:rsid w:val="00184A6D"/>
    <w:rsid w:val="00184B03"/>
    <w:rsid w:val="00184EF1"/>
    <w:rsid w:val="00185058"/>
    <w:rsid w:val="0018512D"/>
    <w:rsid w:val="0018536E"/>
    <w:rsid w:val="001854DC"/>
    <w:rsid w:val="00185677"/>
    <w:rsid w:val="00185A6B"/>
    <w:rsid w:val="00185A86"/>
    <w:rsid w:val="00185E3C"/>
    <w:rsid w:val="00186744"/>
    <w:rsid w:val="001867A8"/>
    <w:rsid w:val="00186891"/>
    <w:rsid w:val="00186D8B"/>
    <w:rsid w:val="00186FC0"/>
    <w:rsid w:val="001873B6"/>
    <w:rsid w:val="001874D7"/>
    <w:rsid w:val="0018788F"/>
    <w:rsid w:val="0018794F"/>
    <w:rsid w:val="00190042"/>
    <w:rsid w:val="001900B5"/>
    <w:rsid w:val="00190116"/>
    <w:rsid w:val="0019068B"/>
    <w:rsid w:val="00190C3F"/>
    <w:rsid w:val="00190C97"/>
    <w:rsid w:val="00190DEF"/>
    <w:rsid w:val="00190FA4"/>
    <w:rsid w:val="00191308"/>
    <w:rsid w:val="001917B9"/>
    <w:rsid w:val="00191C69"/>
    <w:rsid w:val="0019231F"/>
    <w:rsid w:val="00192392"/>
    <w:rsid w:val="00192A09"/>
    <w:rsid w:val="0019386C"/>
    <w:rsid w:val="00193A55"/>
    <w:rsid w:val="00193B1D"/>
    <w:rsid w:val="00194183"/>
    <w:rsid w:val="001942E7"/>
    <w:rsid w:val="00194360"/>
    <w:rsid w:val="001946F2"/>
    <w:rsid w:val="00194B60"/>
    <w:rsid w:val="00195140"/>
    <w:rsid w:val="0019523C"/>
    <w:rsid w:val="00195AB1"/>
    <w:rsid w:val="00195D19"/>
    <w:rsid w:val="0019654C"/>
    <w:rsid w:val="0019688C"/>
    <w:rsid w:val="00196A5F"/>
    <w:rsid w:val="00196EBA"/>
    <w:rsid w:val="00197171"/>
    <w:rsid w:val="00197385"/>
    <w:rsid w:val="00197719"/>
    <w:rsid w:val="00197A37"/>
    <w:rsid w:val="00197B85"/>
    <w:rsid w:val="00197E27"/>
    <w:rsid w:val="0019D91A"/>
    <w:rsid w:val="001A07B8"/>
    <w:rsid w:val="001A0924"/>
    <w:rsid w:val="001A0D1B"/>
    <w:rsid w:val="001A167D"/>
    <w:rsid w:val="001A1AEE"/>
    <w:rsid w:val="001A22E8"/>
    <w:rsid w:val="001A237A"/>
    <w:rsid w:val="001A242B"/>
    <w:rsid w:val="001A28D0"/>
    <w:rsid w:val="001A2921"/>
    <w:rsid w:val="001A2B29"/>
    <w:rsid w:val="001A2EC7"/>
    <w:rsid w:val="001A30F3"/>
    <w:rsid w:val="001A3124"/>
    <w:rsid w:val="001A3352"/>
    <w:rsid w:val="001A3384"/>
    <w:rsid w:val="001A3395"/>
    <w:rsid w:val="001A346D"/>
    <w:rsid w:val="001A3695"/>
    <w:rsid w:val="001A3824"/>
    <w:rsid w:val="001A4609"/>
    <w:rsid w:val="001A4DD8"/>
    <w:rsid w:val="001A4E8C"/>
    <w:rsid w:val="001A4EB4"/>
    <w:rsid w:val="001A5088"/>
    <w:rsid w:val="001A55A3"/>
    <w:rsid w:val="001A5AF7"/>
    <w:rsid w:val="001A5B84"/>
    <w:rsid w:val="001A5C0E"/>
    <w:rsid w:val="001A6446"/>
    <w:rsid w:val="001A6C28"/>
    <w:rsid w:val="001A6CA8"/>
    <w:rsid w:val="001A6DB0"/>
    <w:rsid w:val="001A6F00"/>
    <w:rsid w:val="001A6F4C"/>
    <w:rsid w:val="001A7323"/>
    <w:rsid w:val="001A78FF"/>
    <w:rsid w:val="001A7A13"/>
    <w:rsid w:val="001A7A25"/>
    <w:rsid w:val="001A7AD6"/>
    <w:rsid w:val="001A7B9F"/>
    <w:rsid w:val="001A7BB3"/>
    <w:rsid w:val="001B0017"/>
    <w:rsid w:val="001B03C4"/>
    <w:rsid w:val="001B0537"/>
    <w:rsid w:val="001B06C2"/>
    <w:rsid w:val="001B06C5"/>
    <w:rsid w:val="001B08ED"/>
    <w:rsid w:val="001B0CAA"/>
    <w:rsid w:val="001B0E5D"/>
    <w:rsid w:val="001B0E5E"/>
    <w:rsid w:val="001B10CF"/>
    <w:rsid w:val="001B1514"/>
    <w:rsid w:val="001B16C2"/>
    <w:rsid w:val="001B16D7"/>
    <w:rsid w:val="001B1992"/>
    <w:rsid w:val="001B1AB6"/>
    <w:rsid w:val="001B1B2B"/>
    <w:rsid w:val="001B1EFB"/>
    <w:rsid w:val="001B2084"/>
    <w:rsid w:val="001B2C3B"/>
    <w:rsid w:val="001B2F20"/>
    <w:rsid w:val="001B2F50"/>
    <w:rsid w:val="001B3118"/>
    <w:rsid w:val="001B3216"/>
    <w:rsid w:val="001B36CF"/>
    <w:rsid w:val="001B37FC"/>
    <w:rsid w:val="001B394D"/>
    <w:rsid w:val="001B3B49"/>
    <w:rsid w:val="001B3B73"/>
    <w:rsid w:val="001B42B6"/>
    <w:rsid w:val="001B4832"/>
    <w:rsid w:val="001B4A2F"/>
    <w:rsid w:val="001B4AAB"/>
    <w:rsid w:val="001B4B9C"/>
    <w:rsid w:val="001B4C5D"/>
    <w:rsid w:val="001B5224"/>
    <w:rsid w:val="001B550D"/>
    <w:rsid w:val="001B57B4"/>
    <w:rsid w:val="001B5A40"/>
    <w:rsid w:val="001B5E72"/>
    <w:rsid w:val="001B6075"/>
    <w:rsid w:val="001B63EC"/>
    <w:rsid w:val="001B6591"/>
    <w:rsid w:val="001B6D00"/>
    <w:rsid w:val="001B6D41"/>
    <w:rsid w:val="001B7315"/>
    <w:rsid w:val="001B7575"/>
    <w:rsid w:val="001B76B3"/>
    <w:rsid w:val="001B795B"/>
    <w:rsid w:val="001BA267"/>
    <w:rsid w:val="001C0193"/>
    <w:rsid w:val="001C072C"/>
    <w:rsid w:val="001C09B0"/>
    <w:rsid w:val="001C0B3A"/>
    <w:rsid w:val="001C0C67"/>
    <w:rsid w:val="001C0F85"/>
    <w:rsid w:val="001C145F"/>
    <w:rsid w:val="001C14B4"/>
    <w:rsid w:val="001C1CB2"/>
    <w:rsid w:val="001C1F5A"/>
    <w:rsid w:val="001C2190"/>
    <w:rsid w:val="001C279A"/>
    <w:rsid w:val="001C2CEF"/>
    <w:rsid w:val="001C2D0D"/>
    <w:rsid w:val="001C2F4C"/>
    <w:rsid w:val="001C313E"/>
    <w:rsid w:val="001C31B7"/>
    <w:rsid w:val="001C31C0"/>
    <w:rsid w:val="001C35C7"/>
    <w:rsid w:val="001C36FA"/>
    <w:rsid w:val="001C3845"/>
    <w:rsid w:val="001C398C"/>
    <w:rsid w:val="001C3D0C"/>
    <w:rsid w:val="001C4551"/>
    <w:rsid w:val="001C47B1"/>
    <w:rsid w:val="001C48AA"/>
    <w:rsid w:val="001C4967"/>
    <w:rsid w:val="001C4A3E"/>
    <w:rsid w:val="001C4AC6"/>
    <w:rsid w:val="001C4B07"/>
    <w:rsid w:val="001C4F9C"/>
    <w:rsid w:val="001C5579"/>
    <w:rsid w:val="001C56D2"/>
    <w:rsid w:val="001C5905"/>
    <w:rsid w:val="001C5C67"/>
    <w:rsid w:val="001C5D49"/>
    <w:rsid w:val="001C5E86"/>
    <w:rsid w:val="001C5FA3"/>
    <w:rsid w:val="001C6215"/>
    <w:rsid w:val="001C67F3"/>
    <w:rsid w:val="001C67F5"/>
    <w:rsid w:val="001C6801"/>
    <w:rsid w:val="001C6933"/>
    <w:rsid w:val="001C6B6C"/>
    <w:rsid w:val="001C6DDB"/>
    <w:rsid w:val="001C71DA"/>
    <w:rsid w:val="001C7605"/>
    <w:rsid w:val="001C79D0"/>
    <w:rsid w:val="001C7E23"/>
    <w:rsid w:val="001D008F"/>
    <w:rsid w:val="001D0318"/>
    <w:rsid w:val="001D0376"/>
    <w:rsid w:val="001D0410"/>
    <w:rsid w:val="001D0437"/>
    <w:rsid w:val="001D0523"/>
    <w:rsid w:val="001D0633"/>
    <w:rsid w:val="001D0677"/>
    <w:rsid w:val="001D08F5"/>
    <w:rsid w:val="001D09E1"/>
    <w:rsid w:val="001D0A1E"/>
    <w:rsid w:val="001D0CEA"/>
    <w:rsid w:val="001D0E5E"/>
    <w:rsid w:val="001D0EFC"/>
    <w:rsid w:val="001D12BF"/>
    <w:rsid w:val="001D1496"/>
    <w:rsid w:val="001D174B"/>
    <w:rsid w:val="001D1E0A"/>
    <w:rsid w:val="001D1F1A"/>
    <w:rsid w:val="001D1F30"/>
    <w:rsid w:val="001D1F50"/>
    <w:rsid w:val="001D2359"/>
    <w:rsid w:val="001D23E6"/>
    <w:rsid w:val="001D2582"/>
    <w:rsid w:val="001D2789"/>
    <w:rsid w:val="001D2894"/>
    <w:rsid w:val="001D298D"/>
    <w:rsid w:val="001D3647"/>
    <w:rsid w:val="001D3720"/>
    <w:rsid w:val="001D39F8"/>
    <w:rsid w:val="001D3B02"/>
    <w:rsid w:val="001D3C8C"/>
    <w:rsid w:val="001D3D8C"/>
    <w:rsid w:val="001D414E"/>
    <w:rsid w:val="001D418F"/>
    <w:rsid w:val="001D4295"/>
    <w:rsid w:val="001D4417"/>
    <w:rsid w:val="001D478D"/>
    <w:rsid w:val="001D4B60"/>
    <w:rsid w:val="001D4F23"/>
    <w:rsid w:val="001D4F50"/>
    <w:rsid w:val="001D507C"/>
    <w:rsid w:val="001D5209"/>
    <w:rsid w:val="001D527E"/>
    <w:rsid w:val="001D56F3"/>
    <w:rsid w:val="001D583F"/>
    <w:rsid w:val="001D58CF"/>
    <w:rsid w:val="001D5ACC"/>
    <w:rsid w:val="001D5BF7"/>
    <w:rsid w:val="001D5D6B"/>
    <w:rsid w:val="001D5E4A"/>
    <w:rsid w:val="001D5E8D"/>
    <w:rsid w:val="001D5F8D"/>
    <w:rsid w:val="001D6002"/>
    <w:rsid w:val="001D61BD"/>
    <w:rsid w:val="001D62FE"/>
    <w:rsid w:val="001D63D0"/>
    <w:rsid w:val="001D64CA"/>
    <w:rsid w:val="001D64E8"/>
    <w:rsid w:val="001D6A54"/>
    <w:rsid w:val="001D70DB"/>
    <w:rsid w:val="001D70FA"/>
    <w:rsid w:val="001D77D3"/>
    <w:rsid w:val="001E01AB"/>
    <w:rsid w:val="001E0249"/>
    <w:rsid w:val="001E0253"/>
    <w:rsid w:val="001E04BC"/>
    <w:rsid w:val="001E04F4"/>
    <w:rsid w:val="001E0631"/>
    <w:rsid w:val="001E074D"/>
    <w:rsid w:val="001E0A8F"/>
    <w:rsid w:val="001E0C62"/>
    <w:rsid w:val="001E0D56"/>
    <w:rsid w:val="001E0DA7"/>
    <w:rsid w:val="001E139F"/>
    <w:rsid w:val="001E1A64"/>
    <w:rsid w:val="001E1AD4"/>
    <w:rsid w:val="001E21EF"/>
    <w:rsid w:val="001E22DC"/>
    <w:rsid w:val="001E22ED"/>
    <w:rsid w:val="001E2412"/>
    <w:rsid w:val="001E2725"/>
    <w:rsid w:val="001E286D"/>
    <w:rsid w:val="001E2935"/>
    <w:rsid w:val="001E29C1"/>
    <w:rsid w:val="001E2D06"/>
    <w:rsid w:val="001E2E63"/>
    <w:rsid w:val="001E3629"/>
    <w:rsid w:val="001E3E6C"/>
    <w:rsid w:val="001E3E9A"/>
    <w:rsid w:val="001E41C4"/>
    <w:rsid w:val="001E465D"/>
    <w:rsid w:val="001E4808"/>
    <w:rsid w:val="001E4F99"/>
    <w:rsid w:val="001E51FD"/>
    <w:rsid w:val="001E6421"/>
    <w:rsid w:val="001E64DB"/>
    <w:rsid w:val="001E6674"/>
    <w:rsid w:val="001E6723"/>
    <w:rsid w:val="001E6A0F"/>
    <w:rsid w:val="001E6B1D"/>
    <w:rsid w:val="001E6CF5"/>
    <w:rsid w:val="001E70BB"/>
    <w:rsid w:val="001E71B2"/>
    <w:rsid w:val="001E7290"/>
    <w:rsid w:val="001E7388"/>
    <w:rsid w:val="001E76B5"/>
    <w:rsid w:val="001E7D23"/>
    <w:rsid w:val="001F0067"/>
    <w:rsid w:val="001F00A8"/>
    <w:rsid w:val="001F047F"/>
    <w:rsid w:val="001F05E5"/>
    <w:rsid w:val="001F0699"/>
    <w:rsid w:val="001F0AA2"/>
    <w:rsid w:val="001F0B35"/>
    <w:rsid w:val="001F17CD"/>
    <w:rsid w:val="001F1A36"/>
    <w:rsid w:val="001F214E"/>
    <w:rsid w:val="001F21FC"/>
    <w:rsid w:val="001F2211"/>
    <w:rsid w:val="001F22FF"/>
    <w:rsid w:val="001F2446"/>
    <w:rsid w:val="001F250B"/>
    <w:rsid w:val="001F27B9"/>
    <w:rsid w:val="001F2885"/>
    <w:rsid w:val="001F2CB6"/>
    <w:rsid w:val="001F2DCB"/>
    <w:rsid w:val="001F2F0C"/>
    <w:rsid w:val="001F302E"/>
    <w:rsid w:val="001F3367"/>
    <w:rsid w:val="001F38F7"/>
    <w:rsid w:val="001F39CA"/>
    <w:rsid w:val="001F3AA0"/>
    <w:rsid w:val="001F3C4F"/>
    <w:rsid w:val="001F3F67"/>
    <w:rsid w:val="001F4087"/>
    <w:rsid w:val="001F41F2"/>
    <w:rsid w:val="001F4474"/>
    <w:rsid w:val="001F44D3"/>
    <w:rsid w:val="001F45DA"/>
    <w:rsid w:val="001F4DF2"/>
    <w:rsid w:val="001F4FBA"/>
    <w:rsid w:val="001F5040"/>
    <w:rsid w:val="001F55E3"/>
    <w:rsid w:val="001F56A3"/>
    <w:rsid w:val="001F56F1"/>
    <w:rsid w:val="001F59D6"/>
    <w:rsid w:val="001F5BF9"/>
    <w:rsid w:val="001F6033"/>
    <w:rsid w:val="001F64F3"/>
    <w:rsid w:val="001F6530"/>
    <w:rsid w:val="001F67C7"/>
    <w:rsid w:val="001F6E77"/>
    <w:rsid w:val="001F72AB"/>
    <w:rsid w:val="001F7349"/>
    <w:rsid w:val="001F7714"/>
    <w:rsid w:val="001F7765"/>
    <w:rsid w:val="001F78B2"/>
    <w:rsid w:val="001F797E"/>
    <w:rsid w:val="001F7999"/>
    <w:rsid w:val="001F79F2"/>
    <w:rsid w:val="001F7BD7"/>
    <w:rsid w:val="001F7FE8"/>
    <w:rsid w:val="002002D9"/>
    <w:rsid w:val="00200825"/>
    <w:rsid w:val="00200999"/>
    <w:rsid w:val="00200B34"/>
    <w:rsid w:val="00200B40"/>
    <w:rsid w:val="00200C1A"/>
    <w:rsid w:val="00200DA7"/>
    <w:rsid w:val="002014EC"/>
    <w:rsid w:val="00201865"/>
    <w:rsid w:val="00201BC9"/>
    <w:rsid w:val="00201F1F"/>
    <w:rsid w:val="00202152"/>
    <w:rsid w:val="0020269C"/>
    <w:rsid w:val="002027A3"/>
    <w:rsid w:val="002028CE"/>
    <w:rsid w:val="00202AF1"/>
    <w:rsid w:val="00202BCD"/>
    <w:rsid w:val="00202D57"/>
    <w:rsid w:val="00202F63"/>
    <w:rsid w:val="0020304F"/>
    <w:rsid w:val="002037E2"/>
    <w:rsid w:val="00203F34"/>
    <w:rsid w:val="00204439"/>
    <w:rsid w:val="00204498"/>
    <w:rsid w:val="00204923"/>
    <w:rsid w:val="00204BB3"/>
    <w:rsid w:val="00204F65"/>
    <w:rsid w:val="00204F89"/>
    <w:rsid w:val="00205051"/>
    <w:rsid w:val="00205084"/>
    <w:rsid w:val="002050BB"/>
    <w:rsid w:val="00205292"/>
    <w:rsid w:val="002052F8"/>
    <w:rsid w:val="0020595C"/>
    <w:rsid w:val="00205D4B"/>
    <w:rsid w:val="00206EDA"/>
    <w:rsid w:val="002071C2"/>
    <w:rsid w:val="00207291"/>
    <w:rsid w:val="00207596"/>
    <w:rsid w:val="002075F7"/>
    <w:rsid w:val="002076AE"/>
    <w:rsid w:val="00207783"/>
    <w:rsid w:val="00207886"/>
    <w:rsid w:val="002079E2"/>
    <w:rsid w:val="00207A05"/>
    <w:rsid w:val="00207CCD"/>
    <w:rsid w:val="00207D7F"/>
    <w:rsid w:val="002102CE"/>
    <w:rsid w:val="00210575"/>
    <w:rsid w:val="0021061A"/>
    <w:rsid w:val="0021069E"/>
    <w:rsid w:val="0021072B"/>
    <w:rsid w:val="002108EF"/>
    <w:rsid w:val="00210A45"/>
    <w:rsid w:val="00210B20"/>
    <w:rsid w:val="00210D97"/>
    <w:rsid w:val="00211023"/>
    <w:rsid w:val="00211075"/>
    <w:rsid w:val="0021113A"/>
    <w:rsid w:val="00211362"/>
    <w:rsid w:val="002113A1"/>
    <w:rsid w:val="002113E7"/>
    <w:rsid w:val="002115D1"/>
    <w:rsid w:val="002115E3"/>
    <w:rsid w:val="00211A1D"/>
    <w:rsid w:val="00211F11"/>
    <w:rsid w:val="00212023"/>
    <w:rsid w:val="002126FB"/>
    <w:rsid w:val="00212798"/>
    <w:rsid w:val="00212C9D"/>
    <w:rsid w:val="00212F0B"/>
    <w:rsid w:val="00213446"/>
    <w:rsid w:val="00213476"/>
    <w:rsid w:val="002135D8"/>
    <w:rsid w:val="00213880"/>
    <w:rsid w:val="00213D1A"/>
    <w:rsid w:val="00213E02"/>
    <w:rsid w:val="002146AD"/>
    <w:rsid w:val="00214741"/>
    <w:rsid w:val="002147C5"/>
    <w:rsid w:val="002148A4"/>
    <w:rsid w:val="00214C12"/>
    <w:rsid w:val="002154D1"/>
    <w:rsid w:val="00215634"/>
    <w:rsid w:val="002159E1"/>
    <w:rsid w:val="00215DF1"/>
    <w:rsid w:val="002161B9"/>
    <w:rsid w:val="00216456"/>
    <w:rsid w:val="002168B3"/>
    <w:rsid w:val="00216B13"/>
    <w:rsid w:val="002171D9"/>
    <w:rsid w:val="002178B4"/>
    <w:rsid w:val="00217A0C"/>
    <w:rsid w:val="00217A51"/>
    <w:rsid w:val="00217CC4"/>
    <w:rsid w:val="002202D6"/>
    <w:rsid w:val="0022034D"/>
    <w:rsid w:val="002204B4"/>
    <w:rsid w:val="00220EB6"/>
    <w:rsid w:val="0022140F"/>
    <w:rsid w:val="002215BF"/>
    <w:rsid w:val="00221707"/>
    <w:rsid w:val="002218D7"/>
    <w:rsid w:val="00221DF1"/>
    <w:rsid w:val="002220A0"/>
    <w:rsid w:val="0022220A"/>
    <w:rsid w:val="00222B4F"/>
    <w:rsid w:val="00222C45"/>
    <w:rsid w:val="00222F69"/>
    <w:rsid w:val="0022344C"/>
    <w:rsid w:val="00223CD5"/>
    <w:rsid w:val="00224079"/>
    <w:rsid w:val="002240B3"/>
    <w:rsid w:val="0022429D"/>
    <w:rsid w:val="0022458F"/>
    <w:rsid w:val="0022496C"/>
    <w:rsid w:val="00224B8A"/>
    <w:rsid w:val="002256E9"/>
    <w:rsid w:val="002259B0"/>
    <w:rsid w:val="00225EDF"/>
    <w:rsid w:val="00225F0F"/>
    <w:rsid w:val="00226064"/>
    <w:rsid w:val="00226225"/>
    <w:rsid w:val="00226836"/>
    <w:rsid w:val="002268E0"/>
    <w:rsid w:val="00226A86"/>
    <w:rsid w:val="00226D93"/>
    <w:rsid w:val="002270E4"/>
    <w:rsid w:val="0022747A"/>
    <w:rsid w:val="00227581"/>
    <w:rsid w:val="00227C83"/>
    <w:rsid w:val="00227E0F"/>
    <w:rsid w:val="002300B2"/>
    <w:rsid w:val="00230208"/>
    <w:rsid w:val="002302EF"/>
    <w:rsid w:val="00230414"/>
    <w:rsid w:val="002308B7"/>
    <w:rsid w:val="00230A99"/>
    <w:rsid w:val="00230BE3"/>
    <w:rsid w:val="00230D5A"/>
    <w:rsid w:val="002311B2"/>
    <w:rsid w:val="002313FC"/>
    <w:rsid w:val="00231478"/>
    <w:rsid w:val="0023177F"/>
    <w:rsid w:val="002323C3"/>
    <w:rsid w:val="0023241A"/>
    <w:rsid w:val="00232CFD"/>
    <w:rsid w:val="00232D3E"/>
    <w:rsid w:val="00232E1C"/>
    <w:rsid w:val="00232FC6"/>
    <w:rsid w:val="002332B0"/>
    <w:rsid w:val="0023391B"/>
    <w:rsid w:val="00233A62"/>
    <w:rsid w:val="00233A85"/>
    <w:rsid w:val="00233B50"/>
    <w:rsid w:val="00233BFF"/>
    <w:rsid w:val="00233D4A"/>
    <w:rsid w:val="00233FCC"/>
    <w:rsid w:val="00233FD8"/>
    <w:rsid w:val="00234159"/>
    <w:rsid w:val="00234B92"/>
    <w:rsid w:val="00235201"/>
    <w:rsid w:val="002354CD"/>
    <w:rsid w:val="00235619"/>
    <w:rsid w:val="002357D2"/>
    <w:rsid w:val="00235861"/>
    <w:rsid w:val="00235AF0"/>
    <w:rsid w:val="00235CEF"/>
    <w:rsid w:val="00235D8D"/>
    <w:rsid w:val="00235EAE"/>
    <w:rsid w:val="002361B3"/>
    <w:rsid w:val="0023624D"/>
    <w:rsid w:val="00236307"/>
    <w:rsid w:val="0023665D"/>
    <w:rsid w:val="00236BC5"/>
    <w:rsid w:val="00237259"/>
    <w:rsid w:val="0023766C"/>
    <w:rsid w:val="00237AB3"/>
    <w:rsid w:val="00237AB4"/>
    <w:rsid w:val="00237B22"/>
    <w:rsid w:val="00240304"/>
    <w:rsid w:val="002404EB"/>
    <w:rsid w:val="00240775"/>
    <w:rsid w:val="00240884"/>
    <w:rsid w:val="00240D27"/>
    <w:rsid w:val="00240DAF"/>
    <w:rsid w:val="00241163"/>
    <w:rsid w:val="0024118D"/>
    <w:rsid w:val="00241406"/>
    <w:rsid w:val="002414AC"/>
    <w:rsid w:val="00241D1B"/>
    <w:rsid w:val="00241D4E"/>
    <w:rsid w:val="00242002"/>
    <w:rsid w:val="00242188"/>
    <w:rsid w:val="002426CF"/>
    <w:rsid w:val="00242DC3"/>
    <w:rsid w:val="00242E6D"/>
    <w:rsid w:val="00243026"/>
    <w:rsid w:val="00243056"/>
    <w:rsid w:val="00243399"/>
    <w:rsid w:val="0024385B"/>
    <w:rsid w:val="00243963"/>
    <w:rsid w:val="00243A45"/>
    <w:rsid w:val="00243B66"/>
    <w:rsid w:val="00243DDD"/>
    <w:rsid w:val="00244858"/>
    <w:rsid w:val="002448CB"/>
    <w:rsid w:val="00244934"/>
    <w:rsid w:val="00244ED4"/>
    <w:rsid w:val="00245002"/>
    <w:rsid w:val="002451DA"/>
    <w:rsid w:val="002454C9"/>
    <w:rsid w:val="00245573"/>
    <w:rsid w:val="00245639"/>
    <w:rsid w:val="00245979"/>
    <w:rsid w:val="00245A7B"/>
    <w:rsid w:val="00245ACD"/>
    <w:rsid w:val="00245AF2"/>
    <w:rsid w:val="00245EE3"/>
    <w:rsid w:val="00246684"/>
    <w:rsid w:val="00246AEF"/>
    <w:rsid w:val="00246AF0"/>
    <w:rsid w:val="00246C7D"/>
    <w:rsid w:val="00246E21"/>
    <w:rsid w:val="00246EC3"/>
    <w:rsid w:val="00247DAF"/>
    <w:rsid w:val="00247FD9"/>
    <w:rsid w:val="002500C8"/>
    <w:rsid w:val="00250341"/>
    <w:rsid w:val="002505D7"/>
    <w:rsid w:val="00250746"/>
    <w:rsid w:val="00250D73"/>
    <w:rsid w:val="00250F3C"/>
    <w:rsid w:val="0025192E"/>
    <w:rsid w:val="00251ADE"/>
    <w:rsid w:val="00251ECC"/>
    <w:rsid w:val="00252573"/>
    <w:rsid w:val="0025270D"/>
    <w:rsid w:val="002529BD"/>
    <w:rsid w:val="00252D69"/>
    <w:rsid w:val="0025331E"/>
    <w:rsid w:val="00253364"/>
    <w:rsid w:val="00253392"/>
    <w:rsid w:val="0025354D"/>
    <w:rsid w:val="00253759"/>
    <w:rsid w:val="00253C32"/>
    <w:rsid w:val="00253F6F"/>
    <w:rsid w:val="00253FBB"/>
    <w:rsid w:val="00254034"/>
    <w:rsid w:val="00254107"/>
    <w:rsid w:val="00254147"/>
    <w:rsid w:val="0025423C"/>
    <w:rsid w:val="00254693"/>
    <w:rsid w:val="00254A52"/>
    <w:rsid w:val="00254B43"/>
    <w:rsid w:val="0025536E"/>
    <w:rsid w:val="00255578"/>
    <w:rsid w:val="002556D6"/>
    <w:rsid w:val="002559F7"/>
    <w:rsid w:val="00256001"/>
    <w:rsid w:val="00256128"/>
    <w:rsid w:val="0025626D"/>
    <w:rsid w:val="0025640D"/>
    <w:rsid w:val="002564AA"/>
    <w:rsid w:val="00256560"/>
    <w:rsid w:val="00256624"/>
    <w:rsid w:val="002569DA"/>
    <w:rsid w:val="00256C2A"/>
    <w:rsid w:val="00256E01"/>
    <w:rsid w:val="002573B9"/>
    <w:rsid w:val="002578E1"/>
    <w:rsid w:val="00257940"/>
    <w:rsid w:val="00257BE5"/>
    <w:rsid w:val="00257F30"/>
    <w:rsid w:val="0025ACFE"/>
    <w:rsid w:val="00260185"/>
    <w:rsid w:val="002608F0"/>
    <w:rsid w:val="00260CB3"/>
    <w:rsid w:val="00260DC7"/>
    <w:rsid w:val="00261079"/>
    <w:rsid w:val="0026112F"/>
    <w:rsid w:val="00261140"/>
    <w:rsid w:val="0026162C"/>
    <w:rsid w:val="00261657"/>
    <w:rsid w:val="00261733"/>
    <w:rsid w:val="002617B7"/>
    <w:rsid w:val="00261B6E"/>
    <w:rsid w:val="00261C1D"/>
    <w:rsid w:val="00261C23"/>
    <w:rsid w:val="00261E26"/>
    <w:rsid w:val="00261ECC"/>
    <w:rsid w:val="00261EF0"/>
    <w:rsid w:val="002622EE"/>
    <w:rsid w:val="002625EA"/>
    <w:rsid w:val="00262ACE"/>
    <w:rsid w:val="00262B3B"/>
    <w:rsid w:val="00262D6E"/>
    <w:rsid w:val="0026309D"/>
    <w:rsid w:val="00263486"/>
    <w:rsid w:val="00263605"/>
    <w:rsid w:val="002638C3"/>
    <w:rsid w:val="00263D7E"/>
    <w:rsid w:val="00263DAB"/>
    <w:rsid w:val="00263EDE"/>
    <w:rsid w:val="002641EA"/>
    <w:rsid w:val="0026439B"/>
    <w:rsid w:val="0026447C"/>
    <w:rsid w:val="002645A1"/>
    <w:rsid w:val="002645D8"/>
    <w:rsid w:val="002648B0"/>
    <w:rsid w:val="00264FC4"/>
    <w:rsid w:val="002654E1"/>
    <w:rsid w:val="00265749"/>
    <w:rsid w:val="00265BE7"/>
    <w:rsid w:val="00265C0D"/>
    <w:rsid w:val="00265C46"/>
    <w:rsid w:val="00265F04"/>
    <w:rsid w:val="002662ED"/>
    <w:rsid w:val="0026655E"/>
    <w:rsid w:val="002666D1"/>
    <w:rsid w:val="00266745"/>
    <w:rsid w:val="00266761"/>
    <w:rsid w:val="00266ADB"/>
    <w:rsid w:val="00266CB5"/>
    <w:rsid w:val="00266FA6"/>
    <w:rsid w:val="002671DB"/>
    <w:rsid w:val="0026768E"/>
    <w:rsid w:val="002679E6"/>
    <w:rsid w:val="00267B7D"/>
    <w:rsid w:val="00267BFF"/>
    <w:rsid w:val="00267E38"/>
    <w:rsid w:val="002700E3"/>
    <w:rsid w:val="0027074C"/>
    <w:rsid w:val="00270AE1"/>
    <w:rsid w:val="00270BB7"/>
    <w:rsid w:val="00270BEA"/>
    <w:rsid w:val="00270C31"/>
    <w:rsid w:val="00270FED"/>
    <w:rsid w:val="002715E3"/>
    <w:rsid w:val="002715E9"/>
    <w:rsid w:val="0027174F"/>
    <w:rsid w:val="00271BD8"/>
    <w:rsid w:val="00271C8E"/>
    <w:rsid w:val="00271F51"/>
    <w:rsid w:val="00272290"/>
    <w:rsid w:val="0027240B"/>
    <w:rsid w:val="002725E3"/>
    <w:rsid w:val="002725F2"/>
    <w:rsid w:val="0027262B"/>
    <w:rsid w:val="00272EBC"/>
    <w:rsid w:val="002731B7"/>
    <w:rsid w:val="00273B1A"/>
    <w:rsid w:val="002740A8"/>
    <w:rsid w:val="00274381"/>
    <w:rsid w:val="002746A5"/>
    <w:rsid w:val="00274C38"/>
    <w:rsid w:val="00274DB5"/>
    <w:rsid w:val="00274DED"/>
    <w:rsid w:val="0027559C"/>
    <w:rsid w:val="0027590F"/>
    <w:rsid w:val="00275B5C"/>
    <w:rsid w:val="00275CA8"/>
    <w:rsid w:val="002762B4"/>
    <w:rsid w:val="002766D2"/>
    <w:rsid w:val="00276FAB"/>
    <w:rsid w:val="002770EA"/>
    <w:rsid w:val="00277102"/>
    <w:rsid w:val="002771D5"/>
    <w:rsid w:val="00277235"/>
    <w:rsid w:val="002773F6"/>
    <w:rsid w:val="002774EC"/>
    <w:rsid w:val="0027759D"/>
    <w:rsid w:val="00277729"/>
    <w:rsid w:val="00277A6B"/>
    <w:rsid w:val="00277B6A"/>
    <w:rsid w:val="002806A9"/>
    <w:rsid w:val="00280715"/>
    <w:rsid w:val="00280A5F"/>
    <w:rsid w:val="00280C3A"/>
    <w:rsid w:val="00280CC3"/>
    <w:rsid w:val="0028103E"/>
    <w:rsid w:val="0028111A"/>
    <w:rsid w:val="00281199"/>
    <w:rsid w:val="0028131B"/>
    <w:rsid w:val="00281E4B"/>
    <w:rsid w:val="002821D5"/>
    <w:rsid w:val="002825C9"/>
    <w:rsid w:val="00282C58"/>
    <w:rsid w:val="0028307C"/>
    <w:rsid w:val="00283392"/>
    <w:rsid w:val="002839B3"/>
    <w:rsid w:val="002839E2"/>
    <w:rsid w:val="00283A5A"/>
    <w:rsid w:val="00283BC6"/>
    <w:rsid w:val="00283DB3"/>
    <w:rsid w:val="00283EA9"/>
    <w:rsid w:val="00283FCE"/>
    <w:rsid w:val="00284454"/>
    <w:rsid w:val="0028501B"/>
    <w:rsid w:val="0028537D"/>
    <w:rsid w:val="0028544F"/>
    <w:rsid w:val="00285463"/>
    <w:rsid w:val="00285482"/>
    <w:rsid w:val="002857D1"/>
    <w:rsid w:val="00285862"/>
    <w:rsid w:val="002858C2"/>
    <w:rsid w:val="00286A08"/>
    <w:rsid w:val="00286BA8"/>
    <w:rsid w:val="00286D21"/>
    <w:rsid w:val="00286DEC"/>
    <w:rsid w:val="00286ECA"/>
    <w:rsid w:val="00287162"/>
    <w:rsid w:val="002873A6"/>
    <w:rsid w:val="0028754E"/>
    <w:rsid w:val="00287893"/>
    <w:rsid w:val="00287C09"/>
    <w:rsid w:val="00287F92"/>
    <w:rsid w:val="002902E2"/>
    <w:rsid w:val="00290746"/>
    <w:rsid w:val="002909D4"/>
    <w:rsid w:val="00290AD2"/>
    <w:rsid w:val="00290DBE"/>
    <w:rsid w:val="002910A9"/>
    <w:rsid w:val="002911A0"/>
    <w:rsid w:val="00291398"/>
    <w:rsid w:val="0029150E"/>
    <w:rsid w:val="00291D49"/>
    <w:rsid w:val="00291E5C"/>
    <w:rsid w:val="0029231F"/>
    <w:rsid w:val="002924DF"/>
    <w:rsid w:val="00292804"/>
    <w:rsid w:val="00292A60"/>
    <w:rsid w:val="00293631"/>
    <w:rsid w:val="002936BA"/>
    <w:rsid w:val="00293A08"/>
    <w:rsid w:val="00293A13"/>
    <w:rsid w:val="00293AAD"/>
    <w:rsid w:val="00293B5F"/>
    <w:rsid w:val="00293BD5"/>
    <w:rsid w:val="00293C25"/>
    <w:rsid w:val="002941AE"/>
    <w:rsid w:val="0029428B"/>
    <w:rsid w:val="002943F7"/>
    <w:rsid w:val="00294445"/>
    <w:rsid w:val="0029514E"/>
    <w:rsid w:val="002953E2"/>
    <w:rsid w:val="0029547E"/>
    <w:rsid w:val="00295750"/>
    <w:rsid w:val="00295957"/>
    <w:rsid w:val="00295978"/>
    <w:rsid w:val="002959C7"/>
    <w:rsid w:val="00296160"/>
    <w:rsid w:val="002961BF"/>
    <w:rsid w:val="00296485"/>
    <w:rsid w:val="0029654F"/>
    <w:rsid w:val="002965B7"/>
    <w:rsid w:val="00296759"/>
    <w:rsid w:val="00296888"/>
    <w:rsid w:val="002968BA"/>
    <w:rsid w:val="00296ED4"/>
    <w:rsid w:val="0029777E"/>
    <w:rsid w:val="00297C2D"/>
    <w:rsid w:val="00297E9B"/>
    <w:rsid w:val="00297EE3"/>
    <w:rsid w:val="002A0170"/>
    <w:rsid w:val="002A01A6"/>
    <w:rsid w:val="002A03E7"/>
    <w:rsid w:val="002A0560"/>
    <w:rsid w:val="002A0719"/>
    <w:rsid w:val="002A0A44"/>
    <w:rsid w:val="002A0F01"/>
    <w:rsid w:val="002A11B8"/>
    <w:rsid w:val="002A1552"/>
    <w:rsid w:val="002A15FD"/>
    <w:rsid w:val="002A175E"/>
    <w:rsid w:val="002A2AF4"/>
    <w:rsid w:val="002A2AF8"/>
    <w:rsid w:val="002A306D"/>
    <w:rsid w:val="002A3133"/>
    <w:rsid w:val="002A3566"/>
    <w:rsid w:val="002A3622"/>
    <w:rsid w:val="002A386E"/>
    <w:rsid w:val="002A3C3A"/>
    <w:rsid w:val="002A3E05"/>
    <w:rsid w:val="002A3F64"/>
    <w:rsid w:val="002A4780"/>
    <w:rsid w:val="002A4B60"/>
    <w:rsid w:val="002A4F75"/>
    <w:rsid w:val="002A5EA6"/>
    <w:rsid w:val="002A5F3F"/>
    <w:rsid w:val="002A626E"/>
    <w:rsid w:val="002A6446"/>
    <w:rsid w:val="002A6563"/>
    <w:rsid w:val="002A676F"/>
    <w:rsid w:val="002A6C60"/>
    <w:rsid w:val="002A6F30"/>
    <w:rsid w:val="002A734E"/>
    <w:rsid w:val="002A736D"/>
    <w:rsid w:val="002A7998"/>
    <w:rsid w:val="002A7D12"/>
    <w:rsid w:val="002A7D81"/>
    <w:rsid w:val="002A991D"/>
    <w:rsid w:val="002B02C1"/>
    <w:rsid w:val="002B03D4"/>
    <w:rsid w:val="002B0412"/>
    <w:rsid w:val="002B082C"/>
    <w:rsid w:val="002B0831"/>
    <w:rsid w:val="002B0D4E"/>
    <w:rsid w:val="002B0EF1"/>
    <w:rsid w:val="002B118F"/>
    <w:rsid w:val="002B119E"/>
    <w:rsid w:val="002B2182"/>
    <w:rsid w:val="002B22DE"/>
    <w:rsid w:val="002B23F8"/>
    <w:rsid w:val="002B2632"/>
    <w:rsid w:val="002B2DA4"/>
    <w:rsid w:val="002B2E10"/>
    <w:rsid w:val="002B302F"/>
    <w:rsid w:val="002B35A9"/>
    <w:rsid w:val="002B35E9"/>
    <w:rsid w:val="002B3684"/>
    <w:rsid w:val="002B3A1A"/>
    <w:rsid w:val="002B3DF0"/>
    <w:rsid w:val="002B4472"/>
    <w:rsid w:val="002B4693"/>
    <w:rsid w:val="002B4A7C"/>
    <w:rsid w:val="002B4C96"/>
    <w:rsid w:val="002B4CEB"/>
    <w:rsid w:val="002B5189"/>
    <w:rsid w:val="002B53A4"/>
    <w:rsid w:val="002B549B"/>
    <w:rsid w:val="002B5A6D"/>
    <w:rsid w:val="002B5B11"/>
    <w:rsid w:val="002B5E71"/>
    <w:rsid w:val="002B605B"/>
    <w:rsid w:val="002B60C2"/>
    <w:rsid w:val="002B615C"/>
    <w:rsid w:val="002B62A1"/>
    <w:rsid w:val="002B6B19"/>
    <w:rsid w:val="002B6B22"/>
    <w:rsid w:val="002B70F3"/>
    <w:rsid w:val="002B7375"/>
    <w:rsid w:val="002B742D"/>
    <w:rsid w:val="002B74DE"/>
    <w:rsid w:val="002B78E8"/>
    <w:rsid w:val="002B790E"/>
    <w:rsid w:val="002B7A60"/>
    <w:rsid w:val="002B7AB6"/>
    <w:rsid w:val="002B7B5A"/>
    <w:rsid w:val="002B7F6D"/>
    <w:rsid w:val="002B7F74"/>
    <w:rsid w:val="002B7FEB"/>
    <w:rsid w:val="002C00C4"/>
    <w:rsid w:val="002C02B3"/>
    <w:rsid w:val="002C05FD"/>
    <w:rsid w:val="002C0829"/>
    <w:rsid w:val="002C08CE"/>
    <w:rsid w:val="002C0B42"/>
    <w:rsid w:val="002C0C4D"/>
    <w:rsid w:val="002C0DEB"/>
    <w:rsid w:val="002C0E7D"/>
    <w:rsid w:val="002C0E80"/>
    <w:rsid w:val="002C0EEA"/>
    <w:rsid w:val="002C153C"/>
    <w:rsid w:val="002C1603"/>
    <w:rsid w:val="002C1AA1"/>
    <w:rsid w:val="002C20DE"/>
    <w:rsid w:val="002C268B"/>
    <w:rsid w:val="002C2B4F"/>
    <w:rsid w:val="002C2EFE"/>
    <w:rsid w:val="002C315F"/>
    <w:rsid w:val="002C3323"/>
    <w:rsid w:val="002C3325"/>
    <w:rsid w:val="002C37A5"/>
    <w:rsid w:val="002C45B6"/>
    <w:rsid w:val="002C4709"/>
    <w:rsid w:val="002C47E2"/>
    <w:rsid w:val="002C4A5F"/>
    <w:rsid w:val="002C4CAC"/>
    <w:rsid w:val="002C4D67"/>
    <w:rsid w:val="002C4F2B"/>
    <w:rsid w:val="002C544C"/>
    <w:rsid w:val="002C590C"/>
    <w:rsid w:val="002C5C04"/>
    <w:rsid w:val="002C5DE9"/>
    <w:rsid w:val="002C5E76"/>
    <w:rsid w:val="002C5EB2"/>
    <w:rsid w:val="002C5F0B"/>
    <w:rsid w:val="002C6069"/>
    <w:rsid w:val="002C6A85"/>
    <w:rsid w:val="002C6B24"/>
    <w:rsid w:val="002C6CCD"/>
    <w:rsid w:val="002C6D6D"/>
    <w:rsid w:val="002C7255"/>
    <w:rsid w:val="002C75CF"/>
    <w:rsid w:val="002C767E"/>
    <w:rsid w:val="002C7B9E"/>
    <w:rsid w:val="002C7BAE"/>
    <w:rsid w:val="002C7EE1"/>
    <w:rsid w:val="002D02A7"/>
    <w:rsid w:val="002D0776"/>
    <w:rsid w:val="002D084B"/>
    <w:rsid w:val="002D0950"/>
    <w:rsid w:val="002D0CBA"/>
    <w:rsid w:val="002D0D0F"/>
    <w:rsid w:val="002D0DC6"/>
    <w:rsid w:val="002D0F64"/>
    <w:rsid w:val="002D11EA"/>
    <w:rsid w:val="002D1321"/>
    <w:rsid w:val="002D1403"/>
    <w:rsid w:val="002D14B2"/>
    <w:rsid w:val="002D15FC"/>
    <w:rsid w:val="002D1879"/>
    <w:rsid w:val="002D1926"/>
    <w:rsid w:val="002D1AC2"/>
    <w:rsid w:val="002D1BF7"/>
    <w:rsid w:val="002D1D28"/>
    <w:rsid w:val="002D2035"/>
    <w:rsid w:val="002D208E"/>
    <w:rsid w:val="002D21C9"/>
    <w:rsid w:val="002D2339"/>
    <w:rsid w:val="002D2547"/>
    <w:rsid w:val="002D2577"/>
    <w:rsid w:val="002D26DA"/>
    <w:rsid w:val="002D28EF"/>
    <w:rsid w:val="002D2A80"/>
    <w:rsid w:val="002D2D1D"/>
    <w:rsid w:val="002D3005"/>
    <w:rsid w:val="002D3237"/>
    <w:rsid w:val="002D352C"/>
    <w:rsid w:val="002D37A6"/>
    <w:rsid w:val="002D388E"/>
    <w:rsid w:val="002D42A0"/>
    <w:rsid w:val="002D42C1"/>
    <w:rsid w:val="002D4350"/>
    <w:rsid w:val="002D4853"/>
    <w:rsid w:val="002D487A"/>
    <w:rsid w:val="002D49E0"/>
    <w:rsid w:val="002D4B0B"/>
    <w:rsid w:val="002D4B42"/>
    <w:rsid w:val="002D5259"/>
    <w:rsid w:val="002D5280"/>
    <w:rsid w:val="002D54D1"/>
    <w:rsid w:val="002D5563"/>
    <w:rsid w:val="002D5963"/>
    <w:rsid w:val="002D5A8B"/>
    <w:rsid w:val="002D5DCA"/>
    <w:rsid w:val="002D6331"/>
    <w:rsid w:val="002D66F8"/>
    <w:rsid w:val="002D67CF"/>
    <w:rsid w:val="002D686A"/>
    <w:rsid w:val="002D6A55"/>
    <w:rsid w:val="002D6C40"/>
    <w:rsid w:val="002D730D"/>
    <w:rsid w:val="002D7414"/>
    <w:rsid w:val="002D74E9"/>
    <w:rsid w:val="002D7786"/>
    <w:rsid w:val="002D77CD"/>
    <w:rsid w:val="002D79A5"/>
    <w:rsid w:val="002D7AA1"/>
    <w:rsid w:val="002D7AA5"/>
    <w:rsid w:val="002D7AEF"/>
    <w:rsid w:val="002D7E57"/>
    <w:rsid w:val="002E0039"/>
    <w:rsid w:val="002E0156"/>
    <w:rsid w:val="002E02B6"/>
    <w:rsid w:val="002E092C"/>
    <w:rsid w:val="002E0A1F"/>
    <w:rsid w:val="002E0BD4"/>
    <w:rsid w:val="002E0C8B"/>
    <w:rsid w:val="002E0ED2"/>
    <w:rsid w:val="002E11B3"/>
    <w:rsid w:val="002E11B4"/>
    <w:rsid w:val="002E1AC2"/>
    <w:rsid w:val="002E1B04"/>
    <w:rsid w:val="002E1F0A"/>
    <w:rsid w:val="002E25D3"/>
    <w:rsid w:val="002E2BFD"/>
    <w:rsid w:val="002E2CF0"/>
    <w:rsid w:val="002E3000"/>
    <w:rsid w:val="002E302B"/>
    <w:rsid w:val="002E33FC"/>
    <w:rsid w:val="002E34C5"/>
    <w:rsid w:val="002E3527"/>
    <w:rsid w:val="002E3662"/>
    <w:rsid w:val="002E3829"/>
    <w:rsid w:val="002E3A10"/>
    <w:rsid w:val="002E3B99"/>
    <w:rsid w:val="002E3BDE"/>
    <w:rsid w:val="002E40F1"/>
    <w:rsid w:val="002E429D"/>
    <w:rsid w:val="002E4829"/>
    <w:rsid w:val="002E4AFF"/>
    <w:rsid w:val="002E4E4D"/>
    <w:rsid w:val="002E52F3"/>
    <w:rsid w:val="002E56C0"/>
    <w:rsid w:val="002E57B2"/>
    <w:rsid w:val="002E5AFE"/>
    <w:rsid w:val="002E5DC8"/>
    <w:rsid w:val="002E5E0C"/>
    <w:rsid w:val="002E5EA0"/>
    <w:rsid w:val="002E5EDB"/>
    <w:rsid w:val="002E6528"/>
    <w:rsid w:val="002E6973"/>
    <w:rsid w:val="002E6ABE"/>
    <w:rsid w:val="002E6B4C"/>
    <w:rsid w:val="002E6DD1"/>
    <w:rsid w:val="002E6DDD"/>
    <w:rsid w:val="002E70AC"/>
    <w:rsid w:val="002E7142"/>
    <w:rsid w:val="002E766B"/>
    <w:rsid w:val="002E7AC6"/>
    <w:rsid w:val="002E7C4A"/>
    <w:rsid w:val="002E7F51"/>
    <w:rsid w:val="002F01EB"/>
    <w:rsid w:val="002F0611"/>
    <w:rsid w:val="002F09B8"/>
    <w:rsid w:val="002F0AD1"/>
    <w:rsid w:val="002F0D99"/>
    <w:rsid w:val="002F0F13"/>
    <w:rsid w:val="002F0F77"/>
    <w:rsid w:val="002F10E0"/>
    <w:rsid w:val="002F110E"/>
    <w:rsid w:val="002F1402"/>
    <w:rsid w:val="002F14B5"/>
    <w:rsid w:val="002F16B7"/>
    <w:rsid w:val="002F186E"/>
    <w:rsid w:val="002F1B4F"/>
    <w:rsid w:val="002F1C28"/>
    <w:rsid w:val="002F1D38"/>
    <w:rsid w:val="002F2191"/>
    <w:rsid w:val="002F23C4"/>
    <w:rsid w:val="002F2A37"/>
    <w:rsid w:val="002F2C30"/>
    <w:rsid w:val="002F2F7C"/>
    <w:rsid w:val="002F3193"/>
    <w:rsid w:val="002F35E5"/>
    <w:rsid w:val="002F3731"/>
    <w:rsid w:val="002F389D"/>
    <w:rsid w:val="002F39DD"/>
    <w:rsid w:val="002F403A"/>
    <w:rsid w:val="002F4066"/>
    <w:rsid w:val="002F4219"/>
    <w:rsid w:val="002F42B2"/>
    <w:rsid w:val="002F42C2"/>
    <w:rsid w:val="002F43D1"/>
    <w:rsid w:val="002F44FE"/>
    <w:rsid w:val="002F50EF"/>
    <w:rsid w:val="002F5114"/>
    <w:rsid w:val="002F538E"/>
    <w:rsid w:val="002F55FD"/>
    <w:rsid w:val="002F5B91"/>
    <w:rsid w:val="002F5C28"/>
    <w:rsid w:val="002F5D49"/>
    <w:rsid w:val="002F5FD7"/>
    <w:rsid w:val="002F6013"/>
    <w:rsid w:val="002F62B1"/>
    <w:rsid w:val="002F62C0"/>
    <w:rsid w:val="002F6454"/>
    <w:rsid w:val="002F647B"/>
    <w:rsid w:val="002F697E"/>
    <w:rsid w:val="002F6BE2"/>
    <w:rsid w:val="002F6FEB"/>
    <w:rsid w:val="002F70B8"/>
    <w:rsid w:val="002F75CA"/>
    <w:rsid w:val="002F7818"/>
    <w:rsid w:val="0030014B"/>
    <w:rsid w:val="00300175"/>
    <w:rsid w:val="0030061C"/>
    <w:rsid w:val="0030075B"/>
    <w:rsid w:val="00300B6E"/>
    <w:rsid w:val="00300BF4"/>
    <w:rsid w:val="00300DC7"/>
    <w:rsid w:val="00300ECE"/>
    <w:rsid w:val="003010B0"/>
    <w:rsid w:val="0030117E"/>
    <w:rsid w:val="003012CF"/>
    <w:rsid w:val="00301647"/>
    <w:rsid w:val="00301D6F"/>
    <w:rsid w:val="00301FA5"/>
    <w:rsid w:val="00302233"/>
    <w:rsid w:val="00302532"/>
    <w:rsid w:val="0030259D"/>
    <w:rsid w:val="003027B4"/>
    <w:rsid w:val="00302888"/>
    <w:rsid w:val="00302A0A"/>
    <w:rsid w:val="00302ADA"/>
    <w:rsid w:val="00302C95"/>
    <w:rsid w:val="00302DC2"/>
    <w:rsid w:val="0030301F"/>
    <w:rsid w:val="00303061"/>
    <w:rsid w:val="003035CD"/>
    <w:rsid w:val="00303607"/>
    <w:rsid w:val="00303E0F"/>
    <w:rsid w:val="00303EB7"/>
    <w:rsid w:val="003040BA"/>
    <w:rsid w:val="0030427C"/>
    <w:rsid w:val="0030474B"/>
    <w:rsid w:val="003049F3"/>
    <w:rsid w:val="00304D10"/>
    <w:rsid w:val="00305027"/>
    <w:rsid w:val="0030512E"/>
    <w:rsid w:val="003053CD"/>
    <w:rsid w:val="00305609"/>
    <w:rsid w:val="00305637"/>
    <w:rsid w:val="00305838"/>
    <w:rsid w:val="003058B8"/>
    <w:rsid w:val="00305A10"/>
    <w:rsid w:val="00305C15"/>
    <w:rsid w:val="00305E9F"/>
    <w:rsid w:val="00306830"/>
    <w:rsid w:val="00306853"/>
    <w:rsid w:val="00306945"/>
    <w:rsid w:val="00306E69"/>
    <w:rsid w:val="00307537"/>
    <w:rsid w:val="00307BA2"/>
    <w:rsid w:val="00307F00"/>
    <w:rsid w:val="00307FDF"/>
    <w:rsid w:val="003101D9"/>
    <w:rsid w:val="00310351"/>
    <w:rsid w:val="00310994"/>
    <w:rsid w:val="00310CAA"/>
    <w:rsid w:val="00311202"/>
    <w:rsid w:val="00311290"/>
    <w:rsid w:val="00311304"/>
    <w:rsid w:val="003115F6"/>
    <w:rsid w:val="00311696"/>
    <w:rsid w:val="0031170D"/>
    <w:rsid w:val="00311AB3"/>
    <w:rsid w:val="00311C26"/>
    <w:rsid w:val="00311DE4"/>
    <w:rsid w:val="00311E81"/>
    <w:rsid w:val="0031211F"/>
    <w:rsid w:val="0031228D"/>
    <w:rsid w:val="00312F42"/>
    <w:rsid w:val="003130F5"/>
    <w:rsid w:val="00313477"/>
    <w:rsid w:val="0031359F"/>
    <w:rsid w:val="00313B0A"/>
    <w:rsid w:val="00313CB6"/>
    <w:rsid w:val="00314260"/>
    <w:rsid w:val="003146CB"/>
    <w:rsid w:val="003147F2"/>
    <w:rsid w:val="00314DF2"/>
    <w:rsid w:val="00315198"/>
    <w:rsid w:val="00315BB1"/>
    <w:rsid w:val="00315F2C"/>
    <w:rsid w:val="0031607B"/>
    <w:rsid w:val="0031608E"/>
    <w:rsid w:val="003166F1"/>
    <w:rsid w:val="00316D7F"/>
    <w:rsid w:val="00316DFD"/>
    <w:rsid w:val="00316E67"/>
    <w:rsid w:val="00316F44"/>
    <w:rsid w:val="003172A7"/>
    <w:rsid w:val="0031757D"/>
    <w:rsid w:val="00317808"/>
    <w:rsid w:val="00317972"/>
    <w:rsid w:val="00317AF3"/>
    <w:rsid w:val="00317D2D"/>
    <w:rsid w:val="00320337"/>
    <w:rsid w:val="00320435"/>
    <w:rsid w:val="003207EF"/>
    <w:rsid w:val="00320A1E"/>
    <w:rsid w:val="00320AA2"/>
    <w:rsid w:val="003216AF"/>
    <w:rsid w:val="00321851"/>
    <w:rsid w:val="00321ABA"/>
    <w:rsid w:val="00321B64"/>
    <w:rsid w:val="00321EE1"/>
    <w:rsid w:val="00321F6E"/>
    <w:rsid w:val="003223AE"/>
    <w:rsid w:val="003226E7"/>
    <w:rsid w:val="003229B4"/>
    <w:rsid w:val="003232A7"/>
    <w:rsid w:val="003233EB"/>
    <w:rsid w:val="00323766"/>
    <w:rsid w:val="00323A5F"/>
    <w:rsid w:val="00323B1C"/>
    <w:rsid w:val="00324272"/>
    <w:rsid w:val="00324886"/>
    <w:rsid w:val="003248DB"/>
    <w:rsid w:val="003249E7"/>
    <w:rsid w:val="00324A40"/>
    <w:rsid w:val="00324C4B"/>
    <w:rsid w:val="00324CB6"/>
    <w:rsid w:val="00325018"/>
    <w:rsid w:val="00325069"/>
    <w:rsid w:val="003254B0"/>
    <w:rsid w:val="003255CB"/>
    <w:rsid w:val="0032582C"/>
    <w:rsid w:val="00325AB2"/>
    <w:rsid w:val="00325E0A"/>
    <w:rsid w:val="00325F83"/>
    <w:rsid w:val="003260E0"/>
    <w:rsid w:val="00326183"/>
    <w:rsid w:val="0032637A"/>
    <w:rsid w:val="003265F1"/>
    <w:rsid w:val="0032671D"/>
    <w:rsid w:val="00326988"/>
    <w:rsid w:val="00326B02"/>
    <w:rsid w:val="00326D05"/>
    <w:rsid w:val="00326E64"/>
    <w:rsid w:val="003271D6"/>
    <w:rsid w:val="003277B4"/>
    <w:rsid w:val="0032799D"/>
    <w:rsid w:val="00327A47"/>
    <w:rsid w:val="00327C7A"/>
    <w:rsid w:val="00327EB3"/>
    <w:rsid w:val="0033052A"/>
    <w:rsid w:val="00330B84"/>
    <w:rsid w:val="00330D8D"/>
    <w:rsid w:val="00330DD0"/>
    <w:rsid w:val="00330E51"/>
    <w:rsid w:val="00331120"/>
    <w:rsid w:val="00331312"/>
    <w:rsid w:val="003314F5"/>
    <w:rsid w:val="00331625"/>
    <w:rsid w:val="00331931"/>
    <w:rsid w:val="00331C6A"/>
    <w:rsid w:val="00331D33"/>
    <w:rsid w:val="00331E52"/>
    <w:rsid w:val="00331EB0"/>
    <w:rsid w:val="003321AB"/>
    <w:rsid w:val="00332477"/>
    <w:rsid w:val="003326E0"/>
    <w:rsid w:val="00332B55"/>
    <w:rsid w:val="00332B99"/>
    <w:rsid w:val="00332BB9"/>
    <w:rsid w:val="00332BF9"/>
    <w:rsid w:val="00332C15"/>
    <w:rsid w:val="00332CCB"/>
    <w:rsid w:val="00332E83"/>
    <w:rsid w:val="00332F05"/>
    <w:rsid w:val="00333437"/>
    <w:rsid w:val="003335F3"/>
    <w:rsid w:val="003337C6"/>
    <w:rsid w:val="00333C84"/>
    <w:rsid w:val="00334003"/>
    <w:rsid w:val="003342B2"/>
    <w:rsid w:val="00334368"/>
    <w:rsid w:val="003347F7"/>
    <w:rsid w:val="00334C16"/>
    <w:rsid w:val="00334D66"/>
    <w:rsid w:val="00334F51"/>
    <w:rsid w:val="003351C6"/>
    <w:rsid w:val="0033550C"/>
    <w:rsid w:val="00335631"/>
    <w:rsid w:val="003357F4"/>
    <w:rsid w:val="00335965"/>
    <w:rsid w:val="00335F85"/>
    <w:rsid w:val="00336397"/>
    <w:rsid w:val="00336699"/>
    <w:rsid w:val="00336749"/>
    <w:rsid w:val="003368B1"/>
    <w:rsid w:val="00336C38"/>
    <w:rsid w:val="00336DBF"/>
    <w:rsid w:val="00336EE5"/>
    <w:rsid w:val="00337057"/>
    <w:rsid w:val="003373CA"/>
    <w:rsid w:val="00337652"/>
    <w:rsid w:val="003376CB"/>
    <w:rsid w:val="0033791D"/>
    <w:rsid w:val="00337A50"/>
    <w:rsid w:val="00340246"/>
    <w:rsid w:val="0034043D"/>
    <w:rsid w:val="00340513"/>
    <w:rsid w:val="0034098A"/>
    <w:rsid w:val="00340F88"/>
    <w:rsid w:val="00341291"/>
    <w:rsid w:val="0034168C"/>
    <w:rsid w:val="00341795"/>
    <w:rsid w:val="003418C3"/>
    <w:rsid w:val="00341D3C"/>
    <w:rsid w:val="00341D4C"/>
    <w:rsid w:val="00342311"/>
    <w:rsid w:val="003425C3"/>
    <w:rsid w:val="003428E5"/>
    <w:rsid w:val="003429BE"/>
    <w:rsid w:val="00342C26"/>
    <w:rsid w:val="00342D12"/>
    <w:rsid w:val="00343100"/>
    <w:rsid w:val="0034349B"/>
    <w:rsid w:val="00343520"/>
    <w:rsid w:val="0034379A"/>
    <w:rsid w:val="003437D6"/>
    <w:rsid w:val="00343C64"/>
    <w:rsid w:val="00343D74"/>
    <w:rsid w:val="00343F93"/>
    <w:rsid w:val="00344196"/>
    <w:rsid w:val="00344361"/>
    <w:rsid w:val="00344400"/>
    <w:rsid w:val="0034474A"/>
    <w:rsid w:val="00344C7E"/>
    <w:rsid w:val="00344FAF"/>
    <w:rsid w:val="00345188"/>
    <w:rsid w:val="00345633"/>
    <w:rsid w:val="003465A4"/>
    <w:rsid w:val="003466B6"/>
    <w:rsid w:val="003467A6"/>
    <w:rsid w:val="00346875"/>
    <w:rsid w:val="00346ADF"/>
    <w:rsid w:val="00346B15"/>
    <w:rsid w:val="00346E6D"/>
    <w:rsid w:val="00347453"/>
    <w:rsid w:val="003477FF"/>
    <w:rsid w:val="00347812"/>
    <w:rsid w:val="00347918"/>
    <w:rsid w:val="00347E24"/>
    <w:rsid w:val="00347F81"/>
    <w:rsid w:val="0035029C"/>
    <w:rsid w:val="00350411"/>
    <w:rsid w:val="0035068B"/>
    <w:rsid w:val="00350963"/>
    <w:rsid w:val="003509B7"/>
    <w:rsid w:val="00350E22"/>
    <w:rsid w:val="00350F6D"/>
    <w:rsid w:val="00351117"/>
    <w:rsid w:val="00351274"/>
    <w:rsid w:val="00351369"/>
    <w:rsid w:val="00351506"/>
    <w:rsid w:val="00351594"/>
    <w:rsid w:val="0035178C"/>
    <w:rsid w:val="003517CE"/>
    <w:rsid w:val="0035190A"/>
    <w:rsid w:val="00351A4E"/>
    <w:rsid w:val="00351EB5"/>
    <w:rsid w:val="0035206E"/>
    <w:rsid w:val="00352261"/>
    <w:rsid w:val="00352A4B"/>
    <w:rsid w:val="00352B3C"/>
    <w:rsid w:val="00352E14"/>
    <w:rsid w:val="00353017"/>
    <w:rsid w:val="00353561"/>
    <w:rsid w:val="00353585"/>
    <w:rsid w:val="0035371C"/>
    <w:rsid w:val="003537ED"/>
    <w:rsid w:val="00353874"/>
    <w:rsid w:val="0035387F"/>
    <w:rsid w:val="00353C16"/>
    <w:rsid w:val="00354689"/>
    <w:rsid w:val="003546BB"/>
    <w:rsid w:val="003548C7"/>
    <w:rsid w:val="00354D59"/>
    <w:rsid w:val="00354EDB"/>
    <w:rsid w:val="003551FB"/>
    <w:rsid w:val="003552AB"/>
    <w:rsid w:val="003554F3"/>
    <w:rsid w:val="00355538"/>
    <w:rsid w:val="003556D3"/>
    <w:rsid w:val="003557E0"/>
    <w:rsid w:val="00355BBB"/>
    <w:rsid w:val="00355C22"/>
    <w:rsid w:val="00355FD2"/>
    <w:rsid w:val="0035649E"/>
    <w:rsid w:val="003564DB"/>
    <w:rsid w:val="00356B7E"/>
    <w:rsid w:val="00356F29"/>
    <w:rsid w:val="003570C8"/>
    <w:rsid w:val="00357C6F"/>
    <w:rsid w:val="00357D14"/>
    <w:rsid w:val="00357EB4"/>
    <w:rsid w:val="00360221"/>
    <w:rsid w:val="00360423"/>
    <w:rsid w:val="00360CC9"/>
    <w:rsid w:val="00360F27"/>
    <w:rsid w:val="00360F5F"/>
    <w:rsid w:val="00361C9B"/>
    <w:rsid w:val="00361DAD"/>
    <w:rsid w:val="00361ECA"/>
    <w:rsid w:val="00361F49"/>
    <w:rsid w:val="0036207B"/>
    <w:rsid w:val="00362564"/>
    <w:rsid w:val="0036258B"/>
    <w:rsid w:val="003626C0"/>
    <w:rsid w:val="003627DF"/>
    <w:rsid w:val="00362808"/>
    <w:rsid w:val="0036327A"/>
    <w:rsid w:val="00363371"/>
    <w:rsid w:val="003634EC"/>
    <w:rsid w:val="00363530"/>
    <w:rsid w:val="00363731"/>
    <w:rsid w:val="00363C1C"/>
    <w:rsid w:val="00364283"/>
    <w:rsid w:val="003643BA"/>
    <w:rsid w:val="003644F0"/>
    <w:rsid w:val="00364AAB"/>
    <w:rsid w:val="00364C8F"/>
    <w:rsid w:val="00364E3A"/>
    <w:rsid w:val="00364F97"/>
    <w:rsid w:val="00364FCE"/>
    <w:rsid w:val="00365022"/>
    <w:rsid w:val="003650B1"/>
    <w:rsid w:val="00365483"/>
    <w:rsid w:val="0036550A"/>
    <w:rsid w:val="00365C27"/>
    <w:rsid w:val="00365D34"/>
    <w:rsid w:val="00365D4C"/>
    <w:rsid w:val="00366171"/>
    <w:rsid w:val="00366410"/>
    <w:rsid w:val="00366624"/>
    <w:rsid w:val="00366E1B"/>
    <w:rsid w:val="00366EB3"/>
    <w:rsid w:val="003672AF"/>
    <w:rsid w:val="003673F3"/>
    <w:rsid w:val="00367416"/>
    <w:rsid w:val="0036755C"/>
    <w:rsid w:val="0036A59A"/>
    <w:rsid w:val="00370000"/>
    <w:rsid w:val="0037010C"/>
    <w:rsid w:val="0037085B"/>
    <w:rsid w:val="0037089F"/>
    <w:rsid w:val="00370E1F"/>
    <w:rsid w:val="00371A92"/>
    <w:rsid w:val="00372098"/>
    <w:rsid w:val="003720D5"/>
    <w:rsid w:val="003721A5"/>
    <w:rsid w:val="00372345"/>
    <w:rsid w:val="00372722"/>
    <w:rsid w:val="0037289A"/>
    <w:rsid w:val="00373562"/>
    <w:rsid w:val="003735F0"/>
    <w:rsid w:val="003739C2"/>
    <w:rsid w:val="0037432C"/>
    <w:rsid w:val="00374599"/>
    <w:rsid w:val="003745C7"/>
    <w:rsid w:val="003746E5"/>
    <w:rsid w:val="00374B79"/>
    <w:rsid w:val="00374E6F"/>
    <w:rsid w:val="003751A4"/>
    <w:rsid w:val="003751C0"/>
    <w:rsid w:val="003753F7"/>
    <w:rsid w:val="003756A1"/>
    <w:rsid w:val="00375A83"/>
    <w:rsid w:val="00376165"/>
    <w:rsid w:val="00376318"/>
    <w:rsid w:val="003763C4"/>
    <w:rsid w:val="00376610"/>
    <w:rsid w:val="00376692"/>
    <w:rsid w:val="00376980"/>
    <w:rsid w:val="00376D5A"/>
    <w:rsid w:val="00376EAD"/>
    <w:rsid w:val="00376FF8"/>
    <w:rsid w:val="00377D26"/>
    <w:rsid w:val="00377F5C"/>
    <w:rsid w:val="003800FA"/>
    <w:rsid w:val="0038026C"/>
    <w:rsid w:val="00380271"/>
    <w:rsid w:val="003803CA"/>
    <w:rsid w:val="00380618"/>
    <w:rsid w:val="00380901"/>
    <w:rsid w:val="00380A07"/>
    <w:rsid w:val="00381287"/>
    <w:rsid w:val="00381357"/>
    <w:rsid w:val="0038146F"/>
    <w:rsid w:val="0038150A"/>
    <w:rsid w:val="003818C3"/>
    <w:rsid w:val="00381D99"/>
    <w:rsid w:val="00381DD1"/>
    <w:rsid w:val="00381F21"/>
    <w:rsid w:val="003824AA"/>
    <w:rsid w:val="0038273C"/>
    <w:rsid w:val="0038291F"/>
    <w:rsid w:val="00382985"/>
    <w:rsid w:val="00382A63"/>
    <w:rsid w:val="00382D6C"/>
    <w:rsid w:val="00382E32"/>
    <w:rsid w:val="0038306F"/>
    <w:rsid w:val="00383127"/>
    <w:rsid w:val="0038322B"/>
    <w:rsid w:val="0038372A"/>
    <w:rsid w:val="00383FF6"/>
    <w:rsid w:val="00384040"/>
    <w:rsid w:val="0038433F"/>
    <w:rsid w:val="003843F3"/>
    <w:rsid w:val="00384D07"/>
    <w:rsid w:val="00384D41"/>
    <w:rsid w:val="00384E27"/>
    <w:rsid w:val="00384FF4"/>
    <w:rsid w:val="003851DF"/>
    <w:rsid w:val="0038560D"/>
    <w:rsid w:val="00385637"/>
    <w:rsid w:val="003857EF"/>
    <w:rsid w:val="00385AD5"/>
    <w:rsid w:val="00385E17"/>
    <w:rsid w:val="003861B1"/>
    <w:rsid w:val="003864DD"/>
    <w:rsid w:val="00386A99"/>
    <w:rsid w:val="00386B85"/>
    <w:rsid w:val="00386CC2"/>
    <w:rsid w:val="003900AC"/>
    <w:rsid w:val="0039022D"/>
    <w:rsid w:val="00390250"/>
    <w:rsid w:val="00390AB9"/>
    <w:rsid w:val="00390F31"/>
    <w:rsid w:val="003913D4"/>
    <w:rsid w:val="00391691"/>
    <w:rsid w:val="00391B37"/>
    <w:rsid w:val="00391EEF"/>
    <w:rsid w:val="00391F1F"/>
    <w:rsid w:val="00391F42"/>
    <w:rsid w:val="00392044"/>
    <w:rsid w:val="00392585"/>
    <w:rsid w:val="003927D0"/>
    <w:rsid w:val="00392993"/>
    <w:rsid w:val="00392F71"/>
    <w:rsid w:val="00393755"/>
    <w:rsid w:val="0039379D"/>
    <w:rsid w:val="00393BEE"/>
    <w:rsid w:val="00393E50"/>
    <w:rsid w:val="00393F6E"/>
    <w:rsid w:val="003940A1"/>
    <w:rsid w:val="003940E8"/>
    <w:rsid w:val="003946C5"/>
    <w:rsid w:val="0039474B"/>
    <w:rsid w:val="0039477E"/>
    <w:rsid w:val="003947FE"/>
    <w:rsid w:val="00394CE1"/>
    <w:rsid w:val="00394E3B"/>
    <w:rsid w:val="0039530E"/>
    <w:rsid w:val="00395AE8"/>
    <w:rsid w:val="00395CFA"/>
    <w:rsid w:val="00395EFD"/>
    <w:rsid w:val="00396261"/>
    <w:rsid w:val="00396450"/>
    <w:rsid w:val="00396D03"/>
    <w:rsid w:val="003972DF"/>
    <w:rsid w:val="00397AD5"/>
    <w:rsid w:val="00397C20"/>
    <w:rsid w:val="003A05A8"/>
    <w:rsid w:val="003A05D6"/>
    <w:rsid w:val="003A108A"/>
    <w:rsid w:val="003A10FC"/>
    <w:rsid w:val="003A121E"/>
    <w:rsid w:val="003A12F9"/>
    <w:rsid w:val="003A16DC"/>
    <w:rsid w:val="003A198E"/>
    <w:rsid w:val="003A1C6E"/>
    <w:rsid w:val="003A1E8C"/>
    <w:rsid w:val="003A206F"/>
    <w:rsid w:val="003A2076"/>
    <w:rsid w:val="003A2251"/>
    <w:rsid w:val="003A23DE"/>
    <w:rsid w:val="003A2641"/>
    <w:rsid w:val="003A2875"/>
    <w:rsid w:val="003A32DA"/>
    <w:rsid w:val="003A33B0"/>
    <w:rsid w:val="003A389F"/>
    <w:rsid w:val="003A4066"/>
    <w:rsid w:val="003A4127"/>
    <w:rsid w:val="003A42F4"/>
    <w:rsid w:val="003A4533"/>
    <w:rsid w:val="003A457C"/>
    <w:rsid w:val="003A4666"/>
    <w:rsid w:val="003A52B7"/>
    <w:rsid w:val="003A52C0"/>
    <w:rsid w:val="003A55B5"/>
    <w:rsid w:val="003A5883"/>
    <w:rsid w:val="003A5DC4"/>
    <w:rsid w:val="003A5E03"/>
    <w:rsid w:val="003A5E93"/>
    <w:rsid w:val="003A5EE7"/>
    <w:rsid w:val="003A63CA"/>
    <w:rsid w:val="003A698B"/>
    <w:rsid w:val="003A6F24"/>
    <w:rsid w:val="003A75FD"/>
    <w:rsid w:val="003A7729"/>
    <w:rsid w:val="003A787F"/>
    <w:rsid w:val="003A7C99"/>
    <w:rsid w:val="003A7CC7"/>
    <w:rsid w:val="003A7E6D"/>
    <w:rsid w:val="003A7EB0"/>
    <w:rsid w:val="003B0322"/>
    <w:rsid w:val="003B0522"/>
    <w:rsid w:val="003B0A21"/>
    <w:rsid w:val="003B0E3D"/>
    <w:rsid w:val="003B0FDF"/>
    <w:rsid w:val="003B1186"/>
    <w:rsid w:val="003B11A0"/>
    <w:rsid w:val="003B1274"/>
    <w:rsid w:val="003B127E"/>
    <w:rsid w:val="003B1338"/>
    <w:rsid w:val="003B1689"/>
    <w:rsid w:val="003B1D62"/>
    <w:rsid w:val="003B1EA0"/>
    <w:rsid w:val="003B2411"/>
    <w:rsid w:val="003B249E"/>
    <w:rsid w:val="003B2949"/>
    <w:rsid w:val="003B2B02"/>
    <w:rsid w:val="003B2E0D"/>
    <w:rsid w:val="003B354D"/>
    <w:rsid w:val="003B3827"/>
    <w:rsid w:val="003B3887"/>
    <w:rsid w:val="003B3AFE"/>
    <w:rsid w:val="003B3BDA"/>
    <w:rsid w:val="003B3BEA"/>
    <w:rsid w:val="003B3E25"/>
    <w:rsid w:val="003B4407"/>
    <w:rsid w:val="003B46CC"/>
    <w:rsid w:val="003B47DE"/>
    <w:rsid w:val="003B4896"/>
    <w:rsid w:val="003B4D34"/>
    <w:rsid w:val="003B4E65"/>
    <w:rsid w:val="003B5254"/>
    <w:rsid w:val="003B5294"/>
    <w:rsid w:val="003B53BD"/>
    <w:rsid w:val="003B53FE"/>
    <w:rsid w:val="003B554C"/>
    <w:rsid w:val="003B5D81"/>
    <w:rsid w:val="003B5DB8"/>
    <w:rsid w:val="003B61C9"/>
    <w:rsid w:val="003B629D"/>
    <w:rsid w:val="003B63F6"/>
    <w:rsid w:val="003B6542"/>
    <w:rsid w:val="003B680D"/>
    <w:rsid w:val="003B6ADE"/>
    <w:rsid w:val="003B6F34"/>
    <w:rsid w:val="003B74BE"/>
    <w:rsid w:val="003B75ED"/>
    <w:rsid w:val="003B7650"/>
    <w:rsid w:val="003B77C2"/>
    <w:rsid w:val="003B798C"/>
    <w:rsid w:val="003B7A73"/>
    <w:rsid w:val="003B7B4B"/>
    <w:rsid w:val="003B7B97"/>
    <w:rsid w:val="003BCE0D"/>
    <w:rsid w:val="003C0747"/>
    <w:rsid w:val="003C08FA"/>
    <w:rsid w:val="003C098D"/>
    <w:rsid w:val="003C0C61"/>
    <w:rsid w:val="003C0CD3"/>
    <w:rsid w:val="003C0DF9"/>
    <w:rsid w:val="003C0ED4"/>
    <w:rsid w:val="003C1124"/>
    <w:rsid w:val="003C1143"/>
    <w:rsid w:val="003C1443"/>
    <w:rsid w:val="003C1670"/>
    <w:rsid w:val="003C1817"/>
    <w:rsid w:val="003C18C3"/>
    <w:rsid w:val="003C19CF"/>
    <w:rsid w:val="003C2259"/>
    <w:rsid w:val="003C25F9"/>
    <w:rsid w:val="003C28AC"/>
    <w:rsid w:val="003C28B6"/>
    <w:rsid w:val="003C2AC7"/>
    <w:rsid w:val="003C2C0D"/>
    <w:rsid w:val="003C2C66"/>
    <w:rsid w:val="003C2D90"/>
    <w:rsid w:val="003C2F24"/>
    <w:rsid w:val="003C300B"/>
    <w:rsid w:val="003C36DF"/>
    <w:rsid w:val="003C384A"/>
    <w:rsid w:val="003C389E"/>
    <w:rsid w:val="003C38D4"/>
    <w:rsid w:val="003C3B57"/>
    <w:rsid w:val="003C3BEA"/>
    <w:rsid w:val="003C3DB4"/>
    <w:rsid w:val="003C4238"/>
    <w:rsid w:val="003C4AC7"/>
    <w:rsid w:val="003C4B4D"/>
    <w:rsid w:val="003C5406"/>
    <w:rsid w:val="003C5805"/>
    <w:rsid w:val="003C5C5A"/>
    <w:rsid w:val="003C5C69"/>
    <w:rsid w:val="003C5EC9"/>
    <w:rsid w:val="003C606E"/>
    <w:rsid w:val="003C651E"/>
    <w:rsid w:val="003C69AD"/>
    <w:rsid w:val="003C6B4C"/>
    <w:rsid w:val="003C6EA3"/>
    <w:rsid w:val="003C6F33"/>
    <w:rsid w:val="003C7079"/>
    <w:rsid w:val="003C7890"/>
    <w:rsid w:val="003D001B"/>
    <w:rsid w:val="003D0067"/>
    <w:rsid w:val="003D0216"/>
    <w:rsid w:val="003D063D"/>
    <w:rsid w:val="003D0B5C"/>
    <w:rsid w:val="003D0E64"/>
    <w:rsid w:val="003D13E2"/>
    <w:rsid w:val="003D14EF"/>
    <w:rsid w:val="003D16BA"/>
    <w:rsid w:val="003D1B95"/>
    <w:rsid w:val="003D1C61"/>
    <w:rsid w:val="003D1C80"/>
    <w:rsid w:val="003D1C91"/>
    <w:rsid w:val="003D1CBC"/>
    <w:rsid w:val="003D1DA5"/>
    <w:rsid w:val="003D1E71"/>
    <w:rsid w:val="003D229C"/>
    <w:rsid w:val="003D240E"/>
    <w:rsid w:val="003D287E"/>
    <w:rsid w:val="003D2D27"/>
    <w:rsid w:val="003D3617"/>
    <w:rsid w:val="003D4048"/>
    <w:rsid w:val="003D4359"/>
    <w:rsid w:val="003D44EC"/>
    <w:rsid w:val="003D502F"/>
    <w:rsid w:val="003D5181"/>
    <w:rsid w:val="003D51C0"/>
    <w:rsid w:val="003D5307"/>
    <w:rsid w:val="003D554C"/>
    <w:rsid w:val="003D563D"/>
    <w:rsid w:val="003D5932"/>
    <w:rsid w:val="003D593F"/>
    <w:rsid w:val="003D5A49"/>
    <w:rsid w:val="003D5BCD"/>
    <w:rsid w:val="003D5C1B"/>
    <w:rsid w:val="003D5EA4"/>
    <w:rsid w:val="003D6461"/>
    <w:rsid w:val="003D6466"/>
    <w:rsid w:val="003D65C5"/>
    <w:rsid w:val="003D70B4"/>
    <w:rsid w:val="003D70C8"/>
    <w:rsid w:val="003D7114"/>
    <w:rsid w:val="003D7231"/>
    <w:rsid w:val="003D7343"/>
    <w:rsid w:val="003D762A"/>
    <w:rsid w:val="003D78A2"/>
    <w:rsid w:val="003D7927"/>
    <w:rsid w:val="003D796B"/>
    <w:rsid w:val="003E0211"/>
    <w:rsid w:val="003E023E"/>
    <w:rsid w:val="003E0C24"/>
    <w:rsid w:val="003E0D3D"/>
    <w:rsid w:val="003E1551"/>
    <w:rsid w:val="003E1842"/>
    <w:rsid w:val="003E1BAD"/>
    <w:rsid w:val="003E1C55"/>
    <w:rsid w:val="003E1E55"/>
    <w:rsid w:val="003E2150"/>
    <w:rsid w:val="003E2A94"/>
    <w:rsid w:val="003E2B38"/>
    <w:rsid w:val="003E2C4C"/>
    <w:rsid w:val="003E2CF9"/>
    <w:rsid w:val="003E329B"/>
    <w:rsid w:val="003E361F"/>
    <w:rsid w:val="003E3808"/>
    <w:rsid w:val="003E391C"/>
    <w:rsid w:val="003E3C34"/>
    <w:rsid w:val="003E4401"/>
    <w:rsid w:val="003E449E"/>
    <w:rsid w:val="003E4809"/>
    <w:rsid w:val="003E482E"/>
    <w:rsid w:val="003E48F1"/>
    <w:rsid w:val="003E4C06"/>
    <w:rsid w:val="003E4E35"/>
    <w:rsid w:val="003E5011"/>
    <w:rsid w:val="003E55A4"/>
    <w:rsid w:val="003E5B4A"/>
    <w:rsid w:val="003E5CA9"/>
    <w:rsid w:val="003E5CDB"/>
    <w:rsid w:val="003E5F16"/>
    <w:rsid w:val="003E5F39"/>
    <w:rsid w:val="003E629E"/>
    <w:rsid w:val="003E6329"/>
    <w:rsid w:val="003E7180"/>
    <w:rsid w:val="003E724E"/>
    <w:rsid w:val="003E7667"/>
    <w:rsid w:val="003E79EF"/>
    <w:rsid w:val="003E7AD7"/>
    <w:rsid w:val="003E7B4B"/>
    <w:rsid w:val="003F009A"/>
    <w:rsid w:val="003F016F"/>
    <w:rsid w:val="003F0C6C"/>
    <w:rsid w:val="003F1190"/>
    <w:rsid w:val="003F1191"/>
    <w:rsid w:val="003F1200"/>
    <w:rsid w:val="003F12AE"/>
    <w:rsid w:val="003F1334"/>
    <w:rsid w:val="003F1613"/>
    <w:rsid w:val="003F1814"/>
    <w:rsid w:val="003F187D"/>
    <w:rsid w:val="003F1A32"/>
    <w:rsid w:val="003F1B3B"/>
    <w:rsid w:val="003F1E42"/>
    <w:rsid w:val="003F1E57"/>
    <w:rsid w:val="003F1E89"/>
    <w:rsid w:val="003F1EB7"/>
    <w:rsid w:val="003F2147"/>
    <w:rsid w:val="003F22B5"/>
    <w:rsid w:val="003F233B"/>
    <w:rsid w:val="003F25E9"/>
    <w:rsid w:val="003F2903"/>
    <w:rsid w:val="003F2BA8"/>
    <w:rsid w:val="003F2C94"/>
    <w:rsid w:val="003F2C96"/>
    <w:rsid w:val="003F30BB"/>
    <w:rsid w:val="003F3394"/>
    <w:rsid w:val="003F3437"/>
    <w:rsid w:val="003F38A2"/>
    <w:rsid w:val="003F3A15"/>
    <w:rsid w:val="003F3F1A"/>
    <w:rsid w:val="003F412F"/>
    <w:rsid w:val="003F453A"/>
    <w:rsid w:val="003F466A"/>
    <w:rsid w:val="003F4926"/>
    <w:rsid w:val="003F4DEC"/>
    <w:rsid w:val="003F4E62"/>
    <w:rsid w:val="003F5238"/>
    <w:rsid w:val="003F5467"/>
    <w:rsid w:val="003F5896"/>
    <w:rsid w:val="003F59A7"/>
    <w:rsid w:val="003F6014"/>
    <w:rsid w:val="003F63B9"/>
    <w:rsid w:val="003F69CD"/>
    <w:rsid w:val="003F7055"/>
    <w:rsid w:val="003F782D"/>
    <w:rsid w:val="003F7B54"/>
    <w:rsid w:val="003F7C2C"/>
    <w:rsid w:val="003F7DB0"/>
    <w:rsid w:val="004003DF"/>
    <w:rsid w:val="0040052A"/>
    <w:rsid w:val="004006D2"/>
    <w:rsid w:val="00400A4C"/>
    <w:rsid w:val="00400D5C"/>
    <w:rsid w:val="004010CF"/>
    <w:rsid w:val="00401168"/>
    <w:rsid w:val="004015D5"/>
    <w:rsid w:val="00401961"/>
    <w:rsid w:val="004019F5"/>
    <w:rsid w:val="00401F9E"/>
    <w:rsid w:val="00402524"/>
    <w:rsid w:val="004028DF"/>
    <w:rsid w:val="0040292D"/>
    <w:rsid w:val="00402AB7"/>
    <w:rsid w:val="00402BD6"/>
    <w:rsid w:val="00403655"/>
    <w:rsid w:val="0040390F"/>
    <w:rsid w:val="00403DB3"/>
    <w:rsid w:val="00403FC5"/>
    <w:rsid w:val="00404351"/>
    <w:rsid w:val="004043A0"/>
    <w:rsid w:val="00404916"/>
    <w:rsid w:val="00404A1F"/>
    <w:rsid w:val="00404EE5"/>
    <w:rsid w:val="004050FB"/>
    <w:rsid w:val="004051A6"/>
    <w:rsid w:val="00405B71"/>
    <w:rsid w:val="00405C2D"/>
    <w:rsid w:val="0040607E"/>
    <w:rsid w:val="00406080"/>
    <w:rsid w:val="004062E1"/>
    <w:rsid w:val="004065B1"/>
    <w:rsid w:val="004065D9"/>
    <w:rsid w:val="00406847"/>
    <w:rsid w:val="00406EBA"/>
    <w:rsid w:val="00406FCC"/>
    <w:rsid w:val="00407143"/>
    <w:rsid w:val="004071D5"/>
    <w:rsid w:val="0040743E"/>
    <w:rsid w:val="00407499"/>
    <w:rsid w:val="00407532"/>
    <w:rsid w:val="00407885"/>
    <w:rsid w:val="0040796D"/>
    <w:rsid w:val="00407AC1"/>
    <w:rsid w:val="00407BC5"/>
    <w:rsid w:val="00407F54"/>
    <w:rsid w:val="004100DE"/>
    <w:rsid w:val="004100F3"/>
    <w:rsid w:val="00410194"/>
    <w:rsid w:val="0041059F"/>
    <w:rsid w:val="00410767"/>
    <w:rsid w:val="00410859"/>
    <w:rsid w:val="00410890"/>
    <w:rsid w:val="00410B5A"/>
    <w:rsid w:val="00410E08"/>
    <w:rsid w:val="00411066"/>
    <w:rsid w:val="0041122B"/>
    <w:rsid w:val="00411310"/>
    <w:rsid w:val="00411451"/>
    <w:rsid w:val="00411506"/>
    <w:rsid w:val="0041182B"/>
    <w:rsid w:val="00411A8F"/>
    <w:rsid w:val="00411B79"/>
    <w:rsid w:val="00411D30"/>
    <w:rsid w:val="00412046"/>
    <w:rsid w:val="004121B2"/>
    <w:rsid w:val="004123C4"/>
    <w:rsid w:val="00412508"/>
    <w:rsid w:val="00412A7E"/>
    <w:rsid w:val="00412D77"/>
    <w:rsid w:val="00412D8E"/>
    <w:rsid w:val="00412EB2"/>
    <w:rsid w:val="00413CCB"/>
    <w:rsid w:val="00413D42"/>
    <w:rsid w:val="00413D7E"/>
    <w:rsid w:val="00413DA2"/>
    <w:rsid w:val="00414358"/>
    <w:rsid w:val="004149FC"/>
    <w:rsid w:val="00414B43"/>
    <w:rsid w:val="00414C7D"/>
    <w:rsid w:val="00414D86"/>
    <w:rsid w:val="00415225"/>
    <w:rsid w:val="004157C8"/>
    <w:rsid w:val="00415DB9"/>
    <w:rsid w:val="00415DF5"/>
    <w:rsid w:val="00416090"/>
    <w:rsid w:val="00416169"/>
    <w:rsid w:val="004161E3"/>
    <w:rsid w:val="00416505"/>
    <w:rsid w:val="004166DE"/>
    <w:rsid w:val="004167D8"/>
    <w:rsid w:val="0041732C"/>
    <w:rsid w:val="00417333"/>
    <w:rsid w:val="004175E5"/>
    <w:rsid w:val="004177B8"/>
    <w:rsid w:val="00417844"/>
    <w:rsid w:val="004178B0"/>
    <w:rsid w:val="004179A6"/>
    <w:rsid w:val="00417AA3"/>
    <w:rsid w:val="00417EBE"/>
    <w:rsid w:val="004200B1"/>
    <w:rsid w:val="004201DE"/>
    <w:rsid w:val="0042031D"/>
    <w:rsid w:val="0042034E"/>
    <w:rsid w:val="00420736"/>
    <w:rsid w:val="004207D6"/>
    <w:rsid w:val="004209F3"/>
    <w:rsid w:val="00420CFF"/>
    <w:rsid w:val="00420F9B"/>
    <w:rsid w:val="00420FEB"/>
    <w:rsid w:val="00421364"/>
    <w:rsid w:val="00421ECF"/>
    <w:rsid w:val="00422E31"/>
    <w:rsid w:val="00423E3E"/>
    <w:rsid w:val="00423F03"/>
    <w:rsid w:val="004240C0"/>
    <w:rsid w:val="004242D1"/>
    <w:rsid w:val="00424474"/>
    <w:rsid w:val="004252B9"/>
    <w:rsid w:val="004253B4"/>
    <w:rsid w:val="0042562D"/>
    <w:rsid w:val="0042583F"/>
    <w:rsid w:val="00425BAF"/>
    <w:rsid w:val="00425BF2"/>
    <w:rsid w:val="00425D3F"/>
    <w:rsid w:val="00425FD0"/>
    <w:rsid w:val="0042629F"/>
    <w:rsid w:val="0042645C"/>
    <w:rsid w:val="0042685D"/>
    <w:rsid w:val="004274DE"/>
    <w:rsid w:val="004275A6"/>
    <w:rsid w:val="004278B8"/>
    <w:rsid w:val="00427C8F"/>
    <w:rsid w:val="00427DFB"/>
    <w:rsid w:val="00427FD1"/>
    <w:rsid w:val="0043007F"/>
    <w:rsid w:val="00430745"/>
    <w:rsid w:val="004309F8"/>
    <w:rsid w:val="00430C63"/>
    <w:rsid w:val="00430DDC"/>
    <w:rsid w:val="004310C0"/>
    <w:rsid w:val="00431401"/>
    <w:rsid w:val="00431734"/>
    <w:rsid w:val="0043176E"/>
    <w:rsid w:val="004317D6"/>
    <w:rsid w:val="00431B63"/>
    <w:rsid w:val="00431B86"/>
    <w:rsid w:val="00431D20"/>
    <w:rsid w:val="00431F30"/>
    <w:rsid w:val="00432772"/>
    <w:rsid w:val="004327E1"/>
    <w:rsid w:val="00432961"/>
    <w:rsid w:val="00432A5F"/>
    <w:rsid w:val="0043337F"/>
    <w:rsid w:val="004335DB"/>
    <w:rsid w:val="00433958"/>
    <w:rsid w:val="00433D29"/>
    <w:rsid w:val="00433DF2"/>
    <w:rsid w:val="00433F43"/>
    <w:rsid w:val="00434595"/>
    <w:rsid w:val="00434A88"/>
    <w:rsid w:val="00434BDB"/>
    <w:rsid w:val="00435515"/>
    <w:rsid w:val="00435721"/>
    <w:rsid w:val="00436175"/>
    <w:rsid w:val="004362F5"/>
    <w:rsid w:val="00436310"/>
    <w:rsid w:val="004363D2"/>
    <w:rsid w:val="00436B7D"/>
    <w:rsid w:val="00436BE5"/>
    <w:rsid w:val="00436BF1"/>
    <w:rsid w:val="00437170"/>
    <w:rsid w:val="004374AE"/>
    <w:rsid w:val="00437669"/>
    <w:rsid w:val="00437842"/>
    <w:rsid w:val="004378DA"/>
    <w:rsid w:val="00437913"/>
    <w:rsid w:val="00437A43"/>
    <w:rsid w:val="0044014E"/>
    <w:rsid w:val="004404C4"/>
    <w:rsid w:val="004404EF"/>
    <w:rsid w:val="00440568"/>
    <w:rsid w:val="004407F5"/>
    <w:rsid w:val="00440915"/>
    <w:rsid w:val="00440AA1"/>
    <w:rsid w:val="00440FE8"/>
    <w:rsid w:val="00441281"/>
    <w:rsid w:val="0044145F"/>
    <w:rsid w:val="0044195D"/>
    <w:rsid w:val="00441980"/>
    <w:rsid w:val="0044251D"/>
    <w:rsid w:val="00442605"/>
    <w:rsid w:val="00442682"/>
    <w:rsid w:val="00442868"/>
    <w:rsid w:val="00442BEF"/>
    <w:rsid w:val="004431C0"/>
    <w:rsid w:val="004433C4"/>
    <w:rsid w:val="00443522"/>
    <w:rsid w:val="004435BE"/>
    <w:rsid w:val="00443A8B"/>
    <w:rsid w:val="004440DB"/>
    <w:rsid w:val="00444700"/>
    <w:rsid w:val="0044519B"/>
    <w:rsid w:val="0044575C"/>
    <w:rsid w:val="00445A8D"/>
    <w:rsid w:val="00445BCB"/>
    <w:rsid w:val="00445D16"/>
    <w:rsid w:val="00445F7B"/>
    <w:rsid w:val="00446233"/>
    <w:rsid w:val="0044680F"/>
    <w:rsid w:val="00446B0E"/>
    <w:rsid w:val="00447041"/>
    <w:rsid w:val="0044717A"/>
    <w:rsid w:val="004471AB"/>
    <w:rsid w:val="0044745C"/>
    <w:rsid w:val="00447685"/>
    <w:rsid w:val="004477C1"/>
    <w:rsid w:val="00447DF9"/>
    <w:rsid w:val="00447ED1"/>
    <w:rsid w:val="00447F44"/>
    <w:rsid w:val="004500E1"/>
    <w:rsid w:val="004501EB"/>
    <w:rsid w:val="004502E0"/>
    <w:rsid w:val="00450E92"/>
    <w:rsid w:val="004510BA"/>
    <w:rsid w:val="0045127C"/>
    <w:rsid w:val="0045143F"/>
    <w:rsid w:val="0045150A"/>
    <w:rsid w:val="00451529"/>
    <w:rsid w:val="004519EE"/>
    <w:rsid w:val="00451A53"/>
    <w:rsid w:val="00451B21"/>
    <w:rsid w:val="00451F5F"/>
    <w:rsid w:val="00452294"/>
    <w:rsid w:val="00452440"/>
    <w:rsid w:val="00452568"/>
    <w:rsid w:val="0045343A"/>
    <w:rsid w:val="00453BD8"/>
    <w:rsid w:val="00453EE0"/>
    <w:rsid w:val="00453F7D"/>
    <w:rsid w:val="00453FE8"/>
    <w:rsid w:val="00454133"/>
    <w:rsid w:val="0045439E"/>
    <w:rsid w:val="004545C8"/>
    <w:rsid w:val="004547DD"/>
    <w:rsid w:val="00454894"/>
    <w:rsid w:val="00454A8D"/>
    <w:rsid w:val="00454A9A"/>
    <w:rsid w:val="00454A9F"/>
    <w:rsid w:val="00454B07"/>
    <w:rsid w:val="00455015"/>
    <w:rsid w:val="004551B7"/>
    <w:rsid w:val="0045543A"/>
    <w:rsid w:val="0045558D"/>
    <w:rsid w:val="0045589D"/>
    <w:rsid w:val="00455994"/>
    <w:rsid w:val="00455A3F"/>
    <w:rsid w:val="00455ACC"/>
    <w:rsid w:val="00455D46"/>
    <w:rsid w:val="00455EEB"/>
    <w:rsid w:val="00456241"/>
    <w:rsid w:val="0045686E"/>
    <w:rsid w:val="004569A5"/>
    <w:rsid w:val="00457222"/>
    <w:rsid w:val="00457900"/>
    <w:rsid w:val="0045796F"/>
    <w:rsid w:val="00457A23"/>
    <w:rsid w:val="00457AE8"/>
    <w:rsid w:val="00457BB2"/>
    <w:rsid w:val="00457C94"/>
    <w:rsid w:val="00457CAC"/>
    <w:rsid w:val="00457F5A"/>
    <w:rsid w:val="004600EA"/>
    <w:rsid w:val="004602C4"/>
    <w:rsid w:val="0046037C"/>
    <w:rsid w:val="004604ED"/>
    <w:rsid w:val="0046097F"/>
    <w:rsid w:val="004609EE"/>
    <w:rsid w:val="00460B70"/>
    <w:rsid w:val="00460D13"/>
    <w:rsid w:val="00460D2E"/>
    <w:rsid w:val="00460ED3"/>
    <w:rsid w:val="00461141"/>
    <w:rsid w:val="00461244"/>
    <w:rsid w:val="00461511"/>
    <w:rsid w:val="00461991"/>
    <w:rsid w:val="00461BBF"/>
    <w:rsid w:val="00461F8C"/>
    <w:rsid w:val="004620C7"/>
    <w:rsid w:val="00462C49"/>
    <w:rsid w:val="00463201"/>
    <w:rsid w:val="004634A8"/>
    <w:rsid w:val="004635D8"/>
    <w:rsid w:val="00463737"/>
    <w:rsid w:val="0046377C"/>
    <w:rsid w:val="00463B0A"/>
    <w:rsid w:val="00463B94"/>
    <w:rsid w:val="00463C7F"/>
    <w:rsid w:val="00463E1E"/>
    <w:rsid w:val="004643CF"/>
    <w:rsid w:val="0046489D"/>
    <w:rsid w:val="0046523B"/>
    <w:rsid w:val="00465731"/>
    <w:rsid w:val="00465FC0"/>
    <w:rsid w:val="00466153"/>
    <w:rsid w:val="00466199"/>
    <w:rsid w:val="004664F8"/>
    <w:rsid w:val="00466885"/>
    <w:rsid w:val="004668DB"/>
    <w:rsid w:val="00467438"/>
    <w:rsid w:val="00467742"/>
    <w:rsid w:val="00467778"/>
    <w:rsid w:val="004677E1"/>
    <w:rsid w:val="00467BA0"/>
    <w:rsid w:val="00467DCE"/>
    <w:rsid w:val="00467E6F"/>
    <w:rsid w:val="00467EC2"/>
    <w:rsid w:val="00467FCC"/>
    <w:rsid w:val="0047010F"/>
    <w:rsid w:val="00470506"/>
    <w:rsid w:val="00470843"/>
    <w:rsid w:val="00471502"/>
    <w:rsid w:val="004715EF"/>
    <w:rsid w:val="004718AA"/>
    <w:rsid w:val="00471B86"/>
    <w:rsid w:val="00471BFB"/>
    <w:rsid w:val="004722AB"/>
    <w:rsid w:val="004722B6"/>
    <w:rsid w:val="00472795"/>
    <w:rsid w:val="00472980"/>
    <w:rsid w:val="004729C9"/>
    <w:rsid w:val="00472A1C"/>
    <w:rsid w:val="00472AE2"/>
    <w:rsid w:val="00472EC8"/>
    <w:rsid w:val="00473045"/>
    <w:rsid w:val="00474055"/>
    <w:rsid w:val="00474211"/>
    <w:rsid w:val="004743C2"/>
    <w:rsid w:val="004743EC"/>
    <w:rsid w:val="004744DC"/>
    <w:rsid w:val="0047477D"/>
    <w:rsid w:val="00474914"/>
    <w:rsid w:val="00474D19"/>
    <w:rsid w:val="00475145"/>
    <w:rsid w:val="00475387"/>
    <w:rsid w:val="004753AB"/>
    <w:rsid w:val="004754BB"/>
    <w:rsid w:val="00475624"/>
    <w:rsid w:val="00475665"/>
    <w:rsid w:val="00475710"/>
    <w:rsid w:val="00475792"/>
    <w:rsid w:val="00475920"/>
    <w:rsid w:val="00475AFD"/>
    <w:rsid w:val="00475EA1"/>
    <w:rsid w:val="00475F2F"/>
    <w:rsid w:val="004764B1"/>
    <w:rsid w:val="0047650E"/>
    <w:rsid w:val="004766F5"/>
    <w:rsid w:val="004767D1"/>
    <w:rsid w:val="0047694D"/>
    <w:rsid w:val="0047708D"/>
    <w:rsid w:val="004771B8"/>
    <w:rsid w:val="00477539"/>
    <w:rsid w:val="00477B59"/>
    <w:rsid w:val="00477FF3"/>
    <w:rsid w:val="0048008B"/>
    <w:rsid w:val="00480251"/>
    <w:rsid w:val="004804DD"/>
    <w:rsid w:val="004804ED"/>
    <w:rsid w:val="004807FB"/>
    <w:rsid w:val="00480E5C"/>
    <w:rsid w:val="004816B5"/>
    <w:rsid w:val="00481819"/>
    <w:rsid w:val="00481836"/>
    <w:rsid w:val="004818C1"/>
    <w:rsid w:val="00481A08"/>
    <w:rsid w:val="00481B81"/>
    <w:rsid w:val="00481E2D"/>
    <w:rsid w:val="00481EE9"/>
    <w:rsid w:val="004822C8"/>
    <w:rsid w:val="0048263F"/>
    <w:rsid w:val="004826C2"/>
    <w:rsid w:val="00482ABD"/>
    <w:rsid w:val="00482C5B"/>
    <w:rsid w:val="00482D14"/>
    <w:rsid w:val="00482E9B"/>
    <w:rsid w:val="00482F19"/>
    <w:rsid w:val="0048367A"/>
    <w:rsid w:val="0048370C"/>
    <w:rsid w:val="00483E73"/>
    <w:rsid w:val="0048403C"/>
    <w:rsid w:val="00484265"/>
    <w:rsid w:val="0048450F"/>
    <w:rsid w:val="00484520"/>
    <w:rsid w:val="004845C8"/>
    <w:rsid w:val="004849AF"/>
    <w:rsid w:val="00484C3F"/>
    <w:rsid w:val="00484F7A"/>
    <w:rsid w:val="00485551"/>
    <w:rsid w:val="00485A3C"/>
    <w:rsid w:val="00485BF8"/>
    <w:rsid w:val="00485FD2"/>
    <w:rsid w:val="004861EA"/>
    <w:rsid w:val="0048667B"/>
    <w:rsid w:val="00486842"/>
    <w:rsid w:val="00486A3D"/>
    <w:rsid w:val="00486D78"/>
    <w:rsid w:val="00487446"/>
    <w:rsid w:val="00487817"/>
    <w:rsid w:val="00487AE2"/>
    <w:rsid w:val="00487BE4"/>
    <w:rsid w:val="004901EC"/>
    <w:rsid w:val="00490510"/>
    <w:rsid w:val="00490635"/>
    <w:rsid w:val="004908CB"/>
    <w:rsid w:val="00490915"/>
    <w:rsid w:val="00490CB3"/>
    <w:rsid w:val="00490EC3"/>
    <w:rsid w:val="00490FC0"/>
    <w:rsid w:val="00491129"/>
    <w:rsid w:val="00491340"/>
    <w:rsid w:val="0049166A"/>
    <w:rsid w:val="00491782"/>
    <w:rsid w:val="00491A70"/>
    <w:rsid w:val="00491AB2"/>
    <w:rsid w:val="00491E6B"/>
    <w:rsid w:val="0049217C"/>
    <w:rsid w:val="00492A3C"/>
    <w:rsid w:val="00492C4B"/>
    <w:rsid w:val="00492C50"/>
    <w:rsid w:val="00492C60"/>
    <w:rsid w:val="00492EE1"/>
    <w:rsid w:val="00492F0B"/>
    <w:rsid w:val="00492F7B"/>
    <w:rsid w:val="00493E9A"/>
    <w:rsid w:val="00493FD8"/>
    <w:rsid w:val="00494261"/>
    <w:rsid w:val="00494535"/>
    <w:rsid w:val="004946CC"/>
    <w:rsid w:val="00494963"/>
    <w:rsid w:val="00494AB5"/>
    <w:rsid w:val="00494D37"/>
    <w:rsid w:val="0049590D"/>
    <w:rsid w:val="00495EC4"/>
    <w:rsid w:val="004966F4"/>
    <w:rsid w:val="0049679E"/>
    <w:rsid w:val="00496C0B"/>
    <w:rsid w:val="00496C5F"/>
    <w:rsid w:val="00496D51"/>
    <w:rsid w:val="00496E51"/>
    <w:rsid w:val="00496ED1"/>
    <w:rsid w:val="004975BB"/>
    <w:rsid w:val="00497869"/>
    <w:rsid w:val="00497999"/>
    <w:rsid w:val="00497AD9"/>
    <w:rsid w:val="00497CAF"/>
    <w:rsid w:val="00497CE6"/>
    <w:rsid w:val="0049FBA6"/>
    <w:rsid w:val="004A0941"/>
    <w:rsid w:val="004A0B40"/>
    <w:rsid w:val="004A0D30"/>
    <w:rsid w:val="004A13D2"/>
    <w:rsid w:val="004A1532"/>
    <w:rsid w:val="004A1BD0"/>
    <w:rsid w:val="004A1EEB"/>
    <w:rsid w:val="004A23CF"/>
    <w:rsid w:val="004A23DA"/>
    <w:rsid w:val="004A28D9"/>
    <w:rsid w:val="004A2A72"/>
    <w:rsid w:val="004A2C81"/>
    <w:rsid w:val="004A32F3"/>
    <w:rsid w:val="004A3312"/>
    <w:rsid w:val="004A33A2"/>
    <w:rsid w:val="004A342E"/>
    <w:rsid w:val="004A3668"/>
    <w:rsid w:val="004A4256"/>
    <w:rsid w:val="004A42A2"/>
    <w:rsid w:val="004A42FE"/>
    <w:rsid w:val="004A45AD"/>
    <w:rsid w:val="004A4647"/>
    <w:rsid w:val="004A49CA"/>
    <w:rsid w:val="004A4A64"/>
    <w:rsid w:val="004A4EA5"/>
    <w:rsid w:val="004A5048"/>
    <w:rsid w:val="004A50B2"/>
    <w:rsid w:val="004A5305"/>
    <w:rsid w:val="004A54FD"/>
    <w:rsid w:val="004A589C"/>
    <w:rsid w:val="004A5902"/>
    <w:rsid w:val="004A5A9E"/>
    <w:rsid w:val="004A61E9"/>
    <w:rsid w:val="004A6263"/>
    <w:rsid w:val="004A63B1"/>
    <w:rsid w:val="004A666D"/>
    <w:rsid w:val="004A684E"/>
    <w:rsid w:val="004A6AF2"/>
    <w:rsid w:val="004A6D20"/>
    <w:rsid w:val="004A6D8E"/>
    <w:rsid w:val="004A7068"/>
    <w:rsid w:val="004A73D4"/>
    <w:rsid w:val="004A771C"/>
    <w:rsid w:val="004A798B"/>
    <w:rsid w:val="004A7BD1"/>
    <w:rsid w:val="004B0233"/>
    <w:rsid w:val="004B077B"/>
    <w:rsid w:val="004B08A2"/>
    <w:rsid w:val="004B0E80"/>
    <w:rsid w:val="004B1421"/>
    <w:rsid w:val="004B14D5"/>
    <w:rsid w:val="004B14E0"/>
    <w:rsid w:val="004B15C1"/>
    <w:rsid w:val="004B1DE9"/>
    <w:rsid w:val="004B1E66"/>
    <w:rsid w:val="004B22BD"/>
    <w:rsid w:val="004B22EB"/>
    <w:rsid w:val="004B2721"/>
    <w:rsid w:val="004B2A50"/>
    <w:rsid w:val="004B2AD7"/>
    <w:rsid w:val="004B2BCD"/>
    <w:rsid w:val="004B2BD4"/>
    <w:rsid w:val="004B2C3F"/>
    <w:rsid w:val="004B2D27"/>
    <w:rsid w:val="004B337C"/>
    <w:rsid w:val="004B377A"/>
    <w:rsid w:val="004B37EB"/>
    <w:rsid w:val="004B39FB"/>
    <w:rsid w:val="004B3A88"/>
    <w:rsid w:val="004B3D09"/>
    <w:rsid w:val="004B40AB"/>
    <w:rsid w:val="004B45F9"/>
    <w:rsid w:val="004B4667"/>
    <w:rsid w:val="004B4A5E"/>
    <w:rsid w:val="004B4F96"/>
    <w:rsid w:val="004B4FA9"/>
    <w:rsid w:val="004B55BA"/>
    <w:rsid w:val="004B5875"/>
    <w:rsid w:val="004B58E2"/>
    <w:rsid w:val="004B5AEC"/>
    <w:rsid w:val="004B5F1B"/>
    <w:rsid w:val="004B6458"/>
    <w:rsid w:val="004B6741"/>
    <w:rsid w:val="004B6E36"/>
    <w:rsid w:val="004B6F2C"/>
    <w:rsid w:val="004B6F76"/>
    <w:rsid w:val="004B7432"/>
    <w:rsid w:val="004B7CF0"/>
    <w:rsid w:val="004B7D85"/>
    <w:rsid w:val="004C0221"/>
    <w:rsid w:val="004C09F5"/>
    <w:rsid w:val="004C0E98"/>
    <w:rsid w:val="004C113C"/>
    <w:rsid w:val="004C118A"/>
    <w:rsid w:val="004C140C"/>
    <w:rsid w:val="004C15B5"/>
    <w:rsid w:val="004C1EA9"/>
    <w:rsid w:val="004C202D"/>
    <w:rsid w:val="004C2263"/>
    <w:rsid w:val="004C2371"/>
    <w:rsid w:val="004C288B"/>
    <w:rsid w:val="004C2C64"/>
    <w:rsid w:val="004C31D0"/>
    <w:rsid w:val="004C35B9"/>
    <w:rsid w:val="004C3A18"/>
    <w:rsid w:val="004C3B74"/>
    <w:rsid w:val="004C3D81"/>
    <w:rsid w:val="004C4381"/>
    <w:rsid w:val="004C4DDF"/>
    <w:rsid w:val="004C4DE6"/>
    <w:rsid w:val="004C4E7E"/>
    <w:rsid w:val="004C4EAF"/>
    <w:rsid w:val="004C4F00"/>
    <w:rsid w:val="004C531D"/>
    <w:rsid w:val="004C54D9"/>
    <w:rsid w:val="004C5596"/>
    <w:rsid w:val="004C567E"/>
    <w:rsid w:val="004C5794"/>
    <w:rsid w:val="004C5928"/>
    <w:rsid w:val="004C593B"/>
    <w:rsid w:val="004C5962"/>
    <w:rsid w:val="004C59CF"/>
    <w:rsid w:val="004C5A97"/>
    <w:rsid w:val="004C5B66"/>
    <w:rsid w:val="004C5DC0"/>
    <w:rsid w:val="004C5DF6"/>
    <w:rsid w:val="004C5E17"/>
    <w:rsid w:val="004C64F7"/>
    <w:rsid w:val="004C664A"/>
    <w:rsid w:val="004C6766"/>
    <w:rsid w:val="004C6859"/>
    <w:rsid w:val="004C695F"/>
    <w:rsid w:val="004C6AFD"/>
    <w:rsid w:val="004C6B4F"/>
    <w:rsid w:val="004C6BD5"/>
    <w:rsid w:val="004C6E0D"/>
    <w:rsid w:val="004C7008"/>
    <w:rsid w:val="004C704C"/>
    <w:rsid w:val="004C710E"/>
    <w:rsid w:val="004C7166"/>
    <w:rsid w:val="004C722E"/>
    <w:rsid w:val="004C767D"/>
    <w:rsid w:val="004C77F2"/>
    <w:rsid w:val="004C7D4E"/>
    <w:rsid w:val="004D0097"/>
    <w:rsid w:val="004D070C"/>
    <w:rsid w:val="004D085E"/>
    <w:rsid w:val="004D0C26"/>
    <w:rsid w:val="004D0CEE"/>
    <w:rsid w:val="004D16BA"/>
    <w:rsid w:val="004D1916"/>
    <w:rsid w:val="004D1AB7"/>
    <w:rsid w:val="004D1C57"/>
    <w:rsid w:val="004D2486"/>
    <w:rsid w:val="004D26CF"/>
    <w:rsid w:val="004D2BDA"/>
    <w:rsid w:val="004D2DCA"/>
    <w:rsid w:val="004D2F11"/>
    <w:rsid w:val="004D3395"/>
    <w:rsid w:val="004D3514"/>
    <w:rsid w:val="004D35EA"/>
    <w:rsid w:val="004D39D0"/>
    <w:rsid w:val="004D3ACE"/>
    <w:rsid w:val="004D3C25"/>
    <w:rsid w:val="004D4731"/>
    <w:rsid w:val="004D4C9A"/>
    <w:rsid w:val="004D4CFA"/>
    <w:rsid w:val="004D5027"/>
    <w:rsid w:val="004D527C"/>
    <w:rsid w:val="004D5413"/>
    <w:rsid w:val="004D559E"/>
    <w:rsid w:val="004D5882"/>
    <w:rsid w:val="004D60AC"/>
    <w:rsid w:val="004D6363"/>
    <w:rsid w:val="004D639E"/>
    <w:rsid w:val="004D69D5"/>
    <w:rsid w:val="004D714F"/>
    <w:rsid w:val="004D730D"/>
    <w:rsid w:val="004D73F0"/>
    <w:rsid w:val="004D743C"/>
    <w:rsid w:val="004D74D7"/>
    <w:rsid w:val="004D7647"/>
    <w:rsid w:val="004D798A"/>
    <w:rsid w:val="004D79DD"/>
    <w:rsid w:val="004D7D0C"/>
    <w:rsid w:val="004D7D9A"/>
    <w:rsid w:val="004E0149"/>
    <w:rsid w:val="004E0424"/>
    <w:rsid w:val="004E04FA"/>
    <w:rsid w:val="004E052A"/>
    <w:rsid w:val="004E0568"/>
    <w:rsid w:val="004E08A0"/>
    <w:rsid w:val="004E08E2"/>
    <w:rsid w:val="004E0D8B"/>
    <w:rsid w:val="004E0DD9"/>
    <w:rsid w:val="004E0F38"/>
    <w:rsid w:val="004E1127"/>
    <w:rsid w:val="004E1229"/>
    <w:rsid w:val="004E12E8"/>
    <w:rsid w:val="004E1327"/>
    <w:rsid w:val="004E1700"/>
    <w:rsid w:val="004E1C39"/>
    <w:rsid w:val="004E207A"/>
    <w:rsid w:val="004E213E"/>
    <w:rsid w:val="004E2651"/>
    <w:rsid w:val="004E281D"/>
    <w:rsid w:val="004E2E3F"/>
    <w:rsid w:val="004E2E7E"/>
    <w:rsid w:val="004E2FFF"/>
    <w:rsid w:val="004E37B6"/>
    <w:rsid w:val="004E39E9"/>
    <w:rsid w:val="004E3A49"/>
    <w:rsid w:val="004E3F17"/>
    <w:rsid w:val="004E3F8F"/>
    <w:rsid w:val="004E434D"/>
    <w:rsid w:val="004E4749"/>
    <w:rsid w:val="004E4952"/>
    <w:rsid w:val="004E4BBA"/>
    <w:rsid w:val="004E4F40"/>
    <w:rsid w:val="004E5674"/>
    <w:rsid w:val="004E57FA"/>
    <w:rsid w:val="004E5C21"/>
    <w:rsid w:val="004E5C61"/>
    <w:rsid w:val="004E5C8D"/>
    <w:rsid w:val="004E6098"/>
    <w:rsid w:val="004E60F4"/>
    <w:rsid w:val="004E636C"/>
    <w:rsid w:val="004E6525"/>
    <w:rsid w:val="004E67A5"/>
    <w:rsid w:val="004E6AC3"/>
    <w:rsid w:val="004E6B8E"/>
    <w:rsid w:val="004E6CD5"/>
    <w:rsid w:val="004E72E6"/>
    <w:rsid w:val="004E7332"/>
    <w:rsid w:val="004E77F1"/>
    <w:rsid w:val="004E78B5"/>
    <w:rsid w:val="004E7C01"/>
    <w:rsid w:val="004E7C7F"/>
    <w:rsid w:val="004E7F34"/>
    <w:rsid w:val="004F00CB"/>
    <w:rsid w:val="004F0382"/>
    <w:rsid w:val="004F03F3"/>
    <w:rsid w:val="004F04CB"/>
    <w:rsid w:val="004F0B5D"/>
    <w:rsid w:val="004F0B5F"/>
    <w:rsid w:val="004F0C61"/>
    <w:rsid w:val="004F0CB0"/>
    <w:rsid w:val="004F0DF1"/>
    <w:rsid w:val="004F0FB3"/>
    <w:rsid w:val="004F182A"/>
    <w:rsid w:val="004F19CF"/>
    <w:rsid w:val="004F1C98"/>
    <w:rsid w:val="004F1E89"/>
    <w:rsid w:val="004F2240"/>
    <w:rsid w:val="004F2597"/>
    <w:rsid w:val="004F26F4"/>
    <w:rsid w:val="004F28D7"/>
    <w:rsid w:val="004F2C81"/>
    <w:rsid w:val="004F2F67"/>
    <w:rsid w:val="004F31A7"/>
    <w:rsid w:val="004F31B0"/>
    <w:rsid w:val="004F32E9"/>
    <w:rsid w:val="004F3BBC"/>
    <w:rsid w:val="004F3D01"/>
    <w:rsid w:val="004F455D"/>
    <w:rsid w:val="004F511D"/>
    <w:rsid w:val="004F5784"/>
    <w:rsid w:val="004F58FB"/>
    <w:rsid w:val="004F59F7"/>
    <w:rsid w:val="004F5B01"/>
    <w:rsid w:val="004F5B06"/>
    <w:rsid w:val="004F5D0E"/>
    <w:rsid w:val="004F5F60"/>
    <w:rsid w:val="004F620D"/>
    <w:rsid w:val="004F62CD"/>
    <w:rsid w:val="004F64E0"/>
    <w:rsid w:val="004F6585"/>
    <w:rsid w:val="004F65B2"/>
    <w:rsid w:val="004F6718"/>
    <w:rsid w:val="004F6B8D"/>
    <w:rsid w:val="004F70DA"/>
    <w:rsid w:val="004F75F0"/>
    <w:rsid w:val="004F765B"/>
    <w:rsid w:val="004F7BF0"/>
    <w:rsid w:val="004F7C50"/>
    <w:rsid w:val="004F7C71"/>
    <w:rsid w:val="004F7F05"/>
    <w:rsid w:val="005000DA"/>
    <w:rsid w:val="005003D4"/>
    <w:rsid w:val="0050072B"/>
    <w:rsid w:val="00500795"/>
    <w:rsid w:val="00500C6B"/>
    <w:rsid w:val="00500EA4"/>
    <w:rsid w:val="005014EF"/>
    <w:rsid w:val="0050151C"/>
    <w:rsid w:val="00501537"/>
    <w:rsid w:val="005017DB"/>
    <w:rsid w:val="00501851"/>
    <w:rsid w:val="00501F28"/>
    <w:rsid w:val="005021BD"/>
    <w:rsid w:val="005021E9"/>
    <w:rsid w:val="005024A6"/>
    <w:rsid w:val="005028BD"/>
    <w:rsid w:val="00502EB9"/>
    <w:rsid w:val="005037F5"/>
    <w:rsid w:val="0050392A"/>
    <w:rsid w:val="00503A72"/>
    <w:rsid w:val="00503B86"/>
    <w:rsid w:val="00503F05"/>
    <w:rsid w:val="00504037"/>
    <w:rsid w:val="005040D3"/>
    <w:rsid w:val="00504158"/>
    <w:rsid w:val="005041EF"/>
    <w:rsid w:val="005042EF"/>
    <w:rsid w:val="005044EC"/>
    <w:rsid w:val="0050455E"/>
    <w:rsid w:val="005047D7"/>
    <w:rsid w:val="00504EAC"/>
    <w:rsid w:val="005050DB"/>
    <w:rsid w:val="0050549D"/>
    <w:rsid w:val="00505BBB"/>
    <w:rsid w:val="00505E89"/>
    <w:rsid w:val="00505EF1"/>
    <w:rsid w:val="00506209"/>
    <w:rsid w:val="00506297"/>
    <w:rsid w:val="00506AB7"/>
    <w:rsid w:val="0050752B"/>
    <w:rsid w:val="00507966"/>
    <w:rsid w:val="00507B1A"/>
    <w:rsid w:val="00507C01"/>
    <w:rsid w:val="00507C4E"/>
    <w:rsid w:val="00510341"/>
    <w:rsid w:val="00510886"/>
    <w:rsid w:val="0051097E"/>
    <w:rsid w:val="00510D1F"/>
    <w:rsid w:val="00510E09"/>
    <w:rsid w:val="00510FDD"/>
    <w:rsid w:val="0051110F"/>
    <w:rsid w:val="00511C7D"/>
    <w:rsid w:val="0051209D"/>
    <w:rsid w:val="0051237C"/>
    <w:rsid w:val="00512C09"/>
    <w:rsid w:val="00512D00"/>
    <w:rsid w:val="00512D1D"/>
    <w:rsid w:val="00513121"/>
    <w:rsid w:val="005131D2"/>
    <w:rsid w:val="00513D22"/>
    <w:rsid w:val="00514278"/>
    <w:rsid w:val="00514324"/>
    <w:rsid w:val="00514545"/>
    <w:rsid w:val="00514B0A"/>
    <w:rsid w:val="00514E59"/>
    <w:rsid w:val="005155EB"/>
    <w:rsid w:val="00515B95"/>
    <w:rsid w:val="00515D49"/>
    <w:rsid w:val="00516006"/>
    <w:rsid w:val="00516106"/>
    <w:rsid w:val="00516149"/>
    <w:rsid w:val="005162D8"/>
    <w:rsid w:val="00516482"/>
    <w:rsid w:val="005168E3"/>
    <w:rsid w:val="00516A4B"/>
    <w:rsid w:val="00516AAF"/>
    <w:rsid w:val="00516C2F"/>
    <w:rsid w:val="00516D10"/>
    <w:rsid w:val="00517101"/>
    <w:rsid w:val="00517A10"/>
    <w:rsid w:val="00517A1C"/>
    <w:rsid w:val="00517A30"/>
    <w:rsid w:val="00517A51"/>
    <w:rsid w:val="00517ABB"/>
    <w:rsid w:val="00517DB3"/>
    <w:rsid w:val="0052004F"/>
    <w:rsid w:val="0052017C"/>
    <w:rsid w:val="00520455"/>
    <w:rsid w:val="005204CD"/>
    <w:rsid w:val="00520EA8"/>
    <w:rsid w:val="00521051"/>
    <w:rsid w:val="005212FA"/>
    <w:rsid w:val="00521332"/>
    <w:rsid w:val="0052166A"/>
    <w:rsid w:val="00521756"/>
    <w:rsid w:val="005217F0"/>
    <w:rsid w:val="005219CF"/>
    <w:rsid w:val="00521D0F"/>
    <w:rsid w:val="00521DC9"/>
    <w:rsid w:val="00521EA5"/>
    <w:rsid w:val="00521EEE"/>
    <w:rsid w:val="005220BF"/>
    <w:rsid w:val="005224DE"/>
    <w:rsid w:val="00522D66"/>
    <w:rsid w:val="0052319A"/>
    <w:rsid w:val="005243BF"/>
    <w:rsid w:val="00524407"/>
    <w:rsid w:val="005244AA"/>
    <w:rsid w:val="00524CB7"/>
    <w:rsid w:val="00524D83"/>
    <w:rsid w:val="00524ECD"/>
    <w:rsid w:val="0052515B"/>
    <w:rsid w:val="00525179"/>
    <w:rsid w:val="00525AAD"/>
    <w:rsid w:val="00525BEC"/>
    <w:rsid w:val="00525EB0"/>
    <w:rsid w:val="00525FAD"/>
    <w:rsid w:val="005263E3"/>
    <w:rsid w:val="0052672B"/>
    <w:rsid w:val="00526754"/>
    <w:rsid w:val="00527D7B"/>
    <w:rsid w:val="00530533"/>
    <w:rsid w:val="0053081A"/>
    <w:rsid w:val="00530890"/>
    <w:rsid w:val="00530B66"/>
    <w:rsid w:val="00531A4A"/>
    <w:rsid w:val="00531BE4"/>
    <w:rsid w:val="00531C37"/>
    <w:rsid w:val="00531D40"/>
    <w:rsid w:val="0053208D"/>
    <w:rsid w:val="005320B2"/>
    <w:rsid w:val="00532360"/>
    <w:rsid w:val="00532679"/>
    <w:rsid w:val="005326CA"/>
    <w:rsid w:val="005327B9"/>
    <w:rsid w:val="005328A2"/>
    <w:rsid w:val="00532F46"/>
    <w:rsid w:val="00533036"/>
    <w:rsid w:val="005332B5"/>
    <w:rsid w:val="005336FB"/>
    <w:rsid w:val="00533BB9"/>
    <w:rsid w:val="00534062"/>
    <w:rsid w:val="005340E1"/>
    <w:rsid w:val="00534795"/>
    <w:rsid w:val="00534AD5"/>
    <w:rsid w:val="00534C48"/>
    <w:rsid w:val="00535033"/>
    <w:rsid w:val="005351B8"/>
    <w:rsid w:val="00535279"/>
    <w:rsid w:val="005356CE"/>
    <w:rsid w:val="0053595C"/>
    <w:rsid w:val="005359CC"/>
    <w:rsid w:val="00535A5D"/>
    <w:rsid w:val="00535E87"/>
    <w:rsid w:val="00536240"/>
    <w:rsid w:val="005362DA"/>
    <w:rsid w:val="005367F4"/>
    <w:rsid w:val="005369CA"/>
    <w:rsid w:val="00536A48"/>
    <w:rsid w:val="00536DB8"/>
    <w:rsid w:val="00536EBC"/>
    <w:rsid w:val="00536F93"/>
    <w:rsid w:val="00536FC4"/>
    <w:rsid w:val="0053703D"/>
    <w:rsid w:val="00537069"/>
    <w:rsid w:val="005374C7"/>
    <w:rsid w:val="005376DB"/>
    <w:rsid w:val="00537CD8"/>
    <w:rsid w:val="00537D2C"/>
    <w:rsid w:val="00537DAA"/>
    <w:rsid w:val="00540018"/>
    <w:rsid w:val="0054061A"/>
    <w:rsid w:val="0054067A"/>
    <w:rsid w:val="00540719"/>
    <w:rsid w:val="00540A1D"/>
    <w:rsid w:val="00540E35"/>
    <w:rsid w:val="00541AC8"/>
    <w:rsid w:val="00541BD3"/>
    <w:rsid w:val="00541F43"/>
    <w:rsid w:val="005420D9"/>
    <w:rsid w:val="005421B4"/>
    <w:rsid w:val="00542301"/>
    <w:rsid w:val="0054234E"/>
    <w:rsid w:val="005423F5"/>
    <w:rsid w:val="005428FE"/>
    <w:rsid w:val="005429E5"/>
    <w:rsid w:val="00542CE9"/>
    <w:rsid w:val="00543416"/>
    <w:rsid w:val="00543672"/>
    <w:rsid w:val="005439B5"/>
    <w:rsid w:val="00543B7A"/>
    <w:rsid w:val="00544066"/>
    <w:rsid w:val="0054406F"/>
    <w:rsid w:val="005440AD"/>
    <w:rsid w:val="00544398"/>
    <w:rsid w:val="0054440C"/>
    <w:rsid w:val="00544439"/>
    <w:rsid w:val="00544615"/>
    <w:rsid w:val="005449A7"/>
    <w:rsid w:val="00544D97"/>
    <w:rsid w:val="0054557D"/>
    <w:rsid w:val="005456EA"/>
    <w:rsid w:val="00545869"/>
    <w:rsid w:val="00545938"/>
    <w:rsid w:val="005462AE"/>
    <w:rsid w:val="0054638F"/>
    <w:rsid w:val="0054675E"/>
    <w:rsid w:val="00546B7E"/>
    <w:rsid w:val="00546C96"/>
    <w:rsid w:val="00546FCC"/>
    <w:rsid w:val="005473BB"/>
    <w:rsid w:val="005475D5"/>
    <w:rsid w:val="005478E6"/>
    <w:rsid w:val="00547AE7"/>
    <w:rsid w:val="00547BD0"/>
    <w:rsid w:val="00547C44"/>
    <w:rsid w:val="005500C3"/>
    <w:rsid w:val="0055029C"/>
    <w:rsid w:val="00550B39"/>
    <w:rsid w:val="00550BBC"/>
    <w:rsid w:val="0055121C"/>
    <w:rsid w:val="0055124E"/>
    <w:rsid w:val="005513F6"/>
    <w:rsid w:val="005516A4"/>
    <w:rsid w:val="00551CAE"/>
    <w:rsid w:val="00551F6D"/>
    <w:rsid w:val="00552272"/>
    <w:rsid w:val="005522CB"/>
    <w:rsid w:val="00552542"/>
    <w:rsid w:val="005525C4"/>
    <w:rsid w:val="00552607"/>
    <w:rsid w:val="00552BF1"/>
    <w:rsid w:val="005530FD"/>
    <w:rsid w:val="00553616"/>
    <w:rsid w:val="00553D5A"/>
    <w:rsid w:val="00553FCF"/>
    <w:rsid w:val="00554232"/>
    <w:rsid w:val="005542F9"/>
    <w:rsid w:val="005545C2"/>
    <w:rsid w:val="00554A12"/>
    <w:rsid w:val="00554B92"/>
    <w:rsid w:val="00555106"/>
    <w:rsid w:val="00555910"/>
    <w:rsid w:val="00555B03"/>
    <w:rsid w:val="00555BFF"/>
    <w:rsid w:val="005560ED"/>
    <w:rsid w:val="00556764"/>
    <w:rsid w:val="00556A0D"/>
    <w:rsid w:val="00556A2B"/>
    <w:rsid w:val="0055723D"/>
    <w:rsid w:val="00557362"/>
    <w:rsid w:val="0056025D"/>
    <w:rsid w:val="005603C0"/>
    <w:rsid w:val="00560A4D"/>
    <w:rsid w:val="00560A73"/>
    <w:rsid w:val="00560AB3"/>
    <w:rsid w:val="00560B95"/>
    <w:rsid w:val="00560C8A"/>
    <w:rsid w:val="00560DDC"/>
    <w:rsid w:val="005610B6"/>
    <w:rsid w:val="00561719"/>
    <w:rsid w:val="00561ABE"/>
    <w:rsid w:val="00561C5F"/>
    <w:rsid w:val="00562326"/>
    <w:rsid w:val="005623AC"/>
    <w:rsid w:val="0056242F"/>
    <w:rsid w:val="0056253C"/>
    <w:rsid w:val="00562638"/>
    <w:rsid w:val="00562654"/>
    <w:rsid w:val="005627C3"/>
    <w:rsid w:val="00562E84"/>
    <w:rsid w:val="00563818"/>
    <w:rsid w:val="00563956"/>
    <w:rsid w:val="00563FF5"/>
    <w:rsid w:val="005646B5"/>
    <w:rsid w:val="00564828"/>
    <w:rsid w:val="0056483E"/>
    <w:rsid w:val="00564898"/>
    <w:rsid w:val="00564A46"/>
    <w:rsid w:val="00565003"/>
    <w:rsid w:val="00565168"/>
    <w:rsid w:val="005653E2"/>
    <w:rsid w:val="005654D5"/>
    <w:rsid w:val="00565506"/>
    <w:rsid w:val="0056558A"/>
    <w:rsid w:val="00565697"/>
    <w:rsid w:val="00565710"/>
    <w:rsid w:val="005657B4"/>
    <w:rsid w:val="005659E9"/>
    <w:rsid w:val="005664B7"/>
    <w:rsid w:val="00566581"/>
    <w:rsid w:val="005665E3"/>
    <w:rsid w:val="00566665"/>
    <w:rsid w:val="005666CA"/>
    <w:rsid w:val="00566E04"/>
    <w:rsid w:val="005677FB"/>
    <w:rsid w:val="00567859"/>
    <w:rsid w:val="00567C61"/>
    <w:rsid w:val="00567C7A"/>
    <w:rsid w:val="00567C9A"/>
    <w:rsid w:val="00567D66"/>
    <w:rsid w:val="00567E27"/>
    <w:rsid w:val="00567E33"/>
    <w:rsid w:val="00567E8F"/>
    <w:rsid w:val="005700AD"/>
    <w:rsid w:val="005703B3"/>
    <w:rsid w:val="0057082B"/>
    <w:rsid w:val="00570D56"/>
    <w:rsid w:val="00570ECE"/>
    <w:rsid w:val="00570F0A"/>
    <w:rsid w:val="00571289"/>
    <w:rsid w:val="0057193E"/>
    <w:rsid w:val="00571F49"/>
    <w:rsid w:val="005724E6"/>
    <w:rsid w:val="005730AA"/>
    <w:rsid w:val="00573360"/>
    <w:rsid w:val="00573409"/>
    <w:rsid w:val="0057342C"/>
    <w:rsid w:val="0057342F"/>
    <w:rsid w:val="00573549"/>
    <w:rsid w:val="005736A1"/>
    <w:rsid w:val="00573752"/>
    <w:rsid w:val="00573A9C"/>
    <w:rsid w:val="00573E46"/>
    <w:rsid w:val="00573E71"/>
    <w:rsid w:val="00574387"/>
    <w:rsid w:val="005745ED"/>
    <w:rsid w:val="00574642"/>
    <w:rsid w:val="005749EF"/>
    <w:rsid w:val="00574D3F"/>
    <w:rsid w:val="00575117"/>
    <w:rsid w:val="0057517F"/>
    <w:rsid w:val="005753CF"/>
    <w:rsid w:val="00575442"/>
    <w:rsid w:val="005759CA"/>
    <w:rsid w:val="00575A68"/>
    <w:rsid w:val="00575B35"/>
    <w:rsid w:val="00575BF0"/>
    <w:rsid w:val="00575CFE"/>
    <w:rsid w:val="00575D4B"/>
    <w:rsid w:val="00575D8A"/>
    <w:rsid w:val="00575ED9"/>
    <w:rsid w:val="0057640E"/>
    <w:rsid w:val="005768A5"/>
    <w:rsid w:val="00576965"/>
    <w:rsid w:val="00576A3B"/>
    <w:rsid w:val="00576DCE"/>
    <w:rsid w:val="00577058"/>
    <w:rsid w:val="00577165"/>
    <w:rsid w:val="00577311"/>
    <w:rsid w:val="00577452"/>
    <w:rsid w:val="0057799F"/>
    <w:rsid w:val="00577DEC"/>
    <w:rsid w:val="00577E65"/>
    <w:rsid w:val="0058007C"/>
    <w:rsid w:val="005800E2"/>
    <w:rsid w:val="005803C5"/>
    <w:rsid w:val="00580526"/>
    <w:rsid w:val="0058081D"/>
    <w:rsid w:val="005808C1"/>
    <w:rsid w:val="0058095B"/>
    <w:rsid w:val="0058145B"/>
    <w:rsid w:val="005817F0"/>
    <w:rsid w:val="005819EF"/>
    <w:rsid w:val="00581AE1"/>
    <w:rsid w:val="00581C12"/>
    <w:rsid w:val="005821CE"/>
    <w:rsid w:val="00582406"/>
    <w:rsid w:val="0058254A"/>
    <w:rsid w:val="00582610"/>
    <w:rsid w:val="00582B69"/>
    <w:rsid w:val="00582DBC"/>
    <w:rsid w:val="00582F2D"/>
    <w:rsid w:val="0058315F"/>
    <w:rsid w:val="00583291"/>
    <w:rsid w:val="005836AD"/>
    <w:rsid w:val="005836D6"/>
    <w:rsid w:val="005837CA"/>
    <w:rsid w:val="0058380E"/>
    <w:rsid w:val="00583AC1"/>
    <w:rsid w:val="00583B45"/>
    <w:rsid w:val="00583DB1"/>
    <w:rsid w:val="00583F77"/>
    <w:rsid w:val="00584018"/>
    <w:rsid w:val="005840ED"/>
    <w:rsid w:val="00584164"/>
    <w:rsid w:val="0058438A"/>
    <w:rsid w:val="00584667"/>
    <w:rsid w:val="00584795"/>
    <w:rsid w:val="00584DCB"/>
    <w:rsid w:val="0058506E"/>
    <w:rsid w:val="005858DA"/>
    <w:rsid w:val="00585B54"/>
    <w:rsid w:val="00585B72"/>
    <w:rsid w:val="00585F21"/>
    <w:rsid w:val="005860E6"/>
    <w:rsid w:val="005863C5"/>
    <w:rsid w:val="00586F81"/>
    <w:rsid w:val="005870B9"/>
    <w:rsid w:val="005873F6"/>
    <w:rsid w:val="00587B6D"/>
    <w:rsid w:val="00587C43"/>
    <w:rsid w:val="00587EE7"/>
    <w:rsid w:val="00587EFB"/>
    <w:rsid w:val="0059068A"/>
    <w:rsid w:val="005907A4"/>
    <w:rsid w:val="00590B8E"/>
    <w:rsid w:val="00590E1E"/>
    <w:rsid w:val="00591105"/>
    <w:rsid w:val="005916FB"/>
    <w:rsid w:val="00591C86"/>
    <w:rsid w:val="00591F83"/>
    <w:rsid w:val="005921C3"/>
    <w:rsid w:val="005923F6"/>
    <w:rsid w:val="0059260A"/>
    <w:rsid w:val="00592D9B"/>
    <w:rsid w:val="00592DD1"/>
    <w:rsid w:val="005931B6"/>
    <w:rsid w:val="00593334"/>
    <w:rsid w:val="0059333C"/>
    <w:rsid w:val="005935BA"/>
    <w:rsid w:val="0059378B"/>
    <w:rsid w:val="005937E7"/>
    <w:rsid w:val="00593EF8"/>
    <w:rsid w:val="0059439B"/>
    <w:rsid w:val="005944C3"/>
    <w:rsid w:val="00594749"/>
    <w:rsid w:val="0059474F"/>
    <w:rsid w:val="00594A69"/>
    <w:rsid w:val="00595100"/>
    <w:rsid w:val="005955EE"/>
    <w:rsid w:val="00595B76"/>
    <w:rsid w:val="00595CE3"/>
    <w:rsid w:val="00595DF0"/>
    <w:rsid w:val="00595E70"/>
    <w:rsid w:val="0059667E"/>
    <w:rsid w:val="005966C6"/>
    <w:rsid w:val="00596E8B"/>
    <w:rsid w:val="00596F61"/>
    <w:rsid w:val="00597099"/>
    <w:rsid w:val="005972DD"/>
    <w:rsid w:val="005973D2"/>
    <w:rsid w:val="0059746D"/>
    <w:rsid w:val="005978E9"/>
    <w:rsid w:val="00597908"/>
    <w:rsid w:val="005979A8"/>
    <w:rsid w:val="00597D6B"/>
    <w:rsid w:val="00597E57"/>
    <w:rsid w:val="00597F00"/>
    <w:rsid w:val="005A033E"/>
    <w:rsid w:val="005A07F0"/>
    <w:rsid w:val="005A09FD"/>
    <w:rsid w:val="005A15DB"/>
    <w:rsid w:val="005A16A6"/>
    <w:rsid w:val="005A17E4"/>
    <w:rsid w:val="005A1B08"/>
    <w:rsid w:val="005A1C8A"/>
    <w:rsid w:val="005A1E19"/>
    <w:rsid w:val="005A1FE8"/>
    <w:rsid w:val="005A2006"/>
    <w:rsid w:val="005A2230"/>
    <w:rsid w:val="005A2282"/>
    <w:rsid w:val="005A2388"/>
    <w:rsid w:val="005A2937"/>
    <w:rsid w:val="005A2C86"/>
    <w:rsid w:val="005A2D6A"/>
    <w:rsid w:val="005A2F4A"/>
    <w:rsid w:val="005A3132"/>
    <w:rsid w:val="005A366A"/>
    <w:rsid w:val="005A367B"/>
    <w:rsid w:val="005A373E"/>
    <w:rsid w:val="005A3F82"/>
    <w:rsid w:val="005A41AE"/>
    <w:rsid w:val="005A45FB"/>
    <w:rsid w:val="005A4677"/>
    <w:rsid w:val="005A46E2"/>
    <w:rsid w:val="005A4705"/>
    <w:rsid w:val="005A4897"/>
    <w:rsid w:val="005A4DB8"/>
    <w:rsid w:val="005A5177"/>
    <w:rsid w:val="005A53A6"/>
    <w:rsid w:val="005A5884"/>
    <w:rsid w:val="005A5907"/>
    <w:rsid w:val="005A5AB5"/>
    <w:rsid w:val="005A5B97"/>
    <w:rsid w:val="005A5BA0"/>
    <w:rsid w:val="005A5C6F"/>
    <w:rsid w:val="005A5C97"/>
    <w:rsid w:val="005A5CD1"/>
    <w:rsid w:val="005A5F0A"/>
    <w:rsid w:val="005A5F37"/>
    <w:rsid w:val="005A656D"/>
    <w:rsid w:val="005A667C"/>
    <w:rsid w:val="005A6895"/>
    <w:rsid w:val="005A68F9"/>
    <w:rsid w:val="005A6972"/>
    <w:rsid w:val="005A6DF2"/>
    <w:rsid w:val="005A6F24"/>
    <w:rsid w:val="005A76C0"/>
    <w:rsid w:val="005A773F"/>
    <w:rsid w:val="005A782E"/>
    <w:rsid w:val="005A7C76"/>
    <w:rsid w:val="005A7CB2"/>
    <w:rsid w:val="005B036F"/>
    <w:rsid w:val="005B0378"/>
    <w:rsid w:val="005B0680"/>
    <w:rsid w:val="005B072D"/>
    <w:rsid w:val="005B09D6"/>
    <w:rsid w:val="005B0D52"/>
    <w:rsid w:val="005B120F"/>
    <w:rsid w:val="005B1893"/>
    <w:rsid w:val="005B19AF"/>
    <w:rsid w:val="005B1ADC"/>
    <w:rsid w:val="005B1C88"/>
    <w:rsid w:val="005B1E97"/>
    <w:rsid w:val="005B20CB"/>
    <w:rsid w:val="005B2294"/>
    <w:rsid w:val="005B2340"/>
    <w:rsid w:val="005B2369"/>
    <w:rsid w:val="005B236C"/>
    <w:rsid w:val="005B23F2"/>
    <w:rsid w:val="005B26DB"/>
    <w:rsid w:val="005B2828"/>
    <w:rsid w:val="005B2981"/>
    <w:rsid w:val="005B29A1"/>
    <w:rsid w:val="005B2F07"/>
    <w:rsid w:val="005B30EC"/>
    <w:rsid w:val="005B395D"/>
    <w:rsid w:val="005B3960"/>
    <w:rsid w:val="005B3ABD"/>
    <w:rsid w:val="005B3B1B"/>
    <w:rsid w:val="005B3B95"/>
    <w:rsid w:val="005B417F"/>
    <w:rsid w:val="005B48D9"/>
    <w:rsid w:val="005B4910"/>
    <w:rsid w:val="005B4F66"/>
    <w:rsid w:val="005B51AA"/>
    <w:rsid w:val="005B5CB0"/>
    <w:rsid w:val="005B5D94"/>
    <w:rsid w:val="005B5DA0"/>
    <w:rsid w:val="005B5E97"/>
    <w:rsid w:val="005B6355"/>
    <w:rsid w:val="005B65AA"/>
    <w:rsid w:val="005B6B22"/>
    <w:rsid w:val="005B7324"/>
    <w:rsid w:val="005B747A"/>
    <w:rsid w:val="005B7578"/>
    <w:rsid w:val="005B77E8"/>
    <w:rsid w:val="005B7871"/>
    <w:rsid w:val="005B7D94"/>
    <w:rsid w:val="005B7EDF"/>
    <w:rsid w:val="005C001C"/>
    <w:rsid w:val="005C0792"/>
    <w:rsid w:val="005C0A44"/>
    <w:rsid w:val="005C0B3E"/>
    <w:rsid w:val="005C0B79"/>
    <w:rsid w:val="005C0DAF"/>
    <w:rsid w:val="005C0FA9"/>
    <w:rsid w:val="005C174C"/>
    <w:rsid w:val="005C1963"/>
    <w:rsid w:val="005C1A95"/>
    <w:rsid w:val="005C1C71"/>
    <w:rsid w:val="005C1E38"/>
    <w:rsid w:val="005C288C"/>
    <w:rsid w:val="005C2AA2"/>
    <w:rsid w:val="005C2C44"/>
    <w:rsid w:val="005C3149"/>
    <w:rsid w:val="005C3203"/>
    <w:rsid w:val="005C3242"/>
    <w:rsid w:val="005C3529"/>
    <w:rsid w:val="005C395F"/>
    <w:rsid w:val="005C3AFE"/>
    <w:rsid w:val="005C3C87"/>
    <w:rsid w:val="005C3E5C"/>
    <w:rsid w:val="005C3EF5"/>
    <w:rsid w:val="005C3F76"/>
    <w:rsid w:val="005C401D"/>
    <w:rsid w:val="005C411F"/>
    <w:rsid w:val="005C413C"/>
    <w:rsid w:val="005C41B0"/>
    <w:rsid w:val="005C43F4"/>
    <w:rsid w:val="005C4705"/>
    <w:rsid w:val="005C473E"/>
    <w:rsid w:val="005C4DD9"/>
    <w:rsid w:val="005C4FE9"/>
    <w:rsid w:val="005C5045"/>
    <w:rsid w:val="005C54D6"/>
    <w:rsid w:val="005C57E6"/>
    <w:rsid w:val="005C5CF0"/>
    <w:rsid w:val="005C5E4C"/>
    <w:rsid w:val="005C693B"/>
    <w:rsid w:val="005C6A52"/>
    <w:rsid w:val="005C6BBB"/>
    <w:rsid w:val="005C6BE2"/>
    <w:rsid w:val="005C7083"/>
    <w:rsid w:val="005C7457"/>
    <w:rsid w:val="005C795E"/>
    <w:rsid w:val="005C7EAF"/>
    <w:rsid w:val="005D00F1"/>
    <w:rsid w:val="005D0197"/>
    <w:rsid w:val="005D05FC"/>
    <w:rsid w:val="005D07D4"/>
    <w:rsid w:val="005D0A6E"/>
    <w:rsid w:val="005D0A9C"/>
    <w:rsid w:val="005D0B29"/>
    <w:rsid w:val="005D0E1F"/>
    <w:rsid w:val="005D102B"/>
    <w:rsid w:val="005D145B"/>
    <w:rsid w:val="005D1CD6"/>
    <w:rsid w:val="005D1D95"/>
    <w:rsid w:val="005D21A4"/>
    <w:rsid w:val="005D21B8"/>
    <w:rsid w:val="005D2316"/>
    <w:rsid w:val="005D29B7"/>
    <w:rsid w:val="005D309E"/>
    <w:rsid w:val="005D37C6"/>
    <w:rsid w:val="005D3BC3"/>
    <w:rsid w:val="005D3C14"/>
    <w:rsid w:val="005D3EC5"/>
    <w:rsid w:val="005D47BE"/>
    <w:rsid w:val="005D505C"/>
    <w:rsid w:val="005D56B5"/>
    <w:rsid w:val="005D58CD"/>
    <w:rsid w:val="005D5B92"/>
    <w:rsid w:val="005D5D19"/>
    <w:rsid w:val="005D5D3F"/>
    <w:rsid w:val="005D5E0F"/>
    <w:rsid w:val="005D652A"/>
    <w:rsid w:val="005D660D"/>
    <w:rsid w:val="005D67DA"/>
    <w:rsid w:val="005D6C35"/>
    <w:rsid w:val="005D6E4E"/>
    <w:rsid w:val="005D749B"/>
    <w:rsid w:val="005D78BB"/>
    <w:rsid w:val="005D7D1F"/>
    <w:rsid w:val="005E0098"/>
    <w:rsid w:val="005E0183"/>
    <w:rsid w:val="005E0475"/>
    <w:rsid w:val="005E04FF"/>
    <w:rsid w:val="005E0FBA"/>
    <w:rsid w:val="005E109B"/>
    <w:rsid w:val="005E16F0"/>
    <w:rsid w:val="005E197F"/>
    <w:rsid w:val="005E1B35"/>
    <w:rsid w:val="005E1BA6"/>
    <w:rsid w:val="005E1F35"/>
    <w:rsid w:val="005E232F"/>
    <w:rsid w:val="005E23DF"/>
    <w:rsid w:val="005E26FC"/>
    <w:rsid w:val="005E298C"/>
    <w:rsid w:val="005E2CDA"/>
    <w:rsid w:val="005E2DAD"/>
    <w:rsid w:val="005E338F"/>
    <w:rsid w:val="005E3603"/>
    <w:rsid w:val="005E3650"/>
    <w:rsid w:val="005E36DC"/>
    <w:rsid w:val="005E395F"/>
    <w:rsid w:val="005E3A7F"/>
    <w:rsid w:val="005E4088"/>
    <w:rsid w:val="005E448C"/>
    <w:rsid w:val="005E4513"/>
    <w:rsid w:val="005E482E"/>
    <w:rsid w:val="005E4C52"/>
    <w:rsid w:val="005E4CD8"/>
    <w:rsid w:val="005E501E"/>
    <w:rsid w:val="005E528D"/>
    <w:rsid w:val="005E551D"/>
    <w:rsid w:val="005E5527"/>
    <w:rsid w:val="005E5AB2"/>
    <w:rsid w:val="005E60B1"/>
    <w:rsid w:val="005E60EE"/>
    <w:rsid w:val="005E66B6"/>
    <w:rsid w:val="005E69D4"/>
    <w:rsid w:val="005E6F0C"/>
    <w:rsid w:val="005E749D"/>
    <w:rsid w:val="005E776F"/>
    <w:rsid w:val="005E7AAD"/>
    <w:rsid w:val="005E7B32"/>
    <w:rsid w:val="005E7CED"/>
    <w:rsid w:val="005E7F78"/>
    <w:rsid w:val="005F00EB"/>
    <w:rsid w:val="005F010C"/>
    <w:rsid w:val="005F032B"/>
    <w:rsid w:val="005F0414"/>
    <w:rsid w:val="005F0552"/>
    <w:rsid w:val="005F06FE"/>
    <w:rsid w:val="005F087A"/>
    <w:rsid w:val="005F0B2D"/>
    <w:rsid w:val="005F1022"/>
    <w:rsid w:val="005F13B0"/>
    <w:rsid w:val="005F155F"/>
    <w:rsid w:val="005F1FB7"/>
    <w:rsid w:val="005F224A"/>
    <w:rsid w:val="005F255C"/>
    <w:rsid w:val="005F277D"/>
    <w:rsid w:val="005F296F"/>
    <w:rsid w:val="005F2FD2"/>
    <w:rsid w:val="005F3247"/>
    <w:rsid w:val="005F39D2"/>
    <w:rsid w:val="005F39D5"/>
    <w:rsid w:val="005F3B7C"/>
    <w:rsid w:val="005F3BFD"/>
    <w:rsid w:val="005F3D13"/>
    <w:rsid w:val="005F44B3"/>
    <w:rsid w:val="005F48A8"/>
    <w:rsid w:val="005F4BC3"/>
    <w:rsid w:val="005F4EAF"/>
    <w:rsid w:val="005F4F22"/>
    <w:rsid w:val="005F4F76"/>
    <w:rsid w:val="005F57E0"/>
    <w:rsid w:val="005F57FA"/>
    <w:rsid w:val="005F5AF0"/>
    <w:rsid w:val="005F5B1D"/>
    <w:rsid w:val="005F63F8"/>
    <w:rsid w:val="005F6B16"/>
    <w:rsid w:val="005F6D25"/>
    <w:rsid w:val="005F6E75"/>
    <w:rsid w:val="005F6F9C"/>
    <w:rsid w:val="005F71E0"/>
    <w:rsid w:val="005F79EB"/>
    <w:rsid w:val="005F7AB6"/>
    <w:rsid w:val="005F7ED9"/>
    <w:rsid w:val="00600030"/>
    <w:rsid w:val="0060028D"/>
    <w:rsid w:val="0060054E"/>
    <w:rsid w:val="00600717"/>
    <w:rsid w:val="00600726"/>
    <w:rsid w:val="0060097E"/>
    <w:rsid w:val="00600CD4"/>
    <w:rsid w:val="00601EA4"/>
    <w:rsid w:val="00602195"/>
    <w:rsid w:val="0060223C"/>
    <w:rsid w:val="00602429"/>
    <w:rsid w:val="0060249C"/>
    <w:rsid w:val="0060288A"/>
    <w:rsid w:val="00602CAE"/>
    <w:rsid w:val="00602E15"/>
    <w:rsid w:val="00602E79"/>
    <w:rsid w:val="006032AF"/>
    <w:rsid w:val="006034AA"/>
    <w:rsid w:val="006039DD"/>
    <w:rsid w:val="00603CE8"/>
    <w:rsid w:val="00604B4C"/>
    <w:rsid w:val="00604D60"/>
    <w:rsid w:val="00604D98"/>
    <w:rsid w:val="00604F68"/>
    <w:rsid w:val="00605136"/>
    <w:rsid w:val="00605469"/>
    <w:rsid w:val="00605D2B"/>
    <w:rsid w:val="00605ECF"/>
    <w:rsid w:val="00606443"/>
    <w:rsid w:val="0060668E"/>
    <w:rsid w:val="00606744"/>
    <w:rsid w:val="006068D3"/>
    <w:rsid w:val="00606A26"/>
    <w:rsid w:val="00606DDC"/>
    <w:rsid w:val="00606E69"/>
    <w:rsid w:val="00607178"/>
    <w:rsid w:val="006074A8"/>
    <w:rsid w:val="006075AA"/>
    <w:rsid w:val="00607C3F"/>
    <w:rsid w:val="0061018E"/>
    <w:rsid w:val="00610230"/>
    <w:rsid w:val="00610636"/>
    <w:rsid w:val="00610F08"/>
    <w:rsid w:val="00610F66"/>
    <w:rsid w:val="00612169"/>
    <w:rsid w:val="006127F4"/>
    <w:rsid w:val="0061302C"/>
    <w:rsid w:val="00613200"/>
    <w:rsid w:val="0061369F"/>
    <w:rsid w:val="00613769"/>
    <w:rsid w:val="00613845"/>
    <w:rsid w:val="0061394B"/>
    <w:rsid w:val="00613B2D"/>
    <w:rsid w:val="00613DC6"/>
    <w:rsid w:val="00613E8A"/>
    <w:rsid w:val="006146EA"/>
    <w:rsid w:val="00614D1F"/>
    <w:rsid w:val="00614DB7"/>
    <w:rsid w:val="00614E69"/>
    <w:rsid w:val="0061519C"/>
    <w:rsid w:val="006154B2"/>
    <w:rsid w:val="00615B82"/>
    <w:rsid w:val="00615D38"/>
    <w:rsid w:val="00616561"/>
    <w:rsid w:val="00616C00"/>
    <w:rsid w:val="00616CD8"/>
    <w:rsid w:val="00616D97"/>
    <w:rsid w:val="006170EF"/>
    <w:rsid w:val="00617191"/>
    <w:rsid w:val="006174BB"/>
    <w:rsid w:val="006176C0"/>
    <w:rsid w:val="00617713"/>
    <w:rsid w:val="006177E3"/>
    <w:rsid w:val="00617958"/>
    <w:rsid w:val="00617AB8"/>
    <w:rsid w:val="00617BC5"/>
    <w:rsid w:val="00617CBB"/>
    <w:rsid w:val="00617DAA"/>
    <w:rsid w:val="0062021A"/>
    <w:rsid w:val="00620415"/>
    <w:rsid w:val="006209D6"/>
    <w:rsid w:val="00620C29"/>
    <w:rsid w:val="00620D1B"/>
    <w:rsid w:val="0062102A"/>
    <w:rsid w:val="00621094"/>
    <w:rsid w:val="0062111E"/>
    <w:rsid w:val="006217A7"/>
    <w:rsid w:val="006218F3"/>
    <w:rsid w:val="00621931"/>
    <w:rsid w:val="0062197A"/>
    <w:rsid w:val="00621C8D"/>
    <w:rsid w:val="00621F8C"/>
    <w:rsid w:val="00622593"/>
    <w:rsid w:val="006226AD"/>
    <w:rsid w:val="006226E6"/>
    <w:rsid w:val="00622846"/>
    <w:rsid w:val="0062284F"/>
    <w:rsid w:val="006229A5"/>
    <w:rsid w:val="00622A62"/>
    <w:rsid w:val="00622B76"/>
    <w:rsid w:val="00622CE8"/>
    <w:rsid w:val="00622E11"/>
    <w:rsid w:val="006230E4"/>
    <w:rsid w:val="00623492"/>
    <w:rsid w:val="006234CF"/>
    <w:rsid w:val="00624360"/>
    <w:rsid w:val="006245DD"/>
    <w:rsid w:val="00624BD6"/>
    <w:rsid w:val="00624D83"/>
    <w:rsid w:val="006250A3"/>
    <w:rsid w:val="0062520E"/>
    <w:rsid w:val="00625416"/>
    <w:rsid w:val="00625C25"/>
    <w:rsid w:val="00625FCE"/>
    <w:rsid w:val="006263C2"/>
    <w:rsid w:val="00626535"/>
    <w:rsid w:val="00626702"/>
    <w:rsid w:val="006268AB"/>
    <w:rsid w:val="00626CD5"/>
    <w:rsid w:val="00626F46"/>
    <w:rsid w:val="00626F99"/>
    <w:rsid w:val="006270DB"/>
    <w:rsid w:val="00627BF3"/>
    <w:rsid w:val="00627CD5"/>
    <w:rsid w:val="00627E69"/>
    <w:rsid w:val="00630256"/>
    <w:rsid w:val="00630527"/>
    <w:rsid w:val="00630D3E"/>
    <w:rsid w:val="00630EEC"/>
    <w:rsid w:val="006310A2"/>
    <w:rsid w:val="00631884"/>
    <w:rsid w:val="006319ED"/>
    <w:rsid w:val="00632161"/>
    <w:rsid w:val="00632211"/>
    <w:rsid w:val="00632503"/>
    <w:rsid w:val="00632616"/>
    <w:rsid w:val="00632AF2"/>
    <w:rsid w:val="00632C06"/>
    <w:rsid w:val="00632C33"/>
    <w:rsid w:val="00632DA0"/>
    <w:rsid w:val="00632E58"/>
    <w:rsid w:val="00632F36"/>
    <w:rsid w:val="0063371B"/>
    <w:rsid w:val="00633747"/>
    <w:rsid w:val="006337CD"/>
    <w:rsid w:val="00633B70"/>
    <w:rsid w:val="006344D6"/>
    <w:rsid w:val="00634640"/>
    <w:rsid w:val="00634667"/>
    <w:rsid w:val="0063469E"/>
    <w:rsid w:val="006347B5"/>
    <w:rsid w:val="006347BC"/>
    <w:rsid w:val="00634BFE"/>
    <w:rsid w:val="00634E6A"/>
    <w:rsid w:val="00634EF2"/>
    <w:rsid w:val="00634FC8"/>
    <w:rsid w:val="00635341"/>
    <w:rsid w:val="00635349"/>
    <w:rsid w:val="00635453"/>
    <w:rsid w:val="006358CF"/>
    <w:rsid w:val="00635CFB"/>
    <w:rsid w:val="0063606D"/>
    <w:rsid w:val="006364F7"/>
    <w:rsid w:val="006369A5"/>
    <w:rsid w:val="00636BAD"/>
    <w:rsid w:val="00636E3F"/>
    <w:rsid w:val="00636FD7"/>
    <w:rsid w:val="0063728B"/>
    <w:rsid w:val="0063728F"/>
    <w:rsid w:val="00637379"/>
    <w:rsid w:val="0063753A"/>
    <w:rsid w:val="00637690"/>
    <w:rsid w:val="0063782E"/>
    <w:rsid w:val="0063799B"/>
    <w:rsid w:val="00637E2C"/>
    <w:rsid w:val="00637E93"/>
    <w:rsid w:val="00637FE5"/>
    <w:rsid w:val="006400F2"/>
    <w:rsid w:val="0064018B"/>
    <w:rsid w:val="0064045A"/>
    <w:rsid w:val="006404F4"/>
    <w:rsid w:val="00640892"/>
    <w:rsid w:val="00640B0E"/>
    <w:rsid w:val="00640BBB"/>
    <w:rsid w:val="00640BF5"/>
    <w:rsid w:val="00640D36"/>
    <w:rsid w:val="00640DBE"/>
    <w:rsid w:val="00641016"/>
    <w:rsid w:val="006411AB"/>
    <w:rsid w:val="00641296"/>
    <w:rsid w:val="006413FE"/>
    <w:rsid w:val="006414BD"/>
    <w:rsid w:val="00641BC4"/>
    <w:rsid w:val="00641ED0"/>
    <w:rsid w:val="00642593"/>
    <w:rsid w:val="00642797"/>
    <w:rsid w:val="006428D8"/>
    <w:rsid w:val="00642D0D"/>
    <w:rsid w:val="00643AF9"/>
    <w:rsid w:val="00643E6A"/>
    <w:rsid w:val="006441BF"/>
    <w:rsid w:val="006443C7"/>
    <w:rsid w:val="00644444"/>
    <w:rsid w:val="006445EB"/>
    <w:rsid w:val="006450CC"/>
    <w:rsid w:val="006451D0"/>
    <w:rsid w:val="0064543B"/>
    <w:rsid w:val="00645BF9"/>
    <w:rsid w:val="00645C2D"/>
    <w:rsid w:val="00646082"/>
    <w:rsid w:val="0064674A"/>
    <w:rsid w:val="00646D46"/>
    <w:rsid w:val="00646D51"/>
    <w:rsid w:val="0064706C"/>
    <w:rsid w:val="006470D0"/>
    <w:rsid w:val="006473C2"/>
    <w:rsid w:val="00647447"/>
    <w:rsid w:val="00647493"/>
    <w:rsid w:val="006478DB"/>
    <w:rsid w:val="006478E8"/>
    <w:rsid w:val="00647BCE"/>
    <w:rsid w:val="00647BCF"/>
    <w:rsid w:val="006501FD"/>
    <w:rsid w:val="0065022C"/>
    <w:rsid w:val="006504A7"/>
    <w:rsid w:val="006506AF"/>
    <w:rsid w:val="00650735"/>
    <w:rsid w:val="00650B3D"/>
    <w:rsid w:val="00650CBE"/>
    <w:rsid w:val="00650F8A"/>
    <w:rsid w:val="006510FD"/>
    <w:rsid w:val="00651184"/>
    <w:rsid w:val="006514B8"/>
    <w:rsid w:val="00651D91"/>
    <w:rsid w:val="006523C0"/>
    <w:rsid w:val="00652695"/>
    <w:rsid w:val="00652807"/>
    <w:rsid w:val="0065309B"/>
    <w:rsid w:val="006531F8"/>
    <w:rsid w:val="0065341E"/>
    <w:rsid w:val="00653562"/>
    <w:rsid w:val="0065361D"/>
    <w:rsid w:val="006537DD"/>
    <w:rsid w:val="0065386C"/>
    <w:rsid w:val="0065396F"/>
    <w:rsid w:val="00653E7E"/>
    <w:rsid w:val="0065413E"/>
    <w:rsid w:val="006542F6"/>
    <w:rsid w:val="00654947"/>
    <w:rsid w:val="00654C0B"/>
    <w:rsid w:val="00654D94"/>
    <w:rsid w:val="00654DDE"/>
    <w:rsid w:val="00654F29"/>
    <w:rsid w:val="00655243"/>
    <w:rsid w:val="0065529A"/>
    <w:rsid w:val="00655678"/>
    <w:rsid w:val="00655C80"/>
    <w:rsid w:val="00655DED"/>
    <w:rsid w:val="00655E7D"/>
    <w:rsid w:val="006560A4"/>
    <w:rsid w:val="006565CD"/>
    <w:rsid w:val="006568A1"/>
    <w:rsid w:val="0065695A"/>
    <w:rsid w:val="00656A00"/>
    <w:rsid w:val="00656A0E"/>
    <w:rsid w:val="00656C32"/>
    <w:rsid w:val="00657045"/>
    <w:rsid w:val="00657334"/>
    <w:rsid w:val="0065738D"/>
    <w:rsid w:val="0065751D"/>
    <w:rsid w:val="006577CC"/>
    <w:rsid w:val="00657BA4"/>
    <w:rsid w:val="0066034F"/>
    <w:rsid w:val="0066072A"/>
    <w:rsid w:val="00660A42"/>
    <w:rsid w:val="00660C8B"/>
    <w:rsid w:val="00660D04"/>
    <w:rsid w:val="00660FE5"/>
    <w:rsid w:val="00661058"/>
    <w:rsid w:val="00661C57"/>
    <w:rsid w:val="00661DF0"/>
    <w:rsid w:val="00661E11"/>
    <w:rsid w:val="00661F11"/>
    <w:rsid w:val="00661F2B"/>
    <w:rsid w:val="00661FF6"/>
    <w:rsid w:val="006622D9"/>
    <w:rsid w:val="006622F5"/>
    <w:rsid w:val="006622FD"/>
    <w:rsid w:val="0066253A"/>
    <w:rsid w:val="00662BFA"/>
    <w:rsid w:val="0066304C"/>
    <w:rsid w:val="00663073"/>
    <w:rsid w:val="006630A2"/>
    <w:rsid w:val="00663389"/>
    <w:rsid w:val="00663616"/>
    <w:rsid w:val="00663A02"/>
    <w:rsid w:val="00663B88"/>
    <w:rsid w:val="00663F50"/>
    <w:rsid w:val="00664075"/>
    <w:rsid w:val="006640BC"/>
    <w:rsid w:val="00664344"/>
    <w:rsid w:val="0066465B"/>
    <w:rsid w:val="00664728"/>
    <w:rsid w:val="00664CB8"/>
    <w:rsid w:val="00664DEC"/>
    <w:rsid w:val="00664F49"/>
    <w:rsid w:val="00664FE8"/>
    <w:rsid w:val="00665005"/>
    <w:rsid w:val="006650CA"/>
    <w:rsid w:val="00665178"/>
    <w:rsid w:val="0066543E"/>
    <w:rsid w:val="0066551A"/>
    <w:rsid w:val="006655B7"/>
    <w:rsid w:val="00665829"/>
    <w:rsid w:val="00665959"/>
    <w:rsid w:val="00665B44"/>
    <w:rsid w:val="00665C06"/>
    <w:rsid w:val="006660B8"/>
    <w:rsid w:val="0066637E"/>
    <w:rsid w:val="006665B2"/>
    <w:rsid w:val="006669DA"/>
    <w:rsid w:val="00666BBE"/>
    <w:rsid w:val="00666BF2"/>
    <w:rsid w:val="00666CC6"/>
    <w:rsid w:val="00666F99"/>
    <w:rsid w:val="00667128"/>
    <w:rsid w:val="00667AD7"/>
    <w:rsid w:val="00667B37"/>
    <w:rsid w:val="0067011E"/>
    <w:rsid w:val="00670589"/>
    <w:rsid w:val="00670649"/>
    <w:rsid w:val="00670845"/>
    <w:rsid w:val="00670E84"/>
    <w:rsid w:val="0067157F"/>
    <w:rsid w:val="006715E4"/>
    <w:rsid w:val="00671746"/>
    <w:rsid w:val="006718AB"/>
    <w:rsid w:val="00671BBE"/>
    <w:rsid w:val="006721B4"/>
    <w:rsid w:val="00672F1B"/>
    <w:rsid w:val="006730D3"/>
    <w:rsid w:val="00673656"/>
    <w:rsid w:val="006736AE"/>
    <w:rsid w:val="00673BE1"/>
    <w:rsid w:val="00673C31"/>
    <w:rsid w:val="00673E42"/>
    <w:rsid w:val="00674466"/>
    <w:rsid w:val="0067454D"/>
    <w:rsid w:val="0067465B"/>
    <w:rsid w:val="00674785"/>
    <w:rsid w:val="0067478C"/>
    <w:rsid w:val="00674871"/>
    <w:rsid w:val="006748F5"/>
    <w:rsid w:val="0067494E"/>
    <w:rsid w:val="0067501F"/>
    <w:rsid w:val="006757AD"/>
    <w:rsid w:val="00675D0D"/>
    <w:rsid w:val="006760BB"/>
    <w:rsid w:val="00676203"/>
    <w:rsid w:val="0067625C"/>
    <w:rsid w:val="00676332"/>
    <w:rsid w:val="006765F2"/>
    <w:rsid w:val="0067673E"/>
    <w:rsid w:val="006769B9"/>
    <w:rsid w:val="006769CB"/>
    <w:rsid w:val="00676B36"/>
    <w:rsid w:val="00676B43"/>
    <w:rsid w:val="00676F60"/>
    <w:rsid w:val="00677094"/>
    <w:rsid w:val="006773CF"/>
    <w:rsid w:val="00677463"/>
    <w:rsid w:val="00677476"/>
    <w:rsid w:val="0067772F"/>
    <w:rsid w:val="0067787C"/>
    <w:rsid w:val="00677CF9"/>
    <w:rsid w:val="00677DC6"/>
    <w:rsid w:val="0068007D"/>
    <w:rsid w:val="006802CF"/>
    <w:rsid w:val="00680444"/>
    <w:rsid w:val="00680591"/>
    <w:rsid w:val="00680593"/>
    <w:rsid w:val="00680BE4"/>
    <w:rsid w:val="00680DE8"/>
    <w:rsid w:val="00680FBE"/>
    <w:rsid w:val="00681152"/>
    <w:rsid w:val="00681321"/>
    <w:rsid w:val="006815C4"/>
    <w:rsid w:val="006817F6"/>
    <w:rsid w:val="0068198A"/>
    <w:rsid w:val="006823AA"/>
    <w:rsid w:val="00682426"/>
    <w:rsid w:val="00682434"/>
    <w:rsid w:val="00682580"/>
    <w:rsid w:val="006829E9"/>
    <w:rsid w:val="00682E17"/>
    <w:rsid w:val="00682FD4"/>
    <w:rsid w:val="00683478"/>
    <w:rsid w:val="006838F2"/>
    <w:rsid w:val="00683BFE"/>
    <w:rsid w:val="00683C94"/>
    <w:rsid w:val="00683E7C"/>
    <w:rsid w:val="00683F06"/>
    <w:rsid w:val="006841C7"/>
    <w:rsid w:val="00684ACA"/>
    <w:rsid w:val="00684DF8"/>
    <w:rsid w:val="00685350"/>
    <w:rsid w:val="00685499"/>
    <w:rsid w:val="00685711"/>
    <w:rsid w:val="00685946"/>
    <w:rsid w:val="00685CEE"/>
    <w:rsid w:val="00685DC8"/>
    <w:rsid w:val="006868F0"/>
    <w:rsid w:val="00686EA9"/>
    <w:rsid w:val="00686FF1"/>
    <w:rsid w:val="006871C6"/>
    <w:rsid w:val="00687423"/>
    <w:rsid w:val="0068767E"/>
    <w:rsid w:val="0068799E"/>
    <w:rsid w:val="006879E2"/>
    <w:rsid w:val="00687A43"/>
    <w:rsid w:val="00687E4B"/>
    <w:rsid w:val="0069011E"/>
    <w:rsid w:val="0069015D"/>
    <w:rsid w:val="006907D0"/>
    <w:rsid w:val="00690C2C"/>
    <w:rsid w:val="00690C2E"/>
    <w:rsid w:val="00690CF3"/>
    <w:rsid w:val="0069100F"/>
    <w:rsid w:val="00691348"/>
    <w:rsid w:val="00691591"/>
    <w:rsid w:val="0069167F"/>
    <w:rsid w:val="0069177E"/>
    <w:rsid w:val="00691A6F"/>
    <w:rsid w:val="00691F19"/>
    <w:rsid w:val="0069215F"/>
    <w:rsid w:val="0069240C"/>
    <w:rsid w:val="00692685"/>
    <w:rsid w:val="006926F1"/>
    <w:rsid w:val="006926FA"/>
    <w:rsid w:val="006927E8"/>
    <w:rsid w:val="0069298E"/>
    <w:rsid w:val="00692B44"/>
    <w:rsid w:val="00692B48"/>
    <w:rsid w:val="00692C9A"/>
    <w:rsid w:val="00693432"/>
    <w:rsid w:val="0069371B"/>
    <w:rsid w:val="0069395B"/>
    <w:rsid w:val="00693A01"/>
    <w:rsid w:val="00693C97"/>
    <w:rsid w:val="00693F20"/>
    <w:rsid w:val="00693F56"/>
    <w:rsid w:val="006941E0"/>
    <w:rsid w:val="00694628"/>
    <w:rsid w:val="0069481F"/>
    <w:rsid w:val="00694AFC"/>
    <w:rsid w:val="00694BE0"/>
    <w:rsid w:val="00694BFB"/>
    <w:rsid w:val="00694F97"/>
    <w:rsid w:val="00695632"/>
    <w:rsid w:val="0069582E"/>
    <w:rsid w:val="00695FD3"/>
    <w:rsid w:val="00696197"/>
    <w:rsid w:val="0069642A"/>
    <w:rsid w:val="0069661E"/>
    <w:rsid w:val="006966D1"/>
    <w:rsid w:val="00696A3C"/>
    <w:rsid w:val="00696AD6"/>
    <w:rsid w:val="00697034"/>
    <w:rsid w:val="0069EA2D"/>
    <w:rsid w:val="006A0043"/>
    <w:rsid w:val="006A017A"/>
    <w:rsid w:val="006A07AB"/>
    <w:rsid w:val="006A0DA0"/>
    <w:rsid w:val="006A0EB2"/>
    <w:rsid w:val="006A0EE1"/>
    <w:rsid w:val="006A0F06"/>
    <w:rsid w:val="006A158F"/>
    <w:rsid w:val="006A17A1"/>
    <w:rsid w:val="006A1D29"/>
    <w:rsid w:val="006A1FAA"/>
    <w:rsid w:val="006A1FAF"/>
    <w:rsid w:val="006A201D"/>
    <w:rsid w:val="006A2081"/>
    <w:rsid w:val="006A23A4"/>
    <w:rsid w:val="006A24A1"/>
    <w:rsid w:val="006A2D06"/>
    <w:rsid w:val="006A3333"/>
    <w:rsid w:val="006A341E"/>
    <w:rsid w:val="006A384C"/>
    <w:rsid w:val="006A3BBB"/>
    <w:rsid w:val="006A412E"/>
    <w:rsid w:val="006A41A3"/>
    <w:rsid w:val="006A42E0"/>
    <w:rsid w:val="006A441B"/>
    <w:rsid w:val="006A4574"/>
    <w:rsid w:val="006A47A3"/>
    <w:rsid w:val="006A4915"/>
    <w:rsid w:val="006A496E"/>
    <w:rsid w:val="006A4DF1"/>
    <w:rsid w:val="006A54EB"/>
    <w:rsid w:val="006A559E"/>
    <w:rsid w:val="006A5613"/>
    <w:rsid w:val="006A585B"/>
    <w:rsid w:val="006A5AC1"/>
    <w:rsid w:val="006A5CBF"/>
    <w:rsid w:val="006A5CF4"/>
    <w:rsid w:val="006A5F43"/>
    <w:rsid w:val="006A6060"/>
    <w:rsid w:val="006A61E7"/>
    <w:rsid w:val="006A6239"/>
    <w:rsid w:val="006A6246"/>
    <w:rsid w:val="006A6530"/>
    <w:rsid w:val="006A664D"/>
    <w:rsid w:val="006A6740"/>
    <w:rsid w:val="006A67D4"/>
    <w:rsid w:val="006A69B5"/>
    <w:rsid w:val="006A69CB"/>
    <w:rsid w:val="006A6A18"/>
    <w:rsid w:val="006A6B48"/>
    <w:rsid w:val="006A6E94"/>
    <w:rsid w:val="006A728E"/>
    <w:rsid w:val="006A72CF"/>
    <w:rsid w:val="006A741E"/>
    <w:rsid w:val="006A7A99"/>
    <w:rsid w:val="006A7C0D"/>
    <w:rsid w:val="006A7E84"/>
    <w:rsid w:val="006A7FE5"/>
    <w:rsid w:val="006B0408"/>
    <w:rsid w:val="006B0BF2"/>
    <w:rsid w:val="006B0D45"/>
    <w:rsid w:val="006B1178"/>
    <w:rsid w:val="006B121F"/>
    <w:rsid w:val="006B1287"/>
    <w:rsid w:val="006B16C0"/>
    <w:rsid w:val="006B16C1"/>
    <w:rsid w:val="006B1D54"/>
    <w:rsid w:val="006B1E2E"/>
    <w:rsid w:val="006B23B8"/>
    <w:rsid w:val="006B2537"/>
    <w:rsid w:val="006B286A"/>
    <w:rsid w:val="006B2C89"/>
    <w:rsid w:val="006B2D8C"/>
    <w:rsid w:val="006B2EF1"/>
    <w:rsid w:val="006B2F0B"/>
    <w:rsid w:val="006B3224"/>
    <w:rsid w:val="006B36BE"/>
    <w:rsid w:val="006B37B9"/>
    <w:rsid w:val="006B3B80"/>
    <w:rsid w:val="006B3F76"/>
    <w:rsid w:val="006B422F"/>
    <w:rsid w:val="006B43E2"/>
    <w:rsid w:val="006B45FE"/>
    <w:rsid w:val="006B4662"/>
    <w:rsid w:val="006B4945"/>
    <w:rsid w:val="006B4CED"/>
    <w:rsid w:val="006B4D21"/>
    <w:rsid w:val="006B4E3C"/>
    <w:rsid w:val="006B4E82"/>
    <w:rsid w:val="006B511E"/>
    <w:rsid w:val="006B5241"/>
    <w:rsid w:val="006B582A"/>
    <w:rsid w:val="006B5A48"/>
    <w:rsid w:val="006B5BAA"/>
    <w:rsid w:val="006B5BC4"/>
    <w:rsid w:val="006B5F00"/>
    <w:rsid w:val="006B652C"/>
    <w:rsid w:val="006B6971"/>
    <w:rsid w:val="006B6A6F"/>
    <w:rsid w:val="006B6AF7"/>
    <w:rsid w:val="006B6CBA"/>
    <w:rsid w:val="006B6CEB"/>
    <w:rsid w:val="006B72EA"/>
    <w:rsid w:val="006B772C"/>
    <w:rsid w:val="006B7B92"/>
    <w:rsid w:val="006B7D52"/>
    <w:rsid w:val="006C0399"/>
    <w:rsid w:val="006C0C60"/>
    <w:rsid w:val="006C0C9E"/>
    <w:rsid w:val="006C0DAB"/>
    <w:rsid w:val="006C0DB9"/>
    <w:rsid w:val="006C0DED"/>
    <w:rsid w:val="006C0E0A"/>
    <w:rsid w:val="006C1137"/>
    <w:rsid w:val="006C1615"/>
    <w:rsid w:val="006C1D99"/>
    <w:rsid w:val="006C1EE6"/>
    <w:rsid w:val="006C241D"/>
    <w:rsid w:val="006C2710"/>
    <w:rsid w:val="006C27A9"/>
    <w:rsid w:val="006C287F"/>
    <w:rsid w:val="006C2ADB"/>
    <w:rsid w:val="006C2D9C"/>
    <w:rsid w:val="006C3385"/>
    <w:rsid w:val="006C383E"/>
    <w:rsid w:val="006C3872"/>
    <w:rsid w:val="006C3B53"/>
    <w:rsid w:val="006C4B49"/>
    <w:rsid w:val="006C4EF1"/>
    <w:rsid w:val="006C5028"/>
    <w:rsid w:val="006C522E"/>
    <w:rsid w:val="006C526E"/>
    <w:rsid w:val="006C5637"/>
    <w:rsid w:val="006C5890"/>
    <w:rsid w:val="006C5D17"/>
    <w:rsid w:val="006C5E49"/>
    <w:rsid w:val="006C5EDD"/>
    <w:rsid w:val="006C5FC0"/>
    <w:rsid w:val="006C6022"/>
    <w:rsid w:val="006C6053"/>
    <w:rsid w:val="006C6082"/>
    <w:rsid w:val="006C617C"/>
    <w:rsid w:val="006C6284"/>
    <w:rsid w:val="006C65EF"/>
    <w:rsid w:val="006C67F2"/>
    <w:rsid w:val="006C68A1"/>
    <w:rsid w:val="006C69E7"/>
    <w:rsid w:val="006C6CEA"/>
    <w:rsid w:val="006C6F24"/>
    <w:rsid w:val="006C71B5"/>
    <w:rsid w:val="006C754F"/>
    <w:rsid w:val="006C756E"/>
    <w:rsid w:val="006C7B8B"/>
    <w:rsid w:val="006C7D7A"/>
    <w:rsid w:val="006C7DE3"/>
    <w:rsid w:val="006C7EB9"/>
    <w:rsid w:val="006D07E3"/>
    <w:rsid w:val="006D08AC"/>
    <w:rsid w:val="006D11D9"/>
    <w:rsid w:val="006D1319"/>
    <w:rsid w:val="006D134C"/>
    <w:rsid w:val="006D147C"/>
    <w:rsid w:val="006D1D8C"/>
    <w:rsid w:val="006D1DF7"/>
    <w:rsid w:val="006D2896"/>
    <w:rsid w:val="006D2ACB"/>
    <w:rsid w:val="006D2B0D"/>
    <w:rsid w:val="006D2B5A"/>
    <w:rsid w:val="006D3047"/>
    <w:rsid w:val="006D3051"/>
    <w:rsid w:val="006D3210"/>
    <w:rsid w:val="006D35DB"/>
    <w:rsid w:val="006D3D02"/>
    <w:rsid w:val="006D3FB5"/>
    <w:rsid w:val="006D4071"/>
    <w:rsid w:val="006D4178"/>
    <w:rsid w:val="006D470A"/>
    <w:rsid w:val="006D49FA"/>
    <w:rsid w:val="006D4CC3"/>
    <w:rsid w:val="006D51BE"/>
    <w:rsid w:val="006D5385"/>
    <w:rsid w:val="006D561B"/>
    <w:rsid w:val="006D5D82"/>
    <w:rsid w:val="006D5E08"/>
    <w:rsid w:val="006D5FAD"/>
    <w:rsid w:val="006D65BA"/>
    <w:rsid w:val="006D6ACB"/>
    <w:rsid w:val="006D6DDE"/>
    <w:rsid w:val="006D6ED4"/>
    <w:rsid w:val="006D70BB"/>
    <w:rsid w:val="006D70EE"/>
    <w:rsid w:val="006D73B8"/>
    <w:rsid w:val="006D77F5"/>
    <w:rsid w:val="006D7B26"/>
    <w:rsid w:val="006D7BC0"/>
    <w:rsid w:val="006E0049"/>
    <w:rsid w:val="006E00A1"/>
    <w:rsid w:val="006E01BF"/>
    <w:rsid w:val="006E053C"/>
    <w:rsid w:val="006E0BFF"/>
    <w:rsid w:val="006E0FAB"/>
    <w:rsid w:val="006E1136"/>
    <w:rsid w:val="006E12CB"/>
    <w:rsid w:val="006E176A"/>
    <w:rsid w:val="006E1876"/>
    <w:rsid w:val="006E18AD"/>
    <w:rsid w:val="006E1933"/>
    <w:rsid w:val="006E1B1E"/>
    <w:rsid w:val="006E1C86"/>
    <w:rsid w:val="006E1F02"/>
    <w:rsid w:val="006E1F10"/>
    <w:rsid w:val="006E2127"/>
    <w:rsid w:val="006E28EE"/>
    <w:rsid w:val="006E29FE"/>
    <w:rsid w:val="006E2B21"/>
    <w:rsid w:val="006E2C3E"/>
    <w:rsid w:val="006E3067"/>
    <w:rsid w:val="006E327E"/>
    <w:rsid w:val="006E34FF"/>
    <w:rsid w:val="006E3B73"/>
    <w:rsid w:val="006E3CA7"/>
    <w:rsid w:val="006E3F55"/>
    <w:rsid w:val="006E461E"/>
    <w:rsid w:val="006E49C6"/>
    <w:rsid w:val="006E4ACB"/>
    <w:rsid w:val="006E4E6B"/>
    <w:rsid w:val="006E5259"/>
    <w:rsid w:val="006E589A"/>
    <w:rsid w:val="006E5920"/>
    <w:rsid w:val="006E5984"/>
    <w:rsid w:val="006E5D7B"/>
    <w:rsid w:val="006E60D0"/>
    <w:rsid w:val="006E6171"/>
    <w:rsid w:val="006E6727"/>
    <w:rsid w:val="006E692E"/>
    <w:rsid w:val="006E6970"/>
    <w:rsid w:val="006E69F3"/>
    <w:rsid w:val="006E6B3F"/>
    <w:rsid w:val="006E6B83"/>
    <w:rsid w:val="006E6BCE"/>
    <w:rsid w:val="006E6D63"/>
    <w:rsid w:val="006E7107"/>
    <w:rsid w:val="006E7227"/>
    <w:rsid w:val="006E75CD"/>
    <w:rsid w:val="006E78FE"/>
    <w:rsid w:val="006E7F80"/>
    <w:rsid w:val="006F0433"/>
    <w:rsid w:val="006F04AC"/>
    <w:rsid w:val="006F04BD"/>
    <w:rsid w:val="006F04E6"/>
    <w:rsid w:val="006F0952"/>
    <w:rsid w:val="006F0A09"/>
    <w:rsid w:val="006F134C"/>
    <w:rsid w:val="006F1DED"/>
    <w:rsid w:val="006F1F31"/>
    <w:rsid w:val="006F289E"/>
    <w:rsid w:val="006F2A0F"/>
    <w:rsid w:val="006F2A26"/>
    <w:rsid w:val="006F2B94"/>
    <w:rsid w:val="006F2BF8"/>
    <w:rsid w:val="006F2EAE"/>
    <w:rsid w:val="006F2F09"/>
    <w:rsid w:val="006F2F4E"/>
    <w:rsid w:val="006F3025"/>
    <w:rsid w:val="006F3138"/>
    <w:rsid w:val="006F3380"/>
    <w:rsid w:val="006F38C6"/>
    <w:rsid w:val="006F3E04"/>
    <w:rsid w:val="006F4220"/>
    <w:rsid w:val="006F43CC"/>
    <w:rsid w:val="006F4496"/>
    <w:rsid w:val="006F452A"/>
    <w:rsid w:val="006F46AC"/>
    <w:rsid w:val="006F473B"/>
    <w:rsid w:val="006F47FF"/>
    <w:rsid w:val="006F4F69"/>
    <w:rsid w:val="006F507F"/>
    <w:rsid w:val="006F5150"/>
    <w:rsid w:val="006F53AC"/>
    <w:rsid w:val="006F5427"/>
    <w:rsid w:val="006F5467"/>
    <w:rsid w:val="006F58D7"/>
    <w:rsid w:val="006F597A"/>
    <w:rsid w:val="006F7104"/>
    <w:rsid w:val="006F73C2"/>
    <w:rsid w:val="006F75D1"/>
    <w:rsid w:val="006F7962"/>
    <w:rsid w:val="006F7A0D"/>
    <w:rsid w:val="0070044D"/>
    <w:rsid w:val="00700508"/>
    <w:rsid w:val="00700548"/>
    <w:rsid w:val="007005FB"/>
    <w:rsid w:val="0070064F"/>
    <w:rsid w:val="00700889"/>
    <w:rsid w:val="00700934"/>
    <w:rsid w:val="00700BBE"/>
    <w:rsid w:val="00701020"/>
    <w:rsid w:val="0070103F"/>
    <w:rsid w:val="0070106F"/>
    <w:rsid w:val="007011CA"/>
    <w:rsid w:val="00701265"/>
    <w:rsid w:val="00701D4F"/>
    <w:rsid w:val="00701EE3"/>
    <w:rsid w:val="007021BB"/>
    <w:rsid w:val="0070254D"/>
    <w:rsid w:val="0070261D"/>
    <w:rsid w:val="00702AA6"/>
    <w:rsid w:val="00702BBC"/>
    <w:rsid w:val="00702CBA"/>
    <w:rsid w:val="00702D2E"/>
    <w:rsid w:val="00702E71"/>
    <w:rsid w:val="007030B6"/>
    <w:rsid w:val="0070336B"/>
    <w:rsid w:val="00703649"/>
    <w:rsid w:val="00703732"/>
    <w:rsid w:val="0070380A"/>
    <w:rsid w:val="00703BBA"/>
    <w:rsid w:val="00703CB5"/>
    <w:rsid w:val="00703CE8"/>
    <w:rsid w:val="00704641"/>
    <w:rsid w:val="00704C1B"/>
    <w:rsid w:val="00705094"/>
    <w:rsid w:val="007053A3"/>
    <w:rsid w:val="00705771"/>
    <w:rsid w:val="007059EA"/>
    <w:rsid w:val="0070638A"/>
    <w:rsid w:val="00707182"/>
    <w:rsid w:val="0070765D"/>
    <w:rsid w:val="00707825"/>
    <w:rsid w:val="00707921"/>
    <w:rsid w:val="007079CE"/>
    <w:rsid w:val="00707AD4"/>
    <w:rsid w:val="00707B20"/>
    <w:rsid w:val="00707C75"/>
    <w:rsid w:val="007100DE"/>
    <w:rsid w:val="0071041C"/>
    <w:rsid w:val="007105F9"/>
    <w:rsid w:val="00710C44"/>
    <w:rsid w:val="007112E6"/>
    <w:rsid w:val="00711336"/>
    <w:rsid w:val="00711357"/>
    <w:rsid w:val="007113ED"/>
    <w:rsid w:val="00711BFB"/>
    <w:rsid w:val="00711CEC"/>
    <w:rsid w:val="00711DB7"/>
    <w:rsid w:val="00711E6B"/>
    <w:rsid w:val="00711EC5"/>
    <w:rsid w:val="00711F34"/>
    <w:rsid w:val="00711F7D"/>
    <w:rsid w:val="00712433"/>
    <w:rsid w:val="0071260A"/>
    <w:rsid w:val="007126DF"/>
    <w:rsid w:val="00713BFB"/>
    <w:rsid w:val="00713C19"/>
    <w:rsid w:val="0071437D"/>
    <w:rsid w:val="0071438C"/>
    <w:rsid w:val="00714B34"/>
    <w:rsid w:val="00715010"/>
    <w:rsid w:val="0071507F"/>
    <w:rsid w:val="0071508D"/>
    <w:rsid w:val="007151E2"/>
    <w:rsid w:val="00715639"/>
    <w:rsid w:val="0071592C"/>
    <w:rsid w:val="00715CCC"/>
    <w:rsid w:val="007163F7"/>
    <w:rsid w:val="007164D5"/>
    <w:rsid w:val="007168ED"/>
    <w:rsid w:val="00716DEA"/>
    <w:rsid w:val="00716E91"/>
    <w:rsid w:val="00716FA9"/>
    <w:rsid w:val="00717478"/>
    <w:rsid w:val="007176B9"/>
    <w:rsid w:val="00717716"/>
    <w:rsid w:val="0071775A"/>
    <w:rsid w:val="007177B7"/>
    <w:rsid w:val="00717BFF"/>
    <w:rsid w:val="00720095"/>
    <w:rsid w:val="0072013F"/>
    <w:rsid w:val="007204A3"/>
    <w:rsid w:val="00720690"/>
    <w:rsid w:val="00720BB0"/>
    <w:rsid w:val="00720BD5"/>
    <w:rsid w:val="00720DD8"/>
    <w:rsid w:val="00720FA1"/>
    <w:rsid w:val="007211AD"/>
    <w:rsid w:val="00721467"/>
    <w:rsid w:val="007218B1"/>
    <w:rsid w:val="00721B3B"/>
    <w:rsid w:val="00721BCF"/>
    <w:rsid w:val="00721BFD"/>
    <w:rsid w:val="00721D27"/>
    <w:rsid w:val="0072208E"/>
    <w:rsid w:val="00722328"/>
    <w:rsid w:val="00722813"/>
    <w:rsid w:val="00722A55"/>
    <w:rsid w:val="00722D7D"/>
    <w:rsid w:val="00722F44"/>
    <w:rsid w:val="00722FDD"/>
    <w:rsid w:val="0072342A"/>
    <w:rsid w:val="00723691"/>
    <w:rsid w:val="0072389D"/>
    <w:rsid w:val="00723ADB"/>
    <w:rsid w:val="00723B9E"/>
    <w:rsid w:val="00723D27"/>
    <w:rsid w:val="00723E86"/>
    <w:rsid w:val="00723F01"/>
    <w:rsid w:val="007242AB"/>
    <w:rsid w:val="0072438A"/>
    <w:rsid w:val="00724455"/>
    <w:rsid w:val="0072464B"/>
    <w:rsid w:val="00724747"/>
    <w:rsid w:val="0072483E"/>
    <w:rsid w:val="00724AA7"/>
    <w:rsid w:val="00724C97"/>
    <w:rsid w:val="00724E16"/>
    <w:rsid w:val="00724F38"/>
    <w:rsid w:val="00725312"/>
    <w:rsid w:val="00725362"/>
    <w:rsid w:val="007257E3"/>
    <w:rsid w:val="0072590C"/>
    <w:rsid w:val="00725AAD"/>
    <w:rsid w:val="00725DF5"/>
    <w:rsid w:val="0072646F"/>
    <w:rsid w:val="00726AD8"/>
    <w:rsid w:val="00726B86"/>
    <w:rsid w:val="00726BF6"/>
    <w:rsid w:val="007272E2"/>
    <w:rsid w:val="007275EF"/>
    <w:rsid w:val="00727A55"/>
    <w:rsid w:val="00727BC2"/>
    <w:rsid w:val="00727F09"/>
    <w:rsid w:val="00727F8E"/>
    <w:rsid w:val="0073010B"/>
    <w:rsid w:val="007302D1"/>
    <w:rsid w:val="007304EE"/>
    <w:rsid w:val="00730567"/>
    <w:rsid w:val="00730606"/>
    <w:rsid w:val="007306E8"/>
    <w:rsid w:val="00730748"/>
    <w:rsid w:val="007307CA"/>
    <w:rsid w:val="00730EEA"/>
    <w:rsid w:val="00730FA0"/>
    <w:rsid w:val="0073132D"/>
    <w:rsid w:val="00731383"/>
    <w:rsid w:val="007315BE"/>
    <w:rsid w:val="00731AA9"/>
    <w:rsid w:val="00732305"/>
    <w:rsid w:val="00732488"/>
    <w:rsid w:val="007325EE"/>
    <w:rsid w:val="00732A20"/>
    <w:rsid w:val="00732D50"/>
    <w:rsid w:val="007331EA"/>
    <w:rsid w:val="00733713"/>
    <w:rsid w:val="007338CC"/>
    <w:rsid w:val="0073392C"/>
    <w:rsid w:val="00733C2E"/>
    <w:rsid w:val="00733DE6"/>
    <w:rsid w:val="00733E7B"/>
    <w:rsid w:val="0073467F"/>
    <w:rsid w:val="00734754"/>
    <w:rsid w:val="0073495C"/>
    <w:rsid w:val="00734C17"/>
    <w:rsid w:val="00734F2F"/>
    <w:rsid w:val="007353F1"/>
    <w:rsid w:val="00735440"/>
    <w:rsid w:val="007357BA"/>
    <w:rsid w:val="00735A2F"/>
    <w:rsid w:val="00735CE0"/>
    <w:rsid w:val="00735F99"/>
    <w:rsid w:val="007365A9"/>
    <w:rsid w:val="0073663C"/>
    <w:rsid w:val="0073667B"/>
    <w:rsid w:val="00737032"/>
    <w:rsid w:val="0073772E"/>
    <w:rsid w:val="00737F14"/>
    <w:rsid w:val="0074007E"/>
    <w:rsid w:val="00740607"/>
    <w:rsid w:val="0074073C"/>
    <w:rsid w:val="00740901"/>
    <w:rsid w:val="00740DDD"/>
    <w:rsid w:val="00741298"/>
    <w:rsid w:val="007413F7"/>
    <w:rsid w:val="00741DE0"/>
    <w:rsid w:val="0074222D"/>
    <w:rsid w:val="00742236"/>
    <w:rsid w:val="0074232E"/>
    <w:rsid w:val="007423FD"/>
    <w:rsid w:val="0074279E"/>
    <w:rsid w:val="00742B35"/>
    <w:rsid w:val="00742C21"/>
    <w:rsid w:val="00742CDC"/>
    <w:rsid w:val="00742F4C"/>
    <w:rsid w:val="007431D2"/>
    <w:rsid w:val="007432C7"/>
    <w:rsid w:val="007435A3"/>
    <w:rsid w:val="007436B9"/>
    <w:rsid w:val="00743AE3"/>
    <w:rsid w:val="00743B0D"/>
    <w:rsid w:val="00743BCF"/>
    <w:rsid w:val="00744138"/>
    <w:rsid w:val="0074415D"/>
    <w:rsid w:val="00744209"/>
    <w:rsid w:val="00744CA4"/>
    <w:rsid w:val="00744E73"/>
    <w:rsid w:val="00744F4A"/>
    <w:rsid w:val="007450A2"/>
    <w:rsid w:val="00745499"/>
    <w:rsid w:val="007455CB"/>
    <w:rsid w:val="0074560E"/>
    <w:rsid w:val="00745867"/>
    <w:rsid w:val="00745894"/>
    <w:rsid w:val="0074609B"/>
    <w:rsid w:val="0074610C"/>
    <w:rsid w:val="0074674F"/>
    <w:rsid w:val="00746995"/>
    <w:rsid w:val="00746BA9"/>
    <w:rsid w:val="00746E53"/>
    <w:rsid w:val="00746FE1"/>
    <w:rsid w:val="0074702F"/>
    <w:rsid w:val="00747082"/>
    <w:rsid w:val="007475B7"/>
    <w:rsid w:val="00747643"/>
    <w:rsid w:val="00747AD6"/>
    <w:rsid w:val="00747EAB"/>
    <w:rsid w:val="007500D9"/>
    <w:rsid w:val="0075018D"/>
    <w:rsid w:val="00750733"/>
    <w:rsid w:val="00750763"/>
    <w:rsid w:val="0075079E"/>
    <w:rsid w:val="00750C82"/>
    <w:rsid w:val="00750FF3"/>
    <w:rsid w:val="007514A1"/>
    <w:rsid w:val="00751956"/>
    <w:rsid w:val="00751C38"/>
    <w:rsid w:val="00751DFC"/>
    <w:rsid w:val="00751E18"/>
    <w:rsid w:val="00752013"/>
    <w:rsid w:val="00752065"/>
    <w:rsid w:val="00752227"/>
    <w:rsid w:val="0075222F"/>
    <w:rsid w:val="00752720"/>
    <w:rsid w:val="007528B1"/>
    <w:rsid w:val="007534EF"/>
    <w:rsid w:val="007535F9"/>
    <w:rsid w:val="007538F4"/>
    <w:rsid w:val="00753CBF"/>
    <w:rsid w:val="00753DB9"/>
    <w:rsid w:val="00753F17"/>
    <w:rsid w:val="007547B1"/>
    <w:rsid w:val="00754838"/>
    <w:rsid w:val="00755043"/>
    <w:rsid w:val="0075557D"/>
    <w:rsid w:val="00755843"/>
    <w:rsid w:val="007558A3"/>
    <w:rsid w:val="00755FDC"/>
    <w:rsid w:val="00756303"/>
    <w:rsid w:val="00756305"/>
    <w:rsid w:val="00756327"/>
    <w:rsid w:val="0075649A"/>
    <w:rsid w:val="00756743"/>
    <w:rsid w:val="007567D1"/>
    <w:rsid w:val="00756864"/>
    <w:rsid w:val="00756B67"/>
    <w:rsid w:val="00756B90"/>
    <w:rsid w:val="00756BEE"/>
    <w:rsid w:val="00756CFA"/>
    <w:rsid w:val="00756F56"/>
    <w:rsid w:val="007571D7"/>
    <w:rsid w:val="00757266"/>
    <w:rsid w:val="0075732E"/>
    <w:rsid w:val="00757B58"/>
    <w:rsid w:val="00760202"/>
    <w:rsid w:val="00760D0A"/>
    <w:rsid w:val="00760F22"/>
    <w:rsid w:val="00760FBA"/>
    <w:rsid w:val="007612D0"/>
    <w:rsid w:val="0076153A"/>
    <w:rsid w:val="0076189A"/>
    <w:rsid w:val="007619C4"/>
    <w:rsid w:val="00761AC2"/>
    <w:rsid w:val="00761B26"/>
    <w:rsid w:val="00761BF2"/>
    <w:rsid w:val="0076200D"/>
    <w:rsid w:val="00762184"/>
    <w:rsid w:val="007622B2"/>
    <w:rsid w:val="00762384"/>
    <w:rsid w:val="00762550"/>
    <w:rsid w:val="007625DC"/>
    <w:rsid w:val="00762964"/>
    <w:rsid w:val="00762989"/>
    <w:rsid w:val="00762C5C"/>
    <w:rsid w:val="00762D71"/>
    <w:rsid w:val="00762E54"/>
    <w:rsid w:val="00763595"/>
    <w:rsid w:val="007637FA"/>
    <w:rsid w:val="007638E5"/>
    <w:rsid w:val="00763DC1"/>
    <w:rsid w:val="007648BD"/>
    <w:rsid w:val="00764CBE"/>
    <w:rsid w:val="00764D97"/>
    <w:rsid w:val="00765207"/>
    <w:rsid w:val="0076550F"/>
    <w:rsid w:val="007661B9"/>
    <w:rsid w:val="007663DD"/>
    <w:rsid w:val="007663EC"/>
    <w:rsid w:val="00766433"/>
    <w:rsid w:val="007665F8"/>
    <w:rsid w:val="007666CE"/>
    <w:rsid w:val="00766911"/>
    <w:rsid w:val="00766D74"/>
    <w:rsid w:val="00766D78"/>
    <w:rsid w:val="00766EB2"/>
    <w:rsid w:val="00767213"/>
    <w:rsid w:val="00767471"/>
    <w:rsid w:val="00767620"/>
    <w:rsid w:val="00767AAC"/>
    <w:rsid w:val="00767B75"/>
    <w:rsid w:val="00767EC6"/>
    <w:rsid w:val="00767FEA"/>
    <w:rsid w:val="007705D3"/>
    <w:rsid w:val="007706BC"/>
    <w:rsid w:val="00771016"/>
    <w:rsid w:val="00771500"/>
    <w:rsid w:val="00771969"/>
    <w:rsid w:val="00771C5B"/>
    <w:rsid w:val="00771CAA"/>
    <w:rsid w:val="00771CAD"/>
    <w:rsid w:val="00772DF7"/>
    <w:rsid w:val="00773006"/>
    <w:rsid w:val="007732DB"/>
    <w:rsid w:val="00773763"/>
    <w:rsid w:val="007737F6"/>
    <w:rsid w:val="007738CB"/>
    <w:rsid w:val="007741CE"/>
    <w:rsid w:val="0077462F"/>
    <w:rsid w:val="007746D6"/>
    <w:rsid w:val="00774F51"/>
    <w:rsid w:val="0077502B"/>
    <w:rsid w:val="007750DE"/>
    <w:rsid w:val="00775386"/>
    <w:rsid w:val="0077543D"/>
    <w:rsid w:val="00775820"/>
    <w:rsid w:val="00775D99"/>
    <w:rsid w:val="0077687E"/>
    <w:rsid w:val="00776EEE"/>
    <w:rsid w:val="00776FFC"/>
    <w:rsid w:val="00777269"/>
    <w:rsid w:val="007777DA"/>
    <w:rsid w:val="00777B40"/>
    <w:rsid w:val="00777F63"/>
    <w:rsid w:val="00780703"/>
    <w:rsid w:val="00781395"/>
    <w:rsid w:val="00781783"/>
    <w:rsid w:val="00781859"/>
    <w:rsid w:val="00781893"/>
    <w:rsid w:val="007818B5"/>
    <w:rsid w:val="007818DF"/>
    <w:rsid w:val="00781942"/>
    <w:rsid w:val="00781974"/>
    <w:rsid w:val="00781EFB"/>
    <w:rsid w:val="0078211B"/>
    <w:rsid w:val="00782127"/>
    <w:rsid w:val="00782727"/>
    <w:rsid w:val="00782A2E"/>
    <w:rsid w:val="00782A86"/>
    <w:rsid w:val="0078301F"/>
    <w:rsid w:val="00783355"/>
    <w:rsid w:val="0078335B"/>
    <w:rsid w:val="007837DE"/>
    <w:rsid w:val="00783A3F"/>
    <w:rsid w:val="00783A5C"/>
    <w:rsid w:val="00783ABA"/>
    <w:rsid w:val="00783AD0"/>
    <w:rsid w:val="00783E8F"/>
    <w:rsid w:val="00783F04"/>
    <w:rsid w:val="00783FED"/>
    <w:rsid w:val="00783FF2"/>
    <w:rsid w:val="0078429A"/>
    <w:rsid w:val="007842D6"/>
    <w:rsid w:val="0078432D"/>
    <w:rsid w:val="007843B7"/>
    <w:rsid w:val="0078452A"/>
    <w:rsid w:val="00784644"/>
    <w:rsid w:val="00784711"/>
    <w:rsid w:val="00784817"/>
    <w:rsid w:val="00784AE6"/>
    <w:rsid w:val="00784B47"/>
    <w:rsid w:val="00784BF4"/>
    <w:rsid w:val="00785C88"/>
    <w:rsid w:val="00785D46"/>
    <w:rsid w:val="00786284"/>
    <w:rsid w:val="007863B4"/>
    <w:rsid w:val="007866E1"/>
    <w:rsid w:val="00786ED4"/>
    <w:rsid w:val="00786F09"/>
    <w:rsid w:val="00787561"/>
    <w:rsid w:val="007875EC"/>
    <w:rsid w:val="00787878"/>
    <w:rsid w:val="00787BEB"/>
    <w:rsid w:val="00787E7A"/>
    <w:rsid w:val="0079035C"/>
    <w:rsid w:val="00790578"/>
    <w:rsid w:val="007909A5"/>
    <w:rsid w:val="00790A31"/>
    <w:rsid w:val="00790BE9"/>
    <w:rsid w:val="00790C9F"/>
    <w:rsid w:val="00790E3A"/>
    <w:rsid w:val="00790E50"/>
    <w:rsid w:val="00790E73"/>
    <w:rsid w:val="0079110E"/>
    <w:rsid w:val="0079132E"/>
    <w:rsid w:val="007917BC"/>
    <w:rsid w:val="00791C9D"/>
    <w:rsid w:val="007922DE"/>
    <w:rsid w:val="0079279D"/>
    <w:rsid w:val="00792B94"/>
    <w:rsid w:val="00792BB2"/>
    <w:rsid w:val="00792D28"/>
    <w:rsid w:val="00793035"/>
    <w:rsid w:val="00793173"/>
    <w:rsid w:val="007932EB"/>
    <w:rsid w:val="0079393C"/>
    <w:rsid w:val="00793B54"/>
    <w:rsid w:val="00793BF4"/>
    <w:rsid w:val="00793DDF"/>
    <w:rsid w:val="007945ED"/>
    <w:rsid w:val="0079462D"/>
    <w:rsid w:val="00794A65"/>
    <w:rsid w:val="007950A2"/>
    <w:rsid w:val="00795A79"/>
    <w:rsid w:val="00795D34"/>
    <w:rsid w:val="00795FC3"/>
    <w:rsid w:val="007965E2"/>
    <w:rsid w:val="00796AA6"/>
    <w:rsid w:val="007970AA"/>
    <w:rsid w:val="007970CD"/>
    <w:rsid w:val="0079715B"/>
    <w:rsid w:val="00797492"/>
    <w:rsid w:val="007975FE"/>
    <w:rsid w:val="00797AA5"/>
    <w:rsid w:val="00797F31"/>
    <w:rsid w:val="00798CEF"/>
    <w:rsid w:val="007A00EA"/>
    <w:rsid w:val="007A0760"/>
    <w:rsid w:val="007A131D"/>
    <w:rsid w:val="007A1633"/>
    <w:rsid w:val="007A1736"/>
    <w:rsid w:val="007A19AC"/>
    <w:rsid w:val="007A1CD4"/>
    <w:rsid w:val="007A1DAD"/>
    <w:rsid w:val="007A1FD3"/>
    <w:rsid w:val="007A2032"/>
    <w:rsid w:val="007A20D0"/>
    <w:rsid w:val="007A31AC"/>
    <w:rsid w:val="007A34FC"/>
    <w:rsid w:val="007A3788"/>
    <w:rsid w:val="007A3CB1"/>
    <w:rsid w:val="007A3E38"/>
    <w:rsid w:val="007A4200"/>
    <w:rsid w:val="007A42B8"/>
    <w:rsid w:val="007A48A6"/>
    <w:rsid w:val="007A4A2E"/>
    <w:rsid w:val="007A515D"/>
    <w:rsid w:val="007A54D8"/>
    <w:rsid w:val="007A5518"/>
    <w:rsid w:val="007A555B"/>
    <w:rsid w:val="007A572B"/>
    <w:rsid w:val="007A5A0B"/>
    <w:rsid w:val="007A5AAB"/>
    <w:rsid w:val="007A5BB2"/>
    <w:rsid w:val="007A6004"/>
    <w:rsid w:val="007A628E"/>
    <w:rsid w:val="007A62E3"/>
    <w:rsid w:val="007A64E8"/>
    <w:rsid w:val="007A69CF"/>
    <w:rsid w:val="007A6CCB"/>
    <w:rsid w:val="007A6D30"/>
    <w:rsid w:val="007A70F3"/>
    <w:rsid w:val="007A75C8"/>
    <w:rsid w:val="007A7AB6"/>
    <w:rsid w:val="007A7DCA"/>
    <w:rsid w:val="007B0225"/>
    <w:rsid w:val="007B0578"/>
    <w:rsid w:val="007B0760"/>
    <w:rsid w:val="007B0A41"/>
    <w:rsid w:val="007B0B60"/>
    <w:rsid w:val="007B0DC6"/>
    <w:rsid w:val="007B1032"/>
    <w:rsid w:val="007B12E5"/>
    <w:rsid w:val="007B1484"/>
    <w:rsid w:val="007B17FC"/>
    <w:rsid w:val="007B1AAA"/>
    <w:rsid w:val="007B1B62"/>
    <w:rsid w:val="007B1DCF"/>
    <w:rsid w:val="007B1E31"/>
    <w:rsid w:val="007B292A"/>
    <w:rsid w:val="007B2C1D"/>
    <w:rsid w:val="007B2D47"/>
    <w:rsid w:val="007B2EA4"/>
    <w:rsid w:val="007B2F4F"/>
    <w:rsid w:val="007B2FCC"/>
    <w:rsid w:val="007B314D"/>
    <w:rsid w:val="007B3959"/>
    <w:rsid w:val="007B3AF6"/>
    <w:rsid w:val="007B45E6"/>
    <w:rsid w:val="007B47C9"/>
    <w:rsid w:val="007B5B92"/>
    <w:rsid w:val="007B5E6F"/>
    <w:rsid w:val="007B5F85"/>
    <w:rsid w:val="007B5FAF"/>
    <w:rsid w:val="007B679B"/>
    <w:rsid w:val="007B679D"/>
    <w:rsid w:val="007B688C"/>
    <w:rsid w:val="007B6990"/>
    <w:rsid w:val="007B6BD7"/>
    <w:rsid w:val="007B6E31"/>
    <w:rsid w:val="007B6ECB"/>
    <w:rsid w:val="007B71B3"/>
    <w:rsid w:val="007B724E"/>
    <w:rsid w:val="007B72E0"/>
    <w:rsid w:val="007C01B6"/>
    <w:rsid w:val="007C026D"/>
    <w:rsid w:val="007C0436"/>
    <w:rsid w:val="007C0B05"/>
    <w:rsid w:val="007C0B8B"/>
    <w:rsid w:val="007C0DFC"/>
    <w:rsid w:val="007C1203"/>
    <w:rsid w:val="007C138C"/>
    <w:rsid w:val="007C182E"/>
    <w:rsid w:val="007C19C7"/>
    <w:rsid w:val="007C20E2"/>
    <w:rsid w:val="007C22E7"/>
    <w:rsid w:val="007C2544"/>
    <w:rsid w:val="007C2596"/>
    <w:rsid w:val="007C26A6"/>
    <w:rsid w:val="007C2702"/>
    <w:rsid w:val="007C2860"/>
    <w:rsid w:val="007C28D7"/>
    <w:rsid w:val="007C2C16"/>
    <w:rsid w:val="007C2CC7"/>
    <w:rsid w:val="007C2DFE"/>
    <w:rsid w:val="007C30BF"/>
    <w:rsid w:val="007C3E08"/>
    <w:rsid w:val="007C3EC6"/>
    <w:rsid w:val="007C42C1"/>
    <w:rsid w:val="007C4714"/>
    <w:rsid w:val="007C48A6"/>
    <w:rsid w:val="007C4903"/>
    <w:rsid w:val="007C4A7F"/>
    <w:rsid w:val="007C4EC6"/>
    <w:rsid w:val="007C5053"/>
    <w:rsid w:val="007C549E"/>
    <w:rsid w:val="007C55A2"/>
    <w:rsid w:val="007C571E"/>
    <w:rsid w:val="007C5872"/>
    <w:rsid w:val="007C5CB9"/>
    <w:rsid w:val="007C5D56"/>
    <w:rsid w:val="007C624D"/>
    <w:rsid w:val="007C63AE"/>
    <w:rsid w:val="007C63DF"/>
    <w:rsid w:val="007C68A2"/>
    <w:rsid w:val="007C6961"/>
    <w:rsid w:val="007C6D10"/>
    <w:rsid w:val="007C6F32"/>
    <w:rsid w:val="007C71F2"/>
    <w:rsid w:val="007C741C"/>
    <w:rsid w:val="007C796C"/>
    <w:rsid w:val="007D0318"/>
    <w:rsid w:val="007D0353"/>
    <w:rsid w:val="007D04F7"/>
    <w:rsid w:val="007D1E20"/>
    <w:rsid w:val="007D1FE5"/>
    <w:rsid w:val="007D25E8"/>
    <w:rsid w:val="007D263B"/>
    <w:rsid w:val="007D2764"/>
    <w:rsid w:val="007D298B"/>
    <w:rsid w:val="007D29A6"/>
    <w:rsid w:val="007D2E57"/>
    <w:rsid w:val="007D2F8C"/>
    <w:rsid w:val="007D2FAE"/>
    <w:rsid w:val="007D38A0"/>
    <w:rsid w:val="007D39E2"/>
    <w:rsid w:val="007D3B13"/>
    <w:rsid w:val="007D3F76"/>
    <w:rsid w:val="007D452B"/>
    <w:rsid w:val="007D49F0"/>
    <w:rsid w:val="007D4B04"/>
    <w:rsid w:val="007D4B21"/>
    <w:rsid w:val="007D4C8E"/>
    <w:rsid w:val="007D52EE"/>
    <w:rsid w:val="007D5673"/>
    <w:rsid w:val="007D5946"/>
    <w:rsid w:val="007D59C9"/>
    <w:rsid w:val="007D59F2"/>
    <w:rsid w:val="007D5BDB"/>
    <w:rsid w:val="007D5BFC"/>
    <w:rsid w:val="007D6163"/>
    <w:rsid w:val="007D636B"/>
    <w:rsid w:val="007D6656"/>
    <w:rsid w:val="007D6953"/>
    <w:rsid w:val="007D6B92"/>
    <w:rsid w:val="007D6E06"/>
    <w:rsid w:val="007D719A"/>
    <w:rsid w:val="007D7450"/>
    <w:rsid w:val="007D7705"/>
    <w:rsid w:val="007E05A9"/>
    <w:rsid w:val="007E06EC"/>
    <w:rsid w:val="007E0ABE"/>
    <w:rsid w:val="007E0CF1"/>
    <w:rsid w:val="007E0DC7"/>
    <w:rsid w:val="007E120D"/>
    <w:rsid w:val="007E13A3"/>
    <w:rsid w:val="007E13D2"/>
    <w:rsid w:val="007E14A5"/>
    <w:rsid w:val="007E1581"/>
    <w:rsid w:val="007E16E5"/>
    <w:rsid w:val="007E181E"/>
    <w:rsid w:val="007E199B"/>
    <w:rsid w:val="007E25B3"/>
    <w:rsid w:val="007E2636"/>
    <w:rsid w:val="007E2E2E"/>
    <w:rsid w:val="007E2E7E"/>
    <w:rsid w:val="007E2F05"/>
    <w:rsid w:val="007E2F44"/>
    <w:rsid w:val="007E2F73"/>
    <w:rsid w:val="007E3327"/>
    <w:rsid w:val="007E36F4"/>
    <w:rsid w:val="007E397C"/>
    <w:rsid w:val="007E3994"/>
    <w:rsid w:val="007E3CEE"/>
    <w:rsid w:val="007E3F7D"/>
    <w:rsid w:val="007E4216"/>
    <w:rsid w:val="007E4834"/>
    <w:rsid w:val="007E49E0"/>
    <w:rsid w:val="007E4B10"/>
    <w:rsid w:val="007E4F08"/>
    <w:rsid w:val="007E504D"/>
    <w:rsid w:val="007E563A"/>
    <w:rsid w:val="007E56B2"/>
    <w:rsid w:val="007E5D25"/>
    <w:rsid w:val="007E5DF2"/>
    <w:rsid w:val="007E5E6D"/>
    <w:rsid w:val="007E6A86"/>
    <w:rsid w:val="007E6B51"/>
    <w:rsid w:val="007E6D76"/>
    <w:rsid w:val="007E6F41"/>
    <w:rsid w:val="007E72E8"/>
    <w:rsid w:val="007E7647"/>
    <w:rsid w:val="007E7BA8"/>
    <w:rsid w:val="007E7E29"/>
    <w:rsid w:val="007E7F10"/>
    <w:rsid w:val="007F0154"/>
    <w:rsid w:val="007F0852"/>
    <w:rsid w:val="007F1526"/>
    <w:rsid w:val="007F1588"/>
    <w:rsid w:val="007F1713"/>
    <w:rsid w:val="007F177C"/>
    <w:rsid w:val="007F17D1"/>
    <w:rsid w:val="007F1A74"/>
    <w:rsid w:val="007F1B3E"/>
    <w:rsid w:val="007F27CA"/>
    <w:rsid w:val="007F29FD"/>
    <w:rsid w:val="007F2AD9"/>
    <w:rsid w:val="007F2B28"/>
    <w:rsid w:val="007F2B78"/>
    <w:rsid w:val="007F2D2C"/>
    <w:rsid w:val="007F3142"/>
    <w:rsid w:val="007F3317"/>
    <w:rsid w:val="007F33DA"/>
    <w:rsid w:val="007F360E"/>
    <w:rsid w:val="007F3A4B"/>
    <w:rsid w:val="007F3FB1"/>
    <w:rsid w:val="007F42D4"/>
    <w:rsid w:val="007F462F"/>
    <w:rsid w:val="007F4956"/>
    <w:rsid w:val="007F4C15"/>
    <w:rsid w:val="007F546E"/>
    <w:rsid w:val="007F5527"/>
    <w:rsid w:val="007F576C"/>
    <w:rsid w:val="007F587E"/>
    <w:rsid w:val="007F58AC"/>
    <w:rsid w:val="007F5B10"/>
    <w:rsid w:val="007F5B5F"/>
    <w:rsid w:val="007F5FB2"/>
    <w:rsid w:val="007F62CF"/>
    <w:rsid w:val="007F6517"/>
    <w:rsid w:val="007F69B7"/>
    <w:rsid w:val="007F7562"/>
    <w:rsid w:val="007F764D"/>
    <w:rsid w:val="007F76A8"/>
    <w:rsid w:val="007F79E3"/>
    <w:rsid w:val="007F7B20"/>
    <w:rsid w:val="007F7BCD"/>
    <w:rsid w:val="007F7D19"/>
    <w:rsid w:val="007F7E49"/>
    <w:rsid w:val="008002DE"/>
    <w:rsid w:val="008003A3"/>
    <w:rsid w:val="008003A4"/>
    <w:rsid w:val="0080065C"/>
    <w:rsid w:val="0080070A"/>
    <w:rsid w:val="00801064"/>
    <w:rsid w:val="008015E7"/>
    <w:rsid w:val="00801DBE"/>
    <w:rsid w:val="00801E73"/>
    <w:rsid w:val="00802495"/>
    <w:rsid w:val="00802BB5"/>
    <w:rsid w:val="00802EF1"/>
    <w:rsid w:val="00803122"/>
    <w:rsid w:val="0080316C"/>
    <w:rsid w:val="00803258"/>
    <w:rsid w:val="00803733"/>
    <w:rsid w:val="00803746"/>
    <w:rsid w:val="00803778"/>
    <w:rsid w:val="00803865"/>
    <w:rsid w:val="008038AA"/>
    <w:rsid w:val="008038C5"/>
    <w:rsid w:val="00803B5E"/>
    <w:rsid w:val="00803BA8"/>
    <w:rsid w:val="00803F74"/>
    <w:rsid w:val="00804066"/>
    <w:rsid w:val="00804275"/>
    <w:rsid w:val="008043A9"/>
    <w:rsid w:val="00804444"/>
    <w:rsid w:val="008045FD"/>
    <w:rsid w:val="00804F72"/>
    <w:rsid w:val="00805352"/>
    <w:rsid w:val="0080562A"/>
    <w:rsid w:val="00805A43"/>
    <w:rsid w:val="00805B19"/>
    <w:rsid w:val="00805BCE"/>
    <w:rsid w:val="00805CCE"/>
    <w:rsid w:val="00806068"/>
    <w:rsid w:val="00806627"/>
    <w:rsid w:val="00806D1F"/>
    <w:rsid w:val="008075D5"/>
    <w:rsid w:val="00807620"/>
    <w:rsid w:val="008077EB"/>
    <w:rsid w:val="008078A9"/>
    <w:rsid w:val="00807924"/>
    <w:rsid w:val="008079CB"/>
    <w:rsid w:val="00807C0B"/>
    <w:rsid w:val="00810064"/>
    <w:rsid w:val="008101D2"/>
    <w:rsid w:val="00810217"/>
    <w:rsid w:val="00810225"/>
    <w:rsid w:val="0081090F"/>
    <w:rsid w:val="00810F9D"/>
    <w:rsid w:val="0081135E"/>
    <w:rsid w:val="00811996"/>
    <w:rsid w:val="008119FB"/>
    <w:rsid w:val="00811A5F"/>
    <w:rsid w:val="00812045"/>
    <w:rsid w:val="008123BC"/>
    <w:rsid w:val="008124A1"/>
    <w:rsid w:val="00812A0B"/>
    <w:rsid w:val="00812ABC"/>
    <w:rsid w:val="00812AD2"/>
    <w:rsid w:val="00812BBC"/>
    <w:rsid w:val="00812D65"/>
    <w:rsid w:val="00813099"/>
    <w:rsid w:val="0081324A"/>
    <w:rsid w:val="0081340B"/>
    <w:rsid w:val="00813416"/>
    <w:rsid w:val="008134B5"/>
    <w:rsid w:val="008134E3"/>
    <w:rsid w:val="00813767"/>
    <w:rsid w:val="00813848"/>
    <w:rsid w:val="00813D86"/>
    <w:rsid w:val="00814194"/>
    <w:rsid w:val="008144A0"/>
    <w:rsid w:val="0081457F"/>
    <w:rsid w:val="008145A3"/>
    <w:rsid w:val="008145DD"/>
    <w:rsid w:val="00814782"/>
    <w:rsid w:val="008148F2"/>
    <w:rsid w:val="008149CA"/>
    <w:rsid w:val="00814F91"/>
    <w:rsid w:val="00815209"/>
    <w:rsid w:val="00815342"/>
    <w:rsid w:val="008153A5"/>
    <w:rsid w:val="008154D4"/>
    <w:rsid w:val="00815639"/>
    <w:rsid w:val="00815769"/>
    <w:rsid w:val="00815FB3"/>
    <w:rsid w:val="00815FBD"/>
    <w:rsid w:val="00816028"/>
    <w:rsid w:val="008160C0"/>
    <w:rsid w:val="008160CD"/>
    <w:rsid w:val="0081686A"/>
    <w:rsid w:val="00816B33"/>
    <w:rsid w:val="0081711C"/>
    <w:rsid w:val="008173E0"/>
    <w:rsid w:val="00817586"/>
    <w:rsid w:val="00817729"/>
    <w:rsid w:val="008177C6"/>
    <w:rsid w:val="008179C1"/>
    <w:rsid w:val="00817B01"/>
    <w:rsid w:val="00817DF0"/>
    <w:rsid w:val="00817E8B"/>
    <w:rsid w:val="00820259"/>
    <w:rsid w:val="008209BE"/>
    <w:rsid w:val="00820CE4"/>
    <w:rsid w:val="00820F22"/>
    <w:rsid w:val="00820F58"/>
    <w:rsid w:val="00820FD1"/>
    <w:rsid w:val="0082136E"/>
    <w:rsid w:val="0082154E"/>
    <w:rsid w:val="008218CA"/>
    <w:rsid w:val="00821916"/>
    <w:rsid w:val="00821A05"/>
    <w:rsid w:val="00821A1F"/>
    <w:rsid w:val="00821F84"/>
    <w:rsid w:val="00822169"/>
    <w:rsid w:val="0082236F"/>
    <w:rsid w:val="00822781"/>
    <w:rsid w:val="00822A15"/>
    <w:rsid w:val="00822BCD"/>
    <w:rsid w:val="00823057"/>
    <w:rsid w:val="008240D4"/>
    <w:rsid w:val="0082411F"/>
    <w:rsid w:val="008243C7"/>
    <w:rsid w:val="00824741"/>
    <w:rsid w:val="00824BE9"/>
    <w:rsid w:val="00824C66"/>
    <w:rsid w:val="00824C6A"/>
    <w:rsid w:val="00824D6D"/>
    <w:rsid w:val="00824F0C"/>
    <w:rsid w:val="0082515F"/>
    <w:rsid w:val="0082560B"/>
    <w:rsid w:val="008257F2"/>
    <w:rsid w:val="00825AD0"/>
    <w:rsid w:val="00825F90"/>
    <w:rsid w:val="008262AC"/>
    <w:rsid w:val="008263F2"/>
    <w:rsid w:val="00826CB9"/>
    <w:rsid w:val="00826F1D"/>
    <w:rsid w:val="0082704C"/>
    <w:rsid w:val="008275DE"/>
    <w:rsid w:val="00827924"/>
    <w:rsid w:val="00827CAB"/>
    <w:rsid w:val="00827CDF"/>
    <w:rsid w:val="00827E40"/>
    <w:rsid w:val="00830096"/>
    <w:rsid w:val="008302BB"/>
    <w:rsid w:val="00830401"/>
    <w:rsid w:val="00830A76"/>
    <w:rsid w:val="00830C1B"/>
    <w:rsid w:val="00830EE9"/>
    <w:rsid w:val="008310FC"/>
    <w:rsid w:val="00831407"/>
    <w:rsid w:val="00831536"/>
    <w:rsid w:val="00831C65"/>
    <w:rsid w:val="00832008"/>
    <w:rsid w:val="00832155"/>
    <w:rsid w:val="00832263"/>
    <w:rsid w:val="00832287"/>
    <w:rsid w:val="0083290E"/>
    <w:rsid w:val="00832BCC"/>
    <w:rsid w:val="00832C82"/>
    <w:rsid w:val="00832F27"/>
    <w:rsid w:val="00832F65"/>
    <w:rsid w:val="00832FCA"/>
    <w:rsid w:val="008335B4"/>
    <w:rsid w:val="008337FD"/>
    <w:rsid w:val="008339D5"/>
    <w:rsid w:val="00833AA1"/>
    <w:rsid w:val="008343EF"/>
    <w:rsid w:val="0083450E"/>
    <w:rsid w:val="0083465C"/>
    <w:rsid w:val="008346EA"/>
    <w:rsid w:val="0083472D"/>
    <w:rsid w:val="0083478D"/>
    <w:rsid w:val="008349D4"/>
    <w:rsid w:val="00834C64"/>
    <w:rsid w:val="00834EAA"/>
    <w:rsid w:val="008352C5"/>
    <w:rsid w:val="00835302"/>
    <w:rsid w:val="00835594"/>
    <w:rsid w:val="00835986"/>
    <w:rsid w:val="00835B2C"/>
    <w:rsid w:val="00835C6A"/>
    <w:rsid w:val="00835E94"/>
    <w:rsid w:val="00835EC2"/>
    <w:rsid w:val="00836F21"/>
    <w:rsid w:val="0083715D"/>
    <w:rsid w:val="008373D9"/>
    <w:rsid w:val="00837980"/>
    <w:rsid w:val="00837A2C"/>
    <w:rsid w:val="00837E52"/>
    <w:rsid w:val="00840573"/>
    <w:rsid w:val="008407A8"/>
    <w:rsid w:val="00840819"/>
    <w:rsid w:val="00840839"/>
    <w:rsid w:val="00840BC9"/>
    <w:rsid w:val="00840D55"/>
    <w:rsid w:val="00840F2D"/>
    <w:rsid w:val="00841091"/>
    <w:rsid w:val="008410EF"/>
    <w:rsid w:val="00841411"/>
    <w:rsid w:val="00841630"/>
    <w:rsid w:val="00841C75"/>
    <w:rsid w:val="00841F2F"/>
    <w:rsid w:val="00842145"/>
    <w:rsid w:val="008422C1"/>
    <w:rsid w:val="008423DD"/>
    <w:rsid w:val="008424C4"/>
    <w:rsid w:val="0084250B"/>
    <w:rsid w:val="008429C0"/>
    <w:rsid w:val="00842C7D"/>
    <w:rsid w:val="00842CE2"/>
    <w:rsid w:val="00842F5D"/>
    <w:rsid w:val="008432F1"/>
    <w:rsid w:val="00843461"/>
    <w:rsid w:val="0084399E"/>
    <w:rsid w:val="0084434F"/>
    <w:rsid w:val="008444A9"/>
    <w:rsid w:val="00844C84"/>
    <w:rsid w:val="00844FF7"/>
    <w:rsid w:val="00845198"/>
    <w:rsid w:val="008452E2"/>
    <w:rsid w:val="00845616"/>
    <w:rsid w:val="0084577D"/>
    <w:rsid w:val="008458B9"/>
    <w:rsid w:val="00845B1C"/>
    <w:rsid w:val="008464F5"/>
    <w:rsid w:val="00846C11"/>
    <w:rsid w:val="00846CD3"/>
    <w:rsid w:val="00846EA0"/>
    <w:rsid w:val="00846EFA"/>
    <w:rsid w:val="00846FF6"/>
    <w:rsid w:val="008473E4"/>
    <w:rsid w:val="00847746"/>
    <w:rsid w:val="00847B29"/>
    <w:rsid w:val="00847D31"/>
    <w:rsid w:val="00850204"/>
    <w:rsid w:val="008508DE"/>
    <w:rsid w:val="00850A49"/>
    <w:rsid w:val="00850A54"/>
    <w:rsid w:val="00850AA7"/>
    <w:rsid w:val="00850EE1"/>
    <w:rsid w:val="0085117E"/>
    <w:rsid w:val="0085144A"/>
    <w:rsid w:val="008517FD"/>
    <w:rsid w:val="00851906"/>
    <w:rsid w:val="00851BE3"/>
    <w:rsid w:val="00851E50"/>
    <w:rsid w:val="00851ED1"/>
    <w:rsid w:val="00851F40"/>
    <w:rsid w:val="00852234"/>
    <w:rsid w:val="0085229A"/>
    <w:rsid w:val="008526D8"/>
    <w:rsid w:val="00852CFC"/>
    <w:rsid w:val="00852D2C"/>
    <w:rsid w:val="0085356A"/>
    <w:rsid w:val="00853A67"/>
    <w:rsid w:val="00853B58"/>
    <w:rsid w:val="00853D11"/>
    <w:rsid w:val="00853F2C"/>
    <w:rsid w:val="00854A31"/>
    <w:rsid w:val="00854D00"/>
    <w:rsid w:val="00854EF1"/>
    <w:rsid w:val="00855340"/>
    <w:rsid w:val="00855BA7"/>
    <w:rsid w:val="00855F74"/>
    <w:rsid w:val="00856843"/>
    <w:rsid w:val="00856BD1"/>
    <w:rsid w:val="00856F5E"/>
    <w:rsid w:val="0085768E"/>
    <w:rsid w:val="0085773A"/>
    <w:rsid w:val="008577FD"/>
    <w:rsid w:val="0085784B"/>
    <w:rsid w:val="008578A0"/>
    <w:rsid w:val="00857CA6"/>
    <w:rsid w:val="008600AC"/>
    <w:rsid w:val="0086049A"/>
    <w:rsid w:val="00860DB9"/>
    <w:rsid w:val="00861413"/>
    <w:rsid w:val="0086144C"/>
    <w:rsid w:val="008614D9"/>
    <w:rsid w:val="00861CE3"/>
    <w:rsid w:val="008625C9"/>
    <w:rsid w:val="008626F7"/>
    <w:rsid w:val="00862B55"/>
    <w:rsid w:val="00862F64"/>
    <w:rsid w:val="008631DE"/>
    <w:rsid w:val="00863546"/>
    <w:rsid w:val="008635E3"/>
    <w:rsid w:val="00863651"/>
    <w:rsid w:val="00863A0D"/>
    <w:rsid w:val="00863A2E"/>
    <w:rsid w:val="00863A8F"/>
    <w:rsid w:val="00863BFD"/>
    <w:rsid w:val="0086415F"/>
    <w:rsid w:val="0086461F"/>
    <w:rsid w:val="0086478A"/>
    <w:rsid w:val="00864874"/>
    <w:rsid w:val="0086499C"/>
    <w:rsid w:val="00864D16"/>
    <w:rsid w:val="00865215"/>
    <w:rsid w:val="00865673"/>
    <w:rsid w:val="008657F9"/>
    <w:rsid w:val="0086593D"/>
    <w:rsid w:val="00865B69"/>
    <w:rsid w:val="00865EA7"/>
    <w:rsid w:val="00865ECF"/>
    <w:rsid w:val="00865FD8"/>
    <w:rsid w:val="00865FF1"/>
    <w:rsid w:val="00865FF2"/>
    <w:rsid w:val="00866263"/>
    <w:rsid w:val="008662E1"/>
    <w:rsid w:val="008669CD"/>
    <w:rsid w:val="00866BBD"/>
    <w:rsid w:val="00866FF7"/>
    <w:rsid w:val="00867B51"/>
    <w:rsid w:val="00867D73"/>
    <w:rsid w:val="0087017A"/>
    <w:rsid w:val="00870437"/>
    <w:rsid w:val="00870666"/>
    <w:rsid w:val="00870802"/>
    <w:rsid w:val="00870A00"/>
    <w:rsid w:val="00870A8F"/>
    <w:rsid w:val="00870B50"/>
    <w:rsid w:val="00870B60"/>
    <w:rsid w:val="00870EEF"/>
    <w:rsid w:val="00871162"/>
    <w:rsid w:val="0087124C"/>
    <w:rsid w:val="00871566"/>
    <w:rsid w:val="008717E0"/>
    <w:rsid w:val="008718DD"/>
    <w:rsid w:val="008719A5"/>
    <w:rsid w:val="00871C7E"/>
    <w:rsid w:val="00871E22"/>
    <w:rsid w:val="00871F62"/>
    <w:rsid w:val="0087200D"/>
    <w:rsid w:val="00872017"/>
    <w:rsid w:val="008720F5"/>
    <w:rsid w:val="0087242D"/>
    <w:rsid w:val="008726A3"/>
    <w:rsid w:val="008727B9"/>
    <w:rsid w:val="008727DA"/>
    <w:rsid w:val="00872D24"/>
    <w:rsid w:val="008733B1"/>
    <w:rsid w:val="00873619"/>
    <w:rsid w:val="00873815"/>
    <w:rsid w:val="00873C4B"/>
    <w:rsid w:val="00873F7C"/>
    <w:rsid w:val="00874164"/>
    <w:rsid w:val="008741E9"/>
    <w:rsid w:val="008741F1"/>
    <w:rsid w:val="00874206"/>
    <w:rsid w:val="0087425A"/>
    <w:rsid w:val="00874524"/>
    <w:rsid w:val="0087473E"/>
    <w:rsid w:val="00874C05"/>
    <w:rsid w:val="00874CED"/>
    <w:rsid w:val="00874D51"/>
    <w:rsid w:val="00874F4D"/>
    <w:rsid w:val="0087509F"/>
    <w:rsid w:val="00875240"/>
    <w:rsid w:val="00875550"/>
    <w:rsid w:val="008759A4"/>
    <w:rsid w:val="00875BF0"/>
    <w:rsid w:val="00875E0C"/>
    <w:rsid w:val="00875E11"/>
    <w:rsid w:val="008760D5"/>
    <w:rsid w:val="00876541"/>
    <w:rsid w:val="0087675B"/>
    <w:rsid w:val="00876D9B"/>
    <w:rsid w:val="00876DBA"/>
    <w:rsid w:val="00876ED8"/>
    <w:rsid w:val="008771C8"/>
    <w:rsid w:val="00877DC6"/>
    <w:rsid w:val="008801F8"/>
    <w:rsid w:val="008802B7"/>
    <w:rsid w:val="008804CC"/>
    <w:rsid w:val="00880AE5"/>
    <w:rsid w:val="00880E76"/>
    <w:rsid w:val="00881150"/>
    <w:rsid w:val="0088120F"/>
    <w:rsid w:val="0088134F"/>
    <w:rsid w:val="00881641"/>
    <w:rsid w:val="00881664"/>
    <w:rsid w:val="008820F8"/>
    <w:rsid w:val="0088261E"/>
    <w:rsid w:val="00882E9C"/>
    <w:rsid w:val="00882F7B"/>
    <w:rsid w:val="0088314A"/>
    <w:rsid w:val="00883160"/>
    <w:rsid w:val="00883398"/>
    <w:rsid w:val="008834B8"/>
    <w:rsid w:val="00883A3D"/>
    <w:rsid w:val="00883EE8"/>
    <w:rsid w:val="0088429C"/>
    <w:rsid w:val="00884488"/>
    <w:rsid w:val="0088480D"/>
    <w:rsid w:val="00884BF1"/>
    <w:rsid w:val="00884F4C"/>
    <w:rsid w:val="00885288"/>
    <w:rsid w:val="00885623"/>
    <w:rsid w:val="008857B7"/>
    <w:rsid w:val="0088591C"/>
    <w:rsid w:val="00885AAE"/>
    <w:rsid w:val="008860FF"/>
    <w:rsid w:val="0088641C"/>
    <w:rsid w:val="00886F31"/>
    <w:rsid w:val="00886FA3"/>
    <w:rsid w:val="00887772"/>
    <w:rsid w:val="008879A2"/>
    <w:rsid w:val="00887B55"/>
    <w:rsid w:val="00887E9F"/>
    <w:rsid w:val="00890263"/>
    <w:rsid w:val="008904C6"/>
    <w:rsid w:val="008909DF"/>
    <w:rsid w:val="0089108F"/>
    <w:rsid w:val="00891180"/>
    <w:rsid w:val="00891208"/>
    <w:rsid w:val="00891210"/>
    <w:rsid w:val="008915AC"/>
    <w:rsid w:val="00891A58"/>
    <w:rsid w:val="00891CF3"/>
    <w:rsid w:val="00891F52"/>
    <w:rsid w:val="008924D0"/>
    <w:rsid w:val="008927EC"/>
    <w:rsid w:val="00892B78"/>
    <w:rsid w:val="008930F2"/>
    <w:rsid w:val="0089359E"/>
    <w:rsid w:val="008935DC"/>
    <w:rsid w:val="00893B07"/>
    <w:rsid w:val="00893D2C"/>
    <w:rsid w:val="00893E51"/>
    <w:rsid w:val="00893FB3"/>
    <w:rsid w:val="00894132"/>
    <w:rsid w:val="00894522"/>
    <w:rsid w:val="00894620"/>
    <w:rsid w:val="00894A5B"/>
    <w:rsid w:val="00894BFE"/>
    <w:rsid w:val="00894DAB"/>
    <w:rsid w:val="00894DB9"/>
    <w:rsid w:val="0089574F"/>
    <w:rsid w:val="008958A4"/>
    <w:rsid w:val="00895ABF"/>
    <w:rsid w:val="00895F61"/>
    <w:rsid w:val="0089643D"/>
    <w:rsid w:val="00896766"/>
    <w:rsid w:val="00896A2B"/>
    <w:rsid w:val="00896B2F"/>
    <w:rsid w:val="00896E15"/>
    <w:rsid w:val="0089759B"/>
    <w:rsid w:val="0089760C"/>
    <w:rsid w:val="0089795F"/>
    <w:rsid w:val="008979E0"/>
    <w:rsid w:val="00897D8E"/>
    <w:rsid w:val="00897FC2"/>
    <w:rsid w:val="008A0023"/>
    <w:rsid w:val="008A0318"/>
    <w:rsid w:val="008A07C5"/>
    <w:rsid w:val="008A0940"/>
    <w:rsid w:val="008A0CA5"/>
    <w:rsid w:val="008A0ED0"/>
    <w:rsid w:val="008A11C9"/>
    <w:rsid w:val="008A1379"/>
    <w:rsid w:val="008A16EF"/>
    <w:rsid w:val="008A1A30"/>
    <w:rsid w:val="008A1DCE"/>
    <w:rsid w:val="008A247B"/>
    <w:rsid w:val="008A2C8C"/>
    <w:rsid w:val="008A2CC6"/>
    <w:rsid w:val="008A2DAE"/>
    <w:rsid w:val="008A3368"/>
    <w:rsid w:val="008A35C7"/>
    <w:rsid w:val="008A35F6"/>
    <w:rsid w:val="008A3CC0"/>
    <w:rsid w:val="008A3DD6"/>
    <w:rsid w:val="008A3F86"/>
    <w:rsid w:val="008A40B5"/>
    <w:rsid w:val="008A4513"/>
    <w:rsid w:val="008A466D"/>
    <w:rsid w:val="008A4A60"/>
    <w:rsid w:val="008A4B37"/>
    <w:rsid w:val="008A4EA9"/>
    <w:rsid w:val="008A4F4F"/>
    <w:rsid w:val="008A5333"/>
    <w:rsid w:val="008A5601"/>
    <w:rsid w:val="008A56EA"/>
    <w:rsid w:val="008A57BC"/>
    <w:rsid w:val="008A5C23"/>
    <w:rsid w:val="008A5F43"/>
    <w:rsid w:val="008A5F6E"/>
    <w:rsid w:val="008A5FFA"/>
    <w:rsid w:val="008A6190"/>
    <w:rsid w:val="008A6463"/>
    <w:rsid w:val="008A6538"/>
    <w:rsid w:val="008A6780"/>
    <w:rsid w:val="008A67A7"/>
    <w:rsid w:val="008A6B90"/>
    <w:rsid w:val="008A6C6D"/>
    <w:rsid w:val="008A6CF3"/>
    <w:rsid w:val="008A6EE8"/>
    <w:rsid w:val="008A6F4F"/>
    <w:rsid w:val="008A7136"/>
    <w:rsid w:val="008A75E3"/>
    <w:rsid w:val="008A7C64"/>
    <w:rsid w:val="008A7E9A"/>
    <w:rsid w:val="008A7EC1"/>
    <w:rsid w:val="008B0055"/>
    <w:rsid w:val="008B00FF"/>
    <w:rsid w:val="008B0549"/>
    <w:rsid w:val="008B0685"/>
    <w:rsid w:val="008B08FB"/>
    <w:rsid w:val="008B09CE"/>
    <w:rsid w:val="008B0BE4"/>
    <w:rsid w:val="008B0F28"/>
    <w:rsid w:val="008B101C"/>
    <w:rsid w:val="008B10A3"/>
    <w:rsid w:val="008B11FA"/>
    <w:rsid w:val="008B15C2"/>
    <w:rsid w:val="008B1735"/>
    <w:rsid w:val="008B18FA"/>
    <w:rsid w:val="008B1AD6"/>
    <w:rsid w:val="008B1AE9"/>
    <w:rsid w:val="008B1F00"/>
    <w:rsid w:val="008B2225"/>
    <w:rsid w:val="008B260B"/>
    <w:rsid w:val="008B29BD"/>
    <w:rsid w:val="008B2E74"/>
    <w:rsid w:val="008B3130"/>
    <w:rsid w:val="008B3588"/>
    <w:rsid w:val="008B36E7"/>
    <w:rsid w:val="008B3CDE"/>
    <w:rsid w:val="008B3E65"/>
    <w:rsid w:val="008B43C6"/>
    <w:rsid w:val="008B4510"/>
    <w:rsid w:val="008B4991"/>
    <w:rsid w:val="008B49A1"/>
    <w:rsid w:val="008B4A86"/>
    <w:rsid w:val="008B4C3F"/>
    <w:rsid w:val="008B4DB9"/>
    <w:rsid w:val="008B4FFB"/>
    <w:rsid w:val="008B505F"/>
    <w:rsid w:val="008B547A"/>
    <w:rsid w:val="008B578F"/>
    <w:rsid w:val="008B58DE"/>
    <w:rsid w:val="008B59E7"/>
    <w:rsid w:val="008B5C7A"/>
    <w:rsid w:val="008B6618"/>
    <w:rsid w:val="008B6EAD"/>
    <w:rsid w:val="008B7059"/>
    <w:rsid w:val="008B75B2"/>
    <w:rsid w:val="008B79BC"/>
    <w:rsid w:val="008B7EDF"/>
    <w:rsid w:val="008C021F"/>
    <w:rsid w:val="008C0380"/>
    <w:rsid w:val="008C084D"/>
    <w:rsid w:val="008C0896"/>
    <w:rsid w:val="008C0975"/>
    <w:rsid w:val="008C0CF2"/>
    <w:rsid w:val="008C0E92"/>
    <w:rsid w:val="008C0F6C"/>
    <w:rsid w:val="008C1124"/>
    <w:rsid w:val="008C118C"/>
    <w:rsid w:val="008C12C8"/>
    <w:rsid w:val="008C135A"/>
    <w:rsid w:val="008C1F01"/>
    <w:rsid w:val="008C20E1"/>
    <w:rsid w:val="008C22AF"/>
    <w:rsid w:val="008C22B2"/>
    <w:rsid w:val="008C2596"/>
    <w:rsid w:val="008C2659"/>
    <w:rsid w:val="008C2689"/>
    <w:rsid w:val="008C29E4"/>
    <w:rsid w:val="008C2DE3"/>
    <w:rsid w:val="008C2E64"/>
    <w:rsid w:val="008C32E5"/>
    <w:rsid w:val="008C3766"/>
    <w:rsid w:val="008C39C8"/>
    <w:rsid w:val="008C3A50"/>
    <w:rsid w:val="008C3ABD"/>
    <w:rsid w:val="008C3C4F"/>
    <w:rsid w:val="008C3DC9"/>
    <w:rsid w:val="008C46DF"/>
    <w:rsid w:val="008C46E1"/>
    <w:rsid w:val="008C4963"/>
    <w:rsid w:val="008C4C0E"/>
    <w:rsid w:val="008C4C69"/>
    <w:rsid w:val="008C4EDA"/>
    <w:rsid w:val="008C54F9"/>
    <w:rsid w:val="008C5829"/>
    <w:rsid w:val="008C59C9"/>
    <w:rsid w:val="008C5BBC"/>
    <w:rsid w:val="008C6483"/>
    <w:rsid w:val="008C65CE"/>
    <w:rsid w:val="008C664C"/>
    <w:rsid w:val="008C6CA8"/>
    <w:rsid w:val="008C6D20"/>
    <w:rsid w:val="008C741C"/>
    <w:rsid w:val="008C7423"/>
    <w:rsid w:val="008C765F"/>
    <w:rsid w:val="008C7DB9"/>
    <w:rsid w:val="008C7EFE"/>
    <w:rsid w:val="008D0359"/>
    <w:rsid w:val="008D071F"/>
    <w:rsid w:val="008D0D0B"/>
    <w:rsid w:val="008D0D88"/>
    <w:rsid w:val="008D0E1B"/>
    <w:rsid w:val="008D118E"/>
    <w:rsid w:val="008D152D"/>
    <w:rsid w:val="008D1B9A"/>
    <w:rsid w:val="008D24FA"/>
    <w:rsid w:val="008D252C"/>
    <w:rsid w:val="008D2A7D"/>
    <w:rsid w:val="008D2BA0"/>
    <w:rsid w:val="008D2F73"/>
    <w:rsid w:val="008D2F84"/>
    <w:rsid w:val="008D3199"/>
    <w:rsid w:val="008D325E"/>
    <w:rsid w:val="008D36F4"/>
    <w:rsid w:val="008D370C"/>
    <w:rsid w:val="008D3963"/>
    <w:rsid w:val="008D3B34"/>
    <w:rsid w:val="008D3D76"/>
    <w:rsid w:val="008D45EB"/>
    <w:rsid w:val="008D4713"/>
    <w:rsid w:val="008D4797"/>
    <w:rsid w:val="008D4C53"/>
    <w:rsid w:val="008D4C5F"/>
    <w:rsid w:val="008D4DBE"/>
    <w:rsid w:val="008D5217"/>
    <w:rsid w:val="008D53CB"/>
    <w:rsid w:val="008D54B8"/>
    <w:rsid w:val="008D56E2"/>
    <w:rsid w:val="008D5739"/>
    <w:rsid w:val="008D5842"/>
    <w:rsid w:val="008D5D50"/>
    <w:rsid w:val="008D5F44"/>
    <w:rsid w:val="008D64A2"/>
    <w:rsid w:val="008D6907"/>
    <w:rsid w:val="008D6CEE"/>
    <w:rsid w:val="008D6D5C"/>
    <w:rsid w:val="008D714D"/>
    <w:rsid w:val="008D729D"/>
    <w:rsid w:val="008D73E3"/>
    <w:rsid w:val="008D777E"/>
    <w:rsid w:val="008D7B58"/>
    <w:rsid w:val="008D7DC4"/>
    <w:rsid w:val="008D7F6D"/>
    <w:rsid w:val="008E0199"/>
    <w:rsid w:val="008E02E1"/>
    <w:rsid w:val="008E05CB"/>
    <w:rsid w:val="008E0A29"/>
    <w:rsid w:val="008E0AAD"/>
    <w:rsid w:val="008E0AB7"/>
    <w:rsid w:val="008E0B8E"/>
    <w:rsid w:val="008E1065"/>
    <w:rsid w:val="008E1714"/>
    <w:rsid w:val="008E1A05"/>
    <w:rsid w:val="008E1CD6"/>
    <w:rsid w:val="008E1D54"/>
    <w:rsid w:val="008E1EFE"/>
    <w:rsid w:val="008E1FAB"/>
    <w:rsid w:val="008E2248"/>
    <w:rsid w:val="008E2297"/>
    <w:rsid w:val="008E2BE1"/>
    <w:rsid w:val="008E2D3A"/>
    <w:rsid w:val="008E3622"/>
    <w:rsid w:val="008E362E"/>
    <w:rsid w:val="008E368D"/>
    <w:rsid w:val="008E39FF"/>
    <w:rsid w:val="008E3B77"/>
    <w:rsid w:val="008E3C07"/>
    <w:rsid w:val="008E3D2D"/>
    <w:rsid w:val="008E4834"/>
    <w:rsid w:val="008E4978"/>
    <w:rsid w:val="008E4B5F"/>
    <w:rsid w:val="008E4BF5"/>
    <w:rsid w:val="008E4C0F"/>
    <w:rsid w:val="008E4E78"/>
    <w:rsid w:val="008E5251"/>
    <w:rsid w:val="008E5B0B"/>
    <w:rsid w:val="008E5B54"/>
    <w:rsid w:val="008E5D71"/>
    <w:rsid w:val="008E618C"/>
    <w:rsid w:val="008E63A4"/>
    <w:rsid w:val="008E66E6"/>
    <w:rsid w:val="008E6956"/>
    <w:rsid w:val="008E6A34"/>
    <w:rsid w:val="008E6B6D"/>
    <w:rsid w:val="008E7015"/>
    <w:rsid w:val="008E7A2C"/>
    <w:rsid w:val="008E7C44"/>
    <w:rsid w:val="008E7C7F"/>
    <w:rsid w:val="008E7DA5"/>
    <w:rsid w:val="008E7E66"/>
    <w:rsid w:val="008E7F1A"/>
    <w:rsid w:val="008F0031"/>
    <w:rsid w:val="008F03DA"/>
    <w:rsid w:val="008F069F"/>
    <w:rsid w:val="008F0DC6"/>
    <w:rsid w:val="008F130F"/>
    <w:rsid w:val="008F1AE9"/>
    <w:rsid w:val="008F1DB2"/>
    <w:rsid w:val="008F244C"/>
    <w:rsid w:val="008F25AD"/>
    <w:rsid w:val="008F2648"/>
    <w:rsid w:val="008F26A3"/>
    <w:rsid w:val="008F27AB"/>
    <w:rsid w:val="008F2834"/>
    <w:rsid w:val="008F2B26"/>
    <w:rsid w:val="008F2EFC"/>
    <w:rsid w:val="008F30ED"/>
    <w:rsid w:val="008F3328"/>
    <w:rsid w:val="008F3A0D"/>
    <w:rsid w:val="008F3F60"/>
    <w:rsid w:val="008F499C"/>
    <w:rsid w:val="008F5610"/>
    <w:rsid w:val="008F5BD7"/>
    <w:rsid w:val="008F5E27"/>
    <w:rsid w:val="008F5F2F"/>
    <w:rsid w:val="008F609D"/>
    <w:rsid w:val="008F61A4"/>
    <w:rsid w:val="008F621E"/>
    <w:rsid w:val="008F6249"/>
    <w:rsid w:val="008F6669"/>
    <w:rsid w:val="008F66DC"/>
    <w:rsid w:val="008F672D"/>
    <w:rsid w:val="008F67AC"/>
    <w:rsid w:val="008F682A"/>
    <w:rsid w:val="008F68BD"/>
    <w:rsid w:val="008F6C59"/>
    <w:rsid w:val="008F6FCD"/>
    <w:rsid w:val="008F7040"/>
    <w:rsid w:val="008F71F5"/>
    <w:rsid w:val="008F767D"/>
    <w:rsid w:val="008F77B2"/>
    <w:rsid w:val="008F78C3"/>
    <w:rsid w:val="008F7C4E"/>
    <w:rsid w:val="0090005E"/>
    <w:rsid w:val="0090040F"/>
    <w:rsid w:val="009005F2"/>
    <w:rsid w:val="0090061A"/>
    <w:rsid w:val="009006A0"/>
    <w:rsid w:val="00900837"/>
    <w:rsid w:val="00900982"/>
    <w:rsid w:val="00900C0C"/>
    <w:rsid w:val="0090141A"/>
    <w:rsid w:val="00901571"/>
    <w:rsid w:val="00901874"/>
    <w:rsid w:val="00901CC0"/>
    <w:rsid w:val="00901EC9"/>
    <w:rsid w:val="00902326"/>
    <w:rsid w:val="00902454"/>
    <w:rsid w:val="0090327D"/>
    <w:rsid w:val="00903961"/>
    <w:rsid w:val="00903A3B"/>
    <w:rsid w:val="00903A5A"/>
    <w:rsid w:val="00903B95"/>
    <w:rsid w:val="00903E25"/>
    <w:rsid w:val="00904146"/>
    <w:rsid w:val="0090415E"/>
    <w:rsid w:val="009042A8"/>
    <w:rsid w:val="00904580"/>
    <w:rsid w:val="00904733"/>
    <w:rsid w:val="00904888"/>
    <w:rsid w:val="00904B08"/>
    <w:rsid w:val="00904D53"/>
    <w:rsid w:val="00905175"/>
    <w:rsid w:val="009056C1"/>
    <w:rsid w:val="00905C8C"/>
    <w:rsid w:val="00906228"/>
    <w:rsid w:val="0090665B"/>
    <w:rsid w:val="00906EF3"/>
    <w:rsid w:val="009070CE"/>
    <w:rsid w:val="00907123"/>
    <w:rsid w:val="00907154"/>
    <w:rsid w:val="00907923"/>
    <w:rsid w:val="00907CF3"/>
    <w:rsid w:val="00907DC4"/>
    <w:rsid w:val="00907FE7"/>
    <w:rsid w:val="009100BF"/>
    <w:rsid w:val="009103A4"/>
    <w:rsid w:val="00910615"/>
    <w:rsid w:val="0091073A"/>
    <w:rsid w:val="00910839"/>
    <w:rsid w:val="00910879"/>
    <w:rsid w:val="00910A62"/>
    <w:rsid w:val="0091125F"/>
    <w:rsid w:val="009116A0"/>
    <w:rsid w:val="00911CD6"/>
    <w:rsid w:val="00911FF9"/>
    <w:rsid w:val="00912115"/>
    <w:rsid w:val="00912521"/>
    <w:rsid w:val="00912D54"/>
    <w:rsid w:val="00912E0B"/>
    <w:rsid w:val="0091347C"/>
    <w:rsid w:val="00913EB0"/>
    <w:rsid w:val="0091401E"/>
    <w:rsid w:val="00914288"/>
    <w:rsid w:val="009143EC"/>
    <w:rsid w:val="0091449D"/>
    <w:rsid w:val="009144B3"/>
    <w:rsid w:val="00914E11"/>
    <w:rsid w:val="00915641"/>
    <w:rsid w:val="00915A38"/>
    <w:rsid w:val="00915D58"/>
    <w:rsid w:val="0091606C"/>
    <w:rsid w:val="00916116"/>
    <w:rsid w:val="009162C1"/>
    <w:rsid w:val="0091667E"/>
    <w:rsid w:val="00916EB6"/>
    <w:rsid w:val="00917423"/>
    <w:rsid w:val="009178A0"/>
    <w:rsid w:val="00917AAE"/>
    <w:rsid w:val="00917ADA"/>
    <w:rsid w:val="00917D33"/>
    <w:rsid w:val="00917DC6"/>
    <w:rsid w:val="00917E96"/>
    <w:rsid w:val="00920056"/>
    <w:rsid w:val="009201FD"/>
    <w:rsid w:val="009209D9"/>
    <w:rsid w:val="00920A0A"/>
    <w:rsid w:val="00920CE8"/>
    <w:rsid w:val="00920D56"/>
    <w:rsid w:val="00920E24"/>
    <w:rsid w:val="00921158"/>
    <w:rsid w:val="00921420"/>
    <w:rsid w:val="009214B4"/>
    <w:rsid w:val="009215B2"/>
    <w:rsid w:val="00921625"/>
    <w:rsid w:val="009219D1"/>
    <w:rsid w:val="00921E10"/>
    <w:rsid w:val="00921FBA"/>
    <w:rsid w:val="00922051"/>
    <w:rsid w:val="00922934"/>
    <w:rsid w:val="00922EAE"/>
    <w:rsid w:val="009230C3"/>
    <w:rsid w:val="009232A6"/>
    <w:rsid w:val="009233E1"/>
    <w:rsid w:val="00923659"/>
    <w:rsid w:val="00923938"/>
    <w:rsid w:val="00923C62"/>
    <w:rsid w:val="0092424C"/>
    <w:rsid w:val="0092455C"/>
    <w:rsid w:val="00924A46"/>
    <w:rsid w:val="00924D05"/>
    <w:rsid w:val="00924D96"/>
    <w:rsid w:val="00925048"/>
    <w:rsid w:val="00925208"/>
    <w:rsid w:val="0092562A"/>
    <w:rsid w:val="00925683"/>
    <w:rsid w:val="009256AB"/>
    <w:rsid w:val="00925BB7"/>
    <w:rsid w:val="00925BF7"/>
    <w:rsid w:val="00925C6E"/>
    <w:rsid w:val="009260F9"/>
    <w:rsid w:val="00926374"/>
    <w:rsid w:val="00926447"/>
    <w:rsid w:val="009265F8"/>
    <w:rsid w:val="00926BA6"/>
    <w:rsid w:val="00926DD6"/>
    <w:rsid w:val="009271E1"/>
    <w:rsid w:val="00927338"/>
    <w:rsid w:val="0092738B"/>
    <w:rsid w:val="00927A01"/>
    <w:rsid w:val="00927B16"/>
    <w:rsid w:val="00927C27"/>
    <w:rsid w:val="00927E96"/>
    <w:rsid w:val="00930477"/>
    <w:rsid w:val="00930CCE"/>
    <w:rsid w:val="00930E93"/>
    <w:rsid w:val="009318A0"/>
    <w:rsid w:val="00931BD9"/>
    <w:rsid w:val="00931BF7"/>
    <w:rsid w:val="00931F83"/>
    <w:rsid w:val="009323F3"/>
    <w:rsid w:val="0093246A"/>
    <w:rsid w:val="009324A9"/>
    <w:rsid w:val="009326D3"/>
    <w:rsid w:val="00932812"/>
    <w:rsid w:val="0093292E"/>
    <w:rsid w:val="00932E12"/>
    <w:rsid w:val="00933668"/>
    <w:rsid w:val="0093378A"/>
    <w:rsid w:val="009337AC"/>
    <w:rsid w:val="0093382A"/>
    <w:rsid w:val="0093393F"/>
    <w:rsid w:val="00933B5E"/>
    <w:rsid w:val="00933B83"/>
    <w:rsid w:val="00933DD3"/>
    <w:rsid w:val="00934313"/>
    <w:rsid w:val="00934542"/>
    <w:rsid w:val="009349DB"/>
    <w:rsid w:val="00934C99"/>
    <w:rsid w:val="00934FF6"/>
    <w:rsid w:val="009350E2"/>
    <w:rsid w:val="00935253"/>
    <w:rsid w:val="009353A3"/>
    <w:rsid w:val="009356E4"/>
    <w:rsid w:val="00935A99"/>
    <w:rsid w:val="00935AA3"/>
    <w:rsid w:val="00936427"/>
    <w:rsid w:val="009365CB"/>
    <w:rsid w:val="00936622"/>
    <w:rsid w:val="00936645"/>
    <w:rsid w:val="009369CE"/>
    <w:rsid w:val="00936C83"/>
    <w:rsid w:val="00936EB1"/>
    <w:rsid w:val="009373FB"/>
    <w:rsid w:val="00937511"/>
    <w:rsid w:val="009375BA"/>
    <w:rsid w:val="009375D0"/>
    <w:rsid w:val="009377AF"/>
    <w:rsid w:val="00937927"/>
    <w:rsid w:val="009379F7"/>
    <w:rsid w:val="00937ADB"/>
    <w:rsid w:val="00937C20"/>
    <w:rsid w:val="00937CFE"/>
    <w:rsid w:val="00937E16"/>
    <w:rsid w:val="009401A5"/>
    <w:rsid w:val="009402E5"/>
    <w:rsid w:val="009403CD"/>
    <w:rsid w:val="0094095A"/>
    <w:rsid w:val="00940A90"/>
    <w:rsid w:val="00940EAD"/>
    <w:rsid w:val="00941416"/>
    <w:rsid w:val="00941890"/>
    <w:rsid w:val="009418C1"/>
    <w:rsid w:val="009419E9"/>
    <w:rsid w:val="00941A54"/>
    <w:rsid w:val="00941AA3"/>
    <w:rsid w:val="00941B43"/>
    <w:rsid w:val="00941F9D"/>
    <w:rsid w:val="00942087"/>
    <w:rsid w:val="00942360"/>
    <w:rsid w:val="009423D3"/>
    <w:rsid w:val="009428C3"/>
    <w:rsid w:val="00942919"/>
    <w:rsid w:val="009429DD"/>
    <w:rsid w:val="00942BBC"/>
    <w:rsid w:val="00943298"/>
    <w:rsid w:val="009435EC"/>
    <w:rsid w:val="009435FC"/>
    <w:rsid w:val="0094365C"/>
    <w:rsid w:val="0094367C"/>
    <w:rsid w:val="0094374C"/>
    <w:rsid w:val="00943937"/>
    <w:rsid w:val="00943D1A"/>
    <w:rsid w:val="00943F3B"/>
    <w:rsid w:val="00944142"/>
    <w:rsid w:val="009445B6"/>
    <w:rsid w:val="00944649"/>
    <w:rsid w:val="009446B4"/>
    <w:rsid w:val="00944A02"/>
    <w:rsid w:val="00944B36"/>
    <w:rsid w:val="00944FF7"/>
    <w:rsid w:val="00945252"/>
    <w:rsid w:val="009452F2"/>
    <w:rsid w:val="00945633"/>
    <w:rsid w:val="00945CD2"/>
    <w:rsid w:val="00945D1C"/>
    <w:rsid w:val="00945F8C"/>
    <w:rsid w:val="00946098"/>
    <w:rsid w:val="0094616A"/>
    <w:rsid w:val="00946227"/>
    <w:rsid w:val="0094634D"/>
    <w:rsid w:val="009464B5"/>
    <w:rsid w:val="0094658C"/>
    <w:rsid w:val="00946EFD"/>
    <w:rsid w:val="009473D3"/>
    <w:rsid w:val="009473DD"/>
    <w:rsid w:val="0094781D"/>
    <w:rsid w:val="009478EF"/>
    <w:rsid w:val="00947CF9"/>
    <w:rsid w:val="00947D34"/>
    <w:rsid w:val="00947E30"/>
    <w:rsid w:val="009503D3"/>
    <w:rsid w:val="009507FC"/>
    <w:rsid w:val="00950834"/>
    <w:rsid w:val="00950F02"/>
    <w:rsid w:val="00951844"/>
    <w:rsid w:val="009518D5"/>
    <w:rsid w:val="00951B2C"/>
    <w:rsid w:val="00951D8B"/>
    <w:rsid w:val="00952061"/>
    <w:rsid w:val="00952222"/>
    <w:rsid w:val="00952383"/>
    <w:rsid w:val="0095276B"/>
    <w:rsid w:val="00952859"/>
    <w:rsid w:val="0095299A"/>
    <w:rsid w:val="00952A21"/>
    <w:rsid w:val="00952B44"/>
    <w:rsid w:val="00952E08"/>
    <w:rsid w:val="00952E11"/>
    <w:rsid w:val="00953198"/>
    <w:rsid w:val="00953333"/>
    <w:rsid w:val="0095364C"/>
    <w:rsid w:val="009536E1"/>
    <w:rsid w:val="00953B9A"/>
    <w:rsid w:val="00953D91"/>
    <w:rsid w:val="00953E6B"/>
    <w:rsid w:val="00953EE7"/>
    <w:rsid w:val="009542C0"/>
    <w:rsid w:val="009543BC"/>
    <w:rsid w:val="0095485E"/>
    <w:rsid w:val="00954ACE"/>
    <w:rsid w:val="00954C54"/>
    <w:rsid w:val="00954EC3"/>
    <w:rsid w:val="00955138"/>
    <w:rsid w:val="009551F2"/>
    <w:rsid w:val="0095537E"/>
    <w:rsid w:val="009553A8"/>
    <w:rsid w:val="009555AB"/>
    <w:rsid w:val="009558E7"/>
    <w:rsid w:val="00955ABF"/>
    <w:rsid w:val="00955C70"/>
    <w:rsid w:val="00955DF2"/>
    <w:rsid w:val="00956093"/>
    <w:rsid w:val="0095630D"/>
    <w:rsid w:val="00956412"/>
    <w:rsid w:val="00956872"/>
    <w:rsid w:val="0095728D"/>
    <w:rsid w:val="009572AC"/>
    <w:rsid w:val="00957355"/>
    <w:rsid w:val="0095738E"/>
    <w:rsid w:val="00957EA1"/>
    <w:rsid w:val="009606A5"/>
    <w:rsid w:val="00960745"/>
    <w:rsid w:val="009609DA"/>
    <w:rsid w:val="00960D01"/>
    <w:rsid w:val="00960EEE"/>
    <w:rsid w:val="009613D1"/>
    <w:rsid w:val="00961624"/>
    <w:rsid w:val="0096166E"/>
    <w:rsid w:val="0096182B"/>
    <w:rsid w:val="00961902"/>
    <w:rsid w:val="00961A2A"/>
    <w:rsid w:val="00961D46"/>
    <w:rsid w:val="00961EFA"/>
    <w:rsid w:val="0096240B"/>
    <w:rsid w:val="00962534"/>
    <w:rsid w:val="009627A3"/>
    <w:rsid w:val="00963372"/>
    <w:rsid w:val="00963D1C"/>
    <w:rsid w:val="00964043"/>
    <w:rsid w:val="00964531"/>
    <w:rsid w:val="00964840"/>
    <w:rsid w:val="009648BE"/>
    <w:rsid w:val="0096491A"/>
    <w:rsid w:val="00964BBF"/>
    <w:rsid w:val="00964C23"/>
    <w:rsid w:val="00965246"/>
    <w:rsid w:val="00965314"/>
    <w:rsid w:val="009653D3"/>
    <w:rsid w:val="009654F7"/>
    <w:rsid w:val="00965528"/>
    <w:rsid w:val="00965B73"/>
    <w:rsid w:val="00966133"/>
    <w:rsid w:val="009661A7"/>
    <w:rsid w:val="00966376"/>
    <w:rsid w:val="00966790"/>
    <w:rsid w:val="00966933"/>
    <w:rsid w:val="00966D4B"/>
    <w:rsid w:val="00966FF1"/>
    <w:rsid w:val="0096753B"/>
    <w:rsid w:val="009676A8"/>
    <w:rsid w:val="00967778"/>
    <w:rsid w:val="00967986"/>
    <w:rsid w:val="00967BB4"/>
    <w:rsid w:val="00967DB9"/>
    <w:rsid w:val="0097002D"/>
    <w:rsid w:val="00970331"/>
    <w:rsid w:val="0097036A"/>
    <w:rsid w:val="009704E4"/>
    <w:rsid w:val="0097054D"/>
    <w:rsid w:val="0097058E"/>
    <w:rsid w:val="00970923"/>
    <w:rsid w:val="00970E1D"/>
    <w:rsid w:val="00971090"/>
    <w:rsid w:val="009712B8"/>
    <w:rsid w:val="00971624"/>
    <w:rsid w:val="009716C0"/>
    <w:rsid w:val="0097172E"/>
    <w:rsid w:val="00971817"/>
    <w:rsid w:val="00972097"/>
    <w:rsid w:val="0097248E"/>
    <w:rsid w:val="009725F2"/>
    <w:rsid w:val="00972B7F"/>
    <w:rsid w:val="00972DF7"/>
    <w:rsid w:val="00972E69"/>
    <w:rsid w:val="00973271"/>
    <w:rsid w:val="009733E5"/>
    <w:rsid w:val="009739E8"/>
    <w:rsid w:val="00973BAE"/>
    <w:rsid w:val="00973EB7"/>
    <w:rsid w:val="00974126"/>
    <w:rsid w:val="00974A31"/>
    <w:rsid w:val="00974BC2"/>
    <w:rsid w:val="00974F78"/>
    <w:rsid w:val="0097538F"/>
    <w:rsid w:val="00975508"/>
    <w:rsid w:val="009757B9"/>
    <w:rsid w:val="009758B1"/>
    <w:rsid w:val="00975C2F"/>
    <w:rsid w:val="00975F7B"/>
    <w:rsid w:val="00976054"/>
    <w:rsid w:val="0097638D"/>
    <w:rsid w:val="0097651A"/>
    <w:rsid w:val="0097698C"/>
    <w:rsid w:val="00976B6C"/>
    <w:rsid w:val="00976BA1"/>
    <w:rsid w:val="00976E12"/>
    <w:rsid w:val="00976EF6"/>
    <w:rsid w:val="009773C9"/>
    <w:rsid w:val="00977764"/>
    <w:rsid w:val="00977AB7"/>
    <w:rsid w:val="00977C50"/>
    <w:rsid w:val="00980275"/>
    <w:rsid w:val="0098050C"/>
    <w:rsid w:val="00980559"/>
    <w:rsid w:val="009808F4"/>
    <w:rsid w:val="00980A0A"/>
    <w:rsid w:val="00980D87"/>
    <w:rsid w:val="009817B3"/>
    <w:rsid w:val="009817F4"/>
    <w:rsid w:val="00981832"/>
    <w:rsid w:val="00981943"/>
    <w:rsid w:val="00981B0B"/>
    <w:rsid w:val="00981C3C"/>
    <w:rsid w:val="00981C6F"/>
    <w:rsid w:val="0098228C"/>
    <w:rsid w:val="00982668"/>
    <w:rsid w:val="00982681"/>
    <w:rsid w:val="009826CC"/>
    <w:rsid w:val="0098280E"/>
    <w:rsid w:val="00982A3E"/>
    <w:rsid w:val="00982F62"/>
    <w:rsid w:val="009832DC"/>
    <w:rsid w:val="009838E1"/>
    <w:rsid w:val="00983C51"/>
    <w:rsid w:val="009840C0"/>
    <w:rsid w:val="009841F8"/>
    <w:rsid w:val="00984322"/>
    <w:rsid w:val="009844DA"/>
    <w:rsid w:val="009846F4"/>
    <w:rsid w:val="009848DE"/>
    <w:rsid w:val="00985379"/>
    <w:rsid w:val="00985719"/>
    <w:rsid w:val="009857A3"/>
    <w:rsid w:val="009858B1"/>
    <w:rsid w:val="00985A8B"/>
    <w:rsid w:val="00985BBD"/>
    <w:rsid w:val="00985D3B"/>
    <w:rsid w:val="00985DE7"/>
    <w:rsid w:val="0098632B"/>
    <w:rsid w:val="00986397"/>
    <w:rsid w:val="00986A35"/>
    <w:rsid w:val="009872A7"/>
    <w:rsid w:val="00987364"/>
    <w:rsid w:val="009873DC"/>
    <w:rsid w:val="0098759A"/>
    <w:rsid w:val="00987E74"/>
    <w:rsid w:val="00987FA9"/>
    <w:rsid w:val="00987FD5"/>
    <w:rsid w:val="0098E85D"/>
    <w:rsid w:val="009900C1"/>
    <w:rsid w:val="0099035E"/>
    <w:rsid w:val="009904C0"/>
    <w:rsid w:val="00990566"/>
    <w:rsid w:val="009905B9"/>
    <w:rsid w:val="00990630"/>
    <w:rsid w:val="00990E57"/>
    <w:rsid w:val="00990EE2"/>
    <w:rsid w:val="00990F3E"/>
    <w:rsid w:val="00991000"/>
    <w:rsid w:val="00991129"/>
    <w:rsid w:val="0099184B"/>
    <w:rsid w:val="00991AF8"/>
    <w:rsid w:val="00991D1F"/>
    <w:rsid w:val="00992000"/>
    <w:rsid w:val="009920E5"/>
    <w:rsid w:val="0099232D"/>
    <w:rsid w:val="0099242C"/>
    <w:rsid w:val="00992902"/>
    <w:rsid w:val="00992918"/>
    <w:rsid w:val="0099291E"/>
    <w:rsid w:val="00992EF0"/>
    <w:rsid w:val="009934E4"/>
    <w:rsid w:val="00993A31"/>
    <w:rsid w:val="00993EF6"/>
    <w:rsid w:val="0099409A"/>
    <w:rsid w:val="00994141"/>
    <w:rsid w:val="00994497"/>
    <w:rsid w:val="00994DD8"/>
    <w:rsid w:val="009951DC"/>
    <w:rsid w:val="009954BC"/>
    <w:rsid w:val="00995786"/>
    <w:rsid w:val="00995E5B"/>
    <w:rsid w:val="00996177"/>
    <w:rsid w:val="009964D5"/>
    <w:rsid w:val="009965B5"/>
    <w:rsid w:val="009968B7"/>
    <w:rsid w:val="00996B15"/>
    <w:rsid w:val="00996F98"/>
    <w:rsid w:val="00997170"/>
    <w:rsid w:val="00997264"/>
    <w:rsid w:val="009974EC"/>
    <w:rsid w:val="00997CF4"/>
    <w:rsid w:val="0099AFDB"/>
    <w:rsid w:val="009A0066"/>
    <w:rsid w:val="009A0376"/>
    <w:rsid w:val="009A0550"/>
    <w:rsid w:val="009A08DD"/>
    <w:rsid w:val="009A0D17"/>
    <w:rsid w:val="009A0D4A"/>
    <w:rsid w:val="009A1072"/>
    <w:rsid w:val="009A1110"/>
    <w:rsid w:val="009A1B27"/>
    <w:rsid w:val="009A1E94"/>
    <w:rsid w:val="009A2228"/>
    <w:rsid w:val="009A276A"/>
    <w:rsid w:val="009A299E"/>
    <w:rsid w:val="009A29BC"/>
    <w:rsid w:val="009A2AF8"/>
    <w:rsid w:val="009A2C6B"/>
    <w:rsid w:val="009A2C7E"/>
    <w:rsid w:val="009A2F54"/>
    <w:rsid w:val="009A3160"/>
    <w:rsid w:val="009A3318"/>
    <w:rsid w:val="009A38C9"/>
    <w:rsid w:val="009A3BF3"/>
    <w:rsid w:val="009A3C35"/>
    <w:rsid w:val="009A3D34"/>
    <w:rsid w:val="009A3E93"/>
    <w:rsid w:val="009A4179"/>
    <w:rsid w:val="009A4412"/>
    <w:rsid w:val="009A452F"/>
    <w:rsid w:val="009A4954"/>
    <w:rsid w:val="009A5206"/>
    <w:rsid w:val="009A5345"/>
    <w:rsid w:val="009A5373"/>
    <w:rsid w:val="009A5563"/>
    <w:rsid w:val="009A5982"/>
    <w:rsid w:val="009A5A0E"/>
    <w:rsid w:val="009A5A16"/>
    <w:rsid w:val="009A5F2E"/>
    <w:rsid w:val="009A5F75"/>
    <w:rsid w:val="009A6127"/>
    <w:rsid w:val="009A61AD"/>
    <w:rsid w:val="009A6410"/>
    <w:rsid w:val="009A6F8A"/>
    <w:rsid w:val="009A7075"/>
    <w:rsid w:val="009A708D"/>
    <w:rsid w:val="009A71C0"/>
    <w:rsid w:val="009A7582"/>
    <w:rsid w:val="009A7701"/>
    <w:rsid w:val="009A77CD"/>
    <w:rsid w:val="009A78D4"/>
    <w:rsid w:val="009A7E3B"/>
    <w:rsid w:val="009A7ED6"/>
    <w:rsid w:val="009B0455"/>
    <w:rsid w:val="009B07BE"/>
    <w:rsid w:val="009B0BA6"/>
    <w:rsid w:val="009B0F6E"/>
    <w:rsid w:val="009B0FBD"/>
    <w:rsid w:val="009B10E3"/>
    <w:rsid w:val="009B120C"/>
    <w:rsid w:val="009B1397"/>
    <w:rsid w:val="009B14AF"/>
    <w:rsid w:val="009B16E0"/>
    <w:rsid w:val="009B17C2"/>
    <w:rsid w:val="009B1DF0"/>
    <w:rsid w:val="009B2264"/>
    <w:rsid w:val="009B2379"/>
    <w:rsid w:val="009B2783"/>
    <w:rsid w:val="009B31F5"/>
    <w:rsid w:val="009B3540"/>
    <w:rsid w:val="009B3B6E"/>
    <w:rsid w:val="009B4430"/>
    <w:rsid w:val="009B451C"/>
    <w:rsid w:val="009B45C4"/>
    <w:rsid w:val="009B477A"/>
    <w:rsid w:val="009B49B8"/>
    <w:rsid w:val="009B4A5C"/>
    <w:rsid w:val="009B4C91"/>
    <w:rsid w:val="009B5AC0"/>
    <w:rsid w:val="009B5FC0"/>
    <w:rsid w:val="009B6060"/>
    <w:rsid w:val="009B612E"/>
    <w:rsid w:val="009B637D"/>
    <w:rsid w:val="009B63FA"/>
    <w:rsid w:val="009B6617"/>
    <w:rsid w:val="009B691D"/>
    <w:rsid w:val="009B6D99"/>
    <w:rsid w:val="009B6DA1"/>
    <w:rsid w:val="009B7064"/>
    <w:rsid w:val="009B76D3"/>
    <w:rsid w:val="009B7A2B"/>
    <w:rsid w:val="009B7AE8"/>
    <w:rsid w:val="009B7B4C"/>
    <w:rsid w:val="009B7C98"/>
    <w:rsid w:val="009C011F"/>
    <w:rsid w:val="009C016A"/>
    <w:rsid w:val="009C03C8"/>
    <w:rsid w:val="009C058E"/>
    <w:rsid w:val="009C0716"/>
    <w:rsid w:val="009C0722"/>
    <w:rsid w:val="009C07CB"/>
    <w:rsid w:val="009C087E"/>
    <w:rsid w:val="009C0D31"/>
    <w:rsid w:val="009C114D"/>
    <w:rsid w:val="009C17B8"/>
    <w:rsid w:val="009C2307"/>
    <w:rsid w:val="009C23D4"/>
    <w:rsid w:val="009C2495"/>
    <w:rsid w:val="009C2621"/>
    <w:rsid w:val="009C27D3"/>
    <w:rsid w:val="009C27F4"/>
    <w:rsid w:val="009C2CA9"/>
    <w:rsid w:val="009C2D0C"/>
    <w:rsid w:val="009C336B"/>
    <w:rsid w:val="009C33D1"/>
    <w:rsid w:val="009C3801"/>
    <w:rsid w:val="009C3A84"/>
    <w:rsid w:val="009C3DB2"/>
    <w:rsid w:val="009C3E71"/>
    <w:rsid w:val="009C3F12"/>
    <w:rsid w:val="009C49FE"/>
    <w:rsid w:val="009C4ACD"/>
    <w:rsid w:val="009C4B89"/>
    <w:rsid w:val="009C4D4A"/>
    <w:rsid w:val="009C4F72"/>
    <w:rsid w:val="009C5528"/>
    <w:rsid w:val="009C558A"/>
    <w:rsid w:val="009C57CB"/>
    <w:rsid w:val="009C5A2C"/>
    <w:rsid w:val="009C5C9D"/>
    <w:rsid w:val="009C6101"/>
    <w:rsid w:val="009C616F"/>
    <w:rsid w:val="009C6678"/>
    <w:rsid w:val="009C6A18"/>
    <w:rsid w:val="009C6B7F"/>
    <w:rsid w:val="009C6E07"/>
    <w:rsid w:val="009C6EB1"/>
    <w:rsid w:val="009C6F35"/>
    <w:rsid w:val="009C7312"/>
    <w:rsid w:val="009C7464"/>
    <w:rsid w:val="009C74B0"/>
    <w:rsid w:val="009C7672"/>
    <w:rsid w:val="009C76BC"/>
    <w:rsid w:val="009C7FE6"/>
    <w:rsid w:val="009D01DD"/>
    <w:rsid w:val="009D03D2"/>
    <w:rsid w:val="009D064A"/>
    <w:rsid w:val="009D077A"/>
    <w:rsid w:val="009D07EC"/>
    <w:rsid w:val="009D08FA"/>
    <w:rsid w:val="009D11B3"/>
    <w:rsid w:val="009D13C9"/>
    <w:rsid w:val="009D18A4"/>
    <w:rsid w:val="009D18F4"/>
    <w:rsid w:val="009D1D76"/>
    <w:rsid w:val="009D246B"/>
    <w:rsid w:val="009D2642"/>
    <w:rsid w:val="009D26BB"/>
    <w:rsid w:val="009D26C4"/>
    <w:rsid w:val="009D28F5"/>
    <w:rsid w:val="009D29CC"/>
    <w:rsid w:val="009D2AD8"/>
    <w:rsid w:val="009D2B26"/>
    <w:rsid w:val="009D2F60"/>
    <w:rsid w:val="009D3021"/>
    <w:rsid w:val="009D3525"/>
    <w:rsid w:val="009D3526"/>
    <w:rsid w:val="009D35DB"/>
    <w:rsid w:val="009D3757"/>
    <w:rsid w:val="009D37D5"/>
    <w:rsid w:val="009D3B81"/>
    <w:rsid w:val="009D3D68"/>
    <w:rsid w:val="009D3DD7"/>
    <w:rsid w:val="009D4387"/>
    <w:rsid w:val="009D45B7"/>
    <w:rsid w:val="009D4706"/>
    <w:rsid w:val="009D48BC"/>
    <w:rsid w:val="009D4908"/>
    <w:rsid w:val="009D4E50"/>
    <w:rsid w:val="009D4FCE"/>
    <w:rsid w:val="009D5033"/>
    <w:rsid w:val="009D521D"/>
    <w:rsid w:val="009D52C0"/>
    <w:rsid w:val="009D53BE"/>
    <w:rsid w:val="009D5738"/>
    <w:rsid w:val="009D5C2F"/>
    <w:rsid w:val="009D5D12"/>
    <w:rsid w:val="009D5D65"/>
    <w:rsid w:val="009D5E57"/>
    <w:rsid w:val="009D5F90"/>
    <w:rsid w:val="009D5FBE"/>
    <w:rsid w:val="009D651C"/>
    <w:rsid w:val="009D6AD3"/>
    <w:rsid w:val="009D6D55"/>
    <w:rsid w:val="009D6E99"/>
    <w:rsid w:val="009D79F7"/>
    <w:rsid w:val="009D7A3D"/>
    <w:rsid w:val="009D7E5D"/>
    <w:rsid w:val="009D7FB4"/>
    <w:rsid w:val="009E00D4"/>
    <w:rsid w:val="009E0460"/>
    <w:rsid w:val="009E0558"/>
    <w:rsid w:val="009E0696"/>
    <w:rsid w:val="009E1133"/>
    <w:rsid w:val="009E157F"/>
    <w:rsid w:val="009E15BD"/>
    <w:rsid w:val="009E1A8E"/>
    <w:rsid w:val="009E1ADF"/>
    <w:rsid w:val="009E1B1E"/>
    <w:rsid w:val="009E1B96"/>
    <w:rsid w:val="009E1CFD"/>
    <w:rsid w:val="009E218A"/>
    <w:rsid w:val="009E2220"/>
    <w:rsid w:val="009E22AF"/>
    <w:rsid w:val="009E2459"/>
    <w:rsid w:val="009E29E6"/>
    <w:rsid w:val="009E2EA2"/>
    <w:rsid w:val="009E2F3C"/>
    <w:rsid w:val="009E3163"/>
    <w:rsid w:val="009E33DD"/>
    <w:rsid w:val="009E33F8"/>
    <w:rsid w:val="009E3477"/>
    <w:rsid w:val="009E3C2E"/>
    <w:rsid w:val="009E44BB"/>
    <w:rsid w:val="009E4580"/>
    <w:rsid w:val="009E483A"/>
    <w:rsid w:val="009E4898"/>
    <w:rsid w:val="009E4E93"/>
    <w:rsid w:val="009E4E9F"/>
    <w:rsid w:val="009E51E9"/>
    <w:rsid w:val="009E5472"/>
    <w:rsid w:val="009E567E"/>
    <w:rsid w:val="009E5728"/>
    <w:rsid w:val="009E57F4"/>
    <w:rsid w:val="009E607C"/>
    <w:rsid w:val="009E6250"/>
    <w:rsid w:val="009E6257"/>
    <w:rsid w:val="009E634B"/>
    <w:rsid w:val="009E683E"/>
    <w:rsid w:val="009E6D3D"/>
    <w:rsid w:val="009E6F06"/>
    <w:rsid w:val="009E70CF"/>
    <w:rsid w:val="009E72D6"/>
    <w:rsid w:val="009E7348"/>
    <w:rsid w:val="009E755F"/>
    <w:rsid w:val="009E7780"/>
    <w:rsid w:val="009E7784"/>
    <w:rsid w:val="009E78FD"/>
    <w:rsid w:val="009E7962"/>
    <w:rsid w:val="009F001B"/>
    <w:rsid w:val="009F00E6"/>
    <w:rsid w:val="009F095F"/>
    <w:rsid w:val="009F0E72"/>
    <w:rsid w:val="009F1014"/>
    <w:rsid w:val="009F1315"/>
    <w:rsid w:val="009F138C"/>
    <w:rsid w:val="009F13DF"/>
    <w:rsid w:val="009F1A50"/>
    <w:rsid w:val="009F1A56"/>
    <w:rsid w:val="009F1BF4"/>
    <w:rsid w:val="009F1D37"/>
    <w:rsid w:val="009F20B0"/>
    <w:rsid w:val="009F2401"/>
    <w:rsid w:val="009F28C7"/>
    <w:rsid w:val="009F2A45"/>
    <w:rsid w:val="009F2F1F"/>
    <w:rsid w:val="009F2FE4"/>
    <w:rsid w:val="009F3373"/>
    <w:rsid w:val="009F3527"/>
    <w:rsid w:val="009F3CD3"/>
    <w:rsid w:val="009F3DDB"/>
    <w:rsid w:val="009F409A"/>
    <w:rsid w:val="009F40B6"/>
    <w:rsid w:val="009F417E"/>
    <w:rsid w:val="009F423E"/>
    <w:rsid w:val="009F4BAF"/>
    <w:rsid w:val="009F4C0D"/>
    <w:rsid w:val="009F4D41"/>
    <w:rsid w:val="009F4E41"/>
    <w:rsid w:val="009F4F1A"/>
    <w:rsid w:val="009F4FB1"/>
    <w:rsid w:val="009F5403"/>
    <w:rsid w:val="009F555A"/>
    <w:rsid w:val="009F5B34"/>
    <w:rsid w:val="009F5C01"/>
    <w:rsid w:val="009F5F42"/>
    <w:rsid w:val="009F5F47"/>
    <w:rsid w:val="009F5F4E"/>
    <w:rsid w:val="009F6F6C"/>
    <w:rsid w:val="009F6FEF"/>
    <w:rsid w:val="009F764B"/>
    <w:rsid w:val="009F78E6"/>
    <w:rsid w:val="009F7935"/>
    <w:rsid w:val="009F7B09"/>
    <w:rsid w:val="009F7F58"/>
    <w:rsid w:val="00A0048A"/>
    <w:rsid w:val="00A0067D"/>
    <w:rsid w:val="00A006D0"/>
    <w:rsid w:val="00A00756"/>
    <w:rsid w:val="00A00946"/>
    <w:rsid w:val="00A00A44"/>
    <w:rsid w:val="00A01321"/>
    <w:rsid w:val="00A013A8"/>
    <w:rsid w:val="00A01609"/>
    <w:rsid w:val="00A016D0"/>
    <w:rsid w:val="00A01AE7"/>
    <w:rsid w:val="00A02015"/>
    <w:rsid w:val="00A02205"/>
    <w:rsid w:val="00A02491"/>
    <w:rsid w:val="00A025C5"/>
    <w:rsid w:val="00A02AFB"/>
    <w:rsid w:val="00A02CE6"/>
    <w:rsid w:val="00A02E35"/>
    <w:rsid w:val="00A03194"/>
    <w:rsid w:val="00A036D9"/>
    <w:rsid w:val="00A0376A"/>
    <w:rsid w:val="00A037CC"/>
    <w:rsid w:val="00A037E2"/>
    <w:rsid w:val="00A03AF7"/>
    <w:rsid w:val="00A03AFF"/>
    <w:rsid w:val="00A03F46"/>
    <w:rsid w:val="00A0415D"/>
    <w:rsid w:val="00A043F7"/>
    <w:rsid w:val="00A04983"/>
    <w:rsid w:val="00A04AD5"/>
    <w:rsid w:val="00A04D2E"/>
    <w:rsid w:val="00A04ED0"/>
    <w:rsid w:val="00A0557C"/>
    <w:rsid w:val="00A0566D"/>
    <w:rsid w:val="00A05A56"/>
    <w:rsid w:val="00A05B0B"/>
    <w:rsid w:val="00A05C17"/>
    <w:rsid w:val="00A05FE1"/>
    <w:rsid w:val="00A060ED"/>
    <w:rsid w:val="00A06193"/>
    <w:rsid w:val="00A06257"/>
    <w:rsid w:val="00A0631B"/>
    <w:rsid w:val="00A06406"/>
    <w:rsid w:val="00A064F8"/>
    <w:rsid w:val="00A065E6"/>
    <w:rsid w:val="00A06778"/>
    <w:rsid w:val="00A06C81"/>
    <w:rsid w:val="00A06D61"/>
    <w:rsid w:val="00A06D6F"/>
    <w:rsid w:val="00A07138"/>
    <w:rsid w:val="00A074C1"/>
    <w:rsid w:val="00A079EC"/>
    <w:rsid w:val="00A1019E"/>
    <w:rsid w:val="00A104EE"/>
    <w:rsid w:val="00A104FF"/>
    <w:rsid w:val="00A10611"/>
    <w:rsid w:val="00A10F6B"/>
    <w:rsid w:val="00A11208"/>
    <w:rsid w:val="00A11884"/>
    <w:rsid w:val="00A11B06"/>
    <w:rsid w:val="00A11D3C"/>
    <w:rsid w:val="00A121F3"/>
    <w:rsid w:val="00A12997"/>
    <w:rsid w:val="00A129F6"/>
    <w:rsid w:val="00A12A47"/>
    <w:rsid w:val="00A12B56"/>
    <w:rsid w:val="00A130BA"/>
    <w:rsid w:val="00A13451"/>
    <w:rsid w:val="00A13860"/>
    <w:rsid w:val="00A138CC"/>
    <w:rsid w:val="00A13BA1"/>
    <w:rsid w:val="00A13C98"/>
    <w:rsid w:val="00A140E5"/>
    <w:rsid w:val="00A1452E"/>
    <w:rsid w:val="00A147DD"/>
    <w:rsid w:val="00A14F34"/>
    <w:rsid w:val="00A14F9E"/>
    <w:rsid w:val="00A15068"/>
    <w:rsid w:val="00A15165"/>
    <w:rsid w:val="00A15198"/>
    <w:rsid w:val="00A155BF"/>
    <w:rsid w:val="00A158EC"/>
    <w:rsid w:val="00A1590B"/>
    <w:rsid w:val="00A15DDA"/>
    <w:rsid w:val="00A163B7"/>
    <w:rsid w:val="00A16646"/>
    <w:rsid w:val="00A166AC"/>
    <w:rsid w:val="00A16832"/>
    <w:rsid w:val="00A16859"/>
    <w:rsid w:val="00A168D3"/>
    <w:rsid w:val="00A16B68"/>
    <w:rsid w:val="00A16F81"/>
    <w:rsid w:val="00A173A9"/>
    <w:rsid w:val="00A179AF"/>
    <w:rsid w:val="00A17B05"/>
    <w:rsid w:val="00A17F38"/>
    <w:rsid w:val="00A20147"/>
    <w:rsid w:val="00A204AB"/>
    <w:rsid w:val="00A20A1C"/>
    <w:rsid w:val="00A20D7A"/>
    <w:rsid w:val="00A20E98"/>
    <w:rsid w:val="00A20F91"/>
    <w:rsid w:val="00A21192"/>
    <w:rsid w:val="00A21338"/>
    <w:rsid w:val="00A215CB"/>
    <w:rsid w:val="00A2165F"/>
    <w:rsid w:val="00A21C46"/>
    <w:rsid w:val="00A21C80"/>
    <w:rsid w:val="00A21CA7"/>
    <w:rsid w:val="00A21CD9"/>
    <w:rsid w:val="00A22163"/>
    <w:rsid w:val="00A22733"/>
    <w:rsid w:val="00A22847"/>
    <w:rsid w:val="00A22ACE"/>
    <w:rsid w:val="00A22BE8"/>
    <w:rsid w:val="00A22D4F"/>
    <w:rsid w:val="00A2334A"/>
    <w:rsid w:val="00A236C5"/>
    <w:rsid w:val="00A2381F"/>
    <w:rsid w:val="00A23A5B"/>
    <w:rsid w:val="00A23BAA"/>
    <w:rsid w:val="00A23DAB"/>
    <w:rsid w:val="00A23F40"/>
    <w:rsid w:val="00A240FF"/>
    <w:rsid w:val="00A24F7B"/>
    <w:rsid w:val="00A25275"/>
    <w:rsid w:val="00A254B4"/>
    <w:rsid w:val="00A255FC"/>
    <w:rsid w:val="00A2568B"/>
    <w:rsid w:val="00A258BF"/>
    <w:rsid w:val="00A25CA8"/>
    <w:rsid w:val="00A25E90"/>
    <w:rsid w:val="00A25F8D"/>
    <w:rsid w:val="00A26205"/>
    <w:rsid w:val="00A268B2"/>
    <w:rsid w:val="00A269BF"/>
    <w:rsid w:val="00A26B0D"/>
    <w:rsid w:val="00A26D3C"/>
    <w:rsid w:val="00A26D9E"/>
    <w:rsid w:val="00A26F7E"/>
    <w:rsid w:val="00A272A7"/>
    <w:rsid w:val="00A27636"/>
    <w:rsid w:val="00A27808"/>
    <w:rsid w:val="00A2795F"/>
    <w:rsid w:val="00A27964"/>
    <w:rsid w:val="00A27B3D"/>
    <w:rsid w:val="00A27DCC"/>
    <w:rsid w:val="00A27F1D"/>
    <w:rsid w:val="00A30138"/>
    <w:rsid w:val="00A30398"/>
    <w:rsid w:val="00A303F8"/>
    <w:rsid w:val="00A30951"/>
    <w:rsid w:val="00A30C26"/>
    <w:rsid w:val="00A30C5B"/>
    <w:rsid w:val="00A31297"/>
    <w:rsid w:val="00A31396"/>
    <w:rsid w:val="00A313EA"/>
    <w:rsid w:val="00A313F6"/>
    <w:rsid w:val="00A319BF"/>
    <w:rsid w:val="00A31CC2"/>
    <w:rsid w:val="00A31DC8"/>
    <w:rsid w:val="00A32220"/>
    <w:rsid w:val="00A325EF"/>
    <w:rsid w:val="00A32619"/>
    <w:rsid w:val="00A328A6"/>
    <w:rsid w:val="00A32C09"/>
    <w:rsid w:val="00A32E00"/>
    <w:rsid w:val="00A33520"/>
    <w:rsid w:val="00A3365E"/>
    <w:rsid w:val="00A337CD"/>
    <w:rsid w:val="00A33C02"/>
    <w:rsid w:val="00A34003"/>
    <w:rsid w:val="00A34778"/>
    <w:rsid w:val="00A34901"/>
    <w:rsid w:val="00A34D3A"/>
    <w:rsid w:val="00A34D99"/>
    <w:rsid w:val="00A35A54"/>
    <w:rsid w:val="00A35ACA"/>
    <w:rsid w:val="00A35AE8"/>
    <w:rsid w:val="00A35B32"/>
    <w:rsid w:val="00A35D0A"/>
    <w:rsid w:val="00A3606E"/>
    <w:rsid w:val="00A360D0"/>
    <w:rsid w:val="00A366BA"/>
    <w:rsid w:val="00A36E4C"/>
    <w:rsid w:val="00A371A0"/>
    <w:rsid w:val="00A373AB"/>
    <w:rsid w:val="00A373F9"/>
    <w:rsid w:val="00A375AB"/>
    <w:rsid w:val="00A375CF"/>
    <w:rsid w:val="00A37607"/>
    <w:rsid w:val="00A37996"/>
    <w:rsid w:val="00A37F08"/>
    <w:rsid w:val="00A3F633"/>
    <w:rsid w:val="00A402F5"/>
    <w:rsid w:val="00A40395"/>
    <w:rsid w:val="00A405DF"/>
    <w:rsid w:val="00A40735"/>
    <w:rsid w:val="00A40FE1"/>
    <w:rsid w:val="00A4107A"/>
    <w:rsid w:val="00A4107D"/>
    <w:rsid w:val="00A41214"/>
    <w:rsid w:val="00A416CD"/>
    <w:rsid w:val="00A41FC7"/>
    <w:rsid w:val="00A42079"/>
    <w:rsid w:val="00A423FE"/>
    <w:rsid w:val="00A42AA4"/>
    <w:rsid w:val="00A42B23"/>
    <w:rsid w:val="00A42B29"/>
    <w:rsid w:val="00A42D78"/>
    <w:rsid w:val="00A436E7"/>
    <w:rsid w:val="00A43957"/>
    <w:rsid w:val="00A43D6E"/>
    <w:rsid w:val="00A43F02"/>
    <w:rsid w:val="00A44173"/>
    <w:rsid w:val="00A44199"/>
    <w:rsid w:val="00A44212"/>
    <w:rsid w:val="00A44520"/>
    <w:rsid w:val="00A44E8A"/>
    <w:rsid w:val="00A451A2"/>
    <w:rsid w:val="00A451C4"/>
    <w:rsid w:val="00A4560A"/>
    <w:rsid w:val="00A45633"/>
    <w:rsid w:val="00A45BF5"/>
    <w:rsid w:val="00A45FCF"/>
    <w:rsid w:val="00A462D7"/>
    <w:rsid w:val="00A464EC"/>
    <w:rsid w:val="00A46A26"/>
    <w:rsid w:val="00A46BD0"/>
    <w:rsid w:val="00A46C23"/>
    <w:rsid w:val="00A46F6D"/>
    <w:rsid w:val="00A46FFA"/>
    <w:rsid w:val="00A471A8"/>
    <w:rsid w:val="00A4740F"/>
    <w:rsid w:val="00A476E1"/>
    <w:rsid w:val="00A47729"/>
    <w:rsid w:val="00A4773D"/>
    <w:rsid w:val="00A478E3"/>
    <w:rsid w:val="00A47AA1"/>
    <w:rsid w:val="00A47D3E"/>
    <w:rsid w:val="00A47E26"/>
    <w:rsid w:val="00A5028C"/>
    <w:rsid w:val="00A50427"/>
    <w:rsid w:val="00A50545"/>
    <w:rsid w:val="00A50777"/>
    <w:rsid w:val="00A50A21"/>
    <w:rsid w:val="00A50BAF"/>
    <w:rsid w:val="00A50D28"/>
    <w:rsid w:val="00A50D9A"/>
    <w:rsid w:val="00A51083"/>
    <w:rsid w:val="00A513A0"/>
    <w:rsid w:val="00A519DE"/>
    <w:rsid w:val="00A51A13"/>
    <w:rsid w:val="00A51DCD"/>
    <w:rsid w:val="00A51E51"/>
    <w:rsid w:val="00A51E8C"/>
    <w:rsid w:val="00A52091"/>
    <w:rsid w:val="00A52361"/>
    <w:rsid w:val="00A527CE"/>
    <w:rsid w:val="00A52F62"/>
    <w:rsid w:val="00A5300F"/>
    <w:rsid w:val="00A53035"/>
    <w:rsid w:val="00A530E0"/>
    <w:rsid w:val="00A53687"/>
    <w:rsid w:val="00A53B04"/>
    <w:rsid w:val="00A53BC8"/>
    <w:rsid w:val="00A54115"/>
    <w:rsid w:val="00A547B3"/>
    <w:rsid w:val="00A54C38"/>
    <w:rsid w:val="00A54C59"/>
    <w:rsid w:val="00A54E31"/>
    <w:rsid w:val="00A553E9"/>
    <w:rsid w:val="00A55422"/>
    <w:rsid w:val="00A5546E"/>
    <w:rsid w:val="00A554D7"/>
    <w:rsid w:val="00A5564F"/>
    <w:rsid w:val="00A5565B"/>
    <w:rsid w:val="00A5577C"/>
    <w:rsid w:val="00A55A23"/>
    <w:rsid w:val="00A55CE3"/>
    <w:rsid w:val="00A55E59"/>
    <w:rsid w:val="00A55FE0"/>
    <w:rsid w:val="00A56619"/>
    <w:rsid w:val="00A5681A"/>
    <w:rsid w:val="00A5698A"/>
    <w:rsid w:val="00A56B42"/>
    <w:rsid w:val="00A56DB8"/>
    <w:rsid w:val="00A56DDA"/>
    <w:rsid w:val="00A5757A"/>
    <w:rsid w:val="00A57642"/>
    <w:rsid w:val="00A576C9"/>
    <w:rsid w:val="00A579EE"/>
    <w:rsid w:val="00A57A55"/>
    <w:rsid w:val="00A57B09"/>
    <w:rsid w:val="00A57B53"/>
    <w:rsid w:val="00A57BAF"/>
    <w:rsid w:val="00A57E32"/>
    <w:rsid w:val="00A5C839"/>
    <w:rsid w:val="00A60728"/>
    <w:rsid w:val="00A6075C"/>
    <w:rsid w:val="00A6097C"/>
    <w:rsid w:val="00A60A5F"/>
    <w:rsid w:val="00A60EDC"/>
    <w:rsid w:val="00A612B5"/>
    <w:rsid w:val="00A61906"/>
    <w:rsid w:val="00A61A2B"/>
    <w:rsid w:val="00A61BEA"/>
    <w:rsid w:val="00A61C42"/>
    <w:rsid w:val="00A61E22"/>
    <w:rsid w:val="00A625EA"/>
    <w:rsid w:val="00A626D7"/>
    <w:rsid w:val="00A62989"/>
    <w:rsid w:val="00A62C72"/>
    <w:rsid w:val="00A62F48"/>
    <w:rsid w:val="00A63094"/>
    <w:rsid w:val="00A63739"/>
    <w:rsid w:val="00A639EE"/>
    <w:rsid w:val="00A63A60"/>
    <w:rsid w:val="00A63E93"/>
    <w:rsid w:val="00A63EE8"/>
    <w:rsid w:val="00A648A0"/>
    <w:rsid w:val="00A64B10"/>
    <w:rsid w:val="00A64D2C"/>
    <w:rsid w:val="00A64ED4"/>
    <w:rsid w:val="00A64F98"/>
    <w:rsid w:val="00A651EC"/>
    <w:rsid w:val="00A65639"/>
    <w:rsid w:val="00A65AF9"/>
    <w:rsid w:val="00A65B67"/>
    <w:rsid w:val="00A668E9"/>
    <w:rsid w:val="00A66963"/>
    <w:rsid w:val="00A674F9"/>
    <w:rsid w:val="00A67652"/>
    <w:rsid w:val="00A677D1"/>
    <w:rsid w:val="00A67A2C"/>
    <w:rsid w:val="00A67C62"/>
    <w:rsid w:val="00A67E8B"/>
    <w:rsid w:val="00A67FAD"/>
    <w:rsid w:val="00A67FFA"/>
    <w:rsid w:val="00A67FFB"/>
    <w:rsid w:val="00A70611"/>
    <w:rsid w:val="00A70A0A"/>
    <w:rsid w:val="00A70AE6"/>
    <w:rsid w:val="00A70B9D"/>
    <w:rsid w:val="00A70DDC"/>
    <w:rsid w:val="00A70FE7"/>
    <w:rsid w:val="00A71059"/>
    <w:rsid w:val="00A711A2"/>
    <w:rsid w:val="00A71A12"/>
    <w:rsid w:val="00A71CCC"/>
    <w:rsid w:val="00A71D1D"/>
    <w:rsid w:val="00A71EEF"/>
    <w:rsid w:val="00A7213C"/>
    <w:rsid w:val="00A72795"/>
    <w:rsid w:val="00A728B4"/>
    <w:rsid w:val="00A728CC"/>
    <w:rsid w:val="00A72B6A"/>
    <w:rsid w:val="00A72C58"/>
    <w:rsid w:val="00A72D5A"/>
    <w:rsid w:val="00A7360E"/>
    <w:rsid w:val="00A73D5F"/>
    <w:rsid w:val="00A73F7E"/>
    <w:rsid w:val="00A7408E"/>
    <w:rsid w:val="00A74345"/>
    <w:rsid w:val="00A748AC"/>
    <w:rsid w:val="00A74B5A"/>
    <w:rsid w:val="00A74DEB"/>
    <w:rsid w:val="00A74F42"/>
    <w:rsid w:val="00A74F5B"/>
    <w:rsid w:val="00A7520D"/>
    <w:rsid w:val="00A75253"/>
    <w:rsid w:val="00A75AC7"/>
    <w:rsid w:val="00A764A9"/>
    <w:rsid w:val="00A76776"/>
    <w:rsid w:val="00A769E9"/>
    <w:rsid w:val="00A76BFA"/>
    <w:rsid w:val="00A76DBE"/>
    <w:rsid w:val="00A77088"/>
    <w:rsid w:val="00A77A48"/>
    <w:rsid w:val="00A77AB4"/>
    <w:rsid w:val="00A77C95"/>
    <w:rsid w:val="00A77F73"/>
    <w:rsid w:val="00A80392"/>
    <w:rsid w:val="00A80470"/>
    <w:rsid w:val="00A80617"/>
    <w:rsid w:val="00A80AA7"/>
    <w:rsid w:val="00A80E7E"/>
    <w:rsid w:val="00A80FCE"/>
    <w:rsid w:val="00A81BA9"/>
    <w:rsid w:val="00A8213F"/>
    <w:rsid w:val="00A82238"/>
    <w:rsid w:val="00A82334"/>
    <w:rsid w:val="00A82363"/>
    <w:rsid w:val="00A82495"/>
    <w:rsid w:val="00A82C2A"/>
    <w:rsid w:val="00A82DC0"/>
    <w:rsid w:val="00A83292"/>
    <w:rsid w:val="00A833D0"/>
    <w:rsid w:val="00A83463"/>
    <w:rsid w:val="00A837C0"/>
    <w:rsid w:val="00A83A2F"/>
    <w:rsid w:val="00A83A44"/>
    <w:rsid w:val="00A83DD2"/>
    <w:rsid w:val="00A83F62"/>
    <w:rsid w:val="00A84550"/>
    <w:rsid w:val="00A84AD2"/>
    <w:rsid w:val="00A84CF0"/>
    <w:rsid w:val="00A84E38"/>
    <w:rsid w:val="00A84E7A"/>
    <w:rsid w:val="00A84F19"/>
    <w:rsid w:val="00A84FB1"/>
    <w:rsid w:val="00A85057"/>
    <w:rsid w:val="00A850CF"/>
    <w:rsid w:val="00A8513F"/>
    <w:rsid w:val="00A85DE9"/>
    <w:rsid w:val="00A86423"/>
    <w:rsid w:val="00A86B88"/>
    <w:rsid w:val="00A86CED"/>
    <w:rsid w:val="00A86F86"/>
    <w:rsid w:val="00A872C4"/>
    <w:rsid w:val="00A873EA"/>
    <w:rsid w:val="00A87917"/>
    <w:rsid w:val="00A87B17"/>
    <w:rsid w:val="00A87CA6"/>
    <w:rsid w:val="00A87D33"/>
    <w:rsid w:val="00A87DF9"/>
    <w:rsid w:val="00A87E42"/>
    <w:rsid w:val="00A87F7F"/>
    <w:rsid w:val="00A903D4"/>
    <w:rsid w:val="00A905AC"/>
    <w:rsid w:val="00A9074C"/>
    <w:rsid w:val="00A908EE"/>
    <w:rsid w:val="00A90D0B"/>
    <w:rsid w:val="00A90F0B"/>
    <w:rsid w:val="00A9110D"/>
    <w:rsid w:val="00A91763"/>
    <w:rsid w:val="00A9177A"/>
    <w:rsid w:val="00A91846"/>
    <w:rsid w:val="00A91C55"/>
    <w:rsid w:val="00A91ED1"/>
    <w:rsid w:val="00A92181"/>
    <w:rsid w:val="00A92578"/>
    <w:rsid w:val="00A9260E"/>
    <w:rsid w:val="00A928AC"/>
    <w:rsid w:val="00A92DD5"/>
    <w:rsid w:val="00A92FB5"/>
    <w:rsid w:val="00A93045"/>
    <w:rsid w:val="00A930C3"/>
    <w:rsid w:val="00A93379"/>
    <w:rsid w:val="00A93441"/>
    <w:rsid w:val="00A93C28"/>
    <w:rsid w:val="00A93E17"/>
    <w:rsid w:val="00A93FB6"/>
    <w:rsid w:val="00A94064"/>
    <w:rsid w:val="00A942B4"/>
    <w:rsid w:val="00A9441D"/>
    <w:rsid w:val="00A947A9"/>
    <w:rsid w:val="00A94984"/>
    <w:rsid w:val="00A94B59"/>
    <w:rsid w:val="00A95844"/>
    <w:rsid w:val="00A9594B"/>
    <w:rsid w:val="00A95A09"/>
    <w:rsid w:val="00A95B8F"/>
    <w:rsid w:val="00A95CBF"/>
    <w:rsid w:val="00A95F4D"/>
    <w:rsid w:val="00A95FB9"/>
    <w:rsid w:val="00A96022"/>
    <w:rsid w:val="00A960BC"/>
    <w:rsid w:val="00A96161"/>
    <w:rsid w:val="00A96230"/>
    <w:rsid w:val="00A96B89"/>
    <w:rsid w:val="00A96E9C"/>
    <w:rsid w:val="00A9763F"/>
    <w:rsid w:val="00A976ED"/>
    <w:rsid w:val="00A97879"/>
    <w:rsid w:val="00A97CB2"/>
    <w:rsid w:val="00A97E4A"/>
    <w:rsid w:val="00A97EF3"/>
    <w:rsid w:val="00AA06F8"/>
    <w:rsid w:val="00AA0704"/>
    <w:rsid w:val="00AA08B7"/>
    <w:rsid w:val="00AA0C0B"/>
    <w:rsid w:val="00AA1024"/>
    <w:rsid w:val="00AA10DE"/>
    <w:rsid w:val="00AA1336"/>
    <w:rsid w:val="00AA1419"/>
    <w:rsid w:val="00AA146B"/>
    <w:rsid w:val="00AA1585"/>
    <w:rsid w:val="00AA15D4"/>
    <w:rsid w:val="00AA15E8"/>
    <w:rsid w:val="00AA1DE7"/>
    <w:rsid w:val="00AA1E54"/>
    <w:rsid w:val="00AA20E2"/>
    <w:rsid w:val="00AA237E"/>
    <w:rsid w:val="00AA24A3"/>
    <w:rsid w:val="00AA2D36"/>
    <w:rsid w:val="00AA2E8D"/>
    <w:rsid w:val="00AA318A"/>
    <w:rsid w:val="00AA3542"/>
    <w:rsid w:val="00AA37C0"/>
    <w:rsid w:val="00AA390C"/>
    <w:rsid w:val="00AA3E3B"/>
    <w:rsid w:val="00AA3E65"/>
    <w:rsid w:val="00AA3E82"/>
    <w:rsid w:val="00AA4036"/>
    <w:rsid w:val="00AA435F"/>
    <w:rsid w:val="00AA50CE"/>
    <w:rsid w:val="00AA50EC"/>
    <w:rsid w:val="00AA53BA"/>
    <w:rsid w:val="00AA5578"/>
    <w:rsid w:val="00AA571E"/>
    <w:rsid w:val="00AA589E"/>
    <w:rsid w:val="00AA5916"/>
    <w:rsid w:val="00AA5A10"/>
    <w:rsid w:val="00AA6029"/>
    <w:rsid w:val="00AA6129"/>
    <w:rsid w:val="00AA6151"/>
    <w:rsid w:val="00AA6179"/>
    <w:rsid w:val="00AA6F21"/>
    <w:rsid w:val="00AA73BD"/>
    <w:rsid w:val="00AA7B7F"/>
    <w:rsid w:val="00AA7D38"/>
    <w:rsid w:val="00AA7D41"/>
    <w:rsid w:val="00AB0841"/>
    <w:rsid w:val="00AB0B35"/>
    <w:rsid w:val="00AB0BE2"/>
    <w:rsid w:val="00AB10DC"/>
    <w:rsid w:val="00AB11D5"/>
    <w:rsid w:val="00AB1D1F"/>
    <w:rsid w:val="00AB1EB9"/>
    <w:rsid w:val="00AB2619"/>
    <w:rsid w:val="00AB275E"/>
    <w:rsid w:val="00AB2B68"/>
    <w:rsid w:val="00AB2BF6"/>
    <w:rsid w:val="00AB2D48"/>
    <w:rsid w:val="00AB2EFA"/>
    <w:rsid w:val="00AB2FCC"/>
    <w:rsid w:val="00AB340C"/>
    <w:rsid w:val="00AB36A1"/>
    <w:rsid w:val="00AB393F"/>
    <w:rsid w:val="00AB3DBC"/>
    <w:rsid w:val="00AB4117"/>
    <w:rsid w:val="00AB4127"/>
    <w:rsid w:val="00AB451D"/>
    <w:rsid w:val="00AB4694"/>
    <w:rsid w:val="00AB525B"/>
    <w:rsid w:val="00AB575D"/>
    <w:rsid w:val="00AB57AB"/>
    <w:rsid w:val="00AB5AAD"/>
    <w:rsid w:val="00AB5D0D"/>
    <w:rsid w:val="00AB5D4C"/>
    <w:rsid w:val="00AB5DD1"/>
    <w:rsid w:val="00AB5F02"/>
    <w:rsid w:val="00AB60B0"/>
    <w:rsid w:val="00AB6512"/>
    <w:rsid w:val="00AB651C"/>
    <w:rsid w:val="00AB653D"/>
    <w:rsid w:val="00AB6B4A"/>
    <w:rsid w:val="00AB70A9"/>
    <w:rsid w:val="00AB7374"/>
    <w:rsid w:val="00AB7566"/>
    <w:rsid w:val="00AB7A08"/>
    <w:rsid w:val="00AB7D37"/>
    <w:rsid w:val="00AC001C"/>
    <w:rsid w:val="00AC0570"/>
    <w:rsid w:val="00AC06A6"/>
    <w:rsid w:val="00AC09A1"/>
    <w:rsid w:val="00AC15CF"/>
    <w:rsid w:val="00AC1A5B"/>
    <w:rsid w:val="00AC1D7F"/>
    <w:rsid w:val="00AC1E35"/>
    <w:rsid w:val="00AC1EDC"/>
    <w:rsid w:val="00AC2056"/>
    <w:rsid w:val="00AC2112"/>
    <w:rsid w:val="00AC269A"/>
    <w:rsid w:val="00AC277F"/>
    <w:rsid w:val="00AC2789"/>
    <w:rsid w:val="00AC28E6"/>
    <w:rsid w:val="00AC2991"/>
    <w:rsid w:val="00AC2AC8"/>
    <w:rsid w:val="00AC3071"/>
    <w:rsid w:val="00AC31B6"/>
    <w:rsid w:val="00AC3255"/>
    <w:rsid w:val="00AC371C"/>
    <w:rsid w:val="00AC37CA"/>
    <w:rsid w:val="00AC3BDA"/>
    <w:rsid w:val="00AC3C6B"/>
    <w:rsid w:val="00AC3F20"/>
    <w:rsid w:val="00AC3F8D"/>
    <w:rsid w:val="00AC40BB"/>
    <w:rsid w:val="00AC4163"/>
    <w:rsid w:val="00AC454B"/>
    <w:rsid w:val="00AC46B0"/>
    <w:rsid w:val="00AC4949"/>
    <w:rsid w:val="00AC4C31"/>
    <w:rsid w:val="00AC5295"/>
    <w:rsid w:val="00AC534D"/>
    <w:rsid w:val="00AC53AD"/>
    <w:rsid w:val="00AC53B5"/>
    <w:rsid w:val="00AC53D6"/>
    <w:rsid w:val="00AC55A7"/>
    <w:rsid w:val="00AC562A"/>
    <w:rsid w:val="00AC59A4"/>
    <w:rsid w:val="00AC5D4C"/>
    <w:rsid w:val="00AC5DDE"/>
    <w:rsid w:val="00AC61C3"/>
    <w:rsid w:val="00AC61D3"/>
    <w:rsid w:val="00AC63F6"/>
    <w:rsid w:val="00AC69D0"/>
    <w:rsid w:val="00AC6A9B"/>
    <w:rsid w:val="00AC6B0F"/>
    <w:rsid w:val="00AC6BDA"/>
    <w:rsid w:val="00AC6D37"/>
    <w:rsid w:val="00AC6F6E"/>
    <w:rsid w:val="00AC6F9A"/>
    <w:rsid w:val="00AC7391"/>
    <w:rsid w:val="00AC75BB"/>
    <w:rsid w:val="00AC7F8F"/>
    <w:rsid w:val="00AD004B"/>
    <w:rsid w:val="00AD0234"/>
    <w:rsid w:val="00AD0559"/>
    <w:rsid w:val="00AD06CD"/>
    <w:rsid w:val="00AD06DB"/>
    <w:rsid w:val="00AD078C"/>
    <w:rsid w:val="00AD0AB3"/>
    <w:rsid w:val="00AD0C45"/>
    <w:rsid w:val="00AD10F1"/>
    <w:rsid w:val="00AD1454"/>
    <w:rsid w:val="00AD1592"/>
    <w:rsid w:val="00AD18B5"/>
    <w:rsid w:val="00AD19C9"/>
    <w:rsid w:val="00AD1B5F"/>
    <w:rsid w:val="00AD1C61"/>
    <w:rsid w:val="00AD1E47"/>
    <w:rsid w:val="00AD1E9A"/>
    <w:rsid w:val="00AD1FE3"/>
    <w:rsid w:val="00AD1FEB"/>
    <w:rsid w:val="00AD2095"/>
    <w:rsid w:val="00AD254B"/>
    <w:rsid w:val="00AD2690"/>
    <w:rsid w:val="00AD26F9"/>
    <w:rsid w:val="00AD283B"/>
    <w:rsid w:val="00AD28F7"/>
    <w:rsid w:val="00AD2CD6"/>
    <w:rsid w:val="00AD2F0A"/>
    <w:rsid w:val="00AD30A7"/>
    <w:rsid w:val="00AD3168"/>
    <w:rsid w:val="00AD35D3"/>
    <w:rsid w:val="00AD360B"/>
    <w:rsid w:val="00AD36CF"/>
    <w:rsid w:val="00AD3D8B"/>
    <w:rsid w:val="00AD3E47"/>
    <w:rsid w:val="00AD4020"/>
    <w:rsid w:val="00AD432B"/>
    <w:rsid w:val="00AD44CB"/>
    <w:rsid w:val="00AD454D"/>
    <w:rsid w:val="00AD46A5"/>
    <w:rsid w:val="00AD4B2A"/>
    <w:rsid w:val="00AD4C17"/>
    <w:rsid w:val="00AD4D5D"/>
    <w:rsid w:val="00AD4D96"/>
    <w:rsid w:val="00AD5168"/>
    <w:rsid w:val="00AD5182"/>
    <w:rsid w:val="00AD5316"/>
    <w:rsid w:val="00AD5329"/>
    <w:rsid w:val="00AD542A"/>
    <w:rsid w:val="00AD55D1"/>
    <w:rsid w:val="00AD5626"/>
    <w:rsid w:val="00AD570E"/>
    <w:rsid w:val="00AD57A8"/>
    <w:rsid w:val="00AD61D6"/>
    <w:rsid w:val="00AD61F6"/>
    <w:rsid w:val="00AD67E0"/>
    <w:rsid w:val="00AD6867"/>
    <w:rsid w:val="00AD6A27"/>
    <w:rsid w:val="00AD6ACB"/>
    <w:rsid w:val="00AD6D3F"/>
    <w:rsid w:val="00AD6ECE"/>
    <w:rsid w:val="00AD6F29"/>
    <w:rsid w:val="00AD7141"/>
    <w:rsid w:val="00AD726B"/>
    <w:rsid w:val="00AE0696"/>
    <w:rsid w:val="00AE07D4"/>
    <w:rsid w:val="00AE0BB7"/>
    <w:rsid w:val="00AE1158"/>
    <w:rsid w:val="00AE11FA"/>
    <w:rsid w:val="00AE13FE"/>
    <w:rsid w:val="00AE1838"/>
    <w:rsid w:val="00AE1863"/>
    <w:rsid w:val="00AE1919"/>
    <w:rsid w:val="00AE19A1"/>
    <w:rsid w:val="00AE1A7E"/>
    <w:rsid w:val="00AE24A2"/>
    <w:rsid w:val="00AE257A"/>
    <w:rsid w:val="00AE2C48"/>
    <w:rsid w:val="00AE2D9C"/>
    <w:rsid w:val="00AE3020"/>
    <w:rsid w:val="00AE306A"/>
    <w:rsid w:val="00AE311C"/>
    <w:rsid w:val="00AE319C"/>
    <w:rsid w:val="00AE4ABE"/>
    <w:rsid w:val="00AE4D23"/>
    <w:rsid w:val="00AE5229"/>
    <w:rsid w:val="00AE5441"/>
    <w:rsid w:val="00AE54A5"/>
    <w:rsid w:val="00AE54EB"/>
    <w:rsid w:val="00AE5539"/>
    <w:rsid w:val="00AE562D"/>
    <w:rsid w:val="00AE5749"/>
    <w:rsid w:val="00AE597F"/>
    <w:rsid w:val="00AE59DF"/>
    <w:rsid w:val="00AE5AE7"/>
    <w:rsid w:val="00AE5C3F"/>
    <w:rsid w:val="00AE60A0"/>
    <w:rsid w:val="00AE62B6"/>
    <w:rsid w:val="00AE6450"/>
    <w:rsid w:val="00AE67AF"/>
    <w:rsid w:val="00AE69E1"/>
    <w:rsid w:val="00AE6A00"/>
    <w:rsid w:val="00AE6A27"/>
    <w:rsid w:val="00AE6B0C"/>
    <w:rsid w:val="00AE6BDD"/>
    <w:rsid w:val="00AE6F16"/>
    <w:rsid w:val="00AE6FD4"/>
    <w:rsid w:val="00AE7183"/>
    <w:rsid w:val="00AE732C"/>
    <w:rsid w:val="00AE752E"/>
    <w:rsid w:val="00AE77F5"/>
    <w:rsid w:val="00AE7824"/>
    <w:rsid w:val="00AF0987"/>
    <w:rsid w:val="00AF0E04"/>
    <w:rsid w:val="00AF0E13"/>
    <w:rsid w:val="00AF1217"/>
    <w:rsid w:val="00AF1247"/>
    <w:rsid w:val="00AF1462"/>
    <w:rsid w:val="00AF14B9"/>
    <w:rsid w:val="00AF1D42"/>
    <w:rsid w:val="00AF1E00"/>
    <w:rsid w:val="00AF1E3A"/>
    <w:rsid w:val="00AF1F0A"/>
    <w:rsid w:val="00AF1F43"/>
    <w:rsid w:val="00AF21C1"/>
    <w:rsid w:val="00AF2213"/>
    <w:rsid w:val="00AF256C"/>
    <w:rsid w:val="00AF263A"/>
    <w:rsid w:val="00AF276B"/>
    <w:rsid w:val="00AF2874"/>
    <w:rsid w:val="00AF28C9"/>
    <w:rsid w:val="00AF28CA"/>
    <w:rsid w:val="00AF2A04"/>
    <w:rsid w:val="00AF2CC3"/>
    <w:rsid w:val="00AF2EB2"/>
    <w:rsid w:val="00AF3037"/>
    <w:rsid w:val="00AF3252"/>
    <w:rsid w:val="00AF3294"/>
    <w:rsid w:val="00AF354C"/>
    <w:rsid w:val="00AF382C"/>
    <w:rsid w:val="00AF3AAE"/>
    <w:rsid w:val="00AF3E05"/>
    <w:rsid w:val="00AF3E57"/>
    <w:rsid w:val="00AF4342"/>
    <w:rsid w:val="00AF4560"/>
    <w:rsid w:val="00AF4577"/>
    <w:rsid w:val="00AF48FE"/>
    <w:rsid w:val="00AF49EF"/>
    <w:rsid w:val="00AF4C11"/>
    <w:rsid w:val="00AF5103"/>
    <w:rsid w:val="00AF530C"/>
    <w:rsid w:val="00AF5B00"/>
    <w:rsid w:val="00AF5C21"/>
    <w:rsid w:val="00AF5DAC"/>
    <w:rsid w:val="00AF5F7A"/>
    <w:rsid w:val="00AF6069"/>
    <w:rsid w:val="00AF61B1"/>
    <w:rsid w:val="00AF6231"/>
    <w:rsid w:val="00AF664A"/>
    <w:rsid w:val="00AF67CC"/>
    <w:rsid w:val="00AF70B9"/>
    <w:rsid w:val="00AF722F"/>
    <w:rsid w:val="00AF77C0"/>
    <w:rsid w:val="00AF77F2"/>
    <w:rsid w:val="00AF7AC2"/>
    <w:rsid w:val="00B00406"/>
    <w:rsid w:val="00B00472"/>
    <w:rsid w:val="00B004C5"/>
    <w:rsid w:val="00B00590"/>
    <w:rsid w:val="00B005B3"/>
    <w:rsid w:val="00B00C1B"/>
    <w:rsid w:val="00B00C20"/>
    <w:rsid w:val="00B00D4B"/>
    <w:rsid w:val="00B01604"/>
    <w:rsid w:val="00B018C4"/>
    <w:rsid w:val="00B01F78"/>
    <w:rsid w:val="00B0204A"/>
    <w:rsid w:val="00B03007"/>
    <w:rsid w:val="00B0352C"/>
    <w:rsid w:val="00B03B63"/>
    <w:rsid w:val="00B040D2"/>
    <w:rsid w:val="00B049ED"/>
    <w:rsid w:val="00B04D0D"/>
    <w:rsid w:val="00B05061"/>
    <w:rsid w:val="00B055BC"/>
    <w:rsid w:val="00B05EC3"/>
    <w:rsid w:val="00B0665C"/>
    <w:rsid w:val="00B06663"/>
    <w:rsid w:val="00B069D6"/>
    <w:rsid w:val="00B06B9A"/>
    <w:rsid w:val="00B06D69"/>
    <w:rsid w:val="00B06DD0"/>
    <w:rsid w:val="00B0700F"/>
    <w:rsid w:val="00B071C1"/>
    <w:rsid w:val="00B075DD"/>
    <w:rsid w:val="00B07614"/>
    <w:rsid w:val="00B0763D"/>
    <w:rsid w:val="00B07724"/>
    <w:rsid w:val="00B07738"/>
    <w:rsid w:val="00B07CDE"/>
    <w:rsid w:val="00B1001B"/>
    <w:rsid w:val="00B10439"/>
    <w:rsid w:val="00B10DB0"/>
    <w:rsid w:val="00B117F7"/>
    <w:rsid w:val="00B12933"/>
    <w:rsid w:val="00B12C65"/>
    <w:rsid w:val="00B12CB7"/>
    <w:rsid w:val="00B13163"/>
    <w:rsid w:val="00B132D4"/>
    <w:rsid w:val="00B13DBD"/>
    <w:rsid w:val="00B14137"/>
    <w:rsid w:val="00B1422F"/>
    <w:rsid w:val="00B1460F"/>
    <w:rsid w:val="00B149D2"/>
    <w:rsid w:val="00B149E0"/>
    <w:rsid w:val="00B14D23"/>
    <w:rsid w:val="00B152FC"/>
    <w:rsid w:val="00B1537C"/>
    <w:rsid w:val="00B15548"/>
    <w:rsid w:val="00B159D0"/>
    <w:rsid w:val="00B15F76"/>
    <w:rsid w:val="00B16895"/>
    <w:rsid w:val="00B16A40"/>
    <w:rsid w:val="00B16B1E"/>
    <w:rsid w:val="00B16B55"/>
    <w:rsid w:val="00B16B56"/>
    <w:rsid w:val="00B16D88"/>
    <w:rsid w:val="00B16E6E"/>
    <w:rsid w:val="00B16F37"/>
    <w:rsid w:val="00B17001"/>
    <w:rsid w:val="00B1732A"/>
    <w:rsid w:val="00B176EB"/>
    <w:rsid w:val="00B17716"/>
    <w:rsid w:val="00B17A1A"/>
    <w:rsid w:val="00B17BE2"/>
    <w:rsid w:val="00B202A1"/>
    <w:rsid w:val="00B20581"/>
    <w:rsid w:val="00B206ED"/>
    <w:rsid w:val="00B20C42"/>
    <w:rsid w:val="00B20C8A"/>
    <w:rsid w:val="00B21209"/>
    <w:rsid w:val="00B212CF"/>
    <w:rsid w:val="00B212E5"/>
    <w:rsid w:val="00B2137C"/>
    <w:rsid w:val="00B213F2"/>
    <w:rsid w:val="00B2164F"/>
    <w:rsid w:val="00B2167C"/>
    <w:rsid w:val="00B2179A"/>
    <w:rsid w:val="00B21AA0"/>
    <w:rsid w:val="00B21BBC"/>
    <w:rsid w:val="00B21E83"/>
    <w:rsid w:val="00B21F9A"/>
    <w:rsid w:val="00B224EC"/>
    <w:rsid w:val="00B22CD6"/>
    <w:rsid w:val="00B22F02"/>
    <w:rsid w:val="00B2374B"/>
    <w:rsid w:val="00B23ABA"/>
    <w:rsid w:val="00B23C12"/>
    <w:rsid w:val="00B23C39"/>
    <w:rsid w:val="00B23C6D"/>
    <w:rsid w:val="00B23C89"/>
    <w:rsid w:val="00B24005"/>
    <w:rsid w:val="00B24178"/>
    <w:rsid w:val="00B24331"/>
    <w:rsid w:val="00B2437D"/>
    <w:rsid w:val="00B2499E"/>
    <w:rsid w:val="00B24AC6"/>
    <w:rsid w:val="00B24E84"/>
    <w:rsid w:val="00B25250"/>
    <w:rsid w:val="00B252C5"/>
    <w:rsid w:val="00B25314"/>
    <w:rsid w:val="00B253DE"/>
    <w:rsid w:val="00B26540"/>
    <w:rsid w:val="00B26D02"/>
    <w:rsid w:val="00B2704D"/>
    <w:rsid w:val="00B276A0"/>
    <w:rsid w:val="00B27A7B"/>
    <w:rsid w:val="00B30218"/>
    <w:rsid w:val="00B308FE"/>
    <w:rsid w:val="00B30F24"/>
    <w:rsid w:val="00B31072"/>
    <w:rsid w:val="00B31402"/>
    <w:rsid w:val="00B31535"/>
    <w:rsid w:val="00B31630"/>
    <w:rsid w:val="00B31687"/>
    <w:rsid w:val="00B316A1"/>
    <w:rsid w:val="00B31859"/>
    <w:rsid w:val="00B319DC"/>
    <w:rsid w:val="00B31D3F"/>
    <w:rsid w:val="00B32034"/>
    <w:rsid w:val="00B32381"/>
    <w:rsid w:val="00B32474"/>
    <w:rsid w:val="00B3249C"/>
    <w:rsid w:val="00B3255D"/>
    <w:rsid w:val="00B326ED"/>
    <w:rsid w:val="00B32878"/>
    <w:rsid w:val="00B32AA9"/>
    <w:rsid w:val="00B32B89"/>
    <w:rsid w:val="00B32BDE"/>
    <w:rsid w:val="00B32ECA"/>
    <w:rsid w:val="00B3320B"/>
    <w:rsid w:val="00B33437"/>
    <w:rsid w:val="00B335D3"/>
    <w:rsid w:val="00B3367A"/>
    <w:rsid w:val="00B3383C"/>
    <w:rsid w:val="00B33857"/>
    <w:rsid w:val="00B33891"/>
    <w:rsid w:val="00B33BB9"/>
    <w:rsid w:val="00B33C23"/>
    <w:rsid w:val="00B33FB3"/>
    <w:rsid w:val="00B34431"/>
    <w:rsid w:val="00B34754"/>
    <w:rsid w:val="00B34B32"/>
    <w:rsid w:val="00B34B91"/>
    <w:rsid w:val="00B34F72"/>
    <w:rsid w:val="00B355F0"/>
    <w:rsid w:val="00B35B06"/>
    <w:rsid w:val="00B35EED"/>
    <w:rsid w:val="00B35F75"/>
    <w:rsid w:val="00B360DC"/>
    <w:rsid w:val="00B361AC"/>
    <w:rsid w:val="00B36626"/>
    <w:rsid w:val="00B36966"/>
    <w:rsid w:val="00B36982"/>
    <w:rsid w:val="00B36B92"/>
    <w:rsid w:val="00B36DDB"/>
    <w:rsid w:val="00B371D7"/>
    <w:rsid w:val="00B37257"/>
    <w:rsid w:val="00B3777F"/>
    <w:rsid w:val="00B37922"/>
    <w:rsid w:val="00B37969"/>
    <w:rsid w:val="00B37BEA"/>
    <w:rsid w:val="00B37E7C"/>
    <w:rsid w:val="00B37F75"/>
    <w:rsid w:val="00B401AD"/>
    <w:rsid w:val="00B40783"/>
    <w:rsid w:val="00B40AED"/>
    <w:rsid w:val="00B40ECC"/>
    <w:rsid w:val="00B412F8"/>
    <w:rsid w:val="00B41453"/>
    <w:rsid w:val="00B4149F"/>
    <w:rsid w:val="00B41683"/>
    <w:rsid w:val="00B41992"/>
    <w:rsid w:val="00B419AD"/>
    <w:rsid w:val="00B41B7C"/>
    <w:rsid w:val="00B41C3F"/>
    <w:rsid w:val="00B41E0B"/>
    <w:rsid w:val="00B41EC2"/>
    <w:rsid w:val="00B41F1E"/>
    <w:rsid w:val="00B420F6"/>
    <w:rsid w:val="00B424B9"/>
    <w:rsid w:val="00B4269D"/>
    <w:rsid w:val="00B426BD"/>
    <w:rsid w:val="00B426DB"/>
    <w:rsid w:val="00B4280D"/>
    <w:rsid w:val="00B42C8B"/>
    <w:rsid w:val="00B42E5A"/>
    <w:rsid w:val="00B431AB"/>
    <w:rsid w:val="00B4364E"/>
    <w:rsid w:val="00B43659"/>
    <w:rsid w:val="00B43A13"/>
    <w:rsid w:val="00B43BD5"/>
    <w:rsid w:val="00B43BDE"/>
    <w:rsid w:val="00B43EAD"/>
    <w:rsid w:val="00B44662"/>
    <w:rsid w:val="00B44BA0"/>
    <w:rsid w:val="00B44BF5"/>
    <w:rsid w:val="00B45023"/>
    <w:rsid w:val="00B45728"/>
    <w:rsid w:val="00B45776"/>
    <w:rsid w:val="00B4587A"/>
    <w:rsid w:val="00B45D62"/>
    <w:rsid w:val="00B4660E"/>
    <w:rsid w:val="00B46CEB"/>
    <w:rsid w:val="00B46F82"/>
    <w:rsid w:val="00B475C6"/>
    <w:rsid w:val="00B47B1F"/>
    <w:rsid w:val="00B47CB2"/>
    <w:rsid w:val="00B50153"/>
    <w:rsid w:val="00B502E0"/>
    <w:rsid w:val="00B503CD"/>
    <w:rsid w:val="00B504CD"/>
    <w:rsid w:val="00B50502"/>
    <w:rsid w:val="00B50594"/>
    <w:rsid w:val="00B50864"/>
    <w:rsid w:val="00B50A2A"/>
    <w:rsid w:val="00B50B42"/>
    <w:rsid w:val="00B50C21"/>
    <w:rsid w:val="00B50F85"/>
    <w:rsid w:val="00B50FF0"/>
    <w:rsid w:val="00B512A0"/>
    <w:rsid w:val="00B51E78"/>
    <w:rsid w:val="00B51E7B"/>
    <w:rsid w:val="00B52903"/>
    <w:rsid w:val="00B5299D"/>
    <w:rsid w:val="00B52A44"/>
    <w:rsid w:val="00B52AEE"/>
    <w:rsid w:val="00B52F35"/>
    <w:rsid w:val="00B530F4"/>
    <w:rsid w:val="00B531EB"/>
    <w:rsid w:val="00B53311"/>
    <w:rsid w:val="00B53416"/>
    <w:rsid w:val="00B53578"/>
    <w:rsid w:val="00B539E9"/>
    <w:rsid w:val="00B53D76"/>
    <w:rsid w:val="00B540F0"/>
    <w:rsid w:val="00B54169"/>
    <w:rsid w:val="00B541AD"/>
    <w:rsid w:val="00B54261"/>
    <w:rsid w:val="00B54440"/>
    <w:rsid w:val="00B54446"/>
    <w:rsid w:val="00B54DB8"/>
    <w:rsid w:val="00B54DEE"/>
    <w:rsid w:val="00B55209"/>
    <w:rsid w:val="00B5561A"/>
    <w:rsid w:val="00B557C8"/>
    <w:rsid w:val="00B5585E"/>
    <w:rsid w:val="00B55E07"/>
    <w:rsid w:val="00B56187"/>
    <w:rsid w:val="00B56193"/>
    <w:rsid w:val="00B564F9"/>
    <w:rsid w:val="00B56555"/>
    <w:rsid w:val="00B565DC"/>
    <w:rsid w:val="00B565E4"/>
    <w:rsid w:val="00B57066"/>
    <w:rsid w:val="00B5721E"/>
    <w:rsid w:val="00B5758C"/>
    <w:rsid w:val="00B57880"/>
    <w:rsid w:val="00B57B3D"/>
    <w:rsid w:val="00B6000B"/>
    <w:rsid w:val="00B60235"/>
    <w:rsid w:val="00B60366"/>
    <w:rsid w:val="00B603DE"/>
    <w:rsid w:val="00B604EB"/>
    <w:rsid w:val="00B60935"/>
    <w:rsid w:val="00B60BFB"/>
    <w:rsid w:val="00B60C9E"/>
    <w:rsid w:val="00B612D2"/>
    <w:rsid w:val="00B617FF"/>
    <w:rsid w:val="00B61A74"/>
    <w:rsid w:val="00B61AF4"/>
    <w:rsid w:val="00B61C7A"/>
    <w:rsid w:val="00B61E98"/>
    <w:rsid w:val="00B620F0"/>
    <w:rsid w:val="00B6233C"/>
    <w:rsid w:val="00B627BF"/>
    <w:rsid w:val="00B629DF"/>
    <w:rsid w:val="00B62A5E"/>
    <w:rsid w:val="00B62B91"/>
    <w:rsid w:val="00B62BF8"/>
    <w:rsid w:val="00B63074"/>
    <w:rsid w:val="00B63090"/>
    <w:rsid w:val="00B633DE"/>
    <w:rsid w:val="00B63890"/>
    <w:rsid w:val="00B63B77"/>
    <w:rsid w:val="00B63EF2"/>
    <w:rsid w:val="00B642E7"/>
    <w:rsid w:val="00B64448"/>
    <w:rsid w:val="00B6448A"/>
    <w:rsid w:val="00B6457E"/>
    <w:rsid w:val="00B64A48"/>
    <w:rsid w:val="00B64B30"/>
    <w:rsid w:val="00B64E9E"/>
    <w:rsid w:val="00B64F42"/>
    <w:rsid w:val="00B64FBE"/>
    <w:rsid w:val="00B6527B"/>
    <w:rsid w:val="00B654E0"/>
    <w:rsid w:val="00B65851"/>
    <w:rsid w:val="00B65880"/>
    <w:rsid w:val="00B658FF"/>
    <w:rsid w:val="00B65A14"/>
    <w:rsid w:val="00B65A1B"/>
    <w:rsid w:val="00B65B86"/>
    <w:rsid w:val="00B65BA6"/>
    <w:rsid w:val="00B65D33"/>
    <w:rsid w:val="00B66508"/>
    <w:rsid w:val="00B66512"/>
    <w:rsid w:val="00B66991"/>
    <w:rsid w:val="00B66A46"/>
    <w:rsid w:val="00B66AD6"/>
    <w:rsid w:val="00B66B79"/>
    <w:rsid w:val="00B66C42"/>
    <w:rsid w:val="00B66F3D"/>
    <w:rsid w:val="00B66F6D"/>
    <w:rsid w:val="00B6736E"/>
    <w:rsid w:val="00B67462"/>
    <w:rsid w:val="00B6778A"/>
    <w:rsid w:val="00B678F1"/>
    <w:rsid w:val="00B67FEB"/>
    <w:rsid w:val="00B7017F"/>
    <w:rsid w:val="00B7034A"/>
    <w:rsid w:val="00B70837"/>
    <w:rsid w:val="00B70F3C"/>
    <w:rsid w:val="00B712D6"/>
    <w:rsid w:val="00B713CB"/>
    <w:rsid w:val="00B71809"/>
    <w:rsid w:val="00B71951"/>
    <w:rsid w:val="00B71976"/>
    <w:rsid w:val="00B71BC9"/>
    <w:rsid w:val="00B71CB1"/>
    <w:rsid w:val="00B720A0"/>
    <w:rsid w:val="00B7215D"/>
    <w:rsid w:val="00B722D5"/>
    <w:rsid w:val="00B725F9"/>
    <w:rsid w:val="00B72A6F"/>
    <w:rsid w:val="00B72C65"/>
    <w:rsid w:val="00B72CD3"/>
    <w:rsid w:val="00B72FFF"/>
    <w:rsid w:val="00B7300D"/>
    <w:rsid w:val="00B730E2"/>
    <w:rsid w:val="00B73124"/>
    <w:rsid w:val="00B7323A"/>
    <w:rsid w:val="00B7373B"/>
    <w:rsid w:val="00B73927"/>
    <w:rsid w:val="00B73B16"/>
    <w:rsid w:val="00B73B8B"/>
    <w:rsid w:val="00B73FC5"/>
    <w:rsid w:val="00B7433C"/>
    <w:rsid w:val="00B7439F"/>
    <w:rsid w:val="00B743DB"/>
    <w:rsid w:val="00B74538"/>
    <w:rsid w:val="00B7461D"/>
    <w:rsid w:val="00B74720"/>
    <w:rsid w:val="00B74771"/>
    <w:rsid w:val="00B747CF"/>
    <w:rsid w:val="00B748D7"/>
    <w:rsid w:val="00B74B12"/>
    <w:rsid w:val="00B7525C"/>
    <w:rsid w:val="00B755A5"/>
    <w:rsid w:val="00B7565B"/>
    <w:rsid w:val="00B756FA"/>
    <w:rsid w:val="00B75991"/>
    <w:rsid w:val="00B75A4D"/>
    <w:rsid w:val="00B75E80"/>
    <w:rsid w:val="00B75F2D"/>
    <w:rsid w:val="00B76143"/>
    <w:rsid w:val="00B7618D"/>
    <w:rsid w:val="00B761E1"/>
    <w:rsid w:val="00B76CB7"/>
    <w:rsid w:val="00B7754E"/>
    <w:rsid w:val="00B77605"/>
    <w:rsid w:val="00B77AA0"/>
    <w:rsid w:val="00B77E19"/>
    <w:rsid w:val="00B77ED0"/>
    <w:rsid w:val="00B80061"/>
    <w:rsid w:val="00B8010A"/>
    <w:rsid w:val="00B803CA"/>
    <w:rsid w:val="00B8083B"/>
    <w:rsid w:val="00B80A33"/>
    <w:rsid w:val="00B80F2F"/>
    <w:rsid w:val="00B81595"/>
    <w:rsid w:val="00B81845"/>
    <w:rsid w:val="00B818B0"/>
    <w:rsid w:val="00B81B1E"/>
    <w:rsid w:val="00B81C9A"/>
    <w:rsid w:val="00B81DD6"/>
    <w:rsid w:val="00B822F7"/>
    <w:rsid w:val="00B82519"/>
    <w:rsid w:val="00B82BE8"/>
    <w:rsid w:val="00B82CCB"/>
    <w:rsid w:val="00B82FE2"/>
    <w:rsid w:val="00B83907"/>
    <w:rsid w:val="00B83A19"/>
    <w:rsid w:val="00B83A66"/>
    <w:rsid w:val="00B83B13"/>
    <w:rsid w:val="00B83C65"/>
    <w:rsid w:val="00B83C81"/>
    <w:rsid w:val="00B83CBA"/>
    <w:rsid w:val="00B83D2F"/>
    <w:rsid w:val="00B8423A"/>
    <w:rsid w:val="00B8426D"/>
    <w:rsid w:val="00B8448E"/>
    <w:rsid w:val="00B84807"/>
    <w:rsid w:val="00B84907"/>
    <w:rsid w:val="00B84FDB"/>
    <w:rsid w:val="00B851D1"/>
    <w:rsid w:val="00B85692"/>
    <w:rsid w:val="00B856AA"/>
    <w:rsid w:val="00B85D2B"/>
    <w:rsid w:val="00B85D6E"/>
    <w:rsid w:val="00B86116"/>
    <w:rsid w:val="00B86494"/>
    <w:rsid w:val="00B864C4"/>
    <w:rsid w:val="00B86C0A"/>
    <w:rsid w:val="00B86FF7"/>
    <w:rsid w:val="00B87332"/>
    <w:rsid w:val="00B879D5"/>
    <w:rsid w:val="00B879EF"/>
    <w:rsid w:val="00B87B2A"/>
    <w:rsid w:val="00B87E4C"/>
    <w:rsid w:val="00B90018"/>
    <w:rsid w:val="00B90662"/>
    <w:rsid w:val="00B906A9"/>
    <w:rsid w:val="00B909C5"/>
    <w:rsid w:val="00B90F12"/>
    <w:rsid w:val="00B9100C"/>
    <w:rsid w:val="00B913EB"/>
    <w:rsid w:val="00B91935"/>
    <w:rsid w:val="00B91963"/>
    <w:rsid w:val="00B91A71"/>
    <w:rsid w:val="00B91BA6"/>
    <w:rsid w:val="00B91E99"/>
    <w:rsid w:val="00B91F7A"/>
    <w:rsid w:val="00B926ED"/>
    <w:rsid w:val="00B927E1"/>
    <w:rsid w:val="00B92C3C"/>
    <w:rsid w:val="00B92FBD"/>
    <w:rsid w:val="00B9303E"/>
    <w:rsid w:val="00B9370D"/>
    <w:rsid w:val="00B9389D"/>
    <w:rsid w:val="00B938F3"/>
    <w:rsid w:val="00B939FB"/>
    <w:rsid w:val="00B93C11"/>
    <w:rsid w:val="00B93D68"/>
    <w:rsid w:val="00B93DAB"/>
    <w:rsid w:val="00B93E7E"/>
    <w:rsid w:val="00B93EB0"/>
    <w:rsid w:val="00B93FC7"/>
    <w:rsid w:val="00B94050"/>
    <w:rsid w:val="00B942A9"/>
    <w:rsid w:val="00B94390"/>
    <w:rsid w:val="00B94517"/>
    <w:rsid w:val="00B949F0"/>
    <w:rsid w:val="00B9513D"/>
    <w:rsid w:val="00B951CF"/>
    <w:rsid w:val="00B95252"/>
    <w:rsid w:val="00B95576"/>
    <w:rsid w:val="00B958DA"/>
    <w:rsid w:val="00B95DEC"/>
    <w:rsid w:val="00B95FA4"/>
    <w:rsid w:val="00B96071"/>
    <w:rsid w:val="00B96140"/>
    <w:rsid w:val="00B964AB"/>
    <w:rsid w:val="00B96973"/>
    <w:rsid w:val="00B96C43"/>
    <w:rsid w:val="00B96D0A"/>
    <w:rsid w:val="00B96EE9"/>
    <w:rsid w:val="00B978A5"/>
    <w:rsid w:val="00B978B2"/>
    <w:rsid w:val="00B97A48"/>
    <w:rsid w:val="00B97BE6"/>
    <w:rsid w:val="00B97C64"/>
    <w:rsid w:val="00B97D43"/>
    <w:rsid w:val="00BA0212"/>
    <w:rsid w:val="00BA043F"/>
    <w:rsid w:val="00BA0518"/>
    <w:rsid w:val="00BA0A3B"/>
    <w:rsid w:val="00BA1148"/>
    <w:rsid w:val="00BA1267"/>
    <w:rsid w:val="00BA1296"/>
    <w:rsid w:val="00BA12CE"/>
    <w:rsid w:val="00BA1355"/>
    <w:rsid w:val="00BA1591"/>
    <w:rsid w:val="00BA209E"/>
    <w:rsid w:val="00BA2111"/>
    <w:rsid w:val="00BA2314"/>
    <w:rsid w:val="00BA233E"/>
    <w:rsid w:val="00BA26E1"/>
    <w:rsid w:val="00BA2B69"/>
    <w:rsid w:val="00BA307D"/>
    <w:rsid w:val="00BA31A9"/>
    <w:rsid w:val="00BA324D"/>
    <w:rsid w:val="00BA365D"/>
    <w:rsid w:val="00BA3697"/>
    <w:rsid w:val="00BA3735"/>
    <w:rsid w:val="00BA376A"/>
    <w:rsid w:val="00BA3BCF"/>
    <w:rsid w:val="00BA3C48"/>
    <w:rsid w:val="00BA3C4A"/>
    <w:rsid w:val="00BA3DBD"/>
    <w:rsid w:val="00BA4071"/>
    <w:rsid w:val="00BA41F3"/>
    <w:rsid w:val="00BA4678"/>
    <w:rsid w:val="00BA4ED5"/>
    <w:rsid w:val="00BA4EE3"/>
    <w:rsid w:val="00BA5027"/>
    <w:rsid w:val="00BA511F"/>
    <w:rsid w:val="00BA54F7"/>
    <w:rsid w:val="00BA57E5"/>
    <w:rsid w:val="00BA5D2A"/>
    <w:rsid w:val="00BA5DDC"/>
    <w:rsid w:val="00BA63D9"/>
    <w:rsid w:val="00BA63DA"/>
    <w:rsid w:val="00BA6866"/>
    <w:rsid w:val="00BA6877"/>
    <w:rsid w:val="00BA6BB9"/>
    <w:rsid w:val="00BA6E6C"/>
    <w:rsid w:val="00BA6F31"/>
    <w:rsid w:val="00BA7419"/>
    <w:rsid w:val="00BA75CC"/>
    <w:rsid w:val="00BA7BEF"/>
    <w:rsid w:val="00BB04D6"/>
    <w:rsid w:val="00BB0AEE"/>
    <w:rsid w:val="00BB0D73"/>
    <w:rsid w:val="00BB0F73"/>
    <w:rsid w:val="00BB11D1"/>
    <w:rsid w:val="00BB1465"/>
    <w:rsid w:val="00BB18FC"/>
    <w:rsid w:val="00BB1CF2"/>
    <w:rsid w:val="00BB1F11"/>
    <w:rsid w:val="00BB2256"/>
    <w:rsid w:val="00BB240E"/>
    <w:rsid w:val="00BB24C4"/>
    <w:rsid w:val="00BB29A5"/>
    <w:rsid w:val="00BB3175"/>
    <w:rsid w:val="00BB3262"/>
    <w:rsid w:val="00BB32D3"/>
    <w:rsid w:val="00BB38CB"/>
    <w:rsid w:val="00BB3C2D"/>
    <w:rsid w:val="00BB4968"/>
    <w:rsid w:val="00BB5076"/>
    <w:rsid w:val="00BB53BC"/>
    <w:rsid w:val="00BB5803"/>
    <w:rsid w:val="00BB5B34"/>
    <w:rsid w:val="00BB5E84"/>
    <w:rsid w:val="00BB5ECA"/>
    <w:rsid w:val="00BB62EA"/>
    <w:rsid w:val="00BB64D2"/>
    <w:rsid w:val="00BB6818"/>
    <w:rsid w:val="00BB6882"/>
    <w:rsid w:val="00BB6DD6"/>
    <w:rsid w:val="00BB6DF5"/>
    <w:rsid w:val="00BB6E8E"/>
    <w:rsid w:val="00BB6F03"/>
    <w:rsid w:val="00BB70DA"/>
    <w:rsid w:val="00BB714F"/>
    <w:rsid w:val="00BB7194"/>
    <w:rsid w:val="00BB7274"/>
    <w:rsid w:val="00BB737B"/>
    <w:rsid w:val="00BB7538"/>
    <w:rsid w:val="00BB75D1"/>
    <w:rsid w:val="00BB7669"/>
    <w:rsid w:val="00BB78B1"/>
    <w:rsid w:val="00BB78CA"/>
    <w:rsid w:val="00BB7913"/>
    <w:rsid w:val="00BB7AE4"/>
    <w:rsid w:val="00BB7F22"/>
    <w:rsid w:val="00BB7FB5"/>
    <w:rsid w:val="00BC0003"/>
    <w:rsid w:val="00BC0133"/>
    <w:rsid w:val="00BC02B8"/>
    <w:rsid w:val="00BC02F0"/>
    <w:rsid w:val="00BC030B"/>
    <w:rsid w:val="00BC0445"/>
    <w:rsid w:val="00BC0ADA"/>
    <w:rsid w:val="00BC0CF3"/>
    <w:rsid w:val="00BC0D0A"/>
    <w:rsid w:val="00BC0DD8"/>
    <w:rsid w:val="00BC0F84"/>
    <w:rsid w:val="00BC0FB7"/>
    <w:rsid w:val="00BC108A"/>
    <w:rsid w:val="00BC124B"/>
    <w:rsid w:val="00BC14B0"/>
    <w:rsid w:val="00BC14B5"/>
    <w:rsid w:val="00BC1B43"/>
    <w:rsid w:val="00BC1BFC"/>
    <w:rsid w:val="00BC1F3F"/>
    <w:rsid w:val="00BC200B"/>
    <w:rsid w:val="00BC206A"/>
    <w:rsid w:val="00BC249A"/>
    <w:rsid w:val="00BC253A"/>
    <w:rsid w:val="00BC2765"/>
    <w:rsid w:val="00BC2874"/>
    <w:rsid w:val="00BC31C4"/>
    <w:rsid w:val="00BC3257"/>
    <w:rsid w:val="00BC348F"/>
    <w:rsid w:val="00BC3718"/>
    <w:rsid w:val="00BC3975"/>
    <w:rsid w:val="00BC3A62"/>
    <w:rsid w:val="00BC3A68"/>
    <w:rsid w:val="00BC3C89"/>
    <w:rsid w:val="00BC3E27"/>
    <w:rsid w:val="00BC40D2"/>
    <w:rsid w:val="00BC43A1"/>
    <w:rsid w:val="00BC45DE"/>
    <w:rsid w:val="00BC4BAD"/>
    <w:rsid w:val="00BC4CC3"/>
    <w:rsid w:val="00BC5397"/>
    <w:rsid w:val="00BC53DE"/>
    <w:rsid w:val="00BC5575"/>
    <w:rsid w:val="00BC5EA4"/>
    <w:rsid w:val="00BC5EDB"/>
    <w:rsid w:val="00BC614F"/>
    <w:rsid w:val="00BC6291"/>
    <w:rsid w:val="00BC62AE"/>
    <w:rsid w:val="00BC63E1"/>
    <w:rsid w:val="00BC64F7"/>
    <w:rsid w:val="00BC65BD"/>
    <w:rsid w:val="00BC65C3"/>
    <w:rsid w:val="00BC66BC"/>
    <w:rsid w:val="00BC674F"/>
    <w:rsid w:val="00BC68C7"/>
    <w:rsid w:val="00BC68D2"/>
    <w:rsid w:val="00BC68E0"/>
    <w:rsid w:val="00BC6940"/>
    <w:rsid w:val="00BC6971"/>
    <w:rsid w:val="00BC69FC"/>
    <w:rsid w:val="00BC6CD8"/>
    <w:rsid w:val="00BC6D91"/>
    <w:rsid w:val="00BC6DAA"/>
    <w:rsid w:val="00BC71E1"/>
    <w:rsid w:val="00BC77C1"/>
    <w:rsid w:val="00BC7879"/>
    <w:rsid w:val="00BC79F3"/>
    <w:rsid w:val="00BC7A36"/>
    <w:rsid w:val="00BC7A63"/>
    <w:rsid w:val="00BC7ABC"/>
    <w:rsid w:val="00BC7F0A"/>
    <w:rsid w:val="00BD0348"/>
    <w:rsid w:val="00BD0BC6"/>
    <w:rsid w:val="00BD0F5E"/>
    <w:rsid w:val="00BD10A9"/>
    <w:rsid w:val="00BD17E8"/>
    <w:rsid w:val="00BD1B5B"/>
    <w:rsid w:val="00BD1E9F"/>
    <w:rsid w:val="00BD2086"/>
    <w:rsid w:val="00BD245F"/>
    <w:rsid w:val="00BD250C"/>
    <w:rsid w:val="00BD25A9"/>
    <w:rsid w:val="00BD2921"/>
    <w:rsid w:val="00BD2E6D"/>
    <w:rsid w:val="00BD2F6C"/>
    <w:rsid w:val="00BD3160"/>
    <w:rsid w:val="00BD3383"/>
    <w:rsid w:val="00BD3A71"/>
    <w:rsid w:val="00BD4208"/>
    <w:rsid w:val="00BD44DC"/>
    <w:rsid w:val="00BD4559"/>
    <w:rsid w:val="00BD4639"/>
    <w:rsid w:val="00BD48AC"/>
    <w:rsid w:val="00BD4C8F"/>
    <w:rsid w:val="00BD4D50"/>
    <w:rsid w:val="00BD51AA"/>
    <w:rsid w:val="00BD5235"/>
    <w:rsid w:val="00BD5327"/>
    <w:rsid w:val="00BD54BD"/>
    <w:rsid w:val="00BD5621"/>
    <w:rsid w:val="00BD5F0E"/>
    <w:rsid w:val="00BD6209"/>
    <w:rsid w:val="00BD6DDB"/>
    <w:rsid w:val="00BD6E03"/>
    <w:rsid w:val="00BD72E1"/>
    <w:rsid w:val="00BD7510"/>
    <w:rsid w:val="00BD76DA"/>
    <w:rsid w:val="00BD7791"/>
    <w:rsid w:val="00BD77DF"/>
    <w:rsid w:val="00BD7BD1"/>
    <w:rsid w:val="00BD7D46"/>
    <w:rsid w:val="00BD7EA5"/>
    <w:rsid w:val="00BD7EFC"/>
    <w:rsid w:val="00BD7FDA"/>
    <w:rsid w:val="00BE0229"/>
    <w:rsid w:val="00BE05E7"/>
    <w:rsid w:val="00BE0B85"/>
    <w:rsid w:val="00BE0C76"/>
    <w:rsid w:val="00BE11CA"/>
    <w:rsid w:val="00BE1213"/>
    <w:rsid w:val="00BE123A"/>
    <w:rsid w:val="00BE12F4"/>
    <w:rsid w:val="00BE1334"/>
    <w:rsid w:val="00BE13ED"/>
    <w:rsid w:val="00BE1411"/>
    <w:rsid w:val="00BE145F"/>
    <w:rsid w:val="00BE174A"/>
    <w:rsid w:val="00BE1A59"/>
    <w:rsid w:val="00BE2270"/>
    <w:rsid w:val="00BE24AF"/>
    <w:rsid w:val="00BE24B0"/>
    <w:rsid w:val="00BE26CF"/>
    <w:rsid w:val="00BE2B7A"/>
    <w:rsid w:val="00BE2DAB"/>
    <w:rsid w:val="00BE329C"/>
    <w:rsid w:val="00BE33A7"/>
    <w:rsid w:val="00BE33E6"/>
    <w:rsid w:val="00BE3459"/>
    <w:rsid w:val="00BE3659"/>
    <w:rsid w:val="00BE371B"/>
    <w:rsid w:val="00BE3818"/>
    <w:rsid w:val="00BE3B04"/>
    <w:rsid w:val="00BE3B9D"/>
    <w:rsid w:val="00BE3DDC"/>
    <w:rsid w:val="00BE4490"/>
    <w:rsid w:val="00BE489A"/>
    <w:rsid w:val="00BE493A"/>
    <w:rsid w:val="00BE4B69"/>
    <w:rsid w:val="00BE515C"/>
    <w:rsid w:val="00BE52B2"/>
    <w:rsid w:val="00BE54E4"/>
    <w:rsid w:val="00BE5639"/>
    <w:rsid w:val="00BE56D0"/>
    <w:rsid w:val="00BE5933"/>
    <w:rsid w:val="00BE5CFF"/>
    <w:rsid w:val="00BE6732"/>
    <w:rsid w:val="00BE67C3"/>
    <w:rsid w:val="00BE6C27"/>
    <w:rsid w:val="00BE6E18"/>
    <w:rsid w:val="00BE79FF"/>
    <w:rsid w:val="00BE7B17"/>
    <w:rsid w:val="00BE7B37"/>
    <w:rsid w:val="00BE7C4A"/>
    <w:rsid w:val="00BF0384"/>
    <w:rsid w:val="00BF08C9"/>
    <w:rsid w:val="00BF09C4"/>
    <w:rsid w:val="00BF0BFA"/>
    <w:rsid w:val="00BF0D0B"/>
    <w:rsid w:val="00BF10EA"/>
    <w:rsid w:val="00BF1213"/>
    <w:rsid w:val="00BF1A0D"/>
    <w:rsid w:val="00BF1BB9"/>
    <w:rsid w:val="00BF1C60"/>
    <w:rsid w:val="00BF2232"/>
    <w:rsid w:val="00BF2B4F"/>
    <w:rsid w:val="00BF31C9"/>
    <w:rsid w:val="00BF3545"/>
    <w:rsid w:val="00BF36A1"/>
    <w:rsid w:val="00BF3886"/>
    <w:rsid w:val="00BF39B1"/>
    <w:rsid w:val="00BF3BC7"/>
    <w:rsid w:val="00BF3D50"/>
    <w:rsid w:val="00BF484A"/>
    <w:rsid w:val="00BF4940"/>
    <w:rsid w:val="00BF4F36"/>
    <w:rsid w:val="00BF4F73"/>
    <w:rsid w:val="00BF4FFA"/>
    <w:rsid w:val="00BF5036"/>
    <w:rsid w:val="00BF56F0"/>
    <w:rsid w:val="00BF58D2"/>
    <w:rsid w:val="00BF58F1"/>
    <w:rsid w:val="00BF59BA"/>
    <w:rsid w:val="00BF5E0B"/>
    <w:rsid w:val="00BF685C"/>
    <w:rsid w:val="00BF6B7F"/>
    <w:rsid w:val="00BF6BF4"/>
    <w:rsid w:val="00BF6F7C"/>
    <w:rsid w:val="00BF7056"/>
    <w:rsid w:val="00BF7433"/>
    <w:rsid w:val="00BF79F3"/>
    <w:rsid w:val="00BF7CA8"/>
    <w:rsid w:val="00BF7D14"/>
    <w:rsid w:val="00BF7E14"/>
    <w:rsid w:val="00BF7E2A"/>
    <w:rsid w:val="00BF7F85"/>
    <w:rsid w:val="00C0059F"/>
    <w:rsid w:val="00C00E12"/>
    <w:rsid w:val="00C01031"/>
    <w:rsid w:val="00C012BC"/>
    <w:rsid w:val="00C0154E"/>
    <w:rsid w:val="00C0156B"/>
    <w:rsid w:val="00C01656"/>
    <w:rsid w:val="00C01AD9"/>
    <w:rsid w:val="00C01F8E"/>
    <w:rsid w:val="00C022AE"/>
    <w:rsid w:val="00C0247D"/>
    <w:rsid w:val="00C02690"/>
    <w:rsid w:val="00C0285A"/>
    <w:rsid w:val="00C0287C"/>
    <w:rsid w:val="00C02F28"/>
    <w:rsid w:val="00C03205"/>
    <w:rsid w:val="00C036BB"/>
    <w:rsid w:val="00C039D2"/>
    <w:rsid w:val="00C03C00"/>
    <w:rsid w:val="00C03D71"/>
    <w:rsid w:val="00C03DFB"/>
    <w:rsid w:val="00C0430B"/>
    <w:rsid w:val="00C0458F"/>
    <w:rsid w:val="00C046B3"/>
    <w:rsid w:val="00C04C3A"/>
    <w:rsid w:val="00C04FC0"/>
    <w:rsid w:val="00C05443"/>
    <w:rsid w:val="00C057CA"/>
    <w:rsid w:val="00C05B80"/>
    <w:rsid w:val="00C05BDA"/>
    <w:rsid w:val="00C05C22"/>
    <w:rsid w:val="00C06464"/>
    <w:rsid w:val="00C0654C"/>
    <w:rsid w:val="00C06592"/>
    <w:rsid w:val="00C065E0"/>
    <w:rsid w:val="00C065EC"/>
    <w:rsid w:val="00C06FC0"/>
    <w:rsid w:val="00C0734B"/>
    <w:rsid w:val="00C073EB"/>
    <w:rsid w:val="00C07597"/>
    <w:rsid w:val="00C07A4C"/>
    <w:rsid w:val="00C07B69"/>
    <w:rsid w:val="00C07C25"/>
    <w:rsid w:val="00C07DB4"/>
    <w:rsid w:val="00C105CD"/>
    <w:rsid w:val="00C10791"/>
    <w:rsid w:val="00C10798"/>
    <w:rsid w:val="00C1090B"/>
    <w:rsid w:val="00C10938"/>
    <w:rsid w:val="00C10C21"/>
    <w:rsid w:val="00C117D9"/>
    <w:rsid w:val="00C118F6"/>
    <w:rsid w:val="00C11D4E"/>
    <w:rsid w:val="00C11D8B"/>
    <w:rsid w:val="00C11DA5"/>
    <w:rsid w:val="00C11F4D"/>
    <w:rsid w:val="00C12177"/>
    <w:rsid w:val="00C121D1"/>
    <w:rsid w:val="00C1236A"/>
    <w:rsid w:val="00C1282C"/>
    <w:rsid w:val="00C12A5D"/>
    <w:rsid w:val="00C12CEA"/>
    <w:rsid w:val="00C12E62"/>
    <w:rsid w:val="00C1356E"/>
    <w:rsid w:val="00C1383B"/>
    <w:rsid w:val="00C13B53"/>
    <w:rsid w:val="00C14201"/>
    <w:rsid w:val="00C145C7"/>
    <w:rsid w:val="00C145EA"/>
    <w:rsid w:val="00C14771"/>
    <w:rsid w:val="00C148F8"/>
    <w:rsid w:val="00C14CA8"/>
    <w:rsid w:val="00C14D75"/>
    <w:rsid w:val="00C150B2"/>
    <w:rsid w:val="00C1521A"/>
    <w:rsid w:val="00C15253"/>
    <w:rsid w:val="00C154F6"/>
    <w:rsid w:val="00C1571C"/>
    <w:rsid w:val="00C15A3D"/>
    <w:rsid w:val="00C15C31"/>
    <w:rsid w:val="00C15C6A"/>
    <w:rsid w:val="00C15DD6"/>
    <w:rsid w:val="00C15ECF"/>
    <w:rsid w:val="00C162DB"/>
    <w:rsid w:val="00C1685A"/>
    <w:rsid w:val="00C16B3B"/>
    <w:rsid w:val="00C16C3F"/>
    <w:rsid w:val="00C16E36"/>
    <w:rsid w:val="00C1707F"/>
    <w:rsid w:val="00C171F7"/>
    <w:rsid w:val="00C1724A"/>
    <w:rsid w:val="00C175C2"/>
    <w:rsid w:val="00C17879"/>
    <w:rsid w:val="00C17B4F"/>
    <w:rsid w:val="00C17BE0"/>
    <w:rsid w:val="00C2007D"/>
    <w:rsid w:val="00C20419"/>
    <w:rsid w:val="00C20DFF"/>
    <w:rsid w:val="00C21140"/>
    <w:rsid w:val="00C211DE"/>
    <w:rsid w:val="00C21323"/>
    <w:rsid w:val="00C215AE"/>
    <w:rsid w:val="00C21C42"/>
    <w:rsid w:val="00C21E5A"/>
    <w:rsid w:val="00C21E67"/>
    <w:rsid w:val="00C2241C"/>
    <w:rsid w:val="00C2246D"/>
    <w:rsid w:val="00C233C5"/>
    <w:rsid w:val="00C23701"/>
    <w:rsid w:val="00C2380A"/>
    <w:rsid w:val="00C2398B"/>
    <w:rsid w:val="00C23AF2"/>
    <w:rsid w:val="00C23BD2"/>
    <w:rsid w:val="00C23C68"/>
    <w:rsid w:val="00C240A2"/>
    <w:rsid w:val="00C240B6"/>
    <w:rsid w:val="00C24227"/>
    <w:rsid w:val="00C2465D"/>
    <w:rsid w:val="00C24A5A"/>
    <w:rsid w:val="00C24AE1"/>
    <w:rsid w:val="00C24E0C"/>
    <w:rsid w:val="00C25259"/>
    <w:rsid w:val="00C25499"/>
    <w:rsid w:val="00C256AF"/>
    <w:rsid w:val="00C2594A"/>
    <w:rsid w:val="00C25C12"/>
    <w:rsid w:val="00C25E67"/>
    <w:rsid w:val="00C25EC4"/>
    <w:rsid w:val="00C26324"/>
    <w:rsid w:val="00C263F1"/>
    <w:rsid w:val="00C26581"/>
    <w:rsid w:val="00C2675C"/>
    <w:rsid w:val="00C2698C"/>
    <w:rsid w:val="00C26A0D"/>
    <w:rsid w:val="00C26E12"/>
    <w:rsid w:val="00C270FC"/>
    <w:rsid w:val="00C27230"/>
    <w:rsid w:val="00C27679"/>
    <w:rsid w:val="00C27905"/>
    <w:rsid w:val="00C27C45"/>
    <w:rsid w:val="00C27FBC"/>
    <w:rsid w:val="00C30241"/>
    <w:rsid w:val="00C307E3"/>
    <w:rsid w:val="00C30806"/>
    <w:rsid w:val="00C30921"/>
    <w:rsid w:val="00C30F87"/>
    <w:rsid w:val="00C31070"/>
    <w:rsid w:val="00C31500"/>
    <w:rsid w:val="00C31644"/>
    <w:rsid w:val="00C31760"/>
    <w:rsid w:val="00C31ADF"/>
    <w:rsid w:val="00C31D80"/>
    <w:rsid w:val="00C3214A"/>
    <w:rsid w:val="00C32277"/>
    <w:rsid w:val="00C324A8"/>
    <w:rsid w:val="00C32666"/>
    <w:rsid w:val="00C32994"/>
    <w:rsid w:val="00C32BF5"/>
    <w:rsid w:val="00C32C5A"/>
    <w:rsid w:val="00C32C66"/>
    <w:rsid w:val="00C32ECB"/>
    <w:rsid w:val="00C3315A"/>
    <w:rsid w:val="00C33373"/>
    <w:rsid w:val="00C3337D"/>
    <w:rsid w:val="00C333C7"/>
    <w:rsid w:val="00C3346D"/>
    <w:rsid w:val="00C337D4"/>
    <w:rsid w:val="00C339C7"/>
    <w:rsid w:val="00C33A61"/>
    <w:rsid w:val="00C33B99"/>
    <w:rsid w:val="00C33EA1"/>
    <w:rsid w:val="00C3494F"/>
    <w:rsid w:val="00C34B60"/>
    <w:rsid w:val="00C34BD8"/>
    <w:rsid w:val="00C34D3B"/>
    <w:rsid w:val="00C34EE1"/>
    <w:rsid w:val="00C356BF"/>
    <w:rsid w:val="00C35C05"/>
    <w:rsid w:val="00C35C85"/>
    <w:rsid w:val="00C35D5A"/>
    <w:rsid w:val="00C36340"/>
    <w:rsid w:val="00C363A2"/>
    <w:rsid w:val="00C36D63"/>
    <w:rsid w:val="00C36E14"/>
    <w:rsid w:val="00C36F77"/>
    <w:rsid w:val="00C3765E"/>
    <w:rsid w:val="00C37774"/>
    <w:rsid w:val="00C37B55"/>
    <w:rsid w:val="00C37C64"/>
    <w:rsid w:val="00C37C9B"/>
    <w:rsid w:val="00C37D3A"/>
    <w:rsid w:val="00C37DCF"/>
    <w:rsid w:val="00C37F2F"/>
    <w:rsid w:val="00C4037F"/>
    <w:rsid w:val="00C4040D"/>
    <w:rsid w:val="00C40886"/>
    <w:rsid w:val="00C40AD9"/>
    <w:rsid w:val="00C410B8"/>
    <w:rsid w:val="00C41275"/>
    <w:rsid w:val="00C41372"/>
    <w:rsid w:val="00C415D4"/>
    <w:rsid w:val="00C41664"/>
    <w:rsid w:val="00C41A3D"/>
    <w:rsid w:val="00C41C7B"/>
    <w:rsid w:val="00C41CD1"/>
    <w:rsid w:val="00C41DD4"/>
    <w:rsid w:val="00C41E60"/>
    <w:rsid w:val="00C41FDB"/>
    <w:rsid w:val="00C42440"/>
    <w:rsid w:val="00C424C1"/>
    <w:rsid w:val="00C4257F"/>
    <w:rsid w:val="00C42953"/>
    <w:rsid w:val="00C4301B"/>
    <w:rsid w:val="00C43281"/>
    <w:rsid w:val="00C43518"/>
    <w:rsid w:val="00C43764"/>
    <w:rsid w:val="00C437FD"/>
    <w:rsid w:val="00C438B3"/>
    <w:rsid w:val="00C4413D"/>
    <w:rsid w:val="00C442F3"/>
    <w:rsid w:val="00C44327"/>
    <w:rsid w:val="00C4438B"/>
    <w:rsid w:val="00C443F7"/>
    <w:rsid w:val="00C444B2"/>
    <w:rsid w:val="00C44598"/>
    <w:rsid w:val="00C44605"/>
    <w:rsid w:val="00C447A7"/>
    <w:rsid w:val="00C44908"/>
    <w:rsid w:val="00C450B8"/>
    <w:rsid w:val="00C45167"/>
    <w:rsid w:val="00C452B9"/>
    <w:rsid w:val="00C454D2"/>
    <w:rsid w:val="00C4576D"/>
    <w:rsid w:val="00C45903"/>
    <w:rsid w:val="00C4599D"/>
    <w:rsid w:val="00C45C3E"/>
    <w:rsid w:val="00C45D7D"/>
    <w:rsid w:val="00C45E25"/>
    <w:rsid w:val="00C46D21"/>
    <w:rsid w:val="00C46F39"/>
    <w:rsid w:val="00C470B6"/>
    <w:rsid w:val="00C47610"/>
    <w:rsid w:val="00C47A4E"/>
    <w:rsid w:val="00C47BA3"/>
    <w:rsid w:val="00C47C90"/>
    <w:rsid w:val="00C501C0"/>
    <w:rsid w:val="00C504C8"/>
    <w:rsid w:val="00C5055B"/>
    <w:rsid w:val="00C50861"/>
    <w:rsid w:val="00C50900"/>
    <w:rsid w:val="00C50FA2"/>
    <w:rsid w:val="00C50FB0"/>
    <w:rsid w:val="00C51FAD"/>
    <w:rsid w:val="00C52018"/>
    <w:rsid w:val="00C520E7"/>
    <w:rsid w:val="00C522B3"/>
    <w:rsid w:val="00C52438"/>
    <w:rsid w:val="00C52927"/>
    <w:rsid w:val="00C52A86"/>
    <w:rsid w:val="00C52CDC"/>
    <w:rsid w:val="00C52E2F"/>
    <w:rsid w:val="00C53B9C"/>
    <w:rsid w:val="00C53BCE"/>
    <w:rsid w:val="00C53BDD"/>
    <w:rsid w:val="00C53C41"/>
    <w:rsid w:val="00C5411A"/>
    <w:rsid w:val="00C54242"/>
    <w:rsid w:val="00C544A3"/>
    <w:rsid w:val="00C54642"/>
    <w:rsid w:val="00C54760"/>
    <w:rsid w:val="00C549A6"/>
    <w:rsid w:val="00C54AF2"/>
    <w:rsid w:val="00C54C3B"/>
    <w:rsid w:val="00C54EBA"/>
    <w:rsid w:val="00C54EF6"/>
    <w:rsid w:val="00C54F4C"/>
    <w:rsid w:val="00C5504F"/>
    <w:rsid w:val="00C5521B"/>
    <w:rsid w:val="00C55251"/>
    <w:rsid w:val="00C55439"/>
    <w:rsid w:val="00C5547C"/>
    <w:rsid w:val="00C554B5"/>
    <w:rsid w:val="00C55684"/>
    <w:rsid w:val="00C557E6"/>
    <w:rsid w:val="00C55D30"/>
    <w:rsid w:val="00C5605B"/>
    <w:rsid w:val="00C564F6"/>
    <w:rsid w:val="00C567D0"/>
    <w:rsid w:val="00C56923"/>
    <w:rsid w:val="00C56A3D"/>
    <w:rsid w:val="00C56B23"/>
    <w:rsid w:val="00C56E1B"/>
    <w:rsid w:val="00C57443"/>
    <w:rsid w:val="00C57572"/>
    <w:rsid w:val="00C57A78"/>
    <w:rsid w:val="00C57C23"/>
    <w:rsid w:val="00C57E69"/>
    <w:rsid w:val="00C57EF4"/>
    <w:rsid w:val="00C6052A"/>
    <w:rsid w:val="00C60741"/>
    <w:rsid w:val="00C607C0"/>
    <w:rsid w:val="00C6084A"/>
    <w:rsid w:val="00C60987"/>
    <w:rsid w:val="00C6099B"/>
    <w:rsid w:val="00C60BF9"/>
    <w:rsid w:val="00C61051"/>
    <w:rsid w:val="00C6124C"/>
    <w:rsid w:val="00C61484"/>
    <w:rsid w:val="00C61811"/>
    <w:rsid w:val="00C6188C"/>
    <w:rsid w:val="00C61A5A"/>
    <w:rsid w:val="00C61A94"/>
    <w:rsid w:val="00C61B8E"/>
    <w:rsid w:val="00C6233B"/>
    <w:rsid w:val="00C62C57"/>
    <w:rsid w:val="00C62D40"/>
    <w:rsid w:val="00C63169"/>
    <w:rsid w:val="00C63AAC"/>
    <w:rsid w:val="00C647BA"/>
    <w:rsid w:val="00C64906"/>
    <w:rsid w:val="00C64B14"/>
    <w:rsid w:val="00C64D36"/>
    <w:rsid w:val="00C65839"/>
    <w:rsid w:val="00C65C20"/>
    <w:rsid w:val="00C65D47"/>
    <w:rsid w:val="00C65F8D"/>
    <w:rsid w:val="00C663CE"/>
    <w:rsid w:val="00C664A6"/>
    <w:rsid w:val="00C669BF"/>
    <w:rsid w:val="00C66EC6"/>
    <w:rsid w:val="00C6750C"/>
    <w:rsid w:val="00C6752F"/>
    <w:rsid w:val="00C67BA6"/>
    <w:rsid w:val="00C67C2F"/>
    <w:rsid w:val="00C67D3F"/>
    <w:rsid w:val="00C7052C"/>
    <w:rsid w:val="00C70714"/>
    <w:rsid w:val="00C7080B"/>
    <w:rsid w:val="00C70BFE"/>
    <w:rsid w:val="00C70F76"/>
    <w:rsid w:val="00C71034"/>
    <w:rsid w:val="00C711AE"/>
    <w:rsid w:val="00C713B7"/>
    <w:rsid w:val="00C71D8C"/>
    <w:rsid w:val="00C71E9C"/>
    <w:rsid w:val="00C722CA"/>
    <w:rsid w:val="00C7249A"/>
    <w:rsid w:val="00C72514"/>
    <w:rsid w:val="00C725B3"/>
    <w:rsid w:val="00C725CF"/>
    <w:rsid w:val="00C72780"/>
    <w:rsid w:val="00C72874"/>
    <w:rsid w:val="00C7292E"/>
    <w:rsid w:val="00C72A7C"/>
    <w:rsid w:val="00C72D13"/>
    <w:rsid w:val="00C73084"/>
    <w:rsid w:val="00C73091"/>
    <w:rsid w:val="00C731A9"/>
    <w:rsid w:val="00C738CA"/>
    <w:rsid w:val="00C73A5B"/>
    <w:rsid w:val="00C73A91"/>
    <w:rsid w:val="00C73BF2"/>
    <w:rsid w:val="00C73D75"/>
    <w:rsid w:val="00C73EA8"/>
    <w:rsid w:val="00C74097"/>
    <w:rsid w:val="00C74225"/>
    <w:rsid w:val="00C743EE"/>
    <w:rsid w:val="00C74FDB"/>
    <w:rsid w:val="00C750A4"/>
    <w:rsid w:val="00C753FA"/>
    <w:rsid w:val="00C754E6"/>
    <w:rsid w:val="00C75544"/>
    <w:rsid w:val="00C75615"/>
    <w:rsid w:val="00C7575B"/>
    <w:rsid w:val="00C75C31"/>
    <w:rsid w:val="00C75CAD"/>
    <w:rsid w:val="00C75E16"/>
    <w:rsid w:val="00C76318"/>
    <w:rsid w:val="00C763A0"/>
    <w:rsid w:val="00C767E0"/>
    <w:rsid w:val="00C76FD9"/>
    <w:rsid w:val="00C7714B"/>
    <w:rsid w:val="00C7717E"/>
    <w:rsid w:val="00C7721B"/>
    <w:rsid w:val="00C77328"/>
    <w:rsid w:val="00C775CD"/>
    <w:rsid w:val="00C776D0"/>
    <w:rsid w:val="00C777E5"/>
    <w:rsid w:val="00C77A1F"/>
    <w:rsid w:val="00C77FD9"/>
    <w:rsid w:val="00C802B2"/>
    <w:rsid w:val="00C8043D"/>
    <w:rsid w:val="00C804A1"/>
    <w:rsid w:val="00C808C3"/>
    <w:rsid w:val="00C80953"/>
    <w:rsid w:val="00C80B2D"/>
    <w:rsid w:val="00C80BD5"/>
    <w:rsid w:val="00C80D53"/>
    <w:rsid w:val="00C80FD6"/>
    <w:rsid w:val="00C8121C"/>
    <w:rsid w:val="00C815B7"/>
    <w:rsid w:val="00C81936"/>
    <w:rsid w:val="00C819C4"/>
    <w:rsid w:val="00C81B48"/>
    <w:rsid w:val="00C81C76"/>
    <w:rsid w:val="00C81F89"/>
    <w:rsid w:val="00C8268C"/>
    <w:rsid w:val="00C82913"/>
    <w:rsid w:val="00C82D5C"/>
    <w:rsid w:val="00C82D8F"/>
    <w:rsid w:val="00C82E25"/>
    <w:rsid w:val="00C83090"/>
    <w:rsid w:val="00C83369"/>
    <w:rsid w:val="00C8355A"/>
    <w:rsid w:val="00C83861"/>
    <w:rsid w:val="00C839FB"/>
    <w:rsid w:val="00C839FC"/>
    <w:rsid w:val="00C83B20"/>
    <w:rsid w:val="00C83C44"/>
    <w:rsid w:val="00C83F85"/>
    <w:rsid w:val="00C84279"/>
    <w:rsid w:val="00C844BE"/>
    <w:rsid w:val="00C84519"/>
    <w:rsid w:val="00C84680"/>
    <w:rsid w:val="00C847FA"/>
    <w:rsid w:val="00C8483A"/>
    <w:rsid w:val="00C84B2D"/>
    <w:rsid w:val="00C84F8C"/>
    <w:rsid w:val="00C851FF"/>
    <w:rsid w:val="00C85485"/>
    <w:rsid w:val="00C85575"/>
    <w:rsid w:val="00C85662"/>
    <w:rsid w:val="00C85673"/>
    <w:rsid w:val="00C85EA2"/>
    <w:rsid w:val="00C85FA7"/>
    <w:rsid w:val="00C8635E"/>
    <w:rsid w:val="00C86476"/>
    <w:rsid w:val="00C8647A"/>
    <w:rsid w:val="00C86516"/>
    <w:rsid w:val="00C86A7C"/>
    <w:rsid w:val="00C86D14"/>
    <w:rsid w:val="00C87FAF"/>
    <w:rsid w:val="00C9060E"/>
    <w:rsid w:val="00C9089F"/>
    <w:rsid w:val="00C9096C"/>
    <w:rsid w:val="00C90A18"/>
    <w:rsid w:val="00C90AFB"/>
    <w:rsid w:val="00C91070"/>
    <w:rsid w:val="00C919CF"/>
    <w:rsid w:val="00C91A42"/>
    <w:rsid w:val="00C91C12"/>
    <w:rsid w:val="00C92625"/>
    <w:rsid w:val="00C92A0B"/>
    <w:rsid w:val="00C92C9A"/>
    <w:rsid w:val="00C930B0"/>
    <w:rsid w:val="00C9323D"/>
    <w:rsid w:val="00C93838"/>
    <w:rsid w:val="00C938B4"/>
    <w:rsid w:val="00C9398F"/>
    <w:rsid w:val="00C93994"/>
    <w:rsid w:val="00C93B4A"/>
    <w:rsid w:val="00C93DCB"/>
    <w:rsid w:val="00C93E1B"/>
    <w:rsid w:val="00C941D5"/>
    <w:rsid w:val="00C9427C"/>
    <w:rsid w:val="00C94416"/>
    <w:rsid w:val="00C946D0"/>
    <w:rsid w:val="00C94844"/>
    <w:rsid w:val="00C94C37"/>
    <w:rsid w:val="00C94E7A"/>
    <w:rsid w:val="00C950C7"/>
    <w:rsid w:val="00C952E7"/>
    <w:rsid w:val="00C952EF"/>
    <w:rsid w:val="00C9553B"/>
    <w:rsid w:val="00C9635C"/>
    <w:rsid w:val="00C96398"/>
    <w:rsid w:val="00C966ED"/>
    <w:rsid w:val="00C96C1C"/>
    <w:rsid w:val="00C96FF1"/>
    <w:rsid w:val="00C97190"/>
    <w:rsid w:val="00C97515"/>
    <w:rsid w:val="00C976D8"/>
    <w:rsid w:val="00C97758"/>
    <w:rsid w:val="00C97812"/>
    <w:rsid w:val="00CA01C4"/>
    <w:rsid w:val="00CA06D1"/>
    <w:rsid w:val="00CA09F4"/>
    <w:rsid w:val="00CA0ABF"/>
    <w:rsid w:val="00CA1069"/>
    <w:rsid w:val="00CA1220"/>
    <w:rsid w:val="00CA124C"/>
    <w:rsid w:val="00CA1252"/>
    <w:rsid w:val="00CA12E1"/>
    <w:rsid w:val="00CA1500"/>
    <w:rsid w:val="00CA15A0"/>
    <w:rsid w:val="00CA160D"/>
    <w:rsid w:val="00CA16DF"/>
    <w:rsid w:val="00CA1BF5"/>
    <w:rsid w:val="00CA1DC7"/>
    <w:rsid w:val="00CA1E71"/>
    <w:rsid w:val="00CA22EC"/>
    <w:rsid w:val="00CA2316"/>
    <w:rsid w:val="00CA241F"/>
    <w:rsid w:val="00CA2467"/>
    <w:rsid w:val="00CA29DF"/>
    <w:rsid w:val="00CA2DA8"/>
    <w:rsid w:val="00CA2E68"/>
    <w:rsid w:val="00CA3155"/>
    <w:rsid w:val="00CA321B"/>
    <w:rsid w:val="00CA3347"/>
    <w:rsid w:val="00CA37F0"/>
    <w:rsid w:val="00CA3956"/>
    <w:rsid w:val="00CA3DAF"/>
    <w:rsid w:val="00CA3EF5"/>
    <w:rsid w:val="00CA405D"/>
    <w:rsid w:val="00CA428C"/>
    <w:rsid w:val="00CA4902"/>
    <w:rsid w:val="00CA4A0E"/>
    <w:rsid w:val="00CA4A93"/>
    <w:rsid w:val="00CA4B34"/>
    <w:rsid w:val="00CA4E78"/>
    <w:rsid w:val="00CA4EB9"/>
    <w:rsid w:val="00CA506C"/>
    <w:rsid w:val="00CA5084"/>
    <w:rsid w:val="00CA51C5"/>
    <w:rsid w:val="00CA538E"/>
    <w:rsid w:val="00CA5A2A"/>
    <w:rsid w:val="00CA5A6A"/>
    <w:rsid w:val="00CA5CE2"/>
    <w:rsid w:val="00CA5E00"/>
    <w:rsid w:val="00CA5E37"/>
    <w:rsid w:val="00CA5F75"/>
    <w:rsid w:val="00CA638C"/>
    <w:rsid w:val="00CA6A5C"/>
    <w:rsid w:val="00CA6C6A"/>
    <w:rsid w:val="00CA6D62"/>
    <w:rsid w:val="00CA6E2A"/>
    <w:rsid w:val="00CA721B"/>
    <w:rsid w:val="00CA74E0"/>
    <w:rsid w:val="00CA7636"/>
    <w:rsid w:val="00CA7652"/>
    <w:rsid w:val="00CA7703"/>
    <w:rsid w:val="00CA7B39"/>
    <w:rsid w:val="00CA7D1E"/>
    <w:rsid w:val="00CA7F61"/>
    <w:rsid w:val="00CB0159"/>
    <w:rsid w:val="00CB0429"/>
    <w:rsid w:val="00CB04BA"/>
    <w:rsid w:val="00CB0566"/>
    <w:rsid w:val="00CB073C"/>
    <w:rsid w:val="00CB07FB"/>
    <w:rsid w:val="00CB0922"/>
    <w:rsid w:val="00CB0DE0"/>
    <w:rsid w:val="00CB1065"/>
    <w:rsid w:val="00CB1189"/>
    <w:rsid w:val="00CB16B5"/>
    <w:rsid w:val="00CB1803"/>
    <w:rsid w:val="00CB1A06"/>
    <w:rsid w:val="00CB1AD8"/>
    <w:rsid w:val="00CB1EE3"/>
    <w:rsid w:val="00CB1FDC"/>
    <w:rsid w:val="00CB2056"/>
    <w:rsid w:val="00CB22F9"/>
    <w:rsid w:val="00CB2776"/>
    <w:rsid w:val="00CB2AD1"/>
    <w:rsid w:val="00CB2C17"/>
    <w:rsid w:val="00CB2E7F"/>
    <w:rsid w:val="00CB2F0A"/>
    <w:rsid w:val="00CB2F93"/>
    <w:rsid w:val="00CB3191"/>
    <w:rsid w:val="00CB3245"/>
    <w:rsid w:val="00CB36AB"/>
    <w:rsid w:val="00CB3983"/>
    <w:rsid w:val="00CB3B92"/>
    <w:rsid w:val="00CB3C7F"/>
    <w:rsid w:val="00CB3F01"/>
    <w:rsid w:val="00CB4357"/>
    <w:rsid w:val="00CB468D"/>
    <w:rsid w:val="00CB4A6A"/>
    <w:rsid w:val="00CB4A95"/>
    <w:rsid w:val="00CB4BD9"/>
    <w:rsid w:val="00CB4E6B"/>
    <w:rsid w:val="00CB4FF0"/>
    <w:rsid w:val="00CB5713"/>
    <w:rsid w:val="00CB5A46"/>
    <w:rsid w:val="00CB5C60"/>
    <w:rsid w:val="00CB5E45"/>
    <w:rsid w:val="00CB5EFA"/>
    <w:rsid w:val="00CB6274"/>
    <w:rsid w:val="00CB6414"/>
    <w:rsid w:val="00CB6A97"/>
    <w:rsid w:val="00CB738F"/>
    <w:rsid w:val="00CB77D0"/>
    <w:rsid w:val="00CB7E59"/>
    <w:rsid w:val="00CC02A1"/>
    <w:rsid w:val="00CC02F9"/>
    <w:rsid w:val="00CC0370"/>
    <w:rsid w:val="00CC0381"/>
    <w:rsid w:val="00CC074D"/>
    <w:rsid w:val="00CC07B4"/>
    <w:rsid w:val="00CC0A2D"/>
    <w:rsid w:val="00CC0C12"/>
    <w:rsid w:val="00CC0F09"/>
    <w:rsid w:val="00CC14FE"/>
    <w:rsid w:val="00CC1622"/>
    <w:rsid w:val="00CC1CEE"/>
    <w:rsid w:val="00CC1D62"/>
    <w:rsid w:val="00CC20D0"/>
    <w:rsid w:val="00CC20F4"/>
    <w:rsid w:val="00CC22E7"/>
    <w:rsid w:val="00CC24E9"/>
    <w:rsid w:val="00CC2561"/>
    <w:rsid w:val="00CC26D1"/>
    <w:rsid w:val="00CC26D8"/>
    <w:rsid w:val="00CC26F8"/>
    <w:rsid w:val="00CC27AC"/>
    <w:rsid w:val="00CC28EC"/>
    <w:rsid w:val="00CC29A5"/>
    <w:rsid w:val="00CC2BC2"/>
    <w:rsid w:val="00CC2CFD"/>
    <w:rsid w:val="00CC3022"/>
    <w:rsid w:val="00CC31C3"/>
    <w:rsid w:val="00CC31D2"/>
    <w:rsid w:val="00CC377C"/>
    <w:rsid w:val="00CC3B1D"/>
    <w:rsid w:val="00CC3D0F"/>
    <w:rsid w:val="00CC4098"/>
    <w:rsid w:val="00CC4726"/>
    <w:rsid w:val="00CC5299"/>
    <w:rsid w:val="00CC52C4"/>
    <w:rsid w:val="00CC546A"/>
    <w:rsid w:val="00CC54D0"/>
    <w:rsid w:val="00CC5633"/>
    <w:rsid w:val="00CC5942"/>
    <w:rsid w:val="00CC5976"/>
    <w:rsid w:val="00CC5BD4"/>
    <w:rsid w:val="00CC5FED"/>
    <w:rsid w:val="00CC60F0"/>
    <w:rsid w:val="00CC620F"/>
    <w:rsid w:val="00CC6734"/>
    <w:rsid w:val="00CC6C92"/>
    <w:rsid w:val="00CC6DE9"/>
    <w:rsid w:val="00CC72E1"/>
    <w:rsid w:val="00CC7B8A"/>
    <w:rsid w:val="00CC7E31"/>
    <w:rsid w:val="00CD044D"/>
    <w:rsid w:val="00CD0574"/>
    <w:rsid w:val="00CD06E6"/>
    <w:rsid w:val="00CD0D80"/>
    <w:rsid w:val="00CD0E72"/>
    <w:rsid w:val="00CD0FA5"/>
    <w:rsid w:val="00CD14C1"/>
    <w:rsid w:val="00CD1937"/>
    <w:rsid w:val="00CD1992"/>
    <w:rsid w:val="00CD2101"/>
    <w:rsid w:val="00CD216E"/>
    <w:rsid w:val="00CD25DA"/>
    <w:rsid w:val="00CD2604"/>
    <w:rsid w:val="00CD2990"/>
    <w:rsid w:val="00CD2A31"/>
    <w:rsid w:val="00CD2B36"/>
    <w:rsid w:val="00CD2BC7"/>
    <w:rsid w:val="00CD2BF8"/>
    <w:rsid w:val="00CD2D84"/>
    <w:rsid w:val="00CD2F1B"/>
    <w:rsid w:val="00CD32AC"/>
    <w:rsid w:val="00CD3393"/>
    <w:rsid w:val="00CD3566"/>
    <w:rsid w:val="00CD3587"/>
    <w:rsid w:val="00CD393B"/>
    <w:rsid w:val="00CD3943"/>
    <w:rsid w:val="00CD40A9"/>
    <w:rsid w:val="00CD4300"/>
    <w:rsid w:val="00CD4AA9"/>
    <w:rsid w:val="00CD4BB3"/>
    <w:rsid w:val="00CD4D0B"/>
    <w:rsid w:val="00CD4DCC"/>
    <w:rsid w:val="00CD53EB"/>
    <w:rsid w:val="00CD5551"/>
    <w:rsid w:val="00CD56D3"/>
    <w:rsid w:val="00CD5839"/>
    <w:rsid w:val="00CD599F"/>
    <w:rsid w:val="00CD5E3B"/>
    <w:rsid w:val="00CD5E95"/>
    <w:rsid w:val="00CD6026"/>
    <w:rsid w:val="00CD611E"/>
    <w:rsid w:val="00CD6227"/>
    <w:rsid w:val="00CD6263"/>
    <w:rsid w:val="00CD6538"/>
    <w:rsid w:val="00CD6812"/>
    <w:rsid w:val="00CD692E"/>
    <w:rsid w:val="00CD6C08"/>
    <w:rsid w:val="00CD6FD5"/>
    <w:rsid w:val="00CD70F2"/>
    <w:rsid w:val="00CD735A"/>
    <w:rsid w:val="00CD7AC2"/>
    <w:rsid w:val="00CD7AD0"/>
    <w:rsid w:val="00CD7CE1"/>
    <w:rsid w:val="00CD7D2F"/>
    <w:rsid w:val="00CD7E51"/>
    <w:rsid w:val="00CDC3DB"/>
    <w:rsid w:val="00CE010C"/>
    <w:rsid w:val="00CE04C6"/>
    <w:rsid w:val="00CE04EA"/>
    <w:rsid w:val="00CE0671"/>
    <w:rsid w:val="00CE0902"/>
    <w:rsid w:val="00CE0A0D"/>
    <w:rsid w:val="00CE0A3B"/>
    <w:rsid w:val="00CE0C14"/>
    <w:rsid w:val="00CE0E4A"/>
    <w:rsid w:val="00CE0F88"/>
    <w:rsid w:val="00CE1185"/>
    <w:rsid w:val="00CE156E"/>
    <w:rsid w:val="00CE19C0"/>
    <w:rsid w:val="00CE1BD5"/>
    <w:rsid w:val="00CE1D61"/>
    <w:rsid w:val="00CE1E61"/>
    <w:rsid w:val="00CE1F10"/>
    <w:rsid w:val="00CE242B"/>
    <w:rsid w:val="00CE2805"/>
    <w:rsid w:val="00CE28BA"/>
    <w:rsid w:val="00CE2BB8"/>
    <w:rsid w:val="00CE301E"/>
    <w:rsid w:val="00CE349F"/>
    <w:rsid w:val="00CE3627"/>
    <w:rsid w:val="00CE3707"/>
    <w:rsid w:val="00CE38B3"/>
    <w:rsid w:val="00CE3DCB"/>
    <w:rsid w:val="00CE41C2"/>
    <w:rsid w:val="00CE4351"/>
    <w:rsid w:val="00CE4681"/>
    <w:rsid w:val="00CE48E1"/>
    <w:rsid w:val="00CE4929"/>
    <w:rsid w:val="00CE4C6C"/>
    <w:rsid w:val="00CE4CD9"/>
    <w:rsid w:val="00CE5167"/>
    <w:rsid w:val="00CE553C"/>
    <w:rsid w:val="00CE55D0"/>
    <w:rsid w:val="00CE562A"/>
    <w:rsid w:val="00CE5CBF"/>
    <w:rsid w:val="00CE5E76"/>
    <w:rsid w:val="00CE5E78"/>
    <w:rsid w:val="00CE5EDD"/>
    <w:rsid w:val="00CE61C0"/>
    <w:rsid w:val="00CE6681"/>
    <w:rsid w:val="00CE6805"/>
    <w:rsid w:val="00CE6C4E"/>
    <w:rsid w:val="00CE6EA6"/>
    <w:rsid w:val="00CE7176"/>
    <w:rsid w:val="00CE72CF"/>
    <w:rsid w:val="00CE7770"/>
    <w:rsid w:val="00CE7DE7"/>
    <w:rsid w:val="00CF024C"/>
    <w:rsid w:val="00CF0548"/>
    <w:rsid w:val="00CF0806"/>
    <w:rsid w:val="00CF087D"/>
    <w:rsid w:val="00CF089D"/>
    <w:rsid w:val="00CF0AC6"/>
    <w:rsid w:val="00CF0CDF"/>
    <w:rsid w:val="00CF0D04"/>
    <w:rsid w:val="00CF0F3D"/>
    <w:rsid w:val="00CF110C"/>
    <w:rsid w:val="00CF1465"/>
    <w:rsid w:val="00CF1479"/>
    <w:rsid w:val="00CF1668"/>
    <w:rsid w:val="00CF174D"/>
    <w:rsid w:val="00CF184E"/>
    <w:rsid w:val="00CF1A24"/>
    <w:rsid w:val="00CF1BE7"/>
    <w:rsid w:val="00CF227E"/>
    <w:rsid w:val="00CF260E"/>
    <w:rsid w:val="00CF27D9"/>
    <w:rsid w:val="00CF2B02"/>
    <w:rsid w:val="00CF2BE3"/>
    <w:rsid w:val="00CF2BF0"/>
    <w:rsid w:val="00CF346F"/>
    <w:rsid w:val="00CF39D4"/>
    <w:rsid w:val="00CF3BF7"/>
    <w:rsid w:val="00CF3C9B"/>
    <w:rsid w:val="00CF43E8"/>
    <w:rsid w:val="00CF49DA"/>
    <w:rsid w:val="00CF4B49"/>
    <w:rsid w:val="00CF4C8A"/>
    <w:rsid w:val="00CF52EA"/>
    <w:rsid w:val="00CF55D9"/>
    <w:rsid w:val="00CF58FE"/>
    <w:rsid w:val="00CF5945"/>
    <w:rsid w:val="00CF59A7"/>
    <w:rsid w:val="00CF5A83"/>
    <w:rsid w:val="00CF5C89"/>
    <w:rsid w:val="00CF5CA6"/>
    <w:rsid w:val="00CF5D2D"/>
    <w:rsid w:val="00CF5F17"/>
    <w:rsid w:val="00CF64CB"/>
    <w:rsid w:val="00CF6748"/>
    <w:rsid w:val="00CF6A86"/>
    <w:rsid w:val="00CF6B7B"/>
    <w:rsid w:val="00CF6E40"/>
    <w:rsid w:val="00CF6E8C"/>
    <w:rsid w:val="00CF78E6"/>
    <w:rsid w:val="00CF79A4"/>
    <w:rsid w:val="00CFE946"/>
    <w:rsid w:val="00D00195"/>
    <w:rsid w:val="00D002EF"/>
    <w:rsid w:val="00D00690"/>
    <w:rsid w:val="00D00D8D"/>
    <w:rsid w:val="00D01277"/>
    <w:rsid w:val="00D015A7"/>
    <w:rsid w:val="00D0175D"/>
    <w:rsid w:val="00D01B33"/>
    <w:rsid w:val="00D01BA0"/>
    <w:rsid w:val="00D01C8E"/>
    <w:rsid w:val="00D01CB2"/>
    <w:rsid w:val="00D0206E"/>
    <w:rsid w:val="00D0242A"/>
    <w:rsid w:val="00D0265F"/>
    <w:rsid w:val="00D02A10"/>
    <w:rsid w:val="00D035C4"/>
    <w:rsid w:val="00D0371E"/>
    <w:rsid w:val="00D037BA"/>
    <w:rsid w:val="00D0390E"/>
    <w:rsid w:val="00D03983"/>
    <w:rsid w:val="00D03B8F"/>
    <w:rsid w:val="00D03C9B"/>
    <w:rsid w:val="00D04112"/>
    <w:rsid w:val="00D043A6"/>
    <w:rsid w:val="00D044D3"/>
    <w:rsid w:val="00D045D4"/>
    <w:rsid w:val="00D049BD"/>
    <w:rsid w:val="00D04A45"/>
    <w:rsid w:val="00D04C2E"/>
    <w:rsid w:val="00D04DEE"/>
    <w:rsid w:val="00D04EB3"/>
    <w:rsid w:val="00D05092"/>
    <w:rsid w:val="00D05169"/>
    <w:rsid w:val="00D0521F"/>
    <w:rsid w:val="00D0540F"/>
    <w:rsid w:val="00D0575A"/>
    <w:rsid w:val="00D05AA2"/>
    <w:rsid w:val="00D05B2B"/>
    <w:rsid w:val="00D05C14"/>
    <w:rsid w:val="00D05F90"/>
    <w:rsid w:val="00D06726"/>
    <w:rsid w:val="00D06A96"/>
    <w:rsid w:val="00D06D5D"/>
    <w:rsid w:val="00D06E06"/>
    <w:rsid w:val="00D071C7"/>
    <w:rsid w:val="00D073EC"/>
    <w:rsid w:val="00D073F1"/>
    <w:rsid w:val="00D07E35"/>
    <w:rsid w:val="00D07F50"/>
    <w:rsid w:val="00D1099C"/>
    <w:rsid w:val="00D10B27"/>
    <w:rsid w:val="00D10CCF"/>
    <w:rsid w:val="00D10E17"/>
    <w:rsid w:val="00D112F4"/>
    <w:rsid w:val="00D11810"/>
    <w:rsid w:val="00D11A7A"/>
    <w:rsid w:val="00D11DF4"/>
    <w:rsid w:val="00D1256D"/>
    <w:rsid w:val="00D12826"/>
    <w:rsid w:val="00D12A76"/>
    <w:rsid w:val="00D12C89"/>
    <w:rsid w:val="00D13148"/>
    <w:rsid w:val="00D13174"/>
    <w:rsid w:val="00D131AC"/>
    <w:rsid w:val="00D132CF"/>
    <w:rsid w:val="00D13960"/>
    <w:rsid w:val="00D13A2D"/>
    <w:rsid w:val="00D13B54"/>
    <w:rsid w:val="00D13E69"/>
    <w:rsid w:val="00D13E79"/>
    <w:rsid w:val="00D14056"/>
    <w:rsid w:val="00D14194"/>
    <w:rsid w:val="00D144A9"/>
    <w:rsid w:val="00D14535"/>
    <w:rsid w:val="00D1461E"/>
    <w:rsid w:val="00D1465D"/>
    <w:rsid w:val="00D14A0F"/>
    <w:rsid w:val="00D14AEC"/>
    <w:rsid w:val="00D14B90"/>
    <w:rsid w:val="00D14BAF"/>
    <w:rsid w:val="00D14C65"/>
    <w:rsid w:val="00D14DF1"/>
    <w:rsid w:val="00D151A1"/>
    <w:rsid w:val="00D15798"/>
    <w:rsid w:val="00D159F5"/>
    <w:rsid w:val="00D15AC9"/>
    <w:rsid w:val="00D15BF1"/>
    <w:rsid w:val="00D15F33"/>
    <w:rsid w:val="00D15F97"/>
    <w:rsid w:val="00D16024"/>
    <w:rsid w:val="00D16232"/>
    <w:rsid w:val="00D1660E"/>
    <w:rsid w:val="00D167EB"/>
    <w:rsid w:val="00D169DF"/>
    <w:rsid w:val="00D16BBB"/>
    <w:rsid w:val="00D16C0E"/>
    <w:rsid w:val="00D16DE4"/>
    <w:rsid w:val="00D16E1E"/>
    <w:rsid w:val="00D16E51"/>
    <w:rsid w:val="00D16F1A"/>
    <w:rsid w:val="00D17100"/>
    <w:rsid w:val="00D172E7"/>
    <w:rsid w:val="00D17349"/>
    <w:rsid w:val="00D17491"/>
    <w:rsid w:val="00D174C2"/>
    <w:rsid w:val="00D17961"/>
    <w:rsid w:val="00D17C7E"/>
    <w:rsid w:val="00D17CE5"/>
    <w:rsid w:val="00D17F69"/>
    <w:rsid w:val="00D2037C"/>
    <w:rsid w:val="00D20991"/>
    <w:rsid w:val="00D21289"/>
    <w:rsid w:val="00D21666"/>
    <w:rsid w:val="00D21F02"/>
    <w:rsid w:val="00D2231E"/>
    <w:rsid w:val="00D223F1"/>
    <w:rsid w:val="00D223FE"/>
    <w:rsid w:val="00D2255B"/>
    <w:rsid w:val="00D225FA"/>
    <w:rsid w:val="00D2270B"/>
    <w:rsid w:val="00D229F7"/>
    <w:rsid w:val="00D22AD8"/>
    <w:rsid w:val="00D22C5F"/>
    <w:rsid w:val="00D22C72"/>
    <w:rsid w:val="00D22E4F"/>
    <w:rsid w:val="00D2321D"/>
    <w:rsid w:val="00D233CA"/>
    <w:rsid w:val="00D23B5E"/>
    <w:rsid w:val="00D23BF2"/>
    <w:rsid w:val="00D23E0B"/>
    <w:rsid w:val="00D2427A"/>
    <w:rsid w:val="00D243F3"/>
    <w:rsid w:val="00D24BA4"/>
    <w:rsid w:val="00D24C90"/>
    <w:rsid w:val="00D25468"/>
    <w:rsid w:val="00D25672"/>
    <w:rsid w:val="00D25767"/>
    <w:rsid w:val="00D2592F"/>
    <w:rsid w:val="00D25E39"/>
    <w:rsid w:val="00D25F86"/>
    <w:rsid w:val="00D25FC8"/>
    <w:rsid w:val="00D26646"/>
    <w:rsid w:val="00D268C6"/>
    <w:rsid w:val="00D26B7C"/>
    <w:rsid w:val="00D26B9B"/>
    <w:rsid w:val="00D26E8A"/>
    <w:rsid w:val="00D26F42"/>
    <w:rsid w:val="00D27415"/>
    <w:rsid w:val="00D27525"/>
    <w:rsid w:val="00D2782C"/>
    <w:rsid w:val="00D27EF7"/>
    <w:rsid w:val="00D30584"/>
    <w:rsid w:val="00D3058D"/>
    <w:rsid w:val="00D30638"/>
    <w:rsid w:val="00D309B8"/>
    <w:rsid w:val="00D30A04"/>
    <w:rsid w:val="00D30EFA"/>
    <w:rsid w:val="00D30FD5"/>
    <w:rsid w:val="00D316C4"/>
    <w:rsid w:val="00D32284"/>
    <w:rsid w:val="00D325C8"/>
    <w:rsid w:val="00D325E0"/>
    <w:rsid w:val="00D32663"/>
    <w:rsid w:val="00D3295B"/>
    <w:rsid w:val="00D32B3C"/>
    <w:rsid w:val="00D333B0"/>
    <w:rsid w:val="00D33449"/>
    <w:rsid w:val="00D337AF"/>
    <w:rsid w:val="00D33C38"/>
    <w:rsid w:val="00D34229"/>
    <w:rsid w:val="00D34291"/>
    <w:rsid w:val="00D34538"/>
    <w:rsid w:val="00D345BA"/>
    <w:rsid w:val="00D34AB8"/>
    <w:rsid w:val="00D34B21"/>
    <w:rsid w:val="00D35049"/>
    <w:rsid w:val="00D35092"/>
    <w:rsid w:val="00D3540F"/>
    <w:rsid w:val="00D357A8"/>
    <w:rsid w:val="00D358F5"/>
    <w:rsid w:val="00D35BC8"/>
    <w:rsid w:val="00D35C5B"/>
    <w:rsid w:val="00D35DCF"/>
    <w:rsid w:val="00D3669C"/>
    <w:rsid w:val="00D368AB"/>
    <w:rsid w:val="00D3698D"/>
    <w:rsid w:val="00D36B36"/>
    <w:rsid w:val="00D36CC3"/>
    <w:rsid w:val="00D36F39"/>
    <w:rsid w:val="00D371B0"/>
    <w:rsid w:val="00D37462"/>
    <w:rsid w:val="00D37684"/>
    <w:rsid w:val="00D37B40"/>
    <w:rsid w:val="00D37C6F"/>
    <w:rsid w:val="00D404D0"/>
    <w:rsid w:val="00D407F0"/>
    <w:rsid w:val="00D408CF"/>
    <w:rsid w:val="00D40F5A"/>
    <w:rsid w:val="00D411F5"/>
    <w:rsid w:val="00D4123E"/>
    <w:rsid w:val="00D41342"/>
    <w:rsid w:val="00D4155D"/>
    <w:rsid w:val="00D42336"/>
    <w:rsid w:val="00D423D4"/>
    <w:rsid w:val="00D42799"/>
    <w:rsid w:val="00D42A55"/>
    <w:rsid w:val="00D42AAC"/>
    <w:rsid w:val="00D42F88"/>
    <w:rsid w:val="00D430F3"/>
    <w:rsid w:val="00D4338C"/>
    <w:rsid w:val="00D4354C"/>
    <w:rsid w:val="00D436A4"/>
    <w:rsid w:val="00D437EF"/>
    <w:rsid w:val="00D43D10"/>
    <w:rsid w:val="00D43FB7"/>
    <w:rsid w:val="00D444CC"/>
    <w:rsid w:val="00D4471F"/>
    <w:rsid w:val="00D44A4B"/>
    <w:rsid w:val="00D45126"/>
    <w:rsid w:val="00D45246"/>
    <w:rsid w:val="00D4564E"/>
    <w:rsid w:val="00D45AD2"/>
    <w:rsid w:val="00D4621A"/>
    <w:rsid w:val="00D462F7"/>
    <w:rsid w:val="00D46306"/>
    <w:rsid w:val="00D46751"/>
    <w:rsid w:val="00D46A03"/>
    <w:rsid w:val="00D46C32"/>
    <w:rsid w:val="00D46DF3"/>
    <w:rsid w:val="00D470A4"/>
    <w:rsid w:val="00D4710B"/>
    <w:rsid w:val="00D4714C"/>
    <w:rsid w:val="00D47245"/>
    <w:rsid w:val="00D47263"/>
    <w:rsid w:val="00D47BF0"/>
    <w:rsid w:val="00D47EC5"/>
    <w:rsid w:val="00D48EA8"/>
    <w:rsid w:val="00D50288"/>
    <w:rsid w:val="00D502DB"/>
    <w:rsid w:val="00D5042D"/>
    <w:rsid w:val="00D505E4"/>
    <w:rsid w:val="00D50803"/>
    <w:rsid w:val="00D5089B"/>
    <w:rsid w:val="00D50989"/>
    <w:rsid w:val="00D50B0B"/>
    <w:rsid w:val="00D51235"/>
    <w:rsid w:val="00D512C0"/>
    <w:rsid w:val="00D512D4"/>
    <w:rsid w:val="00D514CF"/>
    <w:rsid w:val="00D51531"/>
    <w:rsid w:val="00D5184A"/>
    <w:rsid w:val="00D51BC4"/>
    <w:rsid w:val="00D51E2C"/>
    <w:rsid w:val="00D51F14"/>
    <w:rsid w:val="00D51F2D"/>
    <w:rsid w:val="00D52219"/>
    <w:rsid w:val="00D522AB"/>
    <w:rsid w:val="00D52D82"/>
    <w:rsid w:val="00D52D86"/>
    <w:rsid w:val="00D532EF"/>
    <w:rsid w:val="00D53385"/>
    <w:rsid w:val="00D535AB"/>
    <w:rsid w:val="00D53B88"/>
    <w:rsid w:val="00D53F03"/>
    <w:rsid w:val="00D54337"/>
    <w:rsid w:val="00D5448D"/>
    <w:rsid w:val="00D54AD5"/>
    <w:rsid w:val="00D5514E"/>
    <w:rsid w:val="00D55336"/>
    <w:rsid w:val="00D554C2"/>
    <w:rsid w:val="00D55CF4"/>
    <w:rsid w:val="00D56026"/>
    <w:rsid w:val="00D564EF"/>
    <w:rsid w:val="00D567DC"/>
    <w:rsid w:val="00D56F39"/>
    <w:rsid w:val="00D570AD"/>
    <w:rsid w:val="00D570D9"/>
    <w:rsid w:val="00D57528"/>
    <w:rsid w:val="00D5772F"/>
    <w:rsid w:val="00D57894"/>
    <w:rsid w:val="00D579AF"/>
    <w:rsid w:val="00D579EC"/>
    <w:rsid w:val="00D57A20"/>
    <w:rsid w:val="00D57C38"/>
    <w:rsid w:val="00D57DDF"/>
    <w:rsid w:val="00D57FB7"/>
    <w:rsid w:val="00D6053F"/>
    <w:rsid w:val="00D60CEB"/>
    <w:rsid w:val="00D6114E"/>
    <w:rsid w:val="00D6143C"/>
    <w:rsid w:val="00D61810"/>
    <w:rsid w:val="00D618F4"/>
    <w:rsid w:val="00D61E6E"/>
    <w:rsid w:val="00D61E7F"/>
    <w:rsid w:val="00D61FD7"/>
    <w:rsid w:val="00D6281A"/>
    <w:rsid w:val="00D631EF"/>
    <w:rsid w:val="00D639CC"/>
    <w:rsid w:val="00D63E30"/>
    <w:rsid w:val="00D64614"/>
    <w:rsid w:val="00D647DD"/>
    <w:rsid w:val="00D64AEE"/>
    <w:rsid w:val="00D654CF"/>
    <w:rsid w:val="00D659CE"/>
    <w:rsid w:val="00D65C1A"/>
    <w:rsid w:val="00D65E0D"/>
    <w:rsid w:val="00D660C0"/>
    <w:rsid w:val="00D66476"/>
    <w:rsid w:val="00D667C6"/>
    <w:rsid w:val="00D66F34"/>
    <w:rsid w:val="00D67026"/>
    <w:rsid w:val="00D6733A"/>
    <w:rsid w:val="00D6746D"/>
    <w:rsid w:val="00D67622"/>
    <w:rsid w:val="00D67D0A"/>
    <w:rsid w:val="00D67D15"/>
    <w:rsid w:val="00D7035B"/>
    <w:rsid w:val="00D704C3"/>
    <w:rsid w:val="00D708ED"/>
    <w:rsid w:val="00D70A0B"/>
    <w:rsid w:val="00D70C9D"/>
    <w:rsid w:val="00D71CBB"/>
    <w:rsid w:val="00D71FEF"/>
    <w:rsid w:val="00D72646"/>
    <w:rsid w:val="00D7290E"/>
    <w:rsid w:val="00D72D56"/>
    <w:rsid w:val="00D72DAB"/>
    <w:rsid w:val="00D73257"/>
    <w:rsid w:val="00D73369"/>
    <w:rsid w:val="00D735AF"/>
    <w:rsid w:val="00D736C2"/>
    <w:rsid w:val="00D7379E"/>
    <w:rsid w:val="00D738A6"/>
    <w:rsid w:val="00D73A76"/>
    <w:rsid w:val="00D73B3C"/>
    <w:rsid w:val="00D73DAC"/>
    <w:rsid w:val="00D73DFD"/>
    <w:rsid w:val="00D7419E"/>
    <w:rsid w:val="00D741BC"/>
    <w:rsid w:val="00D743AD"/>
    <w:rsid w:val="00D743D2"/>
    <w:rsid w:val="00D74446"/>
    <w:rsid w:val="00D747EA"/>
    <w:rsid w:val="00D748F8"/>
    <w:rsid w:val="00D74E67"/>
    <w:rsid w:val="00D75273"/>
    <w:rsid w:val="00D75565"/>
    <w:rsid w:val="00D75668"/>
    <w:rsid w:val="00D75901"/>
    <w:rsid w:val="00D75A87"/>
    <w:rsid w:val="00D75A97"/>
    <w:rsid w:val="00D75AC5"/>
    <w:rsid w:val="00D75D77"/>
    <w:rsid w:val="00D763C3"/>
    <w:rsid w:val="00D765EE"/>
    <w:rsid w:val="00D76631"/>
    <w:rsid w:val="00D76C5D"/>
    <w:rsid w:val="00D76E59"/>
    <w:rsid w:val="00D770D1"/>
    <w:rsid w:val="00D774B6"/>
    <w:rsid w:val="00D775EA"/>
    <w:rsid w:val="00D77A87"/>
    <w:rsid w:val="00D77A95"/>
    <w:rsid w:val="00D77C93"/>
    <w:rsid w:val="00D77D8A"/>
    <w:rsid w:val="00D800C8"/>
    <w:rsid w:val="00D801AA"/>
    <w:rsid w:val="00D801AC"/>
    <w:rsid w:val="00D80576"/>
    <w:rsid w:val="00D80978"/>
    <w:rsid w:val="00D809C7"/>
    <w:rsid w:val="00D80C6A"/>
    <w:rsid w:val="00D80F23"/>
    <w:rsid w:val="00D80FD0"/>
    <w:rsid w:val="00D8113E"/>
    <w:rsid w:val="00D819A9"/>
    <w:rsid w:val="00D81A80"/>
    <w:rsid w:val="00D81C49"/>
    <w:rsid w:val="00D8201F"/>
    <w:rsid w:val="00D820C9"/>
    <w:rsid w:val="00D820D0"/>
    <w:rsid w:val="00D82215"/>
    <w:rsid w:val="00D824B6"/>
    <w:rsid w:val="00D82534"/>
    <w:rsid w:val="00D82784"/>
    <w:rsid w:val="00D82881"/>
    <w:rsid w:val="00D829E5"/>
    <w:rsid w:val="00D82CE7"/>
    <w:rsid w:val="00D82D31"/>
    <w:rsid w:val="00D830BE"/>
    <w:rsid w:val="00D83814"/>
    <w:rsid w:val="00D8387E"/>
    <w:rsid w:val="00D83C9C"/>
    <w:rsid w:val="00D83DB7"/>
    <w:rsid w:val="00D84116"/>
    <w:rsid w:val="00D84373"/>
    <w:rsid w:val="00D843B7"/>
    <w:rsid w:val="00D843C6"/>
    <w:rsid w:val="00D84B04"/>
    <w:rsid w:val="00D84C34"/>
    <w:rsid w:val="00D84D3B"/>
    <w:rsid w:val="00D85383"/>
    <w:rsid w:val="00D853D8"/>
    <w:rsid w:val="00D8542F"/>
    <w:rsid w:val="00D858CC"/>
    <w:rsid w:val="00D85A0B"/>
    <w:rsid w:val="00D85B09"/>
    <w:rsid w:val="00D864AB"/>
    <w:rsid w:val="00D86561"/>
    <w:rsid w:val="00D8683F"/>
    <w:rsid w:val="00D86966"/>
    <w:rsid w:val="00D8698C"/>
    <w:rsid w:val="00D87040"/>
    <w:rsid w:val="00D870B7"/>
    <w:rsid w:val="00D87150"/>
    <w:rsid w:val="00D87194"/>
    <w:rsid w:val="00D87714"/>
    <w:rsid w:val="00D87A9E"/>
    <w:rsid w:val="00D901E3"/>
    <w:rsid w:val="00D902BB"/>
    <w:rsid w:val="00D903E2"/>
    <w:rsid w:val="00D90535"/>
    <w:rsid w:val="00D90A8A"/>
    <w:rsid w:val="00D90DBB"/>
    <w:rsid w:val="00D912AA"/>
    <w:rsid w:val="00D9145B"/>
    <w:rsid w:val="00D917EB"/>
    <w:rsid w:val="00D917FE"/>
    <w:rsid w:val="00D91AFA"/>
    <w:rsid w:val="00D91C0A"/>
    <w:rsid w:val="00D91F3D"/>
    <w:rsid w:val="00D923C5"/>
    <w:rsid w:val="00D9256F"/>
    <w:rsid w:val="00D929F2"/>
    <w:rsid w:val="00D92C28"/>
    <w:rsid w:val="00D92DEA"/>
    <w:rsid w:val="00D933CE"/>
    <w:rsid w:val="00D934D4"/>
    <w:rsid w:val="00D93891"/>
    <w:rsid w:val="00D93B35"/>
    <w:rsid w:val="00D93C59"/>
    <w:rsid w:val="00D94373"/>
    <w:rsid w:val="00D94560"/>
    <w:rsid w:val="00D948B1"/>
    <w:rsid w:val="00D94B86"/>
    <w:rsid w:val="00D95402"/>
    <w:rsid w:val="00D95794"/>
    <w:rsid w:val="00D959E9"/>
    <w:rsid w:val="00D95A7A"/>
    <w:rsid w:val="00D95BF2"/>
    <w:rsid w:val="00D95EA5"/>
    <w:rsid w:val="00D9617E"/>
    <w:rsid w:val="00D965A3"/>
    <w:rsid w:val="00D966FC"/>
    <w:rsid w:val="00D968A8"/>
    <w:rsid w:val="00D96AC5"/>
    <w:rsid w:val="00D96B71"/>
    <w:rsid w:val="00D96BFB"/>
    <w:rsid w:val="00D96D0F"/>
    <w:rsid w:val="00D96FDF"/>
    <w:rsid w:val="00D9722F"/>
    <w:rsid w:val="00D977AD"/>
    <w:rsid w:val="00D9788C"/>
    <w:rsid w:val="00D9794D"/>
    <w:rsid w:val="00D97B7F"/>
    <w:rsid w:val="00D97BBC"/>
    <w:rsid w:val="00D97CF2"/>
    <w:rsid w:val="00D97F67"/>
    <w:rsid w:val="00DA006E"/>
    <w:rsid w:val="00DA0304"/>
    <w:rsid w:val="00DA03DB"/>
    <w:rsid w:val="00DA0443"/>
    <w:rsid w:val="00DA0563"/>
    <w:rsid w:val="00DA0696"/>
    <w:rsid w:val="00DA074A"/>
    <w:rsid w:val="00DA0AC9"/>
    <w:rsid w:val="00DA0C39"/>
    <w:rsid w:val="00DA12EF"/>
    <w:rsid w:val="00DA14E5"/>
    <w:rsid w:val="00DA1F24"/>
    <w:rsid w:val="00DA2100"/>
    <w:rsid w:val="00DA2736"/>
    <w:rsid w:val="00DA2EB9"/>
    <w:rsid w:val="00DA2FBD"/>
    <w:rsid w:val="00DA346F"/>
    <w:rsid w:val="00DA3D5D"/>
    <w:rsid w:val="00DA3F6A"/>
    <w:rsid w:val="00DA4156"/>
    <w:rsid w:val="00DA41D1"/>
    <w:rsid w:val="00DA4762"/>
    <w:rsid w:val="00DA48F3"/>
    <w:rsid w:val="00DA4F42"/>
    <w:rsid w:val="00DA4FBD"/>
    <w:rsid w:val="00DA54A0"/>
    <w:rsid w:val="00DA580A"/>
    <w:rsid w:val="00DA5D5B"/>
    <w:rsid w:val="00DA676F"/>
    <w:rsid w:val="00DA67BE"/>
    <w:rsid w:val="00DA6832"/>
    <w:rsid w:val="00DA6F48"/>
    <w:rsid w:val="00DA6F69"/>
    <w:rsid w:val="00DA717C"/>
    <w:rsid w:val="00DA7A8D"/>
    <w:rsid w:val="00DA7DFF"/>
    <w:rsid w:val="00DB001D"/>
    <w:rsid w:val="00DB008E"/>
    <w:rsid w:val="00DB01D9"/>
    <w:rsid w:val="00DB01FE"/>
    <w:rsid w:val="00DB02F7"/>
    <w:rsid w:val="00DB07F6"/>
    <w:rsid w:val="00DB0B99"/>
    <w:rsid w:val="00DB0BD8"/>
    <w:rsid w:val="00DB0C7A"/>
    <w:rsid w:val="00DB0EEF"/>
    <w:rsid w:val="00DB15C5"/>
    <w:rsid w:val="00DB16B4"/>
    <w:rsid w:val="00DB1736"/>
    <w:rsid w:val="00DB186A"/>
    <w:rsid w:val="00DB1A2E"/>
    <w:rsid w:val="00DB2AE8"/>
    <w:rsid w:val="00DB2C49"/>
    <w:rsid w:val="00DB2D8A"/>
    <w:rsid w:val="00DB2E1A"/>
    <w:rsid w:val="00DB2EDD"/>
    <w:rsid w:val="00DB3103"/>
    <w:rsid w:val="00DB3107"/>
    <w:rsid w:val="00DB35CD"/>
    <w:rsid w:val="00DB3A1B"/>
    <w:rsid w:val="00DB3CE1"/>
    <w:rsid w:val="00DB3E78"/>
    <w:rsid w:val="00DB3F22"/>
    <w:rsid w:val="00DB4180"/>
    <w:rsid w:val="00DB461C"/>
    <w:rsid w:val="00DB4769"/>
    <w:rsid w:val="00DB497D"/>
    <w:rsid w:val="00DB4AD0"/>
    <w:rsid w:val="00DB4EEB"/>
    <w:rsid w:val="00DB506A"/>
    <w:rsid w:val="00DB5560"/>
    <w:rsid w:val="00DB56DF"/>
    <w:rsid w:val="00DB5731"/>
    <w:rsid w:val="00DB5C9B"/>
    <w:rsid w:val="00DB5CB9"/>
    <w:rsid w:val="00DB665B"/>
    <w:rsid w:val="00DB70FC"/>
    <w:rsid w:val="00DB7340"/>
    <w:rsid w:val="00DB75A8"/>
    <w:rsid w:val="00DB76A0"/>
    <w:rsid w:val="00DB76E1"/>
    <w:rsid w:val="00DB77CF"/>
    <w:rsid w:val="00DB791E"/>
    <w:rsid w:val="00DB7C6A"/>
    <w:rsid w:val="00DB7CA4"/>
    <w:rsid w:val="00DB7DDF"/>
    <w:rsid w:val="00DC0EC8"/>
    <w:rsid w:val="00DC13D7"/>
    <w:rsid w:val="00DC1458"/>
    <w:rsid w:val="00DC1654"/>
    <w:rsid w:val="00DC1DA1"/>
    <w:rsid w:val="00DC226D"/>
    <w:rsid w:val="00DC254D"/>
    <w:rsid w:val="00DC25F7"/>
    <w:rsid w:val="00DC2BCB"/>
    <w:rsid w:val="00DC2DAE"/>
    <w:rsid w:val="00DC2E92"/>
    <w:rsid w:val="00DC300D"/>
    <w:rsid w:val="00DC350B"/>
    <w:rsid w:val="00DC38C7"/>
    <w:rsid w:val="00DC39E7"/>
    <w:rsid w:val="00DC3BB0"/>
    <w:rsid w:val="00DC40DA"/>
    <w:rsid w:val="00DC411C"/>
    <w:rsid w:val="00DC44FB"/>
    <w:rsid w:val="00DC4FC2"/>
    <w:rsid w:val="00DC4FFC"/>
    <w:rsid w:val="00DC540E"/>
    <w:rsid w:val="00DC59D3"/>
    <w:rsid w:val="00DC5B23"/>
    <w:rsid w:val="00DC5E8A"/>
    <w:rsid w:val="00DC5E9F"/>
    <w:rsid w:val="00DC5F1B"/>
    <w:rsid w:val="00DC5FE4"/>
    <w:rsid w:val="00DC64AA"/>
    <w:rsid w:val="00DC6751"/>
    <w:rsid w:val="00DC6752"/>
    <w:rsid w:val="00DC6C1B"/>
    <w:rsid w:val="00DC70CE"/>
    <w:rsid w:val="00DC798A"/>
    <w:rsid w:val="00DC7DD8"/>
    <w:rsid w:val="00DD0346"/>
    <w:rsid w:val="00DD0F6D"/>
    <w:rsid w:val="00DD119B"/>
    <w:rsid w:val="00DD1231"/>
    <w:rsid w:val="00DD1491"/>
    <w:rsid w:val="00DD16FC"/>
    <w:rsid w:val="00DD1707"/>
    <w:rsid w:val="00DD19B6"/>
    <w:rsid w:val="00DD19F5"/>
    <w:rsid w:val="00DD1F1B"/>
    <w:rsid w:val="00DD261C"/>
    <w:rsid w:val="00DD29FF"/>
    <w:rsid w:val="00DD2BA4"/>
    <w:rsid w:val="00DD2C71"/>
    <w:rsid w:val="00DD3236"/>
    <w:rsid w:val="00DD38B9"/>
    <w:rsid w:val="00DD3BA2"/>
    <w:rsid w:val="00DD3DA9"/>
    <w:rsid w:val="00DD3E01"/>
    <w:rsid w:val="00DD4525"/>
    <w:rsid w:val="00DD4530"/>
    <w:rsid w:val="00DD4A85"/>
    <w:rsid w:val="00DD4DB0"/>
    <w:rsid w:val="00DD4F60"/>
    <w:rsid w:val="00DD508E"/>
    <w:rsid w:val="00DD54F9"/>
    <w:rsid w:val="00DD567A"/>
    <w:rsid w:val="00DD5D3C"/>
    <w:rsid w:val="00DD6727"/>
    <w:rsid w:val="00DD6ADC"/>
    <w:rsid w:val="00DD6C50"/>
    <w:rsid w:val="00DD716C"/>
    <w:rsid w:val="00DD7311"/>
    <w:rsid w:val="00DD737E"/>
    <w:rsid w:val="00DD7382"/>
    <w:rsid w:val="00DD74BB"/>
    <w:rsid w:val="00DD791E"/>
    <w:rsid w:val="00DD7CB7"/>
    <w:rsid w:val="00DD7E51"/>
    <w:rsid w:val="00DE034D"/>
    <w:rsid w:val="00DE04EC"/>
    <w:rsid w:val="00DE0B5B"/>
    <w:rsid w:val="00DE0C1B"/>
    <w:rsid w:val="00DE0EE3"/>
    <w:rsid w:val="00DE108C"/>
    <w:rsid w:val="00DE16AD"/>
    <w:rsid w:val="00DE16F0"/>
    <w:rsid w:val="00DE22CB"/>
    <w:rsid w:val="00DE25E0"/>
    <w:rsid w:val="00DE2EE5"/>
    <w:rsid w:val="00DE2F44"/>
    <w:rsid w:val="00DE2FC4"/>
    <w:rsid w:val="00DE3403"/>
    <w:rsid w:val="00DE39BA"/>
    <w:rsid w:val="00DE3C95"/>
    <w:rsid w:val="00DE3D2C"/>
    <w:rsid w:val="00DE3E27"/>
    <w:rsid w:val="00DE3E29"/>
    <w:rsid w:val="00DE3E4B"/>
    <w:rsid w:val="00DE3EBF"/>
    <w:rsid w:val="00DE3F91"/>
    <w:rsid w:val="00DE4070"/>
    <w:rsid w:val="00DE4212"/>
    <w:rsid w:val="00DE4215"/>
    <w:rsid w:val="00DE463B"/>
    <w:rsid w:val="00DE4B6F"/>
    <w:rsid w:val="00DE4E05"/>
    <w:rsid w:val="00DE5054"/>
    <w:rsid w:val="00DE513C"/>
    <w:rsid w:val="00DE5B4D"/>
    <w:rsid w:val="00DE608F"/>
    <w:rsid w:val="00DE6090"/>
    <w:rsid w:val="00DE6442"/>
    <w:rsid w:val="00DE65C4"/>
    <w:rsid w:val="00DE6A15"/>
    <w:rsid w:val="00DE6CD8"/>
    <w:rsid w:val="00DE6D47"/>
    <w:rsid w:val="00DE6FA5"/>
    <w:rsid w:val="00DE77F1"/>
    <w:rsid w:val="00DE7B8A"/>
    <w:rsid w:val="00DE7BE8"/>
    <w:rsid w:val="00DE7E07"/>
    <w:rsid w:val="00DF005A"/>
    <w:rsid w:val="00DF023B"/>
    <w:rsid w:val="00DF0455"/>
    <w:rsid w:val="00DF069C"/>
    <w:rsid w:val="00DF09FA"/>
    <w:rsid w:val="00DF0B5F"/>
    <w:rsid w:val="00DF0D18"/>
    <w:rsid w:val="00DF0F6F"/>
    <w:rsid w:val="00DF12AF"/>
    <w:rsid w:val="00DF151C"/>
    <w:rsid w:val="00DF1615"/>
    <w:rsid w:val="00DF164D"/>
    <w:rsid w:val="00DF19AD"/>
    <w:rsid w:val="00DF1B26"/>
    <w:rsid w:val="00DF1CC6"/>
    <w:rsid w:val="00DF20DC"/>
    <w:rsid w:val="00DF20E1"/>
    <w:rsid w:val="00DF2168"/>
    <w:rsid w:val="00DF2293"/>
    <w:rsid w:val="00DF2425"/>
    <w:rsid w:val="00DF2654"/>
    <w:rsid w:val="00DF295C"/>
    <w:rsid w:val="00DF2A3F"/>
    <w:rsid w:val="00DF2C49"/>
    <w:rsid w:val="00DF2CE8"/>
    <w:rsid w:val="00DF2D16"/>
    <w:rsid w:val="00DF2F12"/>
    <w:rsid w:val="00DF2FBD"/>
    <w:rsid w:val="00DF313A"/>
    <w:rsid w:val="00DF333A"/>
    <w:rsid w:val="00DF3546"/>
    <w:rsid w:val="00DF36D3"/>
    <w:rsid w:val="00DF389F"/>
    <w:rsid w:val="00DF39C3"/>
    <w:rsid w:val="00DF3BC8"/>
    <w:rsid w:val="00DF3E76"/>
    <w:rsid w:val="00DF494A"/>
    <w:rsid w:val="00DF4A38"/>
    <w:rsid w:val="00DF4C72"/>
    <w:rsid w:val="00DF4DAF"/>
    <w:rsid w:val="00DF4E64"/>
    <w:rsid w:val="00DF4F52"/>
    <w:rsid w:val="00DF528C"/>
    <w:rsid w:val="00DF5913"/>
    <w:rsid w:val="00DF591D"/>
    <w:rsid w:val="00DF5B7E"/>
    <w:rsid w:val="00DF5C16"/>
    <w:rsid w:val="00DF5E6D"/>
    <w:rsid w:val="00DF616F"/>
    <w:rsid w:val="00DF631C"/>
    <w:rsid w:val="00DF6373"/>
    <w:rsid w:val="00DF6449"/>
    <w:rsid w:val="00DF6457"/>
    <w:rsid w:val="00DF655B"/>
    <w:rsid w:val="00DF7126"/>
    <w:rsid w:val="00DF7259"/>
    <w:rsid w:val="00DF72C4"/>
    <w:rsid w:val="00DF7553"/>
    <w:rsid w:val="00DF77CE"/>
    <w:rsid w:val="00DF7868"/>
    <w:rsid w:val="00DF7952"/>
    <w:rsid w:val="00E00218"/>
    <w:rsid w:val="00E003A6"/>
    <w:rsid w:val="00E00854"/>
    <w:rsid w:val="00E009CB"/>
    <w:rsid w:val="00E00A5D"/>
    <w:rsid w:val="00E00D11"/>
    <w:rsid w:val="00E00D3E"/>
    <w:rsid w:val="00E01341"/>
    <w:rsid w:val="00E013C0"/>
    <w:rsid w:val="00E015C2"/>
    <w:rsid w:val="00E016A0"/>
    <w:rsid w:val="00E01CF2"/>
    <w:rsid w:val="00E01D0A"/>
    <w:rsid w:val="00E01F09"/>
    <w:rsid w:val="00E02570"/>
    <w:rsid w:val="00E025D0"/>
    <w:rsid w:val="00E02C7B"/>
    <w:rsid w:val="00E02CEC"/>
    <w:rsid w:val="00E02F6F"/>
    <w:rsid w:val="00E02F92"/>
    <w:rsid w:val="00E031DD"/>
    <w:rsid w:val="00E0334E"/>
    <w:rsid w:val="00E03544"/>
    <w:rsid w:val="00E03716"/>
    <w:rsid w:val="00E038A6"/>
    <w:rsid w:val="00E03F04"/>
    <w:rsid w:val="00E04578"/>
    <w:rsid w:val="00E0462C"/>
    <w:rsid w:val="00E0470C"/>
    <w:rsid w:val="00E04892"/>
    <w:rsid w:val="00E04B23"/>
    <w:rsid w:val="00E04C31"/>
    <w:rsid w:val="00E05305"/>
    <w:rsid w:val="00E05489"/>
    <w:rsid w:val="00E0553A"/>
    <w:rsid w:val="00E05659"/>
    <w:rsid w:val="00E0566C"/>
    <w:rsid w:val="00E05C73"/>
    <w:rsid w:val="00E05CB2"/>
    <w:rsid w:val="00E05CE5"/>
    <w:rsid w:val="00E05FC0"/>
    <w:rsid w:val="00E066DB"/>
    <w:rsid w:val="00E06766"/>
    <w:rsid w:val="00E0681D"/>
    <w:rsid w:val="00E0687F"/>
    <w:rsid w:val="00E06A21"/>
    <w:rsid w:val="00E06A34"/>
    <w:rsid w:val="00E06AC0"/>
    <w:rsid w:val="00E06B16"/>
    <w:rsid w:val="00E06BFB"/>
    <w:rsid w:val="00E06E23"/>
    <w:rsid w:val="00E07361"/>
    <w:rsid w:val="00E1017A"/>
    <w:rsid w:val="00E102E6"/>
    <w:rsid w:val="00E106F3"/>
    <w:rsid w:val="00E107B6"/>
    <w:rsid w:val="00E109E6"/>
    <w:rsid w:val="00E10B79"/>
    <w:rsid w:val="00E10BB2"/>
    <w:rsid w:val="00E1102B"/>
    <w:rsid w:val="00E11137"/>
    <w:rsid w:val="00E11353"/>
    <w:rsid w:val="00E11486"/>
    <w:rsid w:val="00E114A6"/>
    <w:rsid w:val="00E11841"/>
    <w:rsid w:val="00E11C53"/>
    <w:rsid w:val="00E11D54"/>
    <w:rsid w:val="00E12353"/>
    <w:rsid w:val="00E12550"/>
    <w:rsid w:val="00E12680"/>
    <w:rsid w:val="00E12826"/>
    <w:rsid w:val="00E1295A"/>
    <w:rsid w:val="00E12BDC"/>
    <w:rsid w:val="00E12C4D"/>
    <w:rsid w:val="00E131AB"/>
    <w:rsid w:val="00E13273"/>
    <w:rsid w:val="00E1336B"/>
    <w:rsid w:val="00E13604"/>
    <w:rsid w:val="00E13945"/>
    <w:rsid w:val="00E13992"/>
    <w:rsid w:val="00E13A68"/>
    <w:rsid w:val="00E13BF8"/>
    <w:rsid w:val="00E13D1C"/>
    <w:rsid w:val="00E13E43"/>
    <w:rsid w:val="00E14368"/>
    <w:rsid w:val="00E15020"/>
    <w:rsid w:val="00E1510C"/>
    <w:rsid w:val="00E1515D"/>
    <w:rsid w:val="00E15512"/>
    <w:rsid w:val="00E157D6"/>
    <w:rsid w:val="00E15D79"/>
    <w:rsid w:val="00E15E47"/>
    <w:rsid w:val="00E165C3"/>
    <w:rsid w:val="00E167CD"/>
    <w:rsid w:val="00E16C49"/>
    <w:rsid w:val="00E16DB2"/>
    <w:rsid w:val="00E16E45"/>
    <w:rsid w:val="00E16EF3"/>
    <w:rsid w:val="00E17226"/>
    <w:rsid w:val="00E17439"/>
    <w:rsid w:val="00E17468"/>
    <w:rsid w:val="00E174A9"/>
    <w:rsid w:val="00E17510"/>
    <w:rsid w:val="00E1797F"/>
    <w:rsid w:val="00E20745"/>
    <w:rsid w:val="00E20D23"/>
    <w:rsid w:val="00E20DED"/>
    <w:rsid w:val="00E215A8"/>
    <w:rsid w:val="00E218C5"/>
    <w:rsid w:val="00E21AD9"/>
    <w:rsid w:val="00E21F0E"/>
    <w:rsid w:val="00E2289D"/>
    <w:rsid w:val="00E22E5E"/>
    <w:rsid w:val="00E22E86"/>
    <w:rsid w:val="00E22FE3"/>
    <w:rsid w:val="00E23360"/>
    <w:rsid w:val="00E23418"/>
    <w:rsid w:val="00E23458"/>
    <w:rsid w:val="00E23738"/>
    <w:rsid w:val="00E23799"/>
    <w:rsid w:val="00E237CF"/>
    <w:rsid w:val="00E23FEF"/>
    <w:rsid w:val="00E24599"/>
    <w:rsid w:val="00E24B88"/>
    <w:rsid w:val="00E24C5A"/>
    <w:rsid w:val="00E25182"/>
    <w:rsid w:val="00E25601"/>
    <w:rsid w:val="00E25780"/>
    <w:rsid w:val="00E25F90"/>
    <w:rsid w:val="00E26169"/>
    <w:rsid w:val="00E261BB"/>
    <w:rsid w:val="00E26215"/>
    <w:rsid w:val="00E2696C"/>
    <w:rsid w:val="00E26A3D"/>
    <w:rsid w:val="00E26A43"/>
    <w:rsid w:val="00E26DD4"/>
    <w:rsid w:val="00E26F52"/>
    <w:rsid w:val="00E26FDE"/>
    <w:rsid w:val="00E27034"/>
    <w:rsid w:val="00E273BF"/>
    <w:rsid w:val="00E27604"/>
    <w:rsid w:val="00E276D1"/>
    <w:rsid w:val="00E279A6"/>
    <w:rsid w:val="00E27BD4"/>
    <w:rsid w:val="00E301EA"/>
    <w:rsid w:val="00E3023C"/>
    <w:rsid w:val="00E30753"/>
    <w:rsid w:val="00E308BF"/>
    <w:rsid w:val="00E30B16"/>
    <w:rsid w:val="00E30D72"/>
    <w:rsid w:val="00E31134"/>
    <w:rsid w:val="00E316D8"/>
    <w:rsid w:val="00E317D9"/>
    <w:rsid w:val="00E31800"/>
    <w:rsid w:val="00E31E95"/>
    <w:rsid w:val="00E31EC8"/>
    <w:rsid w:val="00E31F0C"/>
    <w:rsid w:val="00E31FD6"/>
    <w:rsid w:val="00E3211C"/>
    <w:rsid w:val="00E3247D"/>
    <w:rsid w:val="00E324CE"/>
    <w:rsid w:val="00E328D8"/>
    <w:rsid w:val="00E328F4"/>
    <w:rsid w:val="00E32BEA"/>
    <w:rsid w:val="00E32E84"/>
    <w:rsid w:val="00E33403"/>
    <w:rsid w:val="00E33571"/>
    <w:rsid w:val="00E337E6"/>
    <w:rsid w:val="00E33E6A"/>
    <w:rsid w:val="00E34568"/>
    <w:rsid w:val="00E345B8"/>
    <w:rsid w:val="00E34F47"/>
    <w:rsid w:val="00E351AE"/>
    <w:rsid w:val="00E353A1"/>
    <w:rsid w:val="00E35505"/>
    <w:rsid w:val="00E3563D"/>
    <w:rsid w:val="00E35A5B"/>
    <w:rsid w:val="00E35BA4"/>
    <w:rsid w:val="00E35BAD"/>
    <w:rsid w:val="00E35DE0"/>
    <w:rsid w:val="00E35E34"/>
    <w:rsid w:val="00E35EA6"/>
    <w:rsid w:val="00E363DB"/>
    <w:rsid w:val="00E36661"/>
    <w:rsid w:val="00E368FA"/>
    <w:rsid w:val="00E36E7F"/>
    <w:rsid w:val="00E36E86"/>
    <w:rsid w:val="00E376B8"/>
    <w:rsid w:val="00E37CA1"/>
    <w:rsid w:val="00E37D35"/>
    <w:rsid w:val="00E4083B"/>
    <w:rsid w:val="00E410F0"/>
    <w:rsid w:val="00E4144D"/>
    <w:rsid w:val="00E41577"/>
    <w:rsid w:val="00E4198F"/>
    <w:rsid w:val="00E4224E"/>
    <w:rsid w:val="00E422AA"/>
    <w:rsid w:val="00E424EF"/>
    <w:rsid w:val="00E4260B"/>
    <w:rsid w:val="00E4290A"/>
    <w:rsid w:val="00E4295E"/>
    <w:rsid w:val="00E42BD6"/>
    <w:rsid w:val="00E42F38"/>
    <w:rsid w:val="00E43179"/>
    <w:rsid w:val="00E434E5"/>
    <w:rsid w:val="00E43541"/>
    <w:rsid w:val="00E43B03"/>
    <w:rsid w:val="00E43C10"/>
    <w:rsid w:val="00E443BC"/>
    <w:rsid w:val="00E44D87"/>
    <w:rsid w:val="00E44DB2"/>
    <w:rsid w:val="00E44F59"/>
    <w:rsid w:val="00E452C9"/>
    <w:rsid w:val="00E4540D"/>
    <w:rsid w:val="00E4545E"/>
    <w:rsid w:val="00E454EA"/>
    <w:rsid w:val="00E45866"/>
    <w:rsid w:val="00E458B7"/>
    <w:rsid w:val="00E45D99"/>
    <w:rsid w:val="00E45DDA"/>
    <w:rsid w:val="00E45F22"/>
    <w:rsid w:val="00E461C8"/>
    <w:rsid w:val="00E4675C"/>
    <w:rsid w:val="00E46829"/>
    <w:rsid w:val="00E46A77"/>
    <w:rsid w:val="00E46AC8"/>
    <w:rsid w:val="00E46CCA"/>
    <w:rsid w:val="00E470A4"/>
    <w:rsid w:val="00E470CE"/>
    <w:rsid w:val="00E475F7"/>
    <w:rsid w:val="00E477F2"/>
    <w:rsid w:val="00E47ABB"/>
    <w:rsid w:val="00E47F49"/>
    <w:rsid w:val="00E4CC89"/>
    <w:rsid w:val="00E5004D"/>
    <w:rsid w:val="00E50306"/>
    <w:rsid w:val="00E505A6"/>
    <w:rsid w:val="00E50759"/>
    <w:rsid w:val="00E51145"/>
    <w:rsid w:val="00E51273"/>
    <w:rsid w:val="00E5146E"/>
    <w:rsid w:val="00E5161D"/>
    <w:rsid w:val="00E516AC"/>
    <w:rsid w:val="00E51C09"/>
    <w:rsid w:val="00E51DD4"/>
    <w:rsid w:val="00E51F9C"/>
    <w:rsid w:val="00E51FFD"/>
    <w:rsid w:val="00E5245B"/>
    <w:rsid w:val="00E5248C"/>
    <w:rsid w:val="00E52A2F"/>
    <w:rsid w:val="00E5305D"/>
    <w:rsid w:val="00E533DF"/>
    <w:rsid w:val="00E53F06"/>
    <w:rsid w:val="00E5409A"/>
    <w:rsid w:val="00E54259"/>
    <w:rsid w:val="00E544CA"/>
    <w:rsid w:val="00E54A83"/>
    <w:rsid w:val="00E54A9C"/>
    <w:rsid w:val="00E54C41"/>
    <w:rsid w:val="00E54E12"/>
    <w:rsid w:val="00E54F2F"/>
    <w:rsid w:val="00E552A3"/>
    <w:rsid w:val="00E55A43"/>
    <w:rsid w:val="00E55AD1"/>
    <w:rsid w:val="00E55BD8"/>
    <w:rsid w:val="00E5622B"/>
    <w:rsid w:val="00E567E8"/>
    <w:rsid w:val="00E56B3A"/>
    <w:rsid w:val="00E574F4"/>
    <w:rsid w:val="00E57A24"/>
    <w:rsid w:val="00E60259"/>
    <w:rsid w:val="00E6052B"/>
    <w:rsid w:val="00E609BB"/>
    <w:rsid w:val="00E60A1E"/>
    <w:rsid w:val="00E60FB5"/>
    <w:rsid w:val="00E6108F"/>
    <w:rsid w:val="00E611B6"/>
    <w:rsid w:val="00E617D5"/>
    <w:rsid w:val="00E61ACA"/>
    <w:rsid w:val="00E61AEC"/>
    <w:rsid w:val="00E61B61"/>
    <w:rsid w:val="00E61EFB"/>
    <w:rsid w:val="00E621FD"/>
    <w:rsid w:val="00E62785"/>
    <w:rsid w:val="00E629A8"/>
    <w:rsid w:val="00E62D3F"/>
    <w:rsid w:val="00E62EA6"/>
    <w:rsid w:val="00E632F4"/>
    <w:rsid w:val="00E633EF"/>
    <w:rsid w:val="00E6395E"/>
    <w:rsid w:val="00E63A57"/>
    <w:rsid w:val="00E63CF4"/>
    <w:rsid w:val="00E63D14"/>
    <w:rsid w:val="00E63F87"/>
    <w:rsid w:val="00E64350"/>
    <w:rsid w:val="00E645F1"/>
    <w:rsid w:val="00E646BE"/>
    <w:rsid w:val="00E64701"/>
    <w:rsid w:val="00E6474C"/>
    <w:rsid w:val="00E64853"/>
    <w:rsid w:val="00E64A11"/>
    <w:rsid w:val="00E64FA2"/>
    <w:rsid w:val="00E65020"/>
    <w:rsid w:val="00E654CE"/>
    <w:rsid w:val="00E654D5"/>
    <w:rsid w:val="00E6589E"/>
    <w:rsid w:val="00E65977"/>
    <w:rsid w:val="00E65CE7"/>
    <w:rsid w:val="00E65D0D"/>
    <w:rsid w:val="00E65D1E"/>
    <w:rsid w:val="00E65DEA"/>
    <w:rsid w:val="00E660F3"/>
    <w:rsid w:val="00E6623A"/>
    <w:rsid w:val="00E66241"/>
    <w:rsid w:val="00E6629B"/>
    <w:rsid w:val="00E662EC"/>
    <w:rsid w:val="00E663BD"/>
    <w:rsid w:val="00E66424"/>
    <w:rsid w:val="00E66836"/>
    <w:rsid w:val="00E66A4B"/>
    <w:rsid w:val="00E66AE3"/>
    <w:rsid w:val="00E66C5B"/>
    <w:rsid w:val="00E66C6A"/>
    <w:rsid w:val="00E66DDE"/>
    <w:rsid w:val="00E6721E"/>
    <w:rsid w:val="00E673CB"/>
    <w:rsid w:val="00E67563"/>
    <w:rsid w:val="00E67A55"/>
    <w:rsid w:val="00E67E21"/>
    <w:rsid w:val="00E67EF3"/>
    <w:rsid w:val="00E67FAB"/>
    <w:rsid w:val="00E7013C"/>
    <w:rsid w:val="00E702C2"/>
    <w:rsid w:val="00E70435"/>
    <w:rsid w:val="00E704C4"/>
    <w:rsid w:val="00E70549"/>
    <w:rsid w:val="00E705B0"/>
    <w:rsid w:val="00E705E0"/>
    <w:rsid w:val="00E70849"/>
    <w:rsid w:val="00E70E4D"/>
    <w:rsid w:val="00E70EC9"/>
    <w:rsid w:val="00E70F37"/>
    <w:rsid w:val="00E7119E"/>
    <w:rsid w:val="00E713EA"/>
    <w:rsid w:val="00E71515"/>
    <w:rsid w:val="00E72195"/>
    <w:rsid w:val="00E725C6"/>
    <w:rsid w:val="00E72676"/>
    <w:rsid w:val="00E730BD"/>
    <w:rsid w:val="00E73121"/>
    <w:rsid w:val="00E73247"/>
    <w:rsid w:val="00E73E7B"/>
    <w:rsid w:val="00E73FF0"/>
    <w:rsid w:val="00E740B0"/>
    <w:rsid w:val="00E743C3"/>
    <w:rsid w:val="00E74489"/>
    <w:rsid w:val="00E744EA"/>
    <w:rsid w:val="00E74F68"/>
    <w:rsid w:val="00E750E1"/>
    <w:rsid w:val="00E754AE"/>
    <w:rsid w:val="00E7563B"/>
    <w:rsid w:val="00E75922"/>
    <w:rsid w:val="00E759B9"/>
    <w:rsid w:val="00E759F8"/>
    <w:rsid w:val="00E75A4B"/>
    <w:rsid w:val="00E75B3A"/>
    <w:rsid w:val="00E75C8E"/>
    <w:rsid w:val="00E7606E"/>
    <w:rsid w:val="00E7631D"/>
    <w:rsid w:val="00E763A1"/>
    <w:rsid w:val="00E7647A"/>
    <w:rsid w:val="00E76492"/>
    <w:rsid w:val="00E76925"/>
    <w:rsid w:val="00E76D99"/>
    <w:rsid w:val="00E7705E"/>
    <w:rsid w:val="00E77337"/>
    <w:rsid w:val="00E77577"/>
    <w:rsid w:val="00E7781D"/>
    <w:rsid w:val="00E80486"/>
    <w:rsid w:val="00E804A5"/>
    <w:rsid w:val="00E80527"/>
    <w:rsid w:val="00E80658"/>
    <w:rsid w:val="00E8088D"/>
    <w:rsid w:val="00E8099D"/>
    <w:rsid w:val="00E809AE"/>
    <w:rsid w:val="00E80CF3"/>
    <w:rsid w:val="00E810D7"/>
    <w:rsid w:val="00E8139B"/>
    <w:rsid w:val="00E815BB"/>
    <w:rsid w:val="00E820F4"/>
    <w:rsid w:val="00E822E0"/>
    <w:rsid w:val="00E823BD"/>
    <w:rsid w:val="00E825C5"/>
    <w:rsid w:val="00E82659"/>
    <w:rsid w:val="00E8276A"/>
    <w:rsid w:val="00E8292B"/>
    <w:rsid w:val="00E82960"/>
    <w:rsid w:val="00E82A4D"/>
    <w:rsid w:val="00E82A9B"/>
    <w:rsid w:val="00E82C14"/>
    <w:rsid w:val="00E82EA3"/>
    <w:rsid w:val="00E83246"/>
    <w:rsid w:val="00E839A7"/>
    <w:rsid w:val="00E839AD"/>
    <w:rsid w:val="00E83B77"/>
    <w:rsid w:val="00E83B95"/>
    <w:rsid w:val="00E8453F"/>
    <w:rsid w:val="00E8456D"/>
    <w:rsid w:val="00E84F44"/>
    <w:rsid w:val="00E852C9"/>
    <w:rsid w:val="00E85474"/>
    <w:rsid w:val="00E855EC"/>
    <w:rsid w:val="00E85767"/>
    <w:rsid w:val="00E85807"/>
    <w:rsid w:val="00E85B20"/>
    <w:rsid w:val="00E85C2C"/>
    <w:rsid w:val="00E85C3C"/>
    <w:rsid w:val="00E85C92"/>
    <w:rsid w:val="00E862AF"/>
    <w:rsid w:val="00E86433"/>
    <w:rsid w:val="00E865AE"/>
    <w:rsid w:val="00E8664A"/>
    <w:rsid w:val="00E8678D"/>
    <w:rsid w:val="00E86D00"/>
    <w:rsid w:val="00E86FF0"/>
    <w:rsid w:val="00E87143"/>
    <w:rsid w:val="00E8761B"/>
    <w:rsid w:val="00E87801"/>
    <w:rsid w:val="00E87A24"/>
    <w:rsid w:val="00E901AD"/>
    <w:rsid w:val="00E9044C"/>
    <w:rsid w:val="00E906A2"/>
    <w:rsid w:val="00E9087F"/>
    <w:rsid w:val="00E90F81"/>
    <w:rsid w:val="00E90FC2"/>
    <w:rsid w:val="00E91259"/>
    <w:rsid w:val="00E912F4"/>
    <w:rsid w:val="00E917AC"/>
    <w:rsid w:val="00E917B5"/>
    <w:rsid w:val="00E923A1"/>
    <w:rsid w:val="00E9287D"/>
    <w:rsid w:val="00E92C1A"/>
    <w:rsid w:val="00E93620"/>
    <w:rsid w:val="00E93872"/>
    <w:rsid w:val="00E93A76"/>
    <w:rsid w:val="00E93B17"/>
    <w:rsid w:val="00E93B8A"/>
    <w:rsid w:val="00E93BE1"/>
    <w:rsid w:val="00E945C5"/>
    <w:rsid w:val="00E9467F"/>
    <w:rsid w:val="00E952F6"/>
    <w:rsid w:val="00E9539E"/>
    <w:rsid w:val="00E9555F"/>
    <w:rsid w:val="00E95561"/>
    <w:rsid w:val="00E95EAD"/>
    <w:rsid w:val="00E95ECD"/>
    <w:rsid w:val="00E96049"/>
    <w:rsid w:val="00E9636E"/>
    <w:rsid w:val="00E96A4A"/>
    <w:rsid w:val="00E96B74"/>
    <w:rsid w:val="00E96DC0"/>
    <w:rsid w:val="00E96E7C"/>
    <w:rsid w:val="00E974BA"/>
    <w:rsid w:val="00E9755C"/>
    <w:rsid w:val="00E97658"/>
    <w:rsid w:val="00E97B19"/>
    <w:rsid w:val="00E97C37"/>
    <w:rsid w:val="00E97C92"/>
    <w:rsid w:val="00E97DE7"/>
    <w:rsid w:val="00EA03A3"/>
    <w:rsid w:val="00EA0414"/>
    <w:rsid w:val="00EA045B"/>
    <w:rsid w:val="00EA05AE"/>
    <w:rsid w:val="00EA0725"/>
    <w:rsid w:val="00EA080C"/>
    <w:rsid w:val="00EA09EE"/>
    <w:rsid w:val="00EA0B43"/>
    <w:rsid w:val="00EA0BB1"/>
    <w:rsid w:val="00EA0EF2"/>
    <w:rsid w:val="00EA0F86"/>
    <w:rsid w:val="00EA1006"/>
    <w:rsid w:val="00EA116F"/>
    <w:rsid w:val="00EA1593"/>
    <w:rsid w:val="00EA170C"/>
    <w:rsid w:val="00EA223E"/>
    <w:rsid w:val="00EA2529"/>
    <w:rsid w:val="00EA2A07"/>
    <w:rsid w:val="00EA2BD2"/>
    <w:rsid w:val="00EA2C35"/>
    <w:rsid w:val="00EA2D17"/>
    <w:rsid w:val="00EA33FC"/>
    <w:rsid w:val="00EA4284"/>
    <w:rsid w:val="00EA4296"/>
    <w:rsid w:val="00EA4575"/>
    <w:rsid w:val="00EA48EB"/>
    <w:rsid w:val="00EA4902"/>
    <w:rsid w:val="00EA4AA1"/>
    <w:rsid w:val="00EA4E5B"/>
    <w:rsid w:val="00EA5095"/>
    <w:rsid w:val="00EA51E3"/>
    <w:rsid w:val="00EA565D"/>
    <w:rsid w:val="00EA5E54"/>
    <w:rsid w:val="00EA5FAD"/>
    <w:rsid w:val="00EA62E5"/>
    <w:rsid w:val="00EA638B"/>
    <w:rsid w:val="00EA6521"/>
    <w:rsid w:val="00EA67AB"/>
    <w:rsid w:val="00EA69F2"/>
    <w:rsid w:val="00EA6BAC"/>
    <w:rsid w:val="00EA6CA3"/>
    <w:rsid w:val="00EA6CD9"/>
    <w:rsid w:val="00EA70DB"/>
    <w:rsid w:val="00EA73A0"/>
    <w:rsid w:val="00EA74FD"/>
    <w:rsid w:val="00EA7670"/>
    <w:rsid w:val="00EA7D9F"/>
    <w:rsid w:val="00EB00DF"/>
    <w:rsid w:val="00EB010B"/>
    <w:rsid w:val="00EB0589"/>
    <w:rsid w:val="00EB05E4"/>
    <w:rsid w:val="00EB0F0A"/>
    <w:rsid w:val="00EB127D"/>
    <w:rsid w:val="00EB149F"/>
    <w:rsid w:val="00EB173E"/>
    <w:rsid w:val="00EB17F6"/>
    <w:rsid w:val="00EB1B7F"/>
    <w:rsid w:val="00EB1CCC"/>
    <w:rsid w:val="00EB1DF6"/>
    <w:rsid w:val="00EB1F37"/>
    <w:rsid w:val="00EB1FFD"/>
    <w:rsid w:val="00EB2037"/>
    <w:rsid w:val="00EB203A"/>
    <w:rsid w:val="00EB243D"/>
    <w:rsid w:val="00EB24AB"/>
    <w:rsid w:val="00EB28B7"/>
    <w:rsid w:val="00EB2B77"/>
    <w:rsid w:val="00EB324B"/>
    <w:rsid w:val="00EB3BF2"/>
    <w:rsid w:val="00EB3D6D"/>
    <w:rsid w:val="00EB3F5B"/>
    <w:rsid w:val="00EB3FFA"/>
    <w:rsid w:val="00EB4100"/>
    <w:rsid w:val="00EB436D"/>
    <w:rsid w:val="00EB438F"/>
    <w:rsid w:val="00EB45C1"/>
    <w:rsid w:val="00EB4955"/>
    <w:rsid w:val="00EB49DF"/>
    <w:rsid w:val="00EB4D67"/>
    <w:rsid w:val="00EB4D84"/>
    <w:rsid w:val="00EB4E83"/>
    <w:rsid w:val="00EB5052"/>
    <w:rsid w:val="00EB506D"/>
    <w:rsid w:val="00EB548F"/>
    <w:rsid w:val="00EB55A7"/>
    <w:rsid w:val="00EB62A1"/>
    <w:rsid w:val="00EB6490"/>
    <w:rsid w:val="00EB7D6C"/>
    <w:rsid w:val="00EB7E30"/>
    <w:rsid w:val="00EC05A0"/>
    <w:rsid w:val="00EC08D6"/>
    <w:rsid w:val="00EC0BA3"/>
    <w:rsid w:val="00EC0CB3"/>
    <w:rsid w:val="00EC127A"/>
    <w:rsid w:val="00EC1B8C"/>
    <w:rsid w:val="00EC1BA3"/>
    <w:rsid w:val="00EC1F5D"/>
    <w:rsid w:val="00EC1FC2"/>
    <w:rsid w:val="00EC205C"/>
    <w:rsid w:val="00EC213F"/>
    <w:rsid w:val="00EC2508"/>
    <w:rsid w:val="00EC27FB"/>
    <w:rsid w:val="00EC2B7D"/>
    <w:rsid w:val="00EC2C8F"/>
    <w:rsid w:val="00EC32BB"/>
    <w:rsid w:val="00EC3704"/>
    <w:rsid w:val="00EC3D60"/>
    <w:rsid w:val="00EC439D"/>
    <w:rsid w:val="00EC44AC"/>
    <w:rsid w:val="00EC49A0"/>
    <w:rsid w:val="00EC4A26"/>
    <w:rsid w:val="00EC4C5D"/>
    <w:rsid w:val="00EC4E3F"/>
    <w:rsid w:val="00EC4FF0"/>
    <w:rsid w:val="00EC5184"/>
    <w:rsid w:val="00EC561E"/>
    <w:rsid w:val="00EC56D8"/>
    <w:rsid w:val="00EC575D"/>
    <w:rsid w:val="00EC5805"/>
    <w:rsid w:val="00EC591E"/>
    <w:rsid w:val="00EC5A7B"/>
    <w:rsid w:val="00EC5AA6"/>
    <w:rsid w:val="00EC5C31"/>
    <w:rsid w:val="00EC5C78"/>
    <w:rsid w:val="00EC640C"/>
    <w:rsid w:val="00EC6723"/>
    <w:rsid w:val="00EC67C2"/>
    <w:rsid w:val="00EC708C"/>
    <w:rsid w:val="00EC70F8"/>
    <w:rsid w:val="00EC72F7"/>
    <w:rsid w:val="00EC744C"/>
    <w:rsid w:val="00EC7554"/>
    <w:rsid w:val="00EC77C2"/>
    <w:rsid w:val="00EC7C27"/>
    <w:rsid w:val="00EC7FC2"/>
    <w:rsid w:val="00ED048A"/>
    <w:rsid w:val="00ED04DA"/>
    <w:rsid w:val="00ED050A"/>
    <w:rsid w:val="00ED06EF"/>
    <w:rsid w:val="00ED094E"/>
    <w:rsid w:val="00ED0C9B"/>
    <w:rsid w:val="00ED10F1"/>
    <w:rsid w:val="00ED133D"/>
    <w:rsid w:val="00ED185A"/>
    <w:rsid w:val="00ED1A4D"/>
    <w:rsid w:val="00ED1D1F"/>
    <w:rsid w:val="00ED1DF5"/>
    <w:rsid w:val="00ED1F66"/>
    <w:rsid w:val="00ED206F"/>
    <w:rsid w:val="00ED20D2"/>
    <w:rsid w:val="00ED22EF"/>
    <w:rsid w:val="00ED2585"/>
    <w:rsid w:val="00ED28AA"/>
    <w:rsid w:val="00ED294B"/>
    <w:rsid w:val="00ED2B82"/>
    <w:rsid w:val="00ED2E68"/>
    <w:rsid w:val="00ED2EEF"/>
    <w:rsid w:val="00ED30EA"/>
    <w:rsid w:val="00ED3163"/>
    <w:rsid w:val="00ED319F"/>
    <w:rsid w:val="00ED326C"/>
    <w:rsid w:val="00ED34F1"/>
    <w:rsid w:val="00ED35E0"/>
    <w:rsid w:val="00ED3A17"/>
    <w:rsid w:val="00ED3A2B"/>
    <w:rsid w:val="00ED3D71"/>
    <w:rsid w:val="00ED43DA"/>
    <w:rsid w:val="00ED4468"/>
    <w:rsid w:val="00ED4E77"/>
    <w:rsid w:val="00ED55E5"/>
    <w:rsid w:val="00ED5749"/>
    <w:rsid w:val="00ED5948"/>
    <w:rsid w:val="00ED5ABF"/>
    <w:rsid w:val="00ED5B1B"/>
    <w:rsid w:val="00ED5D3E"/>
    <w:rsid w:val="00ED5F11"/>
    <w:rsid w:val="00ED6179"/>
    <w:rsid w:val="00ED61C9"/>
    <w:rsid w:val="00ED635C"/>
    <w:rsid w:val="00ED657E"/>
    <w:rsid w:val="00ED6BA1"/>
    <w:rsid w:val="00ED6C2B"/>
    <w:rsid w:val="00ED6E8B"/>
    <w:rsid w:val="00ED707D"/>
    <w:rsid w:val="00ED725D"/>
    <w:rsid w:val="00ED7335"/>
    <w:rsid w:val="00ED765C"/>
    <w:rsid w:val="00ED7A1D"/>
    <w:rsid w:val="00ED7B50"/>
    <w:rsid w:val="00ED7B8A"/>
    <w:rsid w:val="00ED7E62"/>
    <w:rsid w:val="00EE0126"/>
    <w:rsid w:val="00EE0277"/>
    <w:rsid w:val="00EE082F"/>
    <w:rsid w:val="00EE10F7"/>
    <w:rsid w:val="00EE1172"/>
    <w:rsid w:val="00EE1178"/>
    <w:rsid w:val="00EE1312"/>
    <w:rsid w:val="00EE20C1"/>
    <w:rsid w:val="00EE23FE"/>
    <w:rsid w:val="00EE25A6"/>
    <w:rsid w:val="00EE272A"/>
    <w:rsid w:val="00EE2B42"/>
    <w:rsid w:val="00EE35C7"/>
    <w:rsid w:val="00EE3DD6"/>
    <w:rsid w:val="00EE43A7"/>
    <w:rsid w:val="00EE447F"/>
    <w:rsid w:val="00EE45DB"/>
    <w:rsid w:val="00EE4619"/>
    <w:rsid w:val="00EE47B3"/>
    <w:rsid w:val="00EE4B1F"/>
    <w:rsid w:val="00EE4DE8"/>
    <w:rsid w:val="00EE4E38"/>
    <w:rsid w:val="00EE50DB"/>
    <w:rsid w:val="00EE51A3"/>
    <w:rsid w:val="00EE521D"/>
    <w:rsid w:val="00EE526B"/>
    <w:rsid w:val="00EE53D0"/>
    <w:rsid w:val="00EE5473"/>
    <w:rsid w:val="00EE5671"/>
    <w:rsid w:val="00EE5CDC"/>
    <w:rsid w:val="00EE650D"/>
    <w:rsid w:val="00EE6594"/>
    <w:rsid w:val="00EE6632"/>
    <w:rsid w:val="00EE6859"/>
    <w:rsid w:val="00EE6B10"/>
    <w:rsid w:val="00EE7165"/>
    <w:rsid w:val="00EE7174"/>
    <w:rsid w:val="00EE76AF"/>
    <w:rsid w:val="00EE78AC"/>
    <w:rsid w:val="00EE7AE0"/>
    <w:rsid w:val="00EE7B41"/>
    <w:rsid w:val="00EE7D8F"/>
    <w:rsid w:val="00EF041B"/>
    <w:rsid w:val="00EF044D"/>
    <w:rsid w:val="00EF0962"/>
    <w:rsid w:val="00EF0D7E"/>
    <w:rsid w:val="00EF0DD9"/>
    <w:rsid w:val="00EF0E89"/>
    <w:rsid w:val="00EF1706"/>
    <w:rsid w:val="00EF198B"/>
    <w:rsid w:val="00EF1A22"/>
    <w:rsid w:val="00EF1A38"/>
    <w:rsid w:val="00EF1B03"/>
    <w:rsid w:val="00EF1BDF"/>
    <w:rsid w:val="00EF1E17"/>
    <w:rsid w:val="00EF1F6A"/>
    <w:rsid w:val="00EF2024"/>
    <w:rsid w:val="00EF2097"/>
    <w:rsid w:val="00EF2690"/>
    <w:rsid w:val="00EF28FC"/>
    <w:rsid w:val="00EF295C"/>
    <w:rsid w:val="00EF2BA4"/>
    <w:rsid w:val="00EF2D1A"/>
    <w:rsid w:val="00EF2DB4"/>
    <w:rsid w:val="00EF2E32"/>
    <w:rsid w:val="00EF312D"/>
    <w:rsid w:val="00EF3630"/>
    <w:rsid w:val="00EF375A"/>
    <w:rsid w:val="00EF37CF"/>
    <w:rsid w:val="00EF38E9"/>
    <w:rsid w:val="00EF3A39"/>
    <w:rsid w:val="00EF3AA0"/>
    <w:rsid w:val="00EF3D91"/>
    <w:rsid w:val="00EF4115"/>
    <w:rsid w:val="00EF415B"/>
    <w:rsid w:val="00EF4273"/>
    <w:rsid w:val="00EF4317"/>
    <w:rsid w:val="00EF4533"/>
    <w:rsid w:val="00EF465A"/>
    <w:rsid w:val="00EF4CAD"/>
    <w:rsid w:val="00EF4DDA"/>
    <w:rsid w:val="00EF4E32"/>
    <w:rsid w:val="00EF4E8B"/>
    <w:rsid w:val="00EF4F69"/>
    <w:rsid w:val="00EF524D"/>
    <w:rsid w:val="00EF525C"/>
    <w:rsid w:val="00EF5506"/>
    <w:rsid w:val="00EF57BC"/>
    <w:rsid w:val="00EF58F0"/>
    <w:rsid w:val="00EF5B1E"/>
    <w:rsid w:val="00EF5EDF"/>
    <w:rsid w:val="00EF635B"/>
    <w:rsid w:val="00EF636B"/>
    <w:rsid w:val="00EF647B"/>
    <w:rsid w:val="00EF6AF7"/>
    <w:rsid w:val="00EF7932"/>
    <w:rsid w:val="00EF793A"/>
    <w:rsid w:val="00EF798C"/>
    <w:rsid w:val="00EF7D17"/>
    <w:rsid w:val="00EF7D9F"/>
    <w:rsid w:val="00EF7FCE"/>
    <w:rsid w:val="00F0034D"/>
    <w:rsid w:val="00F00C18"/>
    <w:rsid w:val="00F00C2C"/>
    <w:rsid w:val="00F01643"/>
    <w:rsid w:val="00F017C7"/>
    <w:rsid w:val="00F01B95"/>
    <w:rsid w:val="00F01C59"/>
    <w:rsid w:val="00F01FF8"/>
    <w:rsid w:val="00F022EC"/>
    <w:rsid w:val="00F024AE"/>
    <w:rsid w:val="00F024E2"/>
    <w:rsid w:val="00F0263B"/>
    <w:rsid w:val="00F02701"/>
    <w:rsid w:val="00F03016"/>
    <w:rsid w:val="00F0346E"/>
    <w:rsid w:val="00F03EE1"/>
    <w:rsid w:val="00F03F02"/>
    <w:rsid w:val="00F045B2"/>
    <w:rsid w:val="00F04B77"/>
    <w:rsid w:val="00F04B7C"/>
    <w:rsid w:val="00F04EFD"/>
    <w:rsid w:val="00F05482"/>
    <w:rsid w:val="00F057E9"/>
    <w:rsid w:val="00F05867"/>
    <w:rsid w:val="00F0609C"/>
    <w:rsid w:val="00F06121"/>
    <w:rsid w:val="00F062CB"/>
    <w:rsid w:val="00F0680F"/>
    <w:rsid w:val="00F06A51"/>
    <w:rsid w:val="00F06D72"/>
    <w:rsid w:val="00F06E14"/>
    <w:rsid w:val="00F07256"/>
    <w:rsid w:val="00F07661"/>
    <w:rsid w:val="00F07779"/>
    <w:rsid w:val="00F0784F"/>
    <w:rsid w:val="00F07D3E"/>
    <w:rsid w:val="00F07FCB"/>
    <w:rsid w:val="00F103DB"/>
    <w:rsid w:val="00F10D72"/>
    <w:rsid w:val="00F10DDB"/>
    <w:rsid w:val="00F10FA8"/>
    <w:rsid w:val="00F11204"/>
    <w:rsid w:val="00F11224"/>
    <w:rsid w:val="00F11286"/>
    <w:rsid w:val="00F11687"/>
    <w:rsid w:val="00F116BC"/>
    <w:rsid w:val="00F117A3"/>
    <w:rsid w:val="00F11A4B"/>
    <w:rsid w:val="00F11DDD"/>
    <w:rsid w:val="00F11EBA"/>
    <w:rsid w:val="00F11ED7"/>
    <w:rsid w:val="00F11F57"/>
    <w:rsid w:val="00F12536"/>
    <w:rsid w:val="00F128D6"/>
    <w:rsid w:val="00F12AFB"/>
    <w:rsid w:val="00F12CB5"/>
    <w:rsid w:val="00F1361E"/>
    <w:rsid w:val="00F1382A"/>
    <w:rsid w:val="00F13A0C"/>
    <w:rsid w:val="00F13D0D"/>
    <w:rsid w:val="00F13FCD"/>
    <w:rsid w:val="00F14086"/>
    <w:rsid w:val="00F14B21"/>
    <w:rsid w:val="00F14D48"/>
    <w:rsid w:val="00F14EF8"/>
    <w:rsid w:val="00F14F09"/>
    <w:rsid w:val="00F14FEE"/>
    <w:rsid w:val="00F15736"/>
    <w:rsid w:val="00F157C6"/>
    <w:rsid w:val="00F159E6"/>
    <w:rsid w:val="00F15A33"/>
    <w:rsid w:val="00F15DE1"/>
    <w:rsid w:val="00F15E1D"/>
    <w:rsid w:val="00F15EB2"/>
    <w:rsid w:val="00F15FFE"/>
    <w:rsid w:val="00F16026"/>
    <w:rsid w:val="00F164AE"/>
    <w:rsid w:val="00F166DF"/>
    <w:rsid w:val="00F1676F"/>
    <w:rsid w:val="00F16871"/>
    <w:rsid w:val="00F16BDC"/>
    <w:rsid w:val="00F16D03"/>
    <w:rsid w:val="00F17FD8"/>
    <w:rsid w:val="00F17FFE"/>
    <w:rsid w:val="00F20046"/>
    <w:rsid w:val="00F20371"/>
    <w:rsid w:val="00F208AD"/>
    <w:rsid w:val="00F209ED"/>
    <w:rsid w:val="00F20AF6"/>
    <w:rsid w:val="00F20D60"/>
    <w:rsid w:val="00F20DA3"/>
    <w:rsid w:val="00F21171"/>
    <w:rsid w:val="00F211AC"/>
    <w:rsid w:val="00F2126E"/>
    <w:rsid w:val="00F21511"/>
    <w:rsid w:val="00F219FE"/>
    <w:rsid w:val="00F21A77"/>
    <w:rsid w:val="00F21DCA"/>
    <w:rsid w:val="00F22558"/>
    <w:rsid w:val="00F2289D"/>
    <w:rsid w:val="00F228F5"/>
    <w:rsid w:val="00F22D84"/>
    <w:rsid w:val="00F232DF"/>
    <w:rsid w:val="00F23362"/>
    <w:rsid w:val="00F233C6"/>
    <w:rsid w:val="00F23653"/>
    <w:rsid w:val="00F238D1"/>
    <w:rsid w:val="00F23AB6"/>
    <w:rsid w:val="00F23AC0"/>
    <w:rsid w:val="00F23FCC"/>
    <w:rsid w:val="00F24015"/>
    <w:rsid w:val="00F243E5"/>
    <w:rsid w:val="00F24681"/>
    <w:rsid w:val="00F24707"/>
    <w:rsid w:val="00F2498F"/>
    <w:rsid w:val="00F24C43"/>
    <w:rsid w:val="00F24EA1"/>
    <w:rsid w:val="00F24F71"/>
    <w:rsid w:val="00F24FD7"/>
    <w:rsid w:val="00F2512B"/>
    <w:rsid w:val="00F251AF"/>
    <w:rsid w:val="00F251C2"/>
    <w:rsid w:val="00F256B8"/>
    <w:rsid w:val="00F25BB7"/>
    <w:rsid w:val="00F25BFB"/>
    <w:rsid w:val="00F25E59"/>
    <w:rsid w:val="00F26267"/>
    <w:rsid w:val="00F263F0"/>
    <w:rsid w:val="00F263F1"/>
    <w:rsid w:val="00F264A5"/>
    <w:rsid w:val="00F264E2"/>
    <w:rsid w:val="00F26972"/>
    <w:rsid w:val="00F26AB6"/>
    <w:rsid w:val="00F27B8B"/>
    <w:rsid w:val="00F3006B"/>
    <w:rsid w:val="00F3009D"/>
    <w:rsid w:val="00F302CA"/>
    <w:rsid w:val="00F30447"/>
    <w:rsid w:val="00F30619"/>
    <w:rsid w:val="00F30B4C"/>
    <w:rsid w:val="00F30CBE"/>
    <w:rsid w:val="00F311F2"/>
    <w:rsid w:val="00F3137A"/>
    <w:rsid w:val="00F3145C"/>
    <w:rsid w:val="00F314B2"/>
    <w:rsid w:val="00F31664"/>
    <w:rsid w:val="00F31AAB"/>
    <w:rsid w:val="00F31E6E"/>
    <w:rsid w:val="00F31F27"/>
    <w:rsid w:val="00F320F4"/>
    <w:rsid w:val="00F322D6"/>
    <w:rsid w:val="00F322FF"/>
    <w:rsid w:val="00F32657"/>
    <w:rsid w:val="00F326A1"/>
    <w:rsid w:val="00F3275C"/>
    <w:rsid w:val="00F32BDE"/>
    <w:rsid w:val="00F32C56"/>
    <w:rsid w:val="00F3309A"/>
    <w:rsid w:val="00F3322B"/>
    <w:rsid w:val="00F33355"/>
    <w:rsid w:val="00F33377"/>
    <w:rsid w:val="00F333C6"/>
    <w:rsid w:val="00F335FB"/>
    <w:rsid w:val="00F33744"/>
    <w:rsid w:val="00F33891"/>
    <w:rsid w:val="00F33D13"/>
    <w:rsid w:val="00F33E54"/>
    <w:rsid w:val="00F33F46"/>
    <w:rsid w:val="00F34A41"/>
    <w:rsid w:val="00F34C2C"/>
    <w:rsid w:val="00F34D2B"/>
    <w:rsid w:val="00F3527F"/>
    <w:rsid w:val="00F35334"/>
    <w:rsid w:val="00F353E9"/>
    <w:rsid w:val="00F35474"/>
    <w:rsid w:val="00F356F0"/>
    <w:rsid w:val="00F3573D"/>
    <w:rsid w:val="00F35C95"/>
    <w:rsid w:val="00F35D5F"/>
    <w:rsid w:val="00F360A0"/>
    <w:rsid w:val="00F36671"/>
    <w:rsid w:val="00F36792"/>
    <w:rsid w:val="00F36982"/>
    <w:rsid w:val="00F369F6"/>
    <w:rsid w:val="00F36D56"/>
    <w:rsid w:val="00F36DC3"/>
    <w:rsid w:val="00F36EB8"/>
    <w:rsid w:val="00F37068"/>
    <w:rsid w:val="00F376A4"/>
    <w:rsid w:val="00F376B1"/>
    <w:rsid w:val="00F379AC"/>
    <w:rsid w:val="00F37A1E"/>
    <w:rsid w:val="00F37A25"/>
    <w:rsid w:val="00F37A6F"/>
    <w:rsid w:val="00F37C6F"/>
    <w:rsid w:val="00F37E37"/>
    <w:rsid w:val="00F37EFC"/>
    <w:rsid w:val="00F40106"/>
    <w:rsid w:val="00F401A8"/>
    <w:rsid w:val="00F4020F"/>
    <w:rsid w:val="00F40635"/>
    <w:rsid w:val="00F40720"/>
    <w:rsid w:val="00F40986"/>
    <w:rsid w:val="00F40A05"/>
    <w:rsid w:val="00F40A2A"/>
    <w:rsid w:val="00F40C35"/>
    <w:rsid w:val="00F40DA6"/>
    <w:rsid w:val="00F4107D"/>
    <w:rsid w:val="00F41108"/>
    <w:rsid w:val="00F4116A"/>
    <w:rsid w:val="00F41255"/>
    <w:rsid w:val="00F414B8"/>
    <w:rsid w:val="00F415F2"/>
    <w:rsid w:val="00F4168C"/>
    <w:rsid w:val="00F41AE7"/>
    <w:rsid w:val="00F41B7C"/>
    <w:rsid w:val="00F41D94"/>
    <w:rsid w:val="00F4229E"/>
    <w:rsid w:val="00F422B1"/>
    <w:rsid w:val="00F422E8"/>
    <w:rsid w:val="00F42302"/>
    <w:rsid w:val="00F42509"/>
    <w:rsid w:val="00F4251E"/>
    <w:rsid w:val="00F4263E"/>
    <w:rsid w:val="00F4296C"/>
    <w:rsid w:val="00F429EC"/>
    <w:rsid w:val="00F42EA5"/>
    <w:rsid w:val="00F430B6"/>
    <w:rsid w:val="00F43478"/>
    <w:rsid w:val="00F43C0A"/>
    <w:rsid w:val="00F43C30"/>
    <w:rsid w:val="00F43DC4"/>
    <w:rsid w:val="00F43F61"/>
    <w:rsid w:val="00F43FAD"/>
    <w:rsid w:val="00F44038"/>
    <w:rsid w:val="00F44588"/>
    <w:rsid w:val="00F4464C"/>
    <w:rsid w:val="00F44665"/>
    <w:rsid w:val="00F4488F"/>
    <w:rsid w:val="00F44AC8"/>
    <w:rsid w:val="00F44AF6"/>
    <w:rsid w:val="00F44B76"/>
    <w:rsid w:val="00F44CF7"/>
    <w:rsid w:val="00F44ED8"/>
    <w:rsid w:val="00F45225"/>
    <w:rsid w:val="00F4569E"/>
    <w:rsid w:val="00F45C2B"/>
    <w:rsid w:val="00F45CBD"/>
    <w:rsid w:val="00F4632C"/>
    <w:rsid w:val="00F46505"/>
    <w:rsid w:val="00F46582"/>
    <w:rsid w:val="00F46ADD"/>
    <w:rsid w:val="00F50024"/>
    <w:rsid w:val="00F50069"/>
    <w:rsid w:val="00F501B0"/>
    <w:rsid w:val="00F5051E"/>
    <w:rsid w:val="00F5082D"/>
    <w:rsid w:val="00F50D88"/>
    <w:rsid w:val="00F50E87"/>
    <w:rsid w:val="00F50F1A"/>
    <w:rsid w:val="00F512CF"/>
    <w:rsid w:val="00F51555"/>
    <w:rsid w:val="00F5156F"/>
    <w:rsid w:val="00F51796"/>
    <w:rsid w:val="00F51CD8"/>
    <w:rsid w:val="00F51FD4"/>
    <w:rsid w:val="00F5344F"/>
    <w:rsid w:val="00F53B6F"/>
    <w:rsid w:val="00F53D36"/>
    <w:rsid w:val="00F53D8F"/>
    <w:rsid w:val="00F53FB3"/>
    <w:rsid w:val="00F545D3"/>
    <w:rsid w:val="00F5474A"/>
    <w:rsid w:val="00F5494A"/>
    <w:rsid w:val="00F549BC"/>
    <w:rsid w:val="00F54AAE"/>
    <w:rsid w:val="00F54B3D"/>
    <w:rsid w:val="00F55272"/>
    <w:rsid w:val="00F55489"/>
    <w:rsid w:val="00F555C1"/>
    <w:rsid w:val="00F5566C"/>
    <w:rsid w:val="00F55E32"/>
    <w:rsid w:val="00F55E84"/>
    <w:rsid w:val="00F55F95"/>
    <w:rsid w:val="00F561FF"/>
    <w:rsid w:val="00F562D8"/>
    <w:rsid w:val="00F56525"/>
    <w:rsid w:val="00F5664B"/>
    <w:rsid w:val="00F56A5B"/>
    <w:rsid w:val="00F56B22"/>
    <w:rsid w:val="00F57231"/>
    <w:rsid w:val="00F573F4"/>
    <w:rsid w:val="00F574B7"/>
    <w:rsid w:val="00F57634"/>
    <w:rsid w:val="00F578EA"/>
    <w:rsid w:val="00F57AF6"/>
    <w:rsid w:val="00F57D31"/>
    <w:rsid w:val="00F57F19"/>
    <w:rsid w:val="00F6068B"/>
    <w:rsid w:val="00F60863"/>
    <w:rsid w:val="00F60AC5"/>
    <w:rsid w:val="00F61203"/>
    <w:rsid w:val="00F612F3"/>
    <w:rsid w:val="00F61503"/>
    <w:rsid w:val="00F61518"/>
    <w:rsid w:val="00F61A9D"/>
    <w:rsid w:val="00F620A7"/>
    <w:rsid w:val="00F620CC"/>
    <w:rsid w:val="00F6282F"/>
    <w:rsid w:val="00F62A01"/>
    <w:rsid w:val="00F62CF9"/>
    <w:rsid w:val="00F62F41"/>
    <w:rsid w:val="00F62F47"/>
    <w:rsid w:val="00F63307"/>
    <w:rsid w:val="00F63313"/>
    <w:rsid w:val="00F63502"/>
    <w:rsid w:val="00F63746"/>
    <w:rsid w:val="00F637DA"/>
    <w:rsid w:val="00F63995"/>
    <w:rsid w:val="00F6438B"/>
    <w:rsid w:val="00F645FD"/>
    <w:rsid w:val="00F6474C"/>
    <w:rsid w:val="00F648C1"/>
    <w:rsid w:val="00F64FE2"/>
    <w:rsid w:val="00F65128"/>
    <w:rsid w:val="00F65155"/>
    <w:rsid w:val="00F654CA"/>
    <w:rsid w:val="00F65D91"/>
    <w:rsid w:val="00F65FE4"/>
    <w:rsid w:val="00F65FFE"/>
    <w:rsid w:val="00F6602B"/>
    <w:rsid w:val="00F66334"/>
    <w:rsid w:val="00F663CA"/>
    <w:rsid w:val="00F6686B"/>
    <w:rsid w:val="00F6704E"/>
    <w:rsid w:val="00F67153"/>
    <w:rsid w:val="00F672DE"/>
    <w:rsid w:val="00F67350"/>
    <w:rsid w:val="00F673B1"/>
    <w:rsid w:val="00F67449"/>
    <w:rsid w:val="00F6759C"/>
    <w:rsid w:val="00F67A37"/>
    <w:rsid w:val="00F67C51"/>
    <w:rsid w:val="00F67DDC"/>
    <w:rsid w:val="00F67FA3"/>
    <w:rsid w:val="00F70246"/>
    <w:rsid w:val="00F702EC"/>
    <w:rsid w:val="00F704A1"/>
    <w:rsid w:val="00F7059A"/>
    <w:rsid w:val="00F707C4"/>
    <w:rsid w:val="00F70872"/>
    <w:rsid w:val="00F70C82"/>
    <w:rsid w:val="00F70EDB"/>
    <w:rsid w:val="00F71059"/>
    <w:rsid w:val="00F71733"/>
    <w:rsid w:val="00F71D3F"/>
    <w:rsid w:val="00F720DA"/>
    <w:rsid w:val="00F720E1"/>
    <w:rsid w:val="00F7237E"/>
    <w:rsid w:val="00F72438"/>
    <w:rsid w:val="00F72CC4"/>
    <w:rsid w:val="00F72F0F"/>
    <w:rsid w:val="00F72FC6"/>
    <w:rsid w:val="00F73274"/>
    <w:rsid w:val="00F733C7"/>
    <w:rsid w:val="00F7385B"/>
    <w:rsid w:val="00F739C5"/>
    <w:rsid w:val="00F73BAB"/>
    <w:rsid w:val="00F73E95"/>
    <w:rsid w:val="00F74375"/>
    <w:rsid w:val="00F74567"/>
    <w:rsid w:val="00F745FC"/>
    <w:rsid w:val="00F749FC"/>
    <w:rsid w:val="00F74B72"/>
    <w:rsid w:val="00F74D70"/>
    <w:rsid w:val="00F74DDA"/>
    <w:rsid w:val="00F7572F"/>
    <w:rsid w:val="00F758B1"/>
    <w:rsid w:val="00F75904"/>
    <w:rsid w:val="00F75A91"/>
    <w:rsid w:val="00F75BA4"/>
    <w:rsid w:val="00F75BC2"/>
    <w:rsid w:val="00F75D51"/>
    <w:rsid w:val="00F75DB9"/>
    <w:rsid w:val="00F766D0"/>
    <w:rsid w:val="00F76808"/>
    <w:rsid w:val="00F76878"/>
    <w:rsid w:val="00F76A30"/>
    <w:rsid w:val="00F76AC3"/>
    <w:rsid w:val="00F76B8A"/>
    <w:rsid w:val="00F775BC"/>
    <w:rsid w:val="00F77978"/>
    <w:rsid w:val="00F77A05"/>
    <w:rsid w:val="00F80616"/>
    <w:rsid w:val="00F80B5D"/>
    <w:rsid w:val="00F80D71"/>
    <w:rsid w:val="00F80EE2"/>
    <w:rsid w:val="00F810B4"/>
    <w:rsid w:val="00F813A4"/>
    <w:rsid w:val="00F815A1"/>
    <w:rsid w:val="00F81738"/>
    <w:rsid w:val="00F818A2"/>
    <w:rsid w:val="00F818C1"/>
    <w:rsid w:val="00F81A62"/>
    <w:rsid w:val="00F81AC2"/>
    <w:rsid w:val="00F81AEF"/>
    <w:rsid w:val="00F81C81"/>
    <w:rsid w:val="00F822C5"/>
    <w:rsid w:val="00F8247D"/>
    <w:rsid w:val="00F825CA"/>
    <w:rsid w:val="00F825FE"/>
    <w:rsid w:val="00F82B33"/>
    <w:rsid w:val="00F82C2F"/>
    <w:rsid w:val="00F82E34"/>
    <w:rsid w:val="00F8342B"/>
    <w:rsid w:val="00F83493"/>
    <w:rsid w:val="00F83551"/>
    <w:rsid w:val="00F83668"/>
    <w:rsid w:val="00F836C7"/>
    <w:rsid w:val="00F836F3"/>
    <w:rsid w:val="00F838ED"/>
    <w:rsid w:val="00F8394D"/>
    <w:rsid w:val="00F83B83"/>
    <w:rsid w:val="00F83D7E"/>
    <w:rsid w:val="00F83E24"/>
    <w:rsid w:val="00F8423D"/>
    <w:rsid w:val="00F84325"/>
    <w:rsid w:val="00F8455F"/>
    <w:rsid w:val="00F845D5"/>
    <w:rsid w:val="00F84761"/>
    <w:rsid w:val="00F8478C"/>
    <w:rsid w:val="00F848E6"/>
    <w:rsid w:val="00F84974"/>
    <w:rsid w:val="00F84BD6"/>
    <w:rsid w:val="00F84EB4"/>
    <w:rsid w:val="00F84F22"/>
    <w:rsid w:val="00F851EF"/>
    <w:rsid w:val="00F85298"/>
    <w:rsid w:val="00F857DC"/>
    <w:rsid w:val="00F85AF4"/>
    <w:rsid w:val="00F86182"/>
    <w:rsid w:val="00F86448"/>
    <w:rsid w:val="00F867F2"/>
    <w:rsid w:val="00F86A56"/>
    <w:rsid w:val="00F86BFD"/>
    <w:rsid w:val="00F86E74"/>
    <w:rsid w:val="00F86FFB"/>
    <w:rsid w:val="00F87186"/>
    <w:rsid w:val="00F875C0"/>
    <w:rsid w:val="00F875F1"/>
    <w:rsid w:val="00F8787E"/>
    <w:rsid w:val="00F87F3C"/>
    <w:rsid w:val="00F90379"/>
    <w:rsid w:val="00F905E2"/>
    <w:rsid w:val="00F9076D"/>
    <w:rsid w:val="00F909C0"/>
    <w:rsid w:val="00F91097"/>
    <w:rsid w:val="00F910C8"/>
    <w:rsid w:val="00F910FA"/>
    <w:rsid w:val="00F91153"/>
    <w:rsid w:val="00F91445"/>
    <w:rsid w:val="00F915FD"/>
    <w:rsid w:val="00F9170D"/>
    <w:rsid w:val="00F91CEF"/>
    <w:rsid w:val="00F91DB1"/>
    <w:rsid w:val="00F91E15"/>
    <w:rsid w:val="00F91ED9"/>
    <w:rsid w:val="00F9224D"/>
    <w:rsid w:val="00F92490"/>
    <w:rsid w:val="00F925C9"/>
    <w:rsid w:val="00F927FB"/>
    <w:rsid w:val="00F92A04"/>
    <w:rsid w:val="00F92BEE"/>
    <w:rsid w:val="00F92CAB"/>
    <w:rsid w:val="00F92FA4"/>
    <w:rsid w:val="00F930A6"/>
    <w:rsid w:val="00F93342"/>
    <w:rsid w:val="00F935A3"/>
    <w:rsid w:val="00F935C4"/>
    <w:rsid w:val="00F935F3"/>
    <w:rsid w:val="00F93893"/>
    <w:rsid w:val="00F93B4F"/>
    <w:rsid w:val="00F940A4"/>
    <w:rsid w:val="00F9439F"/>
    <w:rsid w:val="00F944F9"/>
    <w:rsid w:val="00F945BF"/>
    <w:rsid w:val="00F94834"/>
    <w:rsid w:val="00F948F1"/>
    <w:rsid w:val="00F94AF6"/>
    <w:rsid w:val="00F94BD3"/>
    <w:rsid w:val="00F94C3D"/>
    <w:rsid w:val="00F9500A"/>
    <w:rsid w:val="00F95609"/>
    <w:rsid w:val="00F95669"/>
    <w:rsid w:val="00F957AB"/>
    <w:rsid w:val="00F9640F"/>
    <w:rsid w:val="00F966F5"/>
    <w:rsid w:val="00F96BFF"/>
    <w:rsid w:val="00F96F84"/>
    <w:rsid w:val="00F973B7"/>
    <w:rsid w:val="00F973E3"/>
    <w:rsid w:val="00F9784A"/>
    <w:rsid w:val="00F97954"/>
    <w:rsid w:val="00F97DBB"/>
    <w:rsid w:val="00F97E8B"/>
    <w:rsid w:val="00F97FBB"/>
    <w:rsid w:val="00FA021D"/>
    <w:rsid w:val="00FA0662"/>
    <w:rsid w:val="00FA06BA"/>
    <w:rsid w:val="00FA06F7"/>
    <w:rsid w:val="00FA0798"/>
    <w:rsid w:val="00FA0860"/>
    <w:rsid w:val="00FA092F"/>
    <w:rsid w:val="00FA0B1E"/>
    <w:rsid w:val="00FA0DB1"/>
    <w:rsid w:val="00FA0FAF"/>
    <w:rsid w:val="00FA10C8"/>
    <w:rsid w:val="00FA1220"/>
    <w:rsid w:val="00FA1503"/>
    <w:rsid w:val="00FA17BD"/>
    <w:rsid w:val="00FA1C08"/>
    <w:rsid w:val="00FA1EDB"/>
    <w:rsid w:val="00FA2359"/>
    <w:rsid w:val="00FA235B"/>
    <w:rsid w:val="00FA274E"/>
    <w:rsid w:val="00FA28EC"/>
    <w:rsid w:val="00FA2970"/>
    <w:rsid w:val="00FA2A1C"/>
    <w:rsid w:val="00FA2A46"/>
    <w:rsid w:val="00FA2B10"/>
    <w:rsid w:val="00FA2B8F"/>
    <w:rsid w:val="00FA2D4D"/>
    <w:rsid w:val="00FA30D7"/>
    <w:rsid w:val="00FA32DB"/>
    <w:rsid w:val="00FA346A"/>
    <w:rsid w:val="00FA3470"/>
    <w:rsid w:val="00FA35A9"/>
    <w:rsid w:val="00FA3C94"/>
    <w:rsid w:val="00FA3F60"/>
    <w:rsid w:val="00FA4029"/>
    <w:rsid w:val="00FA4200"/>
    <w:rsid w:val="00FA4555"/>
    <w:rsid w:val="00FA4605"/>
    <w:rsid w:val="00FA4628"/>
    <w:rsid w:val="00FA46C6"/>
    <w:rsid w:val="00FA493D"/>
    <w:rsid w:val="00FA4E21"/>
    <w:rsid w:val="00FA4E7E"/>
    <w:rsid w:val="00FA5000"/>
    <w:rsid w:val="00FA5179"/>
    <w:rsid w:val="00FA57AB"/>
    <w:rsid w:val="00FA5AA1"/>
    <w:rsid w:val="00FA5ADB"/>
    <w:rsid w:val="00FA5B93"/>
    <w:rsid w:val="00FA5C0C"/>
    <w:rsid w:val="00FA5F70"/>
    <w:rsid w:val="00FA6331"/>
    <w:rsid w:val="00FA6DA9"/>
    <w:rsid w:val="00FA7133"/>
    <w:rsid w:val="00FA7886"/>
    <w:rsid w:val="00FA7949"/>
    <w:rsid w:val="00FA7981"/>
    <w:rsid w:val="00FA79BD"/>
    <w:rsid w:val="00FA7EF1"/>
    <w:rsid w:val="00FAC181"/>
    <w:rsid w:val="00FAEEEC"/>
    <w:rsid w:val="00FB0616"/>
    <w:rsid w:val="00FB0792"/>
    <w:rsid w:val="00FB0B65"/>
    <w:rsid w:val="00FB0D9F"/>
    <w:rsid w:val="00FB0E93"/>
    <w:rsid w:val="00FB10EB"/>
    <w:rsid w:val="00FB13B4"/>
    <w:rsid w:val="00FB17D5"/>
    <w:rsid w:val="00FB1A57"/>
    <w:rsid w:val="00FB1AB5"/>
    <w:rsid w:val="00FB1BCF"/>
    <w:rsid w:val="00FB1FA5"/>
    <w:rsid w:val="00FB2155"/>
    <w:rsid w:val="00FB220C"/>
    <w:rsid w:val="00FB268F"/>
    <w:rsid w:val="00FB27BC"/>
    <w:rsid w:val="00FB3758"/>
    <w:rsid w:val="00FB3A19"/>
    <w:rsid w:val="00FB3CF4"/>
    <w:rsid w:val="00FB4197"/>
    <w:rsid w:val="00FB41C7"/>
    <w:rsid w:val="00FB41F0"/>
    <w:rsid w:val="00FB44D8"/>
    <w:rsid w:val="00FB494F"/>
    <w:rsid w:val="00FB495D"/>
    <w:rsid w:val="00FB4B75"/>
    <w:rsid w:val="00FB4DAF"/>
    <w:rsid w:val="00FB54F6"/>
    <w:rsid w:val="00FB55A4"/>
    <w:rsid w:val="00FB565C"/>
    <w:rsid w:val="00FB5BBE"/>
    <w:rsid w:val="00FB5BF8"/>
    <w:rsid w:val="00FB5CBA"/>
    <w:rsid w:val="00FB5E12"/>
    <w:rsid w:val="00FB62BD"/>
    <w:rsid w:val="00FB63B1"/>
    <w:rsid w:val="00FB646F"/>
    <w:rsid w:val="00FB66F3"/>
    <w:rsid w:val="00FB6BAC"/>
    <w:rsid w:val="00FB6C80"/>
    <w:rsid w:val="00FB6CC5"/>
    <w:rsid w:val="00FB7131"/>
    <w:rsid w:val="00FB72AD"/>
    <w:rsid w:val="00FB7307"/>
    <w:rsid w:val="00FB759B"/>
    <w:rsid w:val="00FB789C"/>
    <w:rsid w:val="00FB7930"/>
    <w:rsid w:val="00FB79D9"/>
    <w:rsid w:val="00FB7A13"/>
    <w:rsid w:val="00FB7ECC"/>
    <w:rsid w:val="00FB7FFD"/>
    <w:rsid w:val="00FC00F6"/>
    <w:rsid w:val="00FC03A8"/>
    <w:rsid w:val="00FC0C73"/>
    <w:rsid w:val="00FC1E2E"/>
    <w:rsid w:val="00FC1EC1"/>
    <w:rsid w:val="00FC213C"/>
    <w:rsid w:val="00FC223B"/>
    <w:rsid w:val="00FC24BA"/>
    <w:rsid w:val="00FC272D"/>
    <w:rsid w:val="00FC29FF"/>
    <w:rsid w:val="00FC2C9A"/>
    <w:rsid w:val="00FC2D06"/>
    <w:rsid w:val="00FC307B"/>
    <w:rsid w:val="00FC314A"/>
    <w:rsid w:val="00FC31A0"/>
    <w:rsid w:val="00FC338B"/>
    <w:rsid w:val="00FC3475"/>
    <w:rsid w:val="00FC382D"/>
    <w:rsid w:val="00FC4087"/>
    <w:rsid w:val="00FC42B8"/>
    <w:rsid w:val="00FC43CE"/>
    <w:rsid w:val="00FC4434"/>
    <w:rsid w:val="00FC44C1"/>
    <w:rsid w:val="00FC48BA"/>
    <w:rsid w:val="00FC49A0"/>
    <w:rsid w:val="00FC4A15"/>
    <w:rsid w:val="00FC4E76"/>
    <w:rsid w:val="00FC506A"/>
    <w:rsid w:val="00FC5552"/>
    <w:rsid w:val="00FC576E"/>
    <w:rsid w:val="00FC5770"/>
    <w:rsid w:val="00FC5906"/>
    <w:rsid w:val="00FC5A8F"/>
    <w:rsid w:val="00FC5A9C"/>
    <w:rsid w:val="00FC5C2B"/>
    <w:rsid w:val="00FC64F1"/>
    <w:rsid w:val="00FC6526"/>
    <w:rsid w:val="00FC652E"/>
    <w:rsid w:val="00FC65E9"/>
    <w:rsid w:val="00FC67F9"/>
    <w:rsid w:val="00FC69AE"/>
    <w:rsid w:val="00FC6E77"/>
    <w:rsid w:val="00FC764C"/>
    <w:rsid w:val="00FC7877"/>
    <w:rsid w:val="00FC7924"/>
    <w:rsid w:val="00FC794D"/>
    <w:rsid w:val="00FC7CD8"/>
    <w:rsid w:val="00FC7D9F"/>
    <w:rsid w:val="00FC7E46"/>
    <w:rsid w:val="00FC7EF4"/>
    <w:rsid w:val="00FC7FDF"/>
    <w:rsid w:val="00FD0226"/>
    <w:rsid w:val="00FD028A"/>
    <w:rsid w:val="00FD082D"/>
    <w:rsid w:val="00FD08F8"/>
    <w:rsid w:val="00FD093B"/>
    <w:rsid w:val="00FD0A2F"/>
    <w:rsid w:val="00FD0AA9"/>
    <w:rsid w:val="00FD0B38"/>
    <w:rsid w:val="00FD13E0"/>
    <w:rsid w:val="00FD14F0"/>
    <w:rsid w:val="00FD1630"/>
    <w:rsid w:val="00FD189B"/>
    <w:rsid w:val="00FD1CBD"/>
    <w:rsid w:val="00FD2A05"/>
    <w:rsid w:val="00FD2ACB"/>
    <w:rsid w:val="00FD2D11"/>
    <w:rsid w:val="00FD2FCD"/>
    <w:rsid w:val="00FD30A3"/>
    <w:rsid w:val="00FD32C6"/>
    <w:rsid w:val="00FD3601"/>
    <w:rsid w:val="00FD3633"/>
    <w:rsid w:val="00FD461F"/>
    <w:rsid w:val="00FD46E0"/>
    <w:rsid w:val="00FD493C"/>
    <w:rsid w:val="00FD4C93"/>
    <w:rsid w:val="00FD4CF4"/>
    <w:rsid w:val="00FD4CF8"/>
    <w:rsid w:val="00FD4F97"/>
    <w:rsid w:val="00FD4FD4"/>
    <w:rsid w:val="00FD52A0"/>
    <w:rsid w:val="00FD53CE"/>
    <w:rsid w:val="00FD5710"/>
    <w:rsid w:val="00FD583D"/>
    <w:rsid w:val="00FD6470"/>
    <w:rsid w:val="00FD64C4"/>
    <w:rsid w:val="00FD6901"/>
    <w:rsid w:val="00FD6A55"/>
    <w:rsid w:val="00FD6AD9"/>
    <w:rsid w:val="00FD6D12"/>
    <w:rsid w:val="00FD6E83"/>
    <w:rsid w:val="00FD73A0"/>
    <w:rsid w:val="00FD73FA"/>
    <w:rsid w:val="00FD74F0"/>
    <w:rsid w:val="00FD75C7"/>
    <w:rsid w:val="00FD760C"/>
    <w:rsid w:val="00FD7A6F"/>
    <w:rsid w:val="00FD7ACE"/>
    <w:rsid w:val="00FD7B65"/>
    <w:rsid w:val="00FD7E1D"/>
    <w:rsid w:val="00FD7E84"/>
    <w:rsid w:val="00FE0086"/>
    <w:rsid w:val="00FE00F9"/>
    <w:rsid w:val="00FE0326"/>
    <w:rsid w:val="00FE07B2"/>
    <w:rsid w:val="00FE0A6F"/>
    <w:rsid w:val="00FE0A98"/>
    <w:rsid w:val="00FE0E5A"/>
    <w:rsid w:val="00FE0E82"/>
    <w:rsid w:val="00FE1093"/>
    <w:rsid w:val="00FE1505"/>
    <w:rsid w:val="00FE1814"/>
    <w:rsid w:val="00FE18FE"/>
    <w:rsid w:val="00FE19EE"/>
    <w:rsid w:val="00FE1A2D"/>
    <w:rsid w:val="00FE1A63"/>
    <w:rsid w:val="00FE1F6C"/>
    <w:rsid w:val="00FE21C1"/>
    <w:rsid w:val="00FE22D4"/>
    <w:rsid w:val="00FE2D00"/>
    <w:rsid w:val="00FE2F05"/>
    <w:rsid w:val="00FE3010"/>
    <w:rsid w:val="00FE3268"/>
    <w:rsid w:val="00FE3417"/>
    <w:rsid w:val="00FE3521"/>
    <w:rsid w:val="00FE3653"/>
    <w:rsid w:val="00FE3834"/>
    <w:rsid w:val="00FE3986"/>
    <w:rsid w:val="00FE3AD4"/>
    <w:rsid w:val="00FE3B30"/>
    <w:rsid w:val="00FE3EB2"/>
    <w:rsid w:val="00FE4266"/>
    <w:rsid w:val="00FE44AB"/>
    <w:rsid w:val="00FE4581"/>
    <w:rsid w:val="00FE4710"/>
    <w:rsid w:val="00FE490D"/>
    <w:rsid w:val="00FE4C70"/>
    <w:rsid w:val="00FE4E40"/>
    <w:rsid w:val="00FE4E62"/>
    <w:rsid w:val="00FE50DF"/>
    <w:rsid w:val="00FE53BA"/>
    <w:rsid w:val="00FE562A"/>
    <w:rsid w:val="00FE5942"/>
    <w:rsid w:val="00FE59C5"/>
    <w:rsid w:val="00FE5C3E"/>
    <w:rsid w:val="00FE5E0E"/>
    <w:rsid w:val="00FE5E31"/>
    <w:rsid w:val="00FE6090"/>
    <w:rsid w:val="00FE629F"/>
    <w:rsid w:val="00FE6489"/>
    <w:rsid w:val="00FE65A4"/>
    <w:rsid w:val="00FE65BF"/>
    <w:rsid w:val="00FE6719"/>
    <w:rsid w:val="00FE67E3"/>
    <w:rsid w:val="00FE6975"/>
    <w:rsid w:val="00FE6990"/>
    <w:rsid w:val="00FE6A61"/>
    <w:rsid w:val="00FE6AE0"/>
    <w:rsid w:val="00FE6DBE"/>
    <w:rsid w:val="00FE723B"/>
    <w:rsid w:val="00FE72CA"/>
    <w:rsid w:val="00FE7333"/>
    <w:rsid w:val="00FE7434"/>
    <w:rsid w:val="00FE7768"/>
    <w:rsid w:val="00FE779C"/>
    <w:rsid w:val="00FE77D7"/>
    <w:rsid w:val="00FF033D"/>
    <w:rsid w:val="00FF085D"/>
    <w:rsid w:val="00FF09C3"/>
    <w:rsid w:val="00FF0B8C"/>
    <w:rsid w:val="00FF0C29"/>
    <w:rsid w:val="00FF1195"/>
    <w:rsid w:val="00FF136A"/>
    <w:rsid w:val="00FF168B"/>
    <w:rsid w:val="00FF16C4"/>
    <w:rsid w:val="00FF1744"/>
    <w:rsid w:val="00FF192F"/>
    <w:rsid w:val="00FF1BEB"/>
    <w:rsid w:val="00FF230E"/>
    <w:rsid w:val="00FF283A"/>
    <w:rsid w:val="00FF2B0B"/>
    <w:rsid w:val="00FF2C9D"/>
    <w:rsid w:val="00FF2E49"/>
    <w:rsid w:val="00FF31F0"/>
    <w:rsid w:val="00FF35D6"/>
    <w:rsid w:val="00FF3798"/>
    <w:rsid w:val="00FF3963"/>
    <w:rsid w:val="00FF3AFF"/>
    <w:rsid w:val="00FF3CC3"/>
    <w:rsid w:val="00FF4206"/>
    <w:rsid w:val="00FF4667"/>
    <w:rsid w:val="00FF4D15"/>
    <w:rsid w:val="00FF4DB0"/>
    <w:rsid w:val="00FF50EF"/>
    <w:rsid w:val="00FF5270"/>
    <w:rsid w:val="00FF529B"/>
    <w:rsid w:val="00FF52B2"/>
    <w:rsid w:val="00FF5447"/>
    <w:rsid w:val="00FF558C"/>
    <w:rsid w:val="00FF55EF"/>
    <w:rsid w:val="00FF596E"/>
    <w:rsid w:val="00FF5B4F"/>
    <w:rsid w:val="00FF5C11"/>
    <w:rsid w:val="00FF5C13"/>
    <w:rsid w:val="00FF5E14"/>
    <w:rsid w:val="00FF5E6E"/>
    <w:rsid w:val="00FF604E"/>
    <w:rsid w:val="00FF62D7"/>
    <w:rsid w:val="00FF6781"/>
    <w:rsid w:val="00FF6B4D"/>
    <w:rsid w:val="00FF6BCA"/>
    <w:rsid w:val="00FF6BD2"/>
    <w:rsid w:val="00FF6DE8"/>
    <w:rsid w:val="00FF6FA7"/>
    <w:rsid w:val="00FF7314"/>
    <w:rsid w:val="00FF73E2"/>
    <w:rsid w:val="00FF741C"/>
    <w:rsid w:val="00FF79E7"/>
    <w:rsid w:val="00FF7D96"/>
    <w:rsid w:val="00FF7E0B"/>
    <w:rsid w:val="01089E36"/>
    <w:rsid w:val="010A1FA0"/>
    <w:rsid w:val="010ADF73"/>
    <w:rsid w:val="01196932"/>
    <w:rsid w:val="011BA748"/>
    <w:rsid w:val="011EC3EB"/>
    <w:rsid w:val="011EEE58"/>
    <w:rsid w:val="01205A55"/>
    <w:rsid w:val="01214210"/>
    <w:rsid w:val="0123D8AD"/>
    <w:rsid w:val="0124D8E4"/>
    <w:rsid w:val="012E1B16"/>
    <w:rsid w:val="0133BCA1"/>
    <w:rsid w:val="0146160C"/>
    <w:rsid w:val="014B6082"/>
    <w:rsid w:val="014D0248"/>
    <w:rsid w:val="014D6DD7"/>
    <w:rsid w:val="0156E1C6"/>
    <w:rsid w:val="015B40C8"/>
    <w:rsid w:val="0160810E"/>
    <w:rsid w:val="016638B2"/>
    <w:rsid w:val="0167AD87"/>
    <w:rsid w:val="017734F6"/>
    <w:rsid w:val="017DB9BB"/>
    <w:rsid w:val="0185F3CE"/>
    <w:rsid w:val="0186B0FC"/>
    <w:rsid w:val="01998837"/>
    <w:rsid w:val="01A3A8AB"/>
    <w:rsid w:val="01A954BE"/>
    <w:rsid w:val="01A999C1"/>
    <w:rsid w:val="01AA8446"/>
    <w:rsid w:val="01B0574D"/>
    <w:rsid w:val="01B8BC9E"/>
    <w:rsid w:val="01BED43C"/>
    <w:rsid w:val="01C01BA0"/>
    <w:rsid w:val="01C0BD3F"/>
    <w:rsid w:val="01C441A0"/>
    <w:rsid w:val="01C5829A"/>
    <w:rsid w:val="01D6CB45"/>
    <w:rsid w:val="01D75990"/>
    <w:rsid w:val="01DCE228"/>
    <w:rsid w:val="01DD90F2"/>
    <w:rsid w:val="01E0517C"/>
    <w:rsid w:val="01E59B19"/>
    <w:rsid w:val="01F008AF"/>
    <w:rsid w:val="01FDEA01"/>
    <w:rsid w:val="0205C4EA"/>
    <w:rsid w:val="02117F8D"/>
    <w:rsid w:val="0216E8FE"/>
    <w:rsid w:val="022744B9"/>
    <w:rsid w:val="022EB950"/>
    <w:rsid w:val="022EDD1D"/>
    <w:rsid w:val="02343CF8"/>
    <w:rsid w:val="02389601"/>
    <w:rsid w:val="0240B7A5"/>
    <w:rsid w:val="02420D43"/>
    <w:rsid w:val="02430890"/>
    <w:rsid w:val="024CCAC1"/>
    <w:rsid w:val="024CF1F1"/>
    <w:rsid w:val="02554280"/>
    <w:rsid w:val="02554346"/>
    <w:rsid w:val="025B61BB"/>
    <w:rsid w:val="025BD67D"/>
    <w:rsid w:val="025E5094"/>
    <w:rsid w:val="0261D1C4"/>
    <w:rsid w:val="02647929"/>
    <w:rsid w:val="026D0B3E"/>
    <w:rsid w:val="027B1003"/>
    <w:rsid w:val="02832B62"/>
    <w:rsid w:val="02949F0D"/>
    <w:rsid w:val="02A81508"/>
    <w:rsid w:val="02B0CE2D"/>
    <w:rsid w:val="02C9166E"/>
    <w:rsid w:val="02D513BB"/>
    <w:rsid w:val="02D9AAEC"/>
    <w:rsid w:val="02DDEEF0"/>
    <w:rsid w:val="02E405EC"/>
    <w:rsid w:val="02F029AE"/>
    <w:rsid w:val="03179A72"/>
    <w:rsid w:val="0326EE2E"/>
    <w:rsid w:val="03437E66"/>
    <w:rsid w:val="035079AC"/>
    <w:rsid w:val="035221F9"/>
    <w:rsid w:val="035807BA"/>
    <w:rsid w:val="036CAAD5"/>
    <w:rsid w:val="036CD074"/>
    <w:rsid w:val="037C81DE"/>
    <w:rsid w:val="037E6A4E"/>
    <w:rsid w:val="038169BC"/>
    <w:rsid w:val="03868A8B"/>
    <w:rsid w:val="03991747"/>
    <w:rsid w:val="039AD51A"/>
    <w:rsid w:val="03AA3C35"/>
    <w:rsid w:val="03B74FBC"/>
    <w:rsid w:val="03B80F80"/>
    <w:rsid w:val="03BDFE4B"/>
    <w:rsid w:val="03C2599D"/>
    <w:rsid w:val="03C77F04"/>
    <w:rsid w:val="03CB6BA0"/>
    <w:rsid w:val="03CF19EF"/>
    <w:rsid w:val="03D9398E"/>
    <w:rsid w:val="03E04BAD"/>
    <w:rsid w:val="03E76070"/>
    <w:rsid w:val="03EA9000"/>
    <w:rsid w:val="03EC1375"/>
    <w:rsid w:val="03F31B48"/>
    <w:rsid w:val="03FE00F9"/>
    <w:rsid w:val="04009389"/>
    <w:rsid w:val="04048510"/>
    <w:rsid w:val="0405AFF2"/>
    <w:rsid w:val="0409291B"/>
    <w:rsid w:val="040C50A1"/>
    <w:rsid w:val="041AFC5B"/>
    <w:rsid w:val="04204A9D"/>
    <w:rsid w:val="04249FE5"/>
    <w:rsid w:val="042B9665"/>
    <w:rsid w:val="0446811E"/>
    <w:rsid w:val="0449DF4E"/>
    <w:rsid w:val="044FB146"/>
    <w:rsid w:val="045E6657"/>
    <w:rsid w:val="0461F721"/>
    <w:rsid w:val="04677A12"/>
    <w:rsid w:val="046AF613"/>
    <w:rsid w:val="046B0A6E"/>
    <w:rsid w:val="046C10A7"/>
    <w:rsid w:val="047AB9A4"/>
    <w:rsid w:val="047B9550"/>
    <w:rsid w:val="047CEBA0"/>
    <w:rsid w:val="0487BBC8"/>
    <w:rsid w:val="048D40E9"/>
    <w:rsid w:val="048FD83C"/>
    <w:rsid w:val="04939254"/>
    <w:rsid w:val="049CDECF"/>
    <w:rsid w:val="04A0D2F5"/>
    <w:rsid w:val="04A9DF2B"/>
    <w:rsid w:val="04ADC64B"/>
    <w:rsid w:val="04B330EE"/>
    <w:rsid w:val="04C12A5E"/>
    <w:rsid w:val="04D78921"/>
    <w:rsid w:val="04E9AA47"/>
    <w:rsid w:val="04F962A0"/>
    <w:rsid w:val="04FC5D48"/>
    <w:rsid w:val="04FD70B7"/>
    <w:rsid w:val="0516F37B"/>
    <w:rsid w:val="051BB77C"/>
    <w:rsid w:val="052D6863"/>
    <w:rsid w:val="053140A0"/>
    <w:rsid w:val="05351B88"/>
    <w:rsid w:val="0536E607"/>
    <w:rsid w:val="053CE7FF"/>
    <w:rsid w:val="0542EDB6"/>
    <w:rsid w:val="05435482"/>
    <w:rsid w:val="054512A7"/>
    <w:rsid w:val="05536D1B"/>
    <w:rsid w:val="055C5187"/>
    <w:rsid w:val="0562DAE4"/>
    <w:rsid w:val="0571B65E"/>
    <w:rsid w:val="057DDF64"/>
    <w:rsid w:val="057EC250"/>
    <w:rsid w:val="05861EBD"/>
    <w:rsid w:val="058DF545"/>
    <w:rsid w:val="059E051D"/>
    <w:rsid w:val="05A6329F"/>
    <w:rsid w:val="05A7991E"/>
    <w:rsid w:val="05A94738"/>
    <w:rsid w:val="05AE0E33"/>
    <w:rsid w:val="05AF0F80"/>
    <w:rsid w:val="05B08B96"/>
    <w:rsid w:val="05C31E06"/>
    <w:rsid w:val="05C7601E"/>
    <w:rsid w:val="05C86C00"/>
    <w:rsid w:val="05CCF1AC"/>
    <w:rsid w:val="05D363D5"/>
    <w:rsid w:val="05EA318C"/>
    <w:rsid w:val="05F3CAE2"/>
    <w:rsid w:val="05F4EDB5"/>
    <w:rsid w:val="05F8F025"/>
    <w:rsid w:val="05FF3046"/>
    <w:rsid w:val="060E05AB"/>
    <w:rsid w:val="06114BDE"/>
    <w:rsid w:val="06176BCB"/>
    <w:rsid w:val="061B47DB"/>
    <w:rsid w:val="061F8D32"/>
    <w:rsid w:val="0625E450"/>
    <w:rsid w:val="062D677A"/>
    <w:rsid w:val="063F21BF"/>
    <w:rsid w:val="063F2F9C"/>
    <w:rsid w:val="0643AD0A"/>
    <w:rsid w:val="064A3DD5"/>
    <w:rsid w:val="06519141"/>
    <w:rsid w:val="06592B79"/>
    <w:rsid w:val="06900CF7"/>
    <w:rsid w:val="0692ABF1"/>
    <w:rsid w:val="0694AD31"/>
    <w:rsid w:val="069628CB"/>
    <w:rsid w:val="0696FCFC"/>
    <w:rsid w:val="0697710D"/>
    <w:rsid w:val="069C79E2"/>
    <w:rsid w:val="06A3F43D"/>
    <w:rsid w:val="06A4CF9C"/>
    <w:rsid w:val="06A514B2"/>
    <w:rsid w:val="06ACD7B2"/>
    <w:rsid w:val="06AEAD1E"/>
    <w:rsid w:val="06B88DED"/>
    <w:rsid w:val="06BA4A31"/>
    <w:rsid w:val="06BC21CE"/>
    <w:rsid w:val="06BD4A2E"/>
    <w:rsid w:val="06BE438B"/>
    <w:rsid w:val="06CC59B8"/>
    <w:rsid w:val="06FC4B0B"/>
    <w:rsid w:val="06FF81AB"/>
    <w:rsid w:val="0703EF89"/>
    <w:rsid w:val="0708468B"/>
    <w:rsid w:val="070F79C0"/>
    <w:rsid w:val="072E6C97"/>
    <w:rsid w:val="073195EA"/>
    <w:rsid w:val="0731C04B"/>
    <w:rsid w:val="0735D919"/>
    <w:rsid w:val="074F39E3"/>
    <w:rsid w:val="0758EAF8"/>
    <w:rsid w:val="0765014D"/>
    <w:rsid w:val="076D496A"/>
    <w:rsid w:val="077A3F4F"/>
    <w:rsid w:val="0784A89C"/>
    <w:rsid w:val="078D2B8A"/>
    <w:rsid w:val="07923BD1"/>
    <w:rsid w:val="0793A330"/>
    <w:rsid w:val="07982DC4"/>
    <w:rsid w:val="07A40F38"/>
    <w:rsid w:val="07AD274A"/>
    <w:rsid w:val="07BC3F5A"/>
    <w:rsid w:val="07C3210D"/>
    <w:rsid w:val="07C548C8"/>
    <w:rsid w:val="07CAC644"/>
    <w:rsid w:val="07CB0B07"/>
    <w:rsid w:val="07E039BB"/>
    <w:rsid w:val="07E47211"/>
    <w:rsid w:val="07EC14B3"/>
    <w:rsid w:val="07F5B3BC"/>
    <w:rsid w:val="07F67888"/>
    <w:rsid w:val="07FD420F"/>
    <w:rsid w:val="07FDC8AF"/>
    <w:rsid w:val="0805E1C7"/>
    <w:rsid w:val="080622FE"/>
    <w:rsid w:val="080F3FE6"/>
    <w:rsid w:val="081CB1A8"/>
    <w:rsid w:val="081DB091"/>
    <w:rsid w:val="08220366"/>
    <w:rsid w:val="0829E09B"/>
    <w:rsid w:val="083575ED"/>
    <w:rsid w:val="0835D01E"/>
    <w:rsid w:val="083A8E1D"/>
    <w:rsid w:val="083FED2B"/>
    <w:rsid w:val="08413544"/>
    <w:rsid w:val="08532CF5"/>
    <w:rsid w:val="0862A235"/>
    <w:rsid w:val="0881E0D0"/>
    <w:rsid w:val="08879F1B"/>
    <w:rsid w:val="08A5A668"/>
    <w:rsid w:val="08A5F723"/>
    <w:rsid w:val="08AA373A"/>
    <w:rsid w:val="08B2708B"/>
    <w:rsid w:val="08B9A8BC"/>
    <w:rsid w:val="08BD8344"/>
    <w:rsid w:val="08C79C70"/>
    <w:rsid w:val="08CAA420"/>
    <w:rsid w:val="08CF30CA"/>
    <w:rsid w:val="08D161E3"/>
    <w:rsid w:val="08D723AD"/>
    <w:rsid w:val="08D82DDE"/>
    <w:rsid w:val="08D9164B"/>
    <w:rsid w:val="08DB9105"/>
    <w:rsid w:val="08DCCAEE"/>
    <w:rsid w:val="08DFE2B8"/>
    <w:rsid w:val="08E0530C"/>
    <w:rsid w:val="08E5A705"/>
    <w:rsid w:val="08EDC744"/>
    <w:rsid w:val="08F16882"/>
    <w:rsid w:val="08F1DF99"/>
    <w:rsid w:val="08F553A4"/>
    <w:rsid w:val="08F9C115"/>
    <w:rsid w:val="08F9DE0A"/>
    <w:rsid w:val="08FE7AB7"/>
    <w:rsid w:val="0900B16F"/>
    <w:rsid w:val="090ACE7C"/>
    <w:rsid w:val="090B6FA3"/>
    <w:rsid w:val="090F3CE2"/>
    <w:rsid w:val="0926B346"/>
    <w:rsid w:val="092E79BB"/>
    <w:rsid w:val="0931A9AD"/>
    <w:rsid w:val="09370852"/>
    <w:rsid w:val="093B3FCE"/>
    <w:rsid w:val="0943CC6B"/>
    <w:rsid w:val="09468209"/>
    <w:rsid w:val="0954FF42"/>
    <w:rsid w:val="0955B9B8"/>
    <w:rsid w:val="09560B01"/>
    <w:rsid w:val="095EC37F"/>
    <w:rsid w:val="09671EE7"/>
    <w:rsid w:val="0986315F"/>
    <w:rsid w:val="098FB422"/>
    <w:rsid w:val="09B40308"/>
    <w:rsid w:val="09B76FCA"/>
    <w:rsid w:val="09BADEE7"/>
    <w:rsid w:val="09C19ABB"/>
    <w:rsid w:val="09CF8C4B"/>
    <w:rsid w:val="09D18EBB"/>
    <w:rsid w:val="09D99808"/>
    <w:rsid w:val="09DA8735"/>
    <w:rsid w:val="09E8CCF1"/>
    <w:rsid w:val="09E98543"/>
    <w:rsid w:val="09EFE9A6"/>
    <w:rsid w:val="0A084796"/>
    <w:rsid w:val="0A0D28F8"/>
    <w:rsid w:val="0A0EDD21"/>
    <w:rsid w:val="0A0FC976"/>
    <w:rsid w:val="0A290716"/>
    <w:rsid w:val="0A295D4B"/>
    <w:rsid w:val="0A2B8000"/>
    <w:rsid w:val="0A2CEFB3"/>
    <w:rsid w:val="0A354A04"/>
    <w:rsid w:val="0A3736E5"/>
    <w:rsid w:val="0A373752"/>
    <w:rsid w:val="0A3D06CC"/>
    <w:rsid w:val="0A4A0C9B"/>
    <w:rsid w:val="0A55A28F"/>
    <w:rsid w:val="0A6957C5"/>
    <w:rsid w:val="0A6ED521"/>
    <w:rsid w:val="0A72A58C"/>
    <w:rsid w:val="0A79CA12"/>
    <w:rsid w:val="0A7AED1C"/>
    <w:rsid w:val="0A8219D0"/>
    <w:rsid w:val="0A8CEB40"/>
    <w:rsid w:val="0A9202DC"/>
    <w:rsid w:val="0A963254"/>
    <w:rsid w:val="0A964EA2"/>
    <w:rsid w:val="0AA50770"/>
    <w:rsid w:val="0AB137BA"/>
    <w:rsid w:val="0AB4141B"/>
    <w:rsid w:val="0AC7ED85"/>
    <w:rsid w:val="0AC9F62D"/>
    <w:rsid w:val="0AE22A38"/>
    <w:rsid w:val="0AEBB472"/>
    <w:rsid w:val="0AF5B9FC"/>
    <w:rsid w:val="0AFBD9E2"/>
    <w:rsid w:val="0B047A45"/>
    <w:rsid w:val="0B076E81"/>
    <w:rsid w:val="0B0E8E7B"/>
    <w:rsid w:val="0B0F92CD"/>
    <w:rsid w:val="0B1BB13B"/>
    <w:rsid w:val="0B2825D4"/>
    <w:rsid w:val="0B300791"/>
    <w:rsid w:val="0B3007E9"/>
    <w:rsid w:val="0B36DE7A"/>
    <w:rsid w:val="0B48757B"/>
    <w:rsid w:val="0B4885FC"/>
    <w:rsid w:val="0B4AA930"/>
    <w:rsid w:val="0B5F0C62"/>
    <w:rsid w:val="0B646966"/>
    <w:rsid w:val="0B6D97F6"/>
    <w:rsid w:val="0B6E6C0D"/>
    <w:rsid w:val="0B7120C1"/>
    <w:rsid w:val="0B71D0F1"/>
    <w:rsid w:val="0B79B45A"/>
    <w:rsid w:val="0B841A4A"/>
    <w:rsid w:val="0B94ABA7"/>
    <w:rsid w:val="0BAF30C9"/>
    <w:rsid w:val="0BB81031"/>
    <w:rsid w:val="0BC30662"/>
    <w:rsid w:val="0BC4C701"/>
    <w:rsid w:val="0BC8F247"/>
    <w:rsid w:val="0BD074C6"/>
    <w:rsid w:val="0BD0FB77"/>
    <w:rsid w:val="0BD0FE92"/>
    <w:rsid w:val="0BD401BD"/>
    <w:rsid w:val="0BD6D2D0"/>
    <w:rsid w:val="0BD78EB4"/>
    <w:rsid w:val="0BDC2EA8"/>
    <w:rsid w:val="0BDE4AA5"/>
    <w:rsid w:val="0BEC2D89"/>
    <w:rsid w:val="0BF2698D"/>
    <w:rsid w:val="0BF4528F"/>
    <w:rsid w:val="0C06D5D7"/>
    <w:rsid w:val="0C0B6A88"/>
    <w:rsid w:val="0C0BC8C8"/>
    <w:rsid w:val="0C124C96"/>
    <w:rsid w:val="0C184CE2"/>
    <w:rsid w:val="0C22369F"/>
    <w:rsid w:val="0C229EC9"/>
    <w:rsid w:val="0C23028F"/>
    <w:rsid w:val="0C294373"/>
    <w:rsid w:val="0C2BCBC3"/>
    <w:rsid w:val="0C3C83BE"/>
    <w:rsid w:val="0C40D64D"/>
    <w:rsid w:val="0C463E05"/>
    <w:rsid w:val="0C46611A"/>
    <w:rsid w:val="0C4A7122"/>
    <w:rsid w:val="0C4BAD29"/>
    <w:rsid w:val="0C4C27BB"/>
    <w:rsid w:val="0C4E868D"/>
    <w:rsid w:val="0C4EECAA"/>
    <w:rsid w:val="0C6A6A0D"/>
    <w:rsid w:val="0C7361C9"/>
    <w:rsid w:val="0C74975F"/>
    <w:rsid w:val="0C79CC16"/>
    <w:rsid w:val="0C7E0BCE"/>
    <w:rsid w:val="0C80D075"/>
    <w:rsid w:val="0C8607F7"/>
    <w:rsid w:val="0C90ADBD"/>
    <w:rsid w:val="0C94E56E"/>
    <w:rsid w:val="0C95AE44"/>
    <w:rsid w:val="0C97AB13"/>
    <w:rsid w:val="0CA422D5"/>
    <w:rsid w:val="0CA7D7DC"/>
    <w:rsid w:val="0CAB4911"/>
    <w:rsid w:val="0CAC9D7C"/>
    <w:rsid w:val="0CB0578F"/>
    <w:rsid w:val="0CBBB19A"/>
    <w:rsid w:val="0CBC1A70"/>
    <w:rsid w:val="0CBCF7E5"/>
    <w:rsid w:val="0CC090E2"/>
    <w:rsid w:val="0CC1C4B8"/>
    <w:rsid w:val="0CCCA69B"/>
    <w:rsid w:val="0CCD4CA1"/>
    <w:rsid w:val="0CCEC4E7"/>
    <w:rsid w:val="0CCFF2D4"/>
    <w:rsid w:val="0CD06471"/>
    <w:rsid w:val="0CD439AB"/>
    <w:rsid w:val="0CDB4511"/>
    <w:rsid w:val="0CE17B5E"/>
    <w:rsid w:val="0CECCD62"/>
    <w:rsid w:val="0CEDD1C1"/>
    <w:rsid w:val="0CEE7E85"/>
    <w:rsid w:val="0CF04ECE"/>
    <w:rsid w:val="0CF346BD"/>
    <w:rsid w:val="0CF35D46"/>
    <w:rsid w:val="0CF6F72E"/>
    <w:rsid w:val="0CFA990F"/>
    <w:rsid w:val="0CFC1A2B"/>
    <w:rsid w:val="0D0E31B5"/>
    <w:rsid w:val="0D10BB64"/>
    <w:rsid w:val="0D13F23B"/>
    <w:rsid w:val="0D1A7BFF"/>
    <w:rsid w:val="0D1D19D7"/>
    <w:rsid w:val="0D2FFD29"/>
    <w:rsid w:val="0D3527B4"/>
    <w:rsid w:val="0D36BF5E"/>
    <w:rsid w:val="0D3BE09C"/>
    <w:rsid w:val="0D416E17"/>
    <w:rsid w:val="0D4CD755"/>
    <w:rsid w:val="0D4E5D85"/>
    <w:rsid w:val="0D5E353E"/>
    <w:rsid w:val="0D6FA9EB"/>
    <w:rsid w:val="0D7CCF8D"/>
    <w:rsid w:val="0D7D65E6"/>
    <w:rsid w:val="0D8C7A49"/>
    <w:rsid w:val="0D9468B8"/>
    <w:rsid w:val="0D9A7C5A"/>
    <w:rsid w:val="0D9D39A3"/>
    <w:rsid w:val="0DA7FA41"/>
    <w:rsid w:val="0DA8D6E6"/>
    <w:rsid w:val="0DBB2762"/>
    <w:rsid w:val="0DBD22D8"/>
    <w:rsid w:val="0DBFE43F"/>
    <w:rsid w:val="0DC218CD"/>
    <w:rsid w:val="0DC4107F"/>
    <w:rsid w:val="0DD1CB4A"/>
    <w:rsid w:val="0DD37160"/>
    <w:rsid w:val="0DDAFE40"/>
    <w:rsid w:val="0DDBAD67"/>
    <w:rsid w:val="0DDC0109"/>
    <w:rsid w:val="0DE2F720"/>
    <w:rsid w:val="0DE7E85D"/>
    <w:rsid w:val="0DEAD936"/>
    <w:rsid w:val="0DF539AF"/>
    <w:rsid w:val="0E0523E2"/>
    <w:rsid w:val="0E0A4CD4"/>
    <w:rsid w:val="0E0DDC54"/>
    <w:rsid w:val="0E11D6D7"/>
    <w:rsid w:val="0E23FE00"/>
    <w:rsid w:val="0E2537A2"/>
    <w:rsid w:val="0E258E4F"/>
    <w:rsid w:val="0E26C897"/>
    <w:rsid w:val="0E2BADB8"/>
    <w:rsid w:val="0E37D473"/>
    <w:rsid w:val="0E383D98"/>
    <w:rsid w:val="0E38706D"/>
    <w:rsid w:val="0E3946E1"/>
    <w:rsid w:val="0E3DF058"/>
    <w:rsid w:val="0E3E2B9A"/>
    <w:rsid w:val="0E45249B"/>
    <w:rsid w:val="0E5079C5"/>
    <w:rsid w:val="0E60EBB0"/>
    <w:rsid w:val="0E693FEE"/>
    <w:rsid w:val="0E6BBD1C"/>
    <w:rsid w:val="0E7494FC"/>
    <w:rsid w:val="0E76D042"/>
    <w:rsid w:val="0E7B4A48"/>
    <w:rsid w:val="0E7EFAE2"/>
    <w:rsid w:val="0E888B83"/>
    <w:rsid w:val="0E8AE00C"/>
    <w:rsid w:val="0E982106"/>
    <w:rsid w:val="0E9E1E12"/>
    <w:rsid w:val="0EA36074"/>
    <w:rsid w:val="0EA6C58D"/>
    <w:rsid w:val="0EB2A72C"/>
    <w:rsid w:val="0EB8842F"/>
    <w:rsid w:val="0EBC5B84"/>
    <w:rsid w:val="0EBDEA77"/>
    <w:rsid w:val="0EC7B158"/>
    <w:rsid w:val="0EE79AC7"/>
    <w:rsid w:val="0EF943CC"/>
    <w:rsid w:val="0EF94A83"/>
    <w:rsid w:val="0EFD506E"/>
    <w:rsid w:val="0F00EFF3"/>
    <w:rsid w:val="0F13159C"/>
    <w:rsid w:val="0F132AD2"/>
    <w:rsid w:val="0F1817C9"/>
    <w:rsid w:val="0F2544AD"/>
    <w:rsid w:val="0F33761F"/>
    <w:rsid w:val="0F4DD5A7"/>
    <w:rsid w:val="0F59529E"/>
    <w:rsid w:val="0F610B61"/>
    <w:rsid w:val="0F652DDC"/>
    <w:rsid w:val="0F6A663C"/>
    <w:rsid w:val="0F6AB02C"/>
    <w:rsid w:val="0F6BF2B6"/>
    <w:rsid w:val="0F6C7F4B"/>
    <w:rsid w:val="0F6EB7BD"/>
    <w:rsid w:val="0F7B7147"/>
    <w:rsid w:val="0F7DD16F"/>
    <w:rsid w:val="0F7EF128"/>
    <w:rsid w:val="0F8035B9"/>
    <w:rsid w:val="0F86D712"/>
    <w:rsid w:val="0F8873FE"/>
    <w:rsid w:val="0F8C2879"/>
    <w:rsid w:val="0F8CDBDA"/>
    <w:rsid w:val="0F95EF5C"/>
    <w:rsid w:val="0F9C9254"/>
    <w:rsid w:val="0FA63ABD"/>
    <w:rsid w:val="0FB32D57"/>
    <w:rsid w:val="0FB4C1F3"/>
    <w:rsid w:val="0FB66026"/>
    <w:rsid w:val="0FBA22F3"/>
    <w:rsid w:val="0FC09030"/>
    <w:rsid w:val="0FC78255"/>
    <w:rsid w:val="0FCB52C8"/>
    <w:rsid w:val="0FD8F840"/>
    <w:rsid w:val="0FDA1A77"/>
    <w:rsid w:val="0FE2E60C"/>
    <w:rsid w:val="0FF696B3"/>
    <w:rsid w:val="100182DC"/>
    <w:rsid w:val="1005BE46"/>
    <w:rsid w:val="1005D195"/>
    <w:rsid w:val="10085733"/>
    <w:rsid w:val="100C103D"/>
    <w:rsid w:val="100EE075"/>
    <w:rsid w:val="1020DE35"/>
    <w:rsid w:val="102FCAD7"/>
    <w:rsid w:val="1034FE70"/>
    <w:rsid w:val="103DFF5D"/>
    <w:rsid w:val="1043F5FD"/>
    <w:rsid w:val="1044B443"/>
    <w:rsid w:val="104DCA96"/>
    <w:rsid w:val="104E4C51"/>
    <w:rsid w:val="104F2032"/>
    <w:rsid w:val="105C04F3"/>
    <w:rsid w:val="10613257"/>
    <w:rsid w:val="10691EDE"/>
    <w:rsid w:val="106D3487"/>
    <w:rsid w:val="107439AF"/>
    <w:rsid w:val="1093ECF0"/>
    <w:rsid w:val="109A7B8A"/>
    <w:rsid w:val="10A4014E"/>
    <w:rsid w:val="10A43FD2"/>
    <w:rsid w:val="10A46725"/>
    <w:rsid w:val="10A8B1A9"/>
    <w:rsid w:val="10B13D05"/>
    <w:rsid w:val="10B1634B"/>
    <w:rsid w:val="10B236B6"/>
    <w:rsid w:val="10BE694C"/>
    <w:rsid w:val="10BF1A6F"/>
    <w:rsid w:val="10C01F8B"/>
    <w:rsid w:val="10C11216"/>
    <w:rsid w:val="10C3F924"/>
    <w:rsid w:val="10CBB1AB"/>
    <w:rsid w:val="10CE921F"/>
    <w:rsid w:val="10E28D71"/>
    <w:rsid w:val="10E43706"/>
    <w:rsid w:val="10E853B2"/>
    <w:rsid w:val="10F39827"/>
    <w:rsid w:val="10F61A2C"/>
    <w:rsid w:val="10F8992D"/>
    <w:rsid w:val="10FFDB82"/>
    <w:rsid w:val="1106DFF8"/>
    <w:rsid w:val="1107AF22"/>
    <w:rsid w:val="1109AEA5"/>
    <w:rsid w:val="110BC3CD"/>
    <w:rsid w:val="11103B31"/>
    <w:rsid w:val="1114D0DE"/>
    <w:rsid w:val="111DBDB0"/>
    <w:rsid w:val="1127065B"/>
    <w:rsid w:val="112B5253"/>
    <w:rsid w:val="112D9382"/>
    <w:rsid w:val="112FF749"/>
    <w:rsid w:val="11442B95"/>
    <w:rsid w:val="1154CA21"/>
    <w:rsid w:val="11576C3F"/>
    <w:rsid w:val="115A9E1B"/>
    <w:rsid w:val="116C843B"/>
    <w:rsid w:val="116F734F"/>
    <w:rsid w:val="11746CAF"/>
    <w:rsid w:val="11766B78"/>
    <w:rsid w:val="117DF193"/>
    <w:rsid w:val="117EE8DB"/>
    <w:rsid w:val="118590C2"/>
    <w:rsid w:val="118B7468"/>
    <w:rsid w:val="118C2A4A"/>
    <w:rsid w:val="11925948"/>
    <w:rsid w:val="119A0562"/>
    <w:rsid w:val="11A9C001"/>
    <w:rsid w:val="11AC588F"/>
    <w:rsid w:val="11B19A5D"/>
    <w:rsid w:val="11BFFB0B"/>
    <w:rsid w:val="11C4E7E8"/>
    <w:rsid w:val="11CBF374"/>
    <w:rsid w:val="11ECB685"/>
    <w:rsid w:val="11FA3454"/>
    <w:rsid w:val="11FC522D"/>
    <w:rsid w:val="12056DAB"/>
    <w:rsid w:val="120975B9"/>
    <w:rsid w:val="120F5C21"/>
    <w:rsid w:val="12103F84"/>
    <w:rsid w:val="12315ACB"/>
    <w:rsid w:val="1233E77B"/>
    <w:rsid w:val="1235CECC"/>
    <w:rsid w:val="125573A7"/>
    <w:rsid w:val="125B38CA"/>
    <w:rsid w:val="1268F4BA"/>
    <w:rsid w:val="126BD7ED"/>
    <w:rsid w:val="126BFDEB"/>
    <w:rsid w:val="126E7605"/>
    <w:rsid w:val="127290B5"/>
    <w:rsid w:val="12819431"/>
    <w:rsid w:val="12842155"/>
    <w:rsid w:val="12867460"/>
    <w:rsid w:val="1287698B"/>
    <w:rsid w:val="129821DB"/>
    <w:rsid w:val="12986028"/>
    <w:rsid w:val="1298ADB3"/>
    <w:rsid w:val="12A4A199"/>
    <w:rsid w:val="12A589F4"/>
    <w:rsid w:val="12A8E64F"/>
    <w:rsid w:val="12B2A85B"/>
    <w:rsid w:val="12B88A6A"/>
    <w:rsid w:val="12B893BA"/>
    <w:rsid w:val="12BDBA16"/>
    <w:rsid w:val="12C0784C"/>
    <w:rsid w:val="12C777A7"/>
    <w:rsid w:val="12CA2328"/>
    <w:rsid w:val="12DE9FED"/>
    <w:rsid w:val="12E22FF0"/>
    <w:rsid w:val="12E313CA"/>
    <w:rsid w:val="12E6C8E6"/>
    <w:rsid w:val="12F0D056"/>
    <w:rsid w:val="12F20DCC"/>
    <w:rsid w:val="12F9425E"/>
    <w:rsid w:val="12FC47A9"/>
    <w:rsid w:val="1305328E"/>
    <w:rsid w:val="130C975D"/>
    <w:rsid w:val="13171D16"/>
    <w:rsid w:val="131E8634"/>
    <w:rsid w:val="131EB4CC"/>
    <w:rsid w:val="133480D9"/>
    <w:rsid w:val="133D3460"/>
    <w:rsid w:val="13464D12"/>
    <w:rsid w:val="134729F3"/>
    <w:rsid w:val="134810CB"/>
    <w:rsid w:val="134D17E8"/>
    <w:rsid w:val="1350507A"/>
    <w:rsid w:val="13510D68"/>
    <w:rsid w:val="1352C31D"/>
    <w:rsid w:val="1357B0C1"/>
    <w:rsid w:val="1365022B"/>
    <w:rsid w:val="1365247C"/>
    <w:rsid w:val="136C02CB"/>
    <w:rsid w:val="136F4A00"/>
    <w:rsid w:val="13767C1E"/>
    <w:rsid w:val="13897B2E"/>
    <w:rsid w:val="13951D5E"/>
    <w:rsid w:val="1398631E"/>
    <w:rsid w:val="13A0141A"/>
    <w:rsid w:val="13A4E1AE"/>
    <w:rsid w:val="13AB9466"/>
    <w:rsid w:val="13B38468"/>
    <w:rsid w:val="13D1F069"/>
    <w:rsid w:val="13ED3B3E"/>
    <w:rsid w:val="13F9020F"/>
    <w:rsid w:val="13FD6974"/>
    <w:rsid w:val="13FF0627"/>
    <w:rsid w:val="1400B4B0"/>
    <w:rsid w:val="14027886"/>
    <w:rsid w:val="14031F0E"/>
    <w:rsid w:val="1419EE60"/>
    <w:rsid w:val="141E6552"/>
    <w:rsid w:val="1424ABDB"/>
    <w:rsid w:val="1425046C"/>
    <w:rsid w:val="1428F750"/>
    <w:rsid w:val="142E4517"/>
    <w:rsid w:val="1432F5E5"/>
    <w:rsid w:val="143557C4"/>
    <w:rsid w:val="1442DA8C"/>
    <w:rsid w:val="14437043"/>
    <w:rsid w:val="144CF209"/>
    <w:rsid w:val="144FA18D"/>
    <w:rsid w:val="145306F3"/>
    <w:rsid w:val="145373B0"/>
    <w:rsid w:val="14537BC6"/>
    <w:rsid w:val="145E7267"/>
    <w:rsid w:val="1462600F"/>
    <w:rsid w:val="1462C0C2"/>
    <w:rsid w:val="14654C8B"/>
    <w:rsid w:val="1467D5A5"/>
    <w:rsid w:val="14707F67"/>
    <w:rsid w:val="14727608"/>
    <w:rsid w:val="14748336"/>
    <w:rsid w:val="148D5516"/>
    <w:rsid w:val="1494E45D"/>
    <w:rsid w:val="149C006C"/>
    <w:rsid w:val="149D6401"/>
    <w:rsid w:val="14A9F370"/>
    <w:rsid w:val="14AE79D0"/>
    <w:rsid w:val="14B28C1D"/>
    <w:rsid w:val="14BA442C"/>
    <w:rsid w:val="14BD2CEC"/>
    <w:rsid w:val="14C51B19"/>
    <w:rsid w:val="14DBBA3C"/>
    <w:rsid w:val="14E31150"/>
    <w:rsid w:val="14ED8C6D"/>
    <w:rsid w:val="14F70120"/>
    <w:rsid w:val="14FAE90F"/>
    <w:rsid w:val="14FD1320"/>
    <w:rsid w:val="14FDE5D6"/>
    <w:rsid w:val="15055681"/>
    <w:rsid w:val="1509ACEF"/>
    <w:rsid w:val="1514CDBB"/>
    <w:rsid w:val="153035F0"/>
    <w:rsid w:val="153E9F4E"/>
    <w:rsid w:val="154FFB97"/>
    <w:rsid w:val="156925EE"/>
    <w:rsid w:val="156B3D89"/>
    <w:rsid w:val="15758EF1"/>
    <w:rsid w:val="157F5A79"/>
    <w:rsid w:val="1580F6F3"/>
    <w:rsid w:val="15891965"/>
    <w:rsid w:val="159069B9"/>
    <w:rsid w:val="1598DF98"/>
    <w:rsid w:val="159913AB"/>
    <w:rsid w:val="159DD5B9"/>
    <w:rsid w:val="15AE18DF"/>
    <w:rsid w:val="15B127B6"/>
    <w:rsid w:val="15B36A43"/>
    <w:rsid w:val="15C23BA4"/>
    <w:rsid w:val="15C805F6"/>
    <w:rsid w:val="15CB1259"/>
    <w:rsid w:val="15CD3AF7"/>
    <w:rsid w:val="15CD43B9"/>
    <w:rsid w:val="15E3975F"/>
    <w:rsid w:val="15E3D892"/>
    <w:rsid w:val="15E7D77A"/>
    <w:rsid w:val="15E91C66"/>
    <w:rsid w:val="15EBFA8A"/>
    <w:rsid w:val="15EE11C5"/>
    <w:rsid w:val="15EFE237"/>
    <w:rsid w:val="15F216C8"/>
    <w:rsid w:val="160043A9"/>
    <w:rsid w:val="1621D49A"/>
    <w:rsid w:val="1629DA9E"/>
    <w:rsid w:val="162B349D"/>
    <w:rsid w:val="162CAD39"/>
    <w:rsid w:val="1632A2E4"/>
    <w:rsid w:val="1632E75C"/>
    <w:rsid w:val="163CD179"/>
    <w:rsid w:val="163FC649"/>
    <w:rsid w:val="1647FF71"/>
    <w:rsid w:val="1653EA14"/>
    <w:rsid w:val="165D8965"/>
    <w:rsid w:val="166A4A56"/>
    <w:rsid w:val="167099B4"/>
    <w:rsid w:val="1677200B"/>
    <w:rsid w:val="167A9EA1"/>
    <w:rsid w:val="169731A6"/>
    <w:rsid w:val="169755FA"/>
    <w:rsid w:val="169D4F70"/>
    <w:rsid w:val="16B7E534"/>
    <w:rsid w:val="16BBB5CC"/>
    <w:rsid w:val="16D17CB9"/>
    <w:rsid w:val="16D24BB1"/>
    <w:rsid w:val="16D26CB2"/>
    <w:rsid w:val="16E7B9C8"/>
    <w:rsid w:val="16E9C667"/>
    <w:rsid w:val="16EB5C7B"/>
    <w:rsid w:val="16F80CB4"/>
    <w:rsid w:val="16FE87CA"/>
    <w:rsid w:val="1700C2DC"/>
    <w:rsid w:val="17017C1D"/>
    <w:rsid w:val="1702CA69"/>
    <w:rsid w:val="1707B7DA"/>
    <w:rsid w:val="170C1F39"/>
    <w:rsid w:val="170EE324"/>
    <w:rsid w:val="1712EDEA"/>
    <w:rsid w:val="171C1822"/>
    <w:rsid w:val="1725C140"/>
    <w:rsid w:val="17275014"/>
    <w:rsid w:val="172EAE69"/>
    <w:rsid w:val="1730EDF4"/>
    <w:rsid w:val="174DBAE0"/>
    <w:rsid w:val="17525F79"/>
    <w:rsid w:val="175A4445"/>
    <w:rsid w:val="17640440"/>
    <w:rsid w:val="17647520"/>
    <w:rsid w:val="176F7FF8"/>
    <w:rsid w:val="176F8B98"/>
    <w:rsid w:val="17769AEF"/>
    <w:rsid w:val="177E642B"/>
    <w:rsid w:val="1796412A"/>
    <w:rsid w:val="17982440"/>
    <w:rsid w:val="179EB887"/>
    <w:rsid w:val="17A27415"/>
    <w:rsid w:val="17A40CF4"/>
    <w:rsid w:val="17B34506"/>
    <w:rsid w:val="17B7193E"/>
    <w:rsid w:val="17BD2E48"/>
    <w:rsid w:val="17CC3012"/>
    <w:rsid w:val="17CC62F9"/>
    <w:rsid w:val="17DBAD10"/>
    <w:rsid w:val="17DBB882"/>
    <w:rsid w:val="17E8FD17"/>
    <w:rsid w:val="17ED3CE2"/>
    <w:rsid w:val="17F42E02"/>
    <w:rsid w:val="17FE043F"/>
    <w:rsid w:val="17FF141D"/>
    <w:rsid w:val="17FF19B2"/>
    <w:rsid w:val="18078E72"/>
    <w:rsid w:val="180A8115"/>
    <w:rsid w:val="181C6CC6"/>
    <w:rsid w:val="182BCFBA"/>
    <w:rsid w:val="18380D05"/>
    <w:rsid w:val="1841BDFD"/>
    <w:rsid w:val="185EC945"/>
    <w:rsid w:val="185F2191"/>
    <w:rsid w:val="18607BA4"/>
    <w:rsid w:val="18718BFB"/>
    <w:rsid w:val="18735BE5"/>
    <w:rsid w:val="1876C783"/>
    <w:rsid w:val="1883C2F4"/>
    <w:rsid w:val="188A5586"/>
    <w:rsid w:val="1892E6D9"/>
    <w:rsid w:val="1894A23A"/>
    <w:rsid w:val="1895402F"/>
    <w:rsid w:val="1898D485"/>
    <w:rsid w:val="189D0E01"/>
    <w:rsid w:val="18A71FD4"/>
    <w:rsid w:val="18AF5BB7"/>
    <w:rsid w:val="18B7104D"/>
    <w:rsid w:val="18B738F3"/>
    <w:rsid w:val="18C37F9A"/>
    <w:rsid w:val="18C3E3A5"/>
    <w:rsid w:val="18C9A58A"/>
    <w:rsid w:val="18CE4135"/>
    <w:rsid w:val="18CFF7DD"/>
    <w:rsid w:val="18E95141"/>
    <w:rsid w:val="18EF5701"/>
    <w:rsid w:val="18F09AA2"/>
    <w:rsid w:val="18FD2707"/>
    <w:rsid w:val="190AE083"/>
    <w:rsid w:val="190DEADD"/>
    <w:rsid w:val="190F522C"/>
    <w:rsid w:val="191A5E6F"/>
    <w:rsid w:val="192CD976"/>
    <w:rsid w:val="192F8ECF"/>
    <w:rsid w:val="19475055"/>
    <w:rsid w:val="195300AB"/>
    <w:rsid w:val="195AC6FB"/>
    <w:rsid w:val="195BA5EB"/>
    <w:rsid w:val="19659CCB"/>
    <w:rsid w:val="19736373"/>
    <w:rsid w:val="1980EDE7"/>
    <w:rsid w:val="1981C9A7"/>
    <w:rsid w:val="19828BAA"/>
    <w:rsid w:val="19845D3D"/>
    <w:rsid w:val="1987A2A6"/>
    <w:rsid w:val="1995217C"/>
    <w:rsid w:val="19983A0B"/>
    <w:rsid w:val="199E1D6A"/>
    <w:rsid w:val="199F3E5B"/>
    <w:rsid w:val="19A59CDF"/>
    <w:rsid w:val="19A7BAE3"/>
    <w:rsid w:val="19B32E1A"/>
    <w:rsid w:val="19C0AB17"/>
    <w:rsid w:val="19C3811B"/>
    <w:rsid w:val="19C99F5C"/>
    <w:rsid w:val="19CA5983"/>
    <w:rsid w:val="19DC4DC3"/>
    <w:rsid w:val="19DD1F7C"/>
    <w:rsid w:val="19E50EFE"/>
    <w:rsid w:val="19EDED0D"/>
    <w:rsid w:val="19FC7796"/>
    <w:rsid w:val="1A02A0EF"/>
    <w:rsid w:val="1A0ADFA8"/>
    <w:rsid w:val="1A0BAABE"/>
    <w:rsid w:val="1A1FCFDF"/>
    <w:rsid w:val="1A28D030"/>
    <w:rsid w:val="1A2B8414"/>
    <w:rsid w:val="1A34E6B1"/>
    <w:rsid w:val="1A431E79"/>
    <w:rsid w:val="1A444ABD"/>
    <w:rsid w:val="1A445ACC"/>
    <w:rsid w:val="1A44A4D2"/>
    <w:rsid w:val="1A4B1C65"/>
    <w:rsid w:val="1A540423"/>
    <w:rsid w:val="1A5974B4"/>
    <w:rsid w:val="1A62FF2C"/>
    <w:rsid w:val="1A6CD1BF"/>
    <w:rsid w:val="1A7C6CB8"/>
    <w:rsid w:val="1A889952"/>
    <w:rsid w:val="1A9041C8"/>
    <w:rsid w:val="1AA0CB9D"/>
    <w:rsid w:val="1AAB9043"/>
    <w:rsid w:val="1AC33684"/>
    <w:rsid w:val="1AC5CC3A"/>
    <w:rsid w:val="1AC8E2C8"/>
    <w:rsid w:val="1ACC369E"/>
    <w:rsid w:val="1ACD26F4"/>
    <w:rsid w:val="1AD3A0B2"/>
    <w:rsid w:val="1AD8AF69"/>
    <w:rsid w:val="1AD96A11"/>
    <w:rsid w:val="1AE04F93"/>
    <w:rsid w:val="1AFF522A"/>
    <w:rsid w:val="1B053E3E"/>
    <w:rsid w:val="1B0AC2D8"/>
    <w:rsid w:val="1B114A33"/>
    <w:rsid w:val="1B165E1A"/>
    <w:rsid w:val="1B1CC9D6"/>
    <w:rsid w:val="1B265034"/>
    <w:rsid w:val="1B2ACD3F"/>
    <w:rsid w:val="1B3A4FEA"/>
    <w:rsid w:val="1B3B1E90"/>
    <w:rsid w:val="1B3D4C80"/>
    <w:rsid w:val="1B49C24F"/>
    <w:rsid w:val="1B4CB4CB"/>
    <w:rsid w:val="1B552047"/>
    <w:rsid w:val="1B60CFD7"/>
    <w:rsid w:val="1B6CEC95"/>
    <w:rsid w:val="1B72AFC8"/>
    <w:rsid w:val="1B77E4CE"/>
    <w:rsid w:val="1B78F6D4"/>
    <w:rsid w:val="1B91E1FA"/>
    <w:rsid w:val="1B9359A6"/>
    <w:rsid w:val="1B9A7DD3"/>
    <w:rsid w:val="1BAC5941"/>
    <w:rsid w:val="1BB00659"/>
    <w:rsid w:val="1BB0C5A8"/>
    <w:rsid w:val="1BB4D66B"/>
    <w:rsid w:val="1BB6A249"/>
    <w:rsid w:val="1BB6BB20"/>
    <w:rsid w:val="1BBAC01C"/>
    <w:rsid w:val="1BBB41B2"/>
    <w:rsid w:val="1BBD0121"/>
    <w:rsid w:val="1BBD7354"/>
    <w:rsid w:val="1BCAF692"/>
    <w:rsid w:val="1BDA00BF"/>
    <w:rsid w:val="1BE06A33"/>
    <w:rsid w:val="1BEF916C"/>
    <w:rsid w:val="1BF35C52"/>
    <w:rsid w:val="1BFDB5BF"/>
    <w:rsid w:val="1BFE9D9E"/>
    <w:rsid w:val="1C0414E5"/>
    <w:rsid w:val="1C07442A"/>
    <w:rsid w:val="1C084C6C"/>
    <w:rsid w:val="1C0BC2C5"/>
    <w:rsid w:val="1C0BC6B6"/>
    <w:rsid w:val="1C12E2AE"/>
    <w:rsid w:val="1C18B4E9"/>
    <w:rsid w:val="1C4040B4"/>
    <w:rsid w:val="1C45AD1D"/>
    <w:rsid w:val="1C466666"/>
    <w:rsid w:val="1C5A48C3"/>
    <w:rsid w:val="1C5F0D69"/>
    <w:rsid w:val="1C6C72BB"/>
    <w:rsid w:val="1C71F10D"/>
    <w:rsid w:val="1C78EC54"/>
    <w:rsid w:val="1C7DFF59"/>
    <w:rsid w:val="1C851CA6"/>
    <w:rsid w:val="1C8B8296"/>
    <w:rsid w:val="1C8B8F76"/>
    <w:rsid w:val="1C9492ED"/>
    <w:rsid w:val="1CA7F346"/>
    <w:rsid w:val="1CAEA5FE"/>
    <w:rsid w:val="1CAF4148"/>
    <w:rsid w:val="1CB30E15"/>
    <w:rsid w:val="1CC173C2"/>
    <w:rsid w:val="1CC86B10"/>
    <w:rsid w:val="1CC89D05"/>
    <w:rsid w:val="1CCA31A4"/>
    <w:rsid w:val="1CDA3DD3"/>
    <w:rsid w:val="1CDE8A22"/>
    <w:rsid w:val="1CE54E91"/>
    <w:rsid w:val="1CE7DF5D"/>
    <w:rsid w:val="1CE8CEA7"/>
    <w:rsid w:val="1CEEDF10"/>
    <w:rsid w:val="1D05D4E6"/>
    <w:rsid w:val="1D209972"/>
    <w:rsid w:val="1D39FDBF"/>
    <w:rsid w:val="1D40F5ED"/>
    <w:rsid w:val="1D526776"/>
    <w:rsid w:val="1D6AFEA0"/>
    <w:rsid w:val="1D7764DA"/>
    <w:rsid w:val="1D7D9275"/>
    <w:rsid w:val="1D866488"/>
    <w:rsid w:val="1D92A85B"/>
    <w:rsid w:val="1D99062B"/>
    <w:rsid w:val="1DA2C63C"/>
    <w:rsid w:val="1DA62C9B"/>
    <w:rsid w:val="1DA690B5"/>
    <w:rsid w:val="1DAE4348"/>
    <w:rsid w:val="1DB84BD3"/>
    <w:rsid w:val="1DC3A441"/>
    <w:rsid w:val="1DCE2CD6"/>
    <w:rsid w:val="1DDF2EE5"/>
    <w:rsid w:val="1DDF4293"/>
    <w:rsid w:val="1DE54F31"/>
    <w:rsid w:val="1DEAB637"/>
    <w:rsid w:val="1DED5EB5"/>
    <w:rsid w:val="1E0BE4EA"/>
    <w:rsid w:val="1E0EA8D8"/>
    <w:rsid w:val="1E210668"/>
    <w:rsid w:val="1E3787AE"/>
    <w:rsid w:val="1E39DF44"/>
    <w:rsid w:val="1E3E9629"/>
    <w:rsid w:val="1E3F23EF"/>
    <w:rsid w:val="1E4D044B"/>
    <w:rsid w:val="1E53739D"/>
    <w:rsid w:val="1E5E7A68"/>
    <w:rsid w:val="1E67CCEC"/>
    <w:rsid w:val="1E68ACDE"/>
    <w:rsid w:val="1E6AED45"/>
    <w:rsid w:val="1E710D35"/>
    <w:rsid w:val="1E863FD2"/>
    <w:rsid w:val="1E8AF190"/>
    <w:rsid w:val="1E912E77"/>
    <w:rsid w:val="1E9C1EE0"/>
    <w:rsid w:val="1E9CD22A"/>
    <w:rsid w:val="1EAB5D90"/>
    <w:rsid w:val="1EBD7DB0"/>
    <w:rsid w:val="1ED68317"/>
    <w:rsid w:val="1EDCD421"/>
    <w:rsid w:val="1EDFE29C"/>
    <w:rsid w:val="1EE14843"/>
    <w:rsid w:val="1EE71DD1"/>
    <w:rsid w:val="1EEF7BDB"/>
    <w:rsid w:val="1EF67EF5"/>
    <w:rsid w:val="1EF7FC2E"/>
    <w:rsid w:val="1F109DBD"/>
    <w:rsid w:val="1F11736B"/>
    <w:rsid w:val="1F118450"/>
    <w:rsid w:val="1F13B5DF"/>
    <w:rsid w:val="1F1595D1"/>
    <w:rsid w:val="1F1A8C18"/>
    <w:rsid w:val="1F22D8E5"/>
    <w:rsid w:val="1F2E5A74"/>
    <w:rsid w:val="1F30E887"/>
    <w:rsid w:val="1F311E6F"/>
    <w:rsid w:val="1F330CE7"/>
    <w:rsid w:val="1F356A4F"/>
    <w:rsid w:val="1F3AAD06"/>
    <w:rsid w:val="1F3AEE41"/>
    <w:rsid w:val="1F44E3ED"/>
    <w:rsid w:val="1F50CAD5"/>
    <w:rsid w:val="1F51F6CE"/>
    <w:rsid w:val="1F5817BF"/>
    <w:rsid w:val="1F5FD1A9"/>
    <w:rsid w:val="1F68D21E"/>
    <w:rsid w:val="1F6A8299"/>
    <w:rsid w:val="1F6E6046"/>
    <w:rsid w:val="1F7465F3"/>
    <w:rsid w:val="1F80D413"/>
    <w:rsid w:val="1F81C895"/>
    <w:rsid w:val="1FA85E60"/>
    <w:rsid w:val="1FAA20C3"/>
    <w:rsid w:val="1FB08864"/>
    <w:rsid w:val="1FB198EA"/>
    <w:rsid w:val="1FC556FE"/>
    <w:rsid w:val="1FD414F8"/>
    <w:rsid w:val="1FDB5CC3"/>
    <w:rsid w:val="1FDC74F5"/>
    <w:rsid w:val="1FDE6280"/>
    <w:rsid w:val="1FE0772C"/>
    <w:rsid w:val="1FE52A78"/>
    <w:rsid w:val="1FE83656"/>
    <w:rsid w:val="1FEC5243"/>
    <w:rsid w:val="1FF09FAF"/>
    <w:rsid w:val="1FF1CDD8"/>
    <w:rsid w:val="1FF78048"/>
    <w:rsid w:val="2006CC7F"/>
    <w:rsid w:val="200B336B"/>
    <w:rsid w:val="200C5FBA"/>
    <w:rsid w:val="20204D83"/>
    <w:rsid w:val="20284D2D"/>
    <w:rsid w:val="202BEB4A"/>
    <w:rsid w:val="202CAEEA"/>
    <w:rsid w:val="202FD245"/>
    <w:rsid w:val="202FDC55"/>
    <w:rsid w:val="203C8258"/>
    <w:rsid w:val="203DABE8"/>
    <w:rsid w:val="20415913"/>
    <w:rsid w:val="204465EB"/>
    <w:rsid w:val="2045797C"/>
    <w:rsid w:val="2045DD67"/>
    <w:rsid w:val="20465769"/>
    <w:rsid w:val="20491015"/>
    <w:rsid w:val="205046D8"/>
    <w:rsid w:val="2059AF85"/>
    <w:rsid w:val="205E391F"/>
    <w:rsid w:val="2076750D"/>
    <w:rsid w:val="20876872"/>
    <w:rsid w:val="20932E6B"/>
    <w:rsid w:val="2099EAF6"/>
    <w:rsid w:val="209E643B"/>
    <w:rsid w:val="20A04163"/>
    <w:rsid w:val="20ACCE37"/>
    <w:rsid w:val="20B1B817"/>
    <w:rsid w:val="20B43581"/>
    <w:rsid w:val="20B447C3"/>
    <w:rsid w:val="20B5E8F5"/>
    <w:rsid w:val="20BA80E6"/>
    <w:rsid w:val="20BDFD83"/>
    <w:rsid w:val="20C69814"/>
    <w:rsid w:val="20D4B08B"/>
    <w:rsid w:val="20D97F38"/>
    <w:rsid w:val="20DC7B10"/>
    <w:rsid w:val="20E6701C"/>
    <w:rsid w:val="20F1ED0B"/>
    <w:rsid w:val="20FDE582"/>
    <w:rsid w:val="21013F4F"/>
    <w:rsid w:val="21046A7D"/>
    <w:rsid w:val="21049F4C"/>
    <w:rsid w:val="2106813B"/>
    <w:rsid w:val="210732B4"/>
    <w:rsid w:val="2110738F"/>
    <w:rsid w:val="2113F9A4"/>
    <w:rsid w:val="211B247A"/>
    <w:rsid w:val="2123413D"/>
    <w:rsid w:val="212AF490"/>
    <w:rsid w:val="21329B09"/>
    <w:rsid w:val="2139A764"/>
    <w:rsid w:val="213E0505"/>
    <w:rsid w:val="214D6A10"/>
    <w:rsid w:val="215DF34F"/>
    <w:rsid w:val="2161DE3D"/>
    <w:rsid w:val="21689856"/>
    <w:rsid w:val="216B1BC1"/>
    <w:rsid w:val="216F7A97"/>
    <w:rsid w:val="217124E4"/>
    <w:rsid w:val="2174D188"/>
    <w:rsid w:val="2178F424"/>
    <w:rsid w:val="217BEE84"/>
    <w:rsid w:val="2188420A"/>
    <w:rsid w:val="218EF356"/>
    <w:rsid w:val="21969F44"/>
    <w:rsid w:val="21ACC625"/>
    <w:rsid w:val="21C7B5E0"/>
    <w:rsid w:val="21E14E6B"/>
    <w:rsid w:val="21E26BCC"/>
    <w:rsid w:val="21E43A90"/>
    <w:rsid w:val="21E4C7F4"/>
    <w:rsid w:val="21E98B2C"/>
    <w:rsid w:val="21ECA80C"/>
    <w:rsid w:val="2206016C"/>
    <w:rsid w:val="220A5478"/>
    <w:rsid w:val="220B4749"/>
    <w:rsid w:val="22155714"/>
    <w:rsid w:val="221ADAD6"/>
    <w:rsid w:val="22280A49"/>
    <w:rsid w:val="2229C838"/>
    <w:rsid w:val="2233EF04"/>
    <w:rsid w:val="223813D1"/>
    <w:rsid w:val="2248B68F"/>
    <w:rsid w:val="2249AFD6"/>
    <w:rsid w:val="224C0105"/>
    <w:rsid w:val="224EA08E"/>
    <w:rsid w:val="224F5AD6"/>
    <w:rsid w:val="225263B6"/>
    <w:rsid w:val="22526ED2"/>
    <w:rsid w:val="225B13EE"/>
    <w:rsid w:val="22646BCD"/>
    <w:rsid w:val="226A9EC7"/>
    <w:rsid w:val="227D4B5C"/>
    <w:rsid w:val="22875D92"/>
    <w:rsid w:val="2293C255"/>
    <w:rsid w:val="22A922D6"/>
    <w:rsid w:val="22A97A27"/>
    <w:rsid w:val="22A9B1B3"/>
    <w:rsid w:val="22AA8E1A"/>
    <w:rsid w:val="22AC1D45"/>
    <w:rsid w:val="22AFBEAF"/>
    <w:rsid w:val="22BD7E6A"/>
    <w:rsid w:val="22C47A2C"/>
    <w:rsid w:val="22C995EC"/>
    <w:rsid w:val="22D840E9"/>
    <w:rsid w:val="22DD62C9"/>
    <w:rsid w:val="22E6A3AF"/>
    <w:rsid w:val="22ECC456"/>
    <w:rsid w:val="22EF6D8B"/>
    <w:rsid w:val="22F61E4F"/>
    <w:rsid w:val="22F75738"/>
    <w:rsid w:val="22FAE64A"/>
    <w:rsid w:val="23002CF5"/>
    <w:rsid w:val="230AE9C9"/>
    <w:rsid w:val="230C208B"/>
    <w:rsid w:val="230D756E"/>
    <w:rsid w:val="230E501F"/>
    <w:rsid w:val="231F2981"/>
    <w:rsid w:val="2328D9ED"/>
    <w:rsid w:val="233A0F08"/>
    <w:rsid w:val="2344914C"/>
    <w:rsid w:val="234C800A"/>
    <w:rsid w:val="23566771"/>
    <w:rsid w:val="235DB614"/>
    <w:rsid w:val="235E3028"/>
    <w:rsid w:val="2363A914"/>
    <w:rsid w:val="23740482"/>
    <w:rsid w:val="2385D251"/>
    <w:rsid w:val="2389B03D"/>
    <w:rsid w:val="238AD2C9"/>
    <w:rsid w:val="238BB4CE"/>
    <w:rsid w:val="23970670"/>
    <w:rsid w:val="23A63255"/>
    <w:rsid w:val="23B40B43"/>
    <w:rsid w:val="23B6D256"/>
    <w:rsid w:val="23C52386"/>
    <w:rsid w:val="23C576C0"/>
    <w:rsid w:val="23CD17E2"/>
    <w:rsid w:val="23D861E0"/>
    <w:rsid w:val="23E2E074"/>
    <w:rsid w:val="23E5E9CF"/>
    <w:rsid w:val="240746E8"/>
    <w:rsid w:val="2407885F"/>
    <w:rsid w:val="240ABF88"/>
    <w:rsid w:val="240FBBDE"/>
    <w:rsid w:val="241A8599"/>
    <w:rsid w:val="241E57F9"/>
    <w:rsid w:val="24246450"/>
    <w:rsid w:val="24265679"/>
    <w:rsid w:val="242891D0"/>
    <w:rsid w:val="242DED06"/>
    <w:rsid w:val="242FCBBA"/>
    <w:rsid w:val="243E5EA0"/>
    <w:rsid w:val="2443F0FC"/>
    <w:rsid w:val="24486F64"/>
    <w:rsid w:val="244E6012"/>
    <w:rsid w:val="246B6B9A"/>
    <w:rsid w:val="247E106E"/>
    <w:rsid w:val="24934C09"/>
    <w:rsid w:val="249B240F"/>
    <w:rsid w:val="24A9940A"/>
    <w:rsid w:val="24B79F02"/>
    <w:rsid w:val="24C001FF"/>
    <w:rsid w:val="24C10D96"/>
    <w:rsid w:val="24C24057"/>
    <w:rsid w:val="24C50BB1"/>
    <w:rsid w:val="24CA844D"/>
    <w:rsid w:val="24CDEC4D"/>
    <w:rsid w:val="24CEB3AA"/>
    <w:rsid w:val="24D2F14E"/>
    <w:rsid w:val="24EA91FC"/>
    <w:rsid w:val="24F837B2"/>
    <w:rsid w:val="24FD65C0"/>
    <w:rsid w:val="2502E55C"/>
    <w:rsid w:val="25047F0C"/>
    <w:rsid w:val="2508BE14"/>
    <w:rsid w:val="2508E368"/>
    <w:rsid w:val="2509ACA0"/>
    <w:rsid w:val="251ADB39"/>
    <w:rsid w:val="253BE40F"/>
    <w:rsid w:val="25426D28"/>
    <w:rsid w:val="2553F6FB"/>
    <w:rsid w:val="255A5341"/>
    <w:rsid w:val="255C1834"/>
    <w:rsid w:val="255C8F1C"/>
    <w:rsid w:val="255E6E9A"/>
    <w:rsid w:val="256203D5"/>
    <w:rsid w:val="25698FD8"/>
    <w:rsid w:val="25725E22"/>
    <w:rsid w:val="2574ACC8"/>
    <w:rsid w:val="257760A0"/>
    <w:rsid w:val="257804BB"/>
    <w:rsid w:val="258AF3D6"/>
    <w:rsid w:val="258C7D38"/>
    <w:rsid w:val="2599E216"/>
    <w:rsid w:val="259A2667"/>
    <w:rsid w:val="25A548CA"/>
    <w:rsid w:val="25A617A1"/>
    <w:rsid w:val="25B32EF1"/>
    <w:rsid w:val="25B6D08E"/>
    <w:rsid w:val="25B6EA31"/>
    <w:rsid w:val="25C6ED3B"/>
    <w:rsid w:val="25C9EE4F"/>
    <w:rsid w:val="25D17B25"/>
    <w:rsid w:val="25EAD275"/>
    <w:rsid w:val="25EFDE63"/>
    <w:rsid w:val="2601A207"/>
    <w:rsid w:val="26093CFD"/>
    <w:rsid w:val="2613F295"/>
    <w:rsid w:val="26170917"/>
    <w:rsid w:val="2619929C"/>
    <w:rsid w:val="261EE0D3"/>
    <w:rsid w:val="26348974"/>
    <w:rsid w:val="263B4ED9"/>
    <w:rsid w:val="2646536B"/>
    <w:rsid w:val="265035A3"/>
    <w:rsid w:val="2658B0EF"/>
    <w:rsid w:val="265DDFA2"/>
    <w:rsid w:val="26601A12"/>
    <w:rsid w:val="2662CEA1"/>
    <w:rsid w:val="2663957B"/>
    <w:rsid w:val="267ECB6E"/>
    <w:rsid w:val="2685FE5E"/>
    <w:rsid w:val="26981C0C"/>
    <w:rsid w:val="26A3E7CA"/>
    <w:rsid w:val="26BC5B01"/>
    <w:rsid w:val="26C33E19"/>
    <w:rsid w:val="26CE7658"/>
    <w:rsid w:val="26CF1DDB"/>
    <w:rsid w:val="26DFDCEC"/>
    <w:rsid w:val="26E0E467"/>
    <w:rsid w:val="26ED7DA1"/>
    <w:rsid w:val="26EEF70F"/>
    <w:rsid w:val="26F030C8"/>
    <w:rsid w:val="26F3FF44"/>
    <w:rsid w:val="26F46F3F"/>
    <w:rsid w:val="26F9470A"/>
    <w:rsid w:val="271C58FC"/>
    <w:rsid w:val="271C590C"/>
    <w:rsid w:val="271CFC7A"/>
    <w:rsid w:val="2735D34E"/>
    <w:rsid w:val="2743E862"/>
    <w:rsid w:val="27456F51"/>
    <w:rsid w:val="2749E9A2"/>
    <w:rsid w:val="274E59B1"/>
    <w:rsid w:val="2757D522"/>
    <w:rsid w:val="275BD263"/>
    <w:rsid w:val="27665462"/>
    <w:rsid w:val="276F9226"/>
    <w:rsid w:val="27738CAF"/>
    <w:rsid w:val="277E89E5"/>
    <w:rsid w:val="27821617"/>
    <w:rsid w:val="278782EC"/>
    <w:rsid w:val="2788119D"/>
    <w:rsid w:val="278CD6EC"/>
    <w:rsid w:val="278F0D30"/>
    <w:rsid w:val="27922DF5"/>
    <w:rsid w:val="27A3FE7B"/>
    <w:rsid w:val="27A79E91"/>
    <w:rsid w:val="27AA8113"/>
    <w:rsid w:val="27B28656"/>
    <w:rsid w:val="27B4CEC6"/>
    <w:rsid w:val="27B82B6D"/>
    <w:rsid w:val="27BD6B02"/>
    <w:rsid w:val="27C0C11C"/>
    <w:rsid w:val="27D08EC0"/>
    <w:rsid w:val="27DB0141"/>
    <w:rsid w:val="27DBF552"/>
    <w:rsid w:val="27DF0380"/>
    <w:rsid w:val="27E3EA47"/>
    <w:rsid w:val="27F174F5"/>
    <w:rsid w:val="27F1A560"/>
    <w:rsid w:val="27FFE47A"/>
    <w:rsid w:val="280D0C78"/>
    <w:rsid w:val="282541D0"/>
    <w:rsid w:val="283B2895"/>
    <w:rsid w:val="283CEB25"/>
    <w:rsid w:val="283D14C7"/>
    <w:rsid w:val="2845B2D6"/>
    <w:rsid w:val="2846231F"/>
    <w:rsid w:val="285D67F9"/>
    <w:rsid w:val="286433F2"/>
    <w:rsid w:val="288E51A5"/>
    <w:rsid w:val="2891C11D"/>
    <w:rsid w:val="289F0E61"/>
    <w:rsid w:val="28A21639"/>
    <w:rsid w:val="28ACA559"/>
    <w:rsid w:val="28BA9A39"/>
    <w:rsid w:val="28C4EEB2"/>
    <w:rsid w:val="28D60892"/>
    <w:rsid w:val="28D7D9F7"/>
    <w:rsid w:val="28DE45E6"/>
    <w:rsid w:val="28E25633"/>
    <w:rsid w:val="28EDC394"/>
    <w:rsid w:val="28F29BE3"/>
    <w:rsid w:val="28F765CC"/>
    <w:rsid w:val="28F8AC30"/>
    <w:rsid w:val="28FD8ADF"/>
    <w:rsid w:val="29157D97"/>
    <w:rsid w:val="2924C437"/>
    <w:rsid w:val="292592B4"/>
    <w:rsid w:val="292F5913"/>
    <w:rsid w:val="2942ED59"/>
    <w:rsid w:val="294415DF"/>
    <w:rsid w:val="29486D80"/>
    <w:rsid w:val="295F1618"/>
    <w:rsid w:val="296C8AC1"/>
    <w:rsid w:val="297838D9"/>
    <w:rsid w:val="297B3BE5"/>
    <w:rsid w:val="298A189E"/>
    <w:rsid w:val="298BB511"/>
    <w:rsid w:val="29A4398E"/>
    <w:rsid w:val="29A947B3"/>
    <w:rsid w:val="29AC4BC9"/>
    <w:rsid w:val="29AF9167"/>
    <w:rsid w:val="29B288D3"/>
    <w:rsid w:val="29B81902"/>
    <w:rsid w:val="29BCD689"/>
    <w:rsid w:val="29C9FCE3"/>
    <w:rsid w:val="29CB65BE"/>
    <w:rsid w:val="29DB6E60"/>
    <w:rsid w:val="29DD0BCE"/>
    <w:rsid w:val="29E356BF"/>
    <w:rsid w:val="29E5CBF5"/>
    <w:rsid w:val="29E6B838"/>
    <w:rsid w:val="2A0B3F3A"/>
    <w:rsid w:val="2A138CC6"/>
    <w:rsid w:val="2A13F944"/>
    <w:rsid w:val="2A143935"/>
    <w:rsid w:val="2A36E722"/>
    <w:rsid w:val="2A3A2A4F"/>
    <w:rsid w:val="2A3D9E99"/>
    <w:rsid w:val="2A3F4462"/>
    <w:rsid w:val="2A48BB99"/>
    <w:rsid w:val="2A5481A8"/>
    <w:rsid w:val="2A5701A3"/>
    <w:rsid w:val="2A58F70E"/>
    <w:rsid w:val="2A726754"/>
    <w:rsid w:val="2A749DE4"/>
    <w:rsid w:val="2A785755"/>
    <w:rsid w:val="2A793DAA"/>
    <w:rsid w:val="2A7DB5F0"/>
    <w:rsid w:val="2A7E9921"/>
    <w:rsid w:val="2A7EED7F"/>
    <w:rsid w:val="2A8071A6"/>
    <w:rsid w:val="2A85BB7C"/>
    <w:rsid w:val="2A8930D7"/>
    <w:rsid w:val="2A92308A"/>
    <w:rsid w:val="2A958819"/>
    <w:rsid w:val="2AA09761"/>
    <w:rsid w:val="2AA4888E"/>
    <w:rsid w:val="2AABBACE"/>
    <w:rsid w:val="2AB0E0FA"/>
    <w:rsid w:val="2AB7C12B"/>
    <w:rsid w:val="2AB84498"/>
    <w:rsid w:val="2ABDE50E"/>
    <w:rsid w:val="2AC0D242"/>
    <w:rsid w:val="2AC4074F"/>
    <w:rsid w:val="2ACB39A7"/>
    <w:rsid w:val="2AD20B40"/>
    <w:rsid w:val="2AD2C787"/>
    <w:rsid w:val="2AD3EF74"/>
    <w:rsid w:val="2ADF4499"/>
    <w:rsid w:val="2AE6E780"/>
    <w:rsid w:val="2AF6E9DA"/>
    <w:rsid w:val="2B122717"/>
    <w:rsid w:val="2B26704A"/>
    <w:rsid w:val="2B2F1644"/>
    <w:rsid w:val="2B382D5B"/>
    <w:rsid w:val="2B396E34"/>
    <w:rsid w:val="2B3B6804"/>
    <w:rsid w:val="2B46FE92"/>
    <w:rsid w:val="2B4EC4F8"/>
    <w:rsid w:val="2B4EF50D"/>
    <w:rsid w:val="2B4F1B74"/>
    <w:rsid w:val="2B55DDEF"/>
    <w:rsid w:val="2B57B6EC"/>
    <w:rsid w:val="2B585D9A"/>
    <w:rsid w:val="2B607859"/>
    <w:rsid w:val="2B60B5EC"/>
    <w:rsid w:val="2B6A4E67"/>
    <w:rsid w:val="2B742DA1"/>
    <w:rsid w:val="2B8B22B6"/>
    <w:rsid w:val="2B94F487"/>
    <w:rsid w:val="2B951005"/>
    <w:rsid w:val="2B9D86D9"/>
    <w:rsid w:val="2BAEE775"/>
    <w:rsid w:val="2BB0D1A6"/>
    <w:rsid w:val="2BB8D418"/>
    <w:rsid w:val="2BCA2361"/>
    <w:rsid w:val="2BCB8739"/>
    <w:rsid w:val="2BCD1A8D"/>
    <w:rsid w:val="2BD07A69"/>
    <w:rsid w:val="2BD5BDA9"/>
    <w:rsid w:val="2BE0907F"/>
    <w:rsid w:val="2BE45886"/>
    <w:rsid w:val="2BE9EAF3"/>
    <w:rsid w:val="2BF89125"/>
    <w:rsid w:val="2C077AFE"/>
    <w:rsid w:val="2C07B1D7"/>
    <w:rsid w:val="2C090504"/>
    <w:rsid w:val="2C21D303"/>
    <w:rsid w:val="2C260DB4"/>
    <w:rsid w:val="2C2840BF"/>
    <w:rsid w:val="2C299C19"/>
    <w:rsid w:val="2C381B13"/>
    <w:rsid w:val="2C45A634"/>
    <w:rsid w:val="2C473064"/>
    <w:rsid w:val="2C4A1E7C"/>
    <w:rsid w:val="2C4A8EC8"/>
    <w:rsid w:val="2C4B9972"/>
    <w:rsid w:val="2C4DD542"/>
    <w:rsid w:val="2C4E0F1E"/>
    <w:rsid w:val="2C592255"/>
    <w:rsid w:val="2C5A5422"/>
    <w:rsid w:val="2C638E8B"/>
    <w:rsid w:val="2C641F00"/>
    <w:rsid w:val="2C686D94"/>
    <w:rsid w:val="2C6A8BEA"/>
    <w:rsid w:val="2C8000D0"/>
    <w:rsid w:val="2C81A5AB"/>
    <w:rsid w:val="2C84C125"/>
    <w:rsid w:val="2C85D6C2"/>
    <w:rsid w:val="2C88FABD"/>
    <w:rsid w:val="2C89BB9C"/>
    <w:rsid w:val="2C8B360E"/>
    <w:rsid w:val="2C8E7973"/>
    <w:rsid w:val="2C93F7B4"/>
    <w:rsid w:val="2C981720"/>
    <w:rsid w:val="2C9CB6E8"/>
    <w:rsid w:val="2CA2FF48"/>
    <w:rsid w:val="2CABB2ED"/>
    <w:rsid w:val="2CB6DE0E"/>
    <w:rsid w:val="2CB9DA3B"/>
    <w:rsid w:val="2CBA09C0"/>
    <w:rsid w:val="2CC1B5D9"/>
    <w:rsid w:val="2CC90350"/>
    <w:rsid w:val="2CD11684"/>
    <w:rsid w:val="2CDE7F4C"/>
    <w:rsid w:val="2CE01196"/>
    <w:rsid w:val="2CE1EC46"/>
    <w:rsid w:val="2CEA3400"/>
    <w:rsid w:val="2CEC37B5"/>
    <w:rsid w:val="2CF0BFE2"/>
    <w:rsid w:val="2D031D68"/>
    <w:rsid w:val="2D0D2666"/>
    <w:rsid w:val="2D17A48C"/>
    <w:rsid w:val="2D1BC76D"/>
    <w:rsid w:val="2D1D3108"/>
    <w:rsid w:val="2D2CB9BE"/>
    <w:rsid w:val="2D31172F"/>
    <w:rsid w:val="2D374ADD"/>
    <w:rsid w:val="2D3BF08D"/>
    <w:rsid w:val="2D441F3A"/>
    <w:rsid w:val="2D4EC214"/>
    <w:rsid w:val="2D535134"/>
    <w:rsid w:val="2D64A9A7"/>
    <w:rsid w:val="2D6D5C9A"/>
    <w:rsid w:val="2D6E9380"/>
    <w:rsid w:val="2D738BE9"/>
    <w:rsid w:val="2D7542D9"/>
    <w:rsid w:val="2D7D7EAA"/>
    <w:rsid w:val="2D7D9232"/>
    <w:rsid w:val="2D961858"/>
    <w:rsid w:val="2D9BBA4C"/>
    <w:rsid w:val="2D9E365D"/>
    <w:rsid w:val="2D9F7139"/>
    <w:rsid w:val="2DA1435C"/>
    <w:rsid w:val="2DAF3CE7"/>
    <w:rsid w:val="2DB1CAF2"/>
    <w:rsid w:val="2DB5BCDA"/>
    <w:rsid w:val="2DBD98FA"/>
    <w:rsid w:val="2DCC8AE0"/>
    <w:rsid w:val="2DD1E29C"/>
    <w:rsid w:val="2DD9E1ED"/>
    <w:rsid w:val="2DDC12E5"/>
    <w:rsid w:val="2DE26476"/>
    <w:rsid w:val="2DF3B478"/>
    <w:rsid w:val="2DF4A18F"/>
    <w:rsid w:val="2DF5DAAD"/>
    <w:rsid w:val="2E097DED"/>
    <w:rsid w:val="2E18EBAD"/>
    <w:rsid w:val="2E1DAEA4"/>
    <w:rsid w:val="2E1E6153"/>
    <w:rsid w:val="2E267490"/>
    <w:rsid w:val="2E293F4C"/>
    <w:rsid w:val="2E31F46F"/>
    <w:rsid w:val="2E408BEE"/>
    <w:rsid w:val="2E532878"/>
    <w:rsid w:val="2E5490A3"/>
    <w:rsid w:val="2E54B613"/>
    <w:rsid w:val="2E63D876"/>
    <w:rsid w:val="2E64A7C9"/>
    <w:rsid w:val="2E6A70A2"/>
    <w:rsid w:val="2E78045B"/>
    <w:rsid w:val="2E7E146F"/>
    <w:rsid w:val="2E8CBF02"/>
    <w:rsid w:val="2E909702"/>
    <w:rsid w:val="2E93C55B"/>
    <w:rsid w:val="2E95A8D5"/>
    <w:rsid w:val="2EAA8CEB"/>
    <w:rsid w:val="2EAE12C7"/>
    <w:rsid w:val="2EB844EC"/>
    <w:rsid w:val="2ECD82DF"/>
    <w:rsid w:val="2ED6DCE9"/>
    <w:rsid w:val="2ED82009"/>
    <w:rsid w:val="2EE5A579"/>
    <w:rsid w:val="2EE5B50B"/>
    <w:rsid w:val="2EEA65BE"/>
    <w:rsid w:val="2EEDDB92"/>
    <w:rsid w:val="2EFC0F76"/>
    <w:rsid w:val="2F03548B"/>
    <w:rsid w:val="2F05667B"/>
    <w:rsid w:val="2F167786"/>
    <w:rsid w:val="2F167CEE"/>
    <w:rsid w:val="2F1A3DAF"/>
    <w:rsid w:val="2F3000CD"/>
    <w:rsid w:val="2F36084D"/>
    <w:rsid w:val="2F37D65F"/>
    <w:rsid w:val="2F42CCCC"/>
    <w:rsid w:val="2F440C37"/>
    <w:rsid w:val="2F4869F0"/>
    <w:rsid w:val="2F630FE4"/>
    <w:rsid w:val="2F6AFF2D"/>
    <w:rsid w:val="2F6C2618"/>
    <w:rsid w:val="2F748CC8"/>
    <w:rsid w:val="2F7E191D"/>
    <w:rsid w:val="2F81836F"/>
    <w:rsid w:val="2F842DE7"/>
    <w:rsid w:val="2F87D0B6"/>
    <w:rsid w:val="2FADA4EC"/>
    <w:rsid w:val="2FC2344A"/>
    <w:rsid w:val="2FDA5F29"/>
    <w:rsid w:val="2FE5D6A0"/>
    <w:rsid w:val="2FF144B0"/>
    <w:rsid w:val="2FF4B2EF"/>
    <w:rsid w:val="2FF89DD7"/>
    <w:rsid w:val="2FFE5D69"/>
    <w:rsid w:val="30002B4D"/>
    <w:rsid w:val="30091044"/>
    <w:rsid w:val="30172C9A"/>
    <w:rsid w:val="301E902D"/>
    <w:rsid w:val="302B4FD1"/>
    <w:rsid w:val="3033E9A7"/>
    <w:rsid w:val="30349DEA"/>
    <w:rsid w:val="3037F3AD"/>
    <w:rsid w:val="303CBE1C"/>
    <w:rsid w:val="30451FB7"/>
    <w:rsid w:val="30466CB0"/>
    <w:rsid w:val="30481DDB"/>
    <w:rsid w:val="30545D34"/>
    <w:rsid w:val="305816C0"/>
    <w:rsid w:val="30598021"/>
    <w:rsid w:val="305BD674"/>
    <w:rsid w:val="305D3D8A"/>
    <w:rsid w:val="30632D97"/>
    <w:rsid w:val="306A5B02"/>
    <w:rsid w:val="30967BE2"/>
    <w:rsid w:val="309DC992"/>
    <w:rsid w:val="30A35517"/>
    <w:rsid w:val="30BBE127"/>
    <w:rsid w:val="30C64AB1"/>
    <w:rsid w:val="30CAFA70"/>
    <w:rsid w:val="30CFC7B0"/>
    <w:rsid w:val="30D42E5E"/>
    <w:rsid w:val="30D5501F"/>
    <w:rsid w:val="30D939A7"/>
    <w:rsid w:val="30DDC8C7"/>
    <w:rsid w:val="30E70D8B"/>
    <w:rsid w:val="30E7BA2B"/>
    <w:rsid w:val="30EBCE07"/>
    <w:rsid w:val="30F82AFA"/>
    <w:rsid w:val="30F9A117"/>
    <w:rsid w:val="31029482"/>
    <w:rsid w:val="310485D0"/>
    <w:rsid w:val="310646C5"/>
    <w:rsid w:val="3107CE71"/>
    <w:rsid w:val="31090976"/>
    <w:rsid w:val="3116ECE4"/>
    <w:rsid w:val="31248115"/>
    <w:rsid w:val="313479C0"/>
    <w:rsid w:val="31427463"/>
    <w:rsid w:val="314E5C49"/>
    <w:rsid w:val="31561840"/>
    <w:rsid w:val="31633BDC"/>
    <w:rsid w:val="3163F7AE"/>
    <w:rsid w:val="316F9EE6"/>
    <w:rsid w:val="31734038"/>
    <w:rsid w:val="317F2664"/>
    <w:rsid w:val="31816237"/>
    <w:rsid w:val="31823769"/>
    <w:rsid w:val="318E3191"/>
    <w:rsid w:val="3192C700"/>
    <w:rsid w:val="31A66B00"/>
    <w:rsid w:val="31A784DF"/>
    <w:rsid w:val="31AA5F4A"/>
    <w:rsid w:val="31AEAEFA"/>
    <w:rsid w:val="31AF623D"/>
    <w:rsid w:val="31BA84F7"/>
    <w:rsid w:val="31BC4B5A"/>
    <w:rsid w:val="31CD0E33"/>
    <w:rsid w:val="31D27DC2"/>
    <w:rsid w:val="31D5D08B"/>
    <w:rsid w:val="31D954F5"/>
    <w:rsid w:val="31D9C522"/>
    <w:rsid w:val="31F0FF17"/>
    <w:rsid w:val="31F4A963"/>
    <w:rsid w:val="32063E31"/>
    <w:rsid w:val="320E43DF"/>
    <w:rsid w:val="32194B20"/>
    <w:rsid w:val="321C1EAC"/>
    <w:rsid w:val="322037BD"/>
    <w:rsid w:val="3221D45F"/>
    <w:rsid w:val="32273357"/>
    <w:rsid w:val="32303428"/>
    <w:rsid w:val="323BE6B0"/>
    <w:rsid w:val="3240FA34"/>
    <w:rsid w:val="324870C7"/>
    <w:rsid w:val="32537665"/>
    <w:rsid w:val="3262413F"/>
    <w:rsid w:val="327E1162"/>
    <w:rsid w:val="327F94C6"/>
    <w:rsid w:val="328A7FBB"/>
    <w:rsid w:val="328DDBDB"/>
    <w:rsid w:val="3292F92C"/>
    <w:rsid w:val="329374DD"/>
    <w:rsid w:val="3295215A"/>
    <w:rsid w:val="3297F7FD"/>
    <w:rsid w:val="32A2FF8E"/>
    <w:rsid w:val="32A6DF87"/>
    <w:rsid w:val="32B4E8F2"/>
    <w:rsid w:val="32C5A6CF"/>
    <w:rsid w:val="32DF194D"/>
    <w:rsid w:val="32E0279D"/>
    <w:rsid w:val="32E61290"/>
    <w:rsid w:val="32EC4512"/>
    <w:rsid w:val="32EF0CF1"/>
    <w:rsid w:val="32F5CE27"/>
    <w:rsid w:val="32FCAF38"/>
    <w:rsid w:val="33003820"/>
    <w:rsid w:val="33006A91"/>
    <w:rsid w:val="330810C6"/>
    <w:rsid w:val="330B7722"/>
    <w:rsid w:val="330DF4EF"/>
    <w:rsid w:val="331558C7"/>
    <w:rsid w:val="3318A4FB"/>
    <w:rsid w:val="331CCFA3"/>
    <w:rsid w:val="331D2658"/>
    <w:rsid w:val="3330FB76"/>
    <w:rsid w:val="33333D94"/>
    <w:rsid w:val="3336385E"/>
    <w:rsid w:val="333E04D2"/>
    <w:rsid w:val="3342EB4A"/>
    <w:rsid w:val="3344EDF7"/>
    <w:rsid w:val="334A860D"/>
    <w:rsid w:val="335B075B"/>
    <w:rsid w:val="337297F9"/>
    <w:rsid w:val="337B4D86"/>
    <w:rsid w:val="33902F4F"/>
    <w:rsid w:val="33AC6CF5"/>
    <w:rsid w:val="33AECA5B"/>
    <w:rsid w:val="33B76AC7"/>
    <w:rsid w:val="33B9F820"/>
    <w:rsid w:val="33BB482A"/>
    <w:rsid w:val="33C3FE26"/>
    <w:rsid w:val="33D30681"/>
    <w:rsid w:val="33DEE08E"/>
    <w:rsid w:val="33DF4CD3"/>
    <w:rsid w:val="33DF52E1"/>
    <w:rsid w:val="33E3E4C9"/>
    <w:rsid w:val="33F89E34"/>
    <w:rsid w:val="3408DB30"/>
    <w:rsid w:val="3411A4FE"/>
    <w:rsid w:val="3449C2D8"/>
    <w:rsid w:val="344DDD46"/>
    <w:rsid w:val="34516209"/>
    <w:rsid w:val="3451C56B"/>
    <w:rsid w:val="345477DF"/>
    <w:rsid w:val="34699F61"/>
    <w:rsid w:val="34729EA3"/>
    <w:rsid w:val="347B2222"/>
    <w:rsid w:val="3485726A"/>
    <w:rsid w:val="348A1EFB"/>
    <w:rsid w:val="348BE4E6"/>
    <w:rsid w:val="348C313F"/>
    <w:rsid w:val="348C6AE2"/>
    <w:rsid w:val="348D48D0"/>
    <w:rsid w:val="34904E78"/>
    <w:rsid w:val="34A2ED34"/>
    <w:rsid w:val="34EAA35A"/>
    <w:rsid w:val="34EDCACE"/>
    <w:rsid w:val="34FAF77A"/>
    <w:rsid w:val="3501CA06"/>
    <w:rsid w:val="351DD43A"/>
    <w:rsid w:val="35219122"/>
    <w:rsid w:val="3524AD1C"/>
    <w:rsid w:val="35293A4D"/>
    <w:rsid w:val="354D1F34"/>
    <w:rsid w:val="354EF1E7"/>
    <w:rsid w:val="35584C4A"/>
    <w:rsid w:val="35587E5E"/>
    <w:rsid w:val="3559C2E4"/>
    <w:rsid w:val="355BC7F4"/>
    <w:rsid w:val="356788C9"/>
    <w:rsid w:val="3574485E"/>
    <w:rsid w:val="35753F82"/>
    <w:rsid w:val="35762B23"/>
    <w:rsid w:val="357F9206"/>
    <w:rsid w:val="35960901"/>
    <w:rsid w:val="359789FD"/>
    <w:rsid w:val="359A038F"/>
    <w:rsid w:val="359BBEB2"/>
    <w:rsid w:val="35A16F45"/>
    <w:rsid w:val="35A55D61"/>
    <w:rsid w:val="35B39B5F"/>
    <w:rsid w:val="35B3BDE0"/>
    <w:rsid w:val="35B7AD75"/>
    <w:rsid w:val="35CB0C64"/>
    <w:rsid w:val="35DDF408"/>
    <w:rsid w:val="35E701E7"/>
    <w:rsid w:val="3604A34F"/>
    <w:rsid w:val="360E1C43"/>
    <w:rsid w:val="360E773F"/>
    <w:rsid w:val="361743C4"/>
    <w:rsid w:val="36198794"/>
    <w:rsid w:val="361AD46B"/>
    <w:rsid w:val="362573CC"/>
    <w:rsid w:val="362AAC9D"/>
    <w:rsid w:val="362E702D"/>
    <w:rsid w:val="363581CD"/>
    <w:rsid w:val="36392395"/>
    <w:rsid w:val="36425961"/>
    <w:rsid w:val="364D42EC"/>
    <w:rsid w:val="364E61FE"/>
    <w:rsid w:val="3656D472"/>
    <w:rsid w:val="365F0100"/>
    <w:rsid w:val="36604D65"/>
    <w:rsid w:val="3660BFEB"/>
    <w:rsid w:val="366AA085"/>
    <w:rsid w:val="366FFFF7"/>
    <w:rsid w:val="36752E0F"/>
    <w:rsid w:val="367A2FFE"/>
    <w:rsid w:val="367E11C0"/>
    <w:rsid w:val="367F4209"/>
    <w:rsid w:val="368265A7"/>
    <w:rsid w:val="36926897"/>
    <w:rsid w:val="36935124"/>
    <w:rsid w:val="36981D63"/>
    <w:rsid w:val="369DC395"/>
    <w:rsid w:val="36A65738"/>
    <w:rsid w:val="36B75362"/>
    <w:rsid w:val="36C10F29"/>
    <w:rsid w:val="36CA9B9D"/>
    <w:rsid w:val="36CB78B3"/>
    <w:rsid w:val="36D25E53"/>
    <w:rsid w:val="36DEF892"/>
    <w:rsid w:val="36DF5202"/>
    <w:rsid w:val="36E38A06"/>
    <w:rsid w:val="36EA6D81"/>
    <w:rsid w:val="36F71AAD"/>
    <w:rsid w:val="36F9F270"/>
    <w:rsid w:val="370C6E5C"/>
    <w:rsid w:val="370E911C"/>
    <w:rsid w:val="3712C767"/>
    <w:rsid w:val="37233020"/>
    <w:rsid w:val="37299583"/>
    <w:rsid w:val="3730B29D"/>
    <w:rsid w:val="37342256"/>
    <w:rsid w:val="3734401E"/>
    <w:rsid w:val="373A9BE3"/>
    <w:rsid w:val="37427735"/>
    <w:rsid w:val="3747A4EE"/>
    <w:rsid w:val="374D78B7"/>
    <w:rsid w:val="3759901F"/>
    <w:rsid w:val="375BC4E0"/>
    <w:rsid w:val="3769234B"/>
    <w:rsid w:val="3773F380"/>
    <w:rsid w:val="377C4F4D"/>
    <w:rsid w:val="37946A30"/>
    <w:rsid w:val="379C036B"/>
    <w:rsid w:val="379E8C8F"/>
    <w:rsid w:val="37A761F4"/>
    <w:rsid w:val="37B1C1F2"/>
    <w:rsid w:val="37B1FF79"/>
    <w:rsid w:val="37BA8827"/>
    <w:rsid w:val="37BACC46"/>
    <w:rsid w:val="37BF7180"/>
    <w:rsid w:val="37C5C809"/>
    <w:rsid w:val="37D3BFA0"/>
    <w:rsid w:val="37D41BF1"/>
    <w:rsid w:val="37D48D1E"/>
    <w:rsid w:val="37E976C6"/>
    <w:rsid w:val="37F56C5D"/>
    <w:rsid w:val="37F96E08"/>
    <w:rsid w:val="37FB7E56"/>
    <w:rsid w:val="380646CA"/>
    <w:rsid w:val="380CAB01"/>
    <w:rsid w:val="3815B22E"/>
    <w:rsid w:val="381C1842"/>
    <w:rsid w:val="382FD178"/>
    <w:rsid w:val="384ADA42"/>
    <w:rsid w:val="386529F1"/>
    <w:rsid w:val="386A7995"/>
    <w:rsid w:val="3881E01D"/>
    <w:rsid w:val="3885CEE0"/>
    <w:rsid w:val="3893BA0B"/>
    <w:rsid w:val="38B00495"/>
    <w:rsid w:val="38CC3489"/>
    <w:rsid w:val="38D10F41"/>
    <w:rsid w:val="38D58FB6"/>
    <w:rsid w:val="38DC93D9"/>
    <w:rsid w:val="38E1E896"/>
    <w:rsid w:val="38EC986A"/>
    <w:rsid w:val="3904A118"/>
    <w:rsid w:val="390B13D2"/>
    <w:rsid w:val="39173419"/>
    <w:rsid w:val="39173FF8"/>
    <w:rsid w:val="39182958"/>
    <w:rsid w:val="392A7EE1"/>
    <w:rsid w:val="39322B49"/>
    <w:rsid w:val="3938F8DB"/>
    <w:rsid w:val="39471D02"/>
    <w:rsid w:val="394834BC"/>
    <w:rsid w:val="394E6D84"/>
    <w:rsid w:val="395CB4C5"/>
    <w:rsid w:val="39615253"/>
    <w:rsid w:val="3968DD8E"/>
    <w:rsid w:val="396ADC85"/>
    <w:rsid w:val="396ADCEE"/>
    <w:rsid w:val="397C0F94"/>
    <w:rsid w:val="399CB2DA"/>
    <w:rsid w:val="399D55CC"/>
    <w:rsid w:val="399DC291"/>
    <w:rsid w:val="39A24DCE"/>
    <w:rsid w:val="39A67926"/>
    <w:rsid w:val="39CAE740"/>
    <w:rsid w:val="39D076DB"/>
    <w:rsid w:val="39D21072"/>
    <w:rsid w:val="39D4F576"/>
    <w:rsid w:val="39D60605"/>
    <w:rsid w:val="39D7F70A"/>
    <w:rsid w:val="39DE6299"/>
    <w:rsid w:val="39E18AFA"/>
    <w:rsid w:val="39FAD627"/>
    <w:rsid w:val="39FD1718"/>
    <w:rsid w:val="39FE0378"/>
    <w:rsid w:val="3A07B479"/>
    <w:rsid w:val="3A084695"/>
    <w:rsid w:val="3A08F189"/>
    <w:rsid w:val="3A0E51B5"/>
    <w:rsid w:val="3A19F91E"/>
    <w:rsid w:val="3A1D2B4F"/>
    <w:rsid w:val="3A260D97"/>
    <w:rsid w:val="3A30A967"/>
    <w:rsid w:val="3A3C3B6D"/>
    <w:rsid w:val="3A407B36"/>
    <w:rsid w:val="3A419977"/>
    <w:rsid w:val="3A481F59"/>
    <w:rsid w:val="3A498D33"/>
    <w:rsid w:val="3A4A3BC9"/>
    <w:rsid w:val="3A4D9440"/>
    <w:rsid w:val="3A5D5EA8"/>
    <w:rsid w:val="3A5E5390"/>
    <w:rsid w:val="3A5F1B54"/>
    <w:rsid w:val="3A5F334F"/>
    <w:rsid w:val="3A6F4BC6"/>
    <w:rsid w:val="3A80DCDA"/>
    <w:rsid w:val="3A834D85"/>
    <w:rsid w:val="3A84E9C4"/>
    <w:rsid w:val="3A8EECD4"/>
    <w:rsid w:val="3A93F30E"/>
    <w:rsid w:val="3A9EE6C5"/>
    <w:rsid w:val="3AA1E7E0"/>
    <w:rsid w:val="3AA5DFD1"/>
    <w:rsid w:val="3AADEB14"/>
    <w:rsid w:val="3AB0DC36"/>
    <w:rsid w:val="3ABF376C"/>
    <w:rsid w:val="3ACC3961"/>
    <w:rsid w:val="3ACF9835"/>
    <w:rsid w:val="3AEEE8D8"/>
    <w:rsid w:val="3AEF3EA6"/>
    <w:rsid w:val="3AF846BA"/>
    <w:rsid w:val="3AFBA9E0"/>
    <w:rsid w:val="3AFD12B8"/>
    <w:rsid w:val="3B1155EF"/>
    <w:rsid w:val="3B1DF41A"/>
    <w:rsid w:val="3B31D151"/>
    <w:rsid w:val="3B5DFDC8"/>
    <w:rsid w:val="3B7A9044"/>
    <w:rsid w:val="3B7CBF15"/>
    <w:rsid w:val="3B8291E2"/>
    <w:rsid w:val="3B8314C8"/>
    <w:rsid w:val="3B83E5F9"/>
    <w:rsid w:val="3B874C8F"/>
    <w:rsid w:val="3B90A84F"/>
    <w:rsid w:val="3B95587E"/>
    <w:rsid w:val="3BA13507"/>
    <w:rsid w:val="3BC2CE68"/>
    <w:rsid w:val="3BCAF815"/>
    <w:rsid w:val="3BCCD021"/>
    <w:rsid w:val="3BD4E1FB"/>
    <w:rsid w:val="3BEA731D"/>
    <w:rsid w:val="3C04AA80"/>
    <w:rsid w:val="3C08EA97"/>
    <w:rsid w:val="3C155226"/>
    <w:rsid w:val="3C214BD6"/>
    <w:rsid w:val="3C222D4A"/>
    <w:rsid w:val="3C278614"/>
    <w:rsid w:val="3C4B7DE9"/>
    <w:rsid w:val="3C5254A4"/>
    <w:rsid w:val="3C52696E"/>
    <w:rsid w:val="3C6117B8"/>
    <w:rsid w:val="3C6BB5A1"/>
    <w:rsid w:val="3C6DFA7D"/>
    <w:rsid w:val="3C6EDD9A"/>
    <w:rsid w:val="3C6F9296"/>
    <w:rsid w:val="3C765B50"/>
    <w:rsid w:val="3C837D31"/>
    <w:rsid w:val="3C865A13"/>
    <w:rsid w:val="3C95AF09"/>
    <w:rsid w:val="3C9B14C2"/>
    <w:rsid w:val="3C9F02DE"/>
    <w:rsid w:val="3CA20981"/>
    <w:rsid w:val="3CA26BCD"/>
    <w:rsid w:val="3CA407A4"/>
    <w:rsid w:val="3CB43C67"/>
    <w:rsid w:val="3CC5CC40"/>
    <w:rsid w:val="3CC72F74"/>
    <w:rsid w:val="3CC9179B"/>
    <w:rsid w:val="3CCDF232"/>
    <w:rsid w:val="3CCE964C"/>
    <w:rsid w:val="3CD0B07D"/>
    <w:rsid w:val="3CD7EF68"/>
    <w:rsid w:val="3CD9726C"/>
    <w:rsid w:val="3CE7DD95"/>
    <w:rsid w:val="3CE7FA2A"/>
    <w:rsid w:val="3CE9F99F"/>
    <w:rsid w:val="3CF25BA0"/>
    <w:rsid w:val="3D2ED86E"/>
    <w:rsid w:val="3D2FAB13"/>
    <w:rsid w:val="3D4DD2EB"/>
    <w:rsid w:val="3D5EDC15"/>
    <w:rsid w:val="3D6F8685"/>
    <w:rsid w:val="3D7B349E"/>
    <w:rsid w:val="3D7CA668"/>
    <w:rsid w:val="3D8D7298"/>
    <w:rsid w:val="3D93D9FF"/>
    <w:rsid w:val="3D9850F1"/>
    <w:rsid w:val="3D9D2FFD"/>
    <w:rsid w:val="3DA388EE"/>
    <w:rsid w:val="3DA4DB82"/>
    <w:rsid w:val="3DAA87BE"/>
    <w:rsid w:val="3DAD3A7C"/>
    <w:rsid w:val="3DB3EB7C"/>
    <w:rsid w:val="3DCB36BC"/>
    <w:rsid w:val="3DCCE7BE"/>
    <w:rsid w:val="3DD34CA8"/>
    <w:rsid w:val="3DD3B64C"/>
    <w:rsid w:val="3DD92BA0"/>
    <w:rsid w:val="3DEF2BBB"/>
    <w:rsid w:val="3DF168E2"/>
    <w:rsid w:val="3DF6A1BE"/>
    <w:rsid w:val="3DFAEFEC"/>
    <w:rsid w:val="3E060D2F"/>
    <w:rsid w:val="3E0AEE8D"/>
    <w:rsid w:val="3E0C99E0"/>
    <w:rsid w:val="3E14416D"/>
    <w:rsid w:val="3E1A7B5D"/>
    <w:rsid w:val="3E2883EA"/>
    <w:rsid w:val="3E2A2581"/>
    <w:rsid w:val="3E390EB1"/>
    <w:rsid w:val="3E48918C"/>
    <w:rsid w:val="3E4C441B"/>
    <w:rsid w:val="3E4C8D64"/>
    <w:rsid w:val="3E4CC412"/>
    <w:rsid w:val="3E4E13D6"/>
    <w:rsid w:val="3E5B191B"/>
    <w:rsid w:val="3E60A775"/>
    <w:rsid w:val="3E68E472"/>
    <w:rsid w:val="3E8C6A0F"/>
    <w:rsid w:val="3E967DA3"/>
    <w:rsid w:val="3E988F29"/>
    <w:rsid w:val="3E9F0653"/>
    <w:rsid w:val="3E9F0AAC"/>
    <w:rsid w:val="3EA04D67"/>
    <w:rsid w:val="3EA2E95F"/>
    <w:rsid w:val="3EA65525"/>
    <w:rsid w:val="3EAE46F4"/>
    <w:rsid w:val="3EAE61C6"/>
    <w:rsid w:val="3EB2507F"/>
    <w:rsid w:val="3EBD0833"/>
    <w:rsid w:val="3EC79DC5"/>
    <w:rsid w:val="3ED63F62"/>
    <w:rsid w:val="3EE19495"/>
    <w:rsid w:val="3EE346F6"/>
    <w:rsid w:val="3EE417FE"/>
    <w:rsid w:val="3EE5A7A7"/>
    <w:rsid w:val="3EE7F2EE"/>
    <w:rsid w:val="3EEAA968"/>
    <w:rsid w:val="3EF34A26"/>
    <w:rsid w:val="3F020DF7"/>
    <w:rsid w:val="3F034192"/>
    <w:rsid w:val="3F0373B1"/>
    <w:rsid w:val="3F09E0B9"/>
    <w:rsid w:val="3F1069CF"/>
    <w:rsid w:val="3F195B15"/>
    <w:rsid w:val="3F2B7839"/>
    <w:rsid w:val="3F31010E"/>
    <w:rsid w:val="3F33CBFE"/>
    <w:rsid w:val="3F34E7E3"/>
    <w:rsid w:val="3F37C8A8"/>
    <w:rsid w:val="3F442F1C"/>
    <w:rsid w:val="3F46C9DE"/>
    <w:rsid w:val="3F4B728F"/>
    <w:rsid w:val="3F528813"/>
    <w:rsid w:val="3F60C0E4"/>
    <w:rsid w:val="3F6B8D06"/>
    <w:rsid w:val="3F707D5F"/>
    <w:rsid w:val="3F7295A9"/>
    <w:rsid w:val="3F7AB13F"/>
    <w:rsid w:val="3F7F6200"/>
    <w:rsid w:val="3F86A037"/>
    <w:rsid w:val="3F92BE3B"/>
    <w:rsid w:val="3F9C7704"/>
    <w:rsid w:val="3FB0BD9C"/>
    <w:rsid w:val="3FC3D751"/>
    <w:rsid w:val="3FC4C95B"/>
    <w:rsid w:val="3FC5110D"/>
    <w:rsid w:val="3FC85E1B"/>
    <w:rsid w:val="3FCB24CB"/>
    <w:rsid w:val="3FE49101"/>
    <w:rsid w:val="3FE89066"/>
    <w:rsid w:val="3FED4B5C"/>
    <w:rsid w:val="3FEE72D6"/>
    <w:rsid w:val="3FF80F0D"/>
    <w:rsid w:val="3FFC472D"/>
    <w:rsid w:val="3FFC5D76"/>
    <w:rsid w:val="3FFE2912"/>
    <w:rsid w:val="401B3ACF"/>
    <w:rsid w:val="40215087"/>
    <w:rsid w:val="40221E0D"/>
    <w:rsid w:val="4024450C"/>
    <w:rsid w:val="4026AD94"/>
    <w:rsid w:val="4029F751"/>
    <w:rsid w:val="40367A65"/>
    <w:rsid w:val="4039799A"/>
    <w:rsid w:val="403F18B3"/>
    <w:rsid w:val="404EFCC3"/>
    <w:rsid w:val="4068727C"/>
    <w:rsid w:val="40773414"/>
    <w:rsid w:val="40893A74"/>
    <w:rsid w:val="40995D23"/>
    <w:rsid w:val="409E23A3"/>
    <w:rsid w:val="40A05B42"/>
    <w:rsid w:val="40A4CB58"/>
    <w:rsid w:val="40AD8E0A"/>
    <w:rsid w:val="40B0CE3D"/>
    <w:rsid w:val="40B18B70"/>
    <w:rsid w:val="40BFD6E6"/>
    <w:rsid w:val="40C2D0CA"/>
    <w:rsid w:val="40C7A6C9"/>
    <w:rsid w:val="40CC968D"/>
    <w:rsid w:val="411F0EB0"/>
    <w:rsid w:val="41255A62"/>
    <w:rsid w:val="4127F2AF"/>
    <w:rsid w:val="412F70CD"/>
    <w:rsid w:val="4135DD7A"/>
    <w:rsid w:val="413805D2"/>
    <w:rsid w:val="41413C93"/>
    <w:rsid w:val="41443C7B"/>
    <w:rsid w:val="4155CE4D"/>
    <w:rsid w:val="4162FFCA"/>
    <w:rsid w:val="4183C8C8"/>
    <w:rsid w:val="418E1331"/>
    <w:rsid w:val="41906B66"/>
    <w:rsid w:val="41977403"/>
    <w:rsid w:val="41992C94"/>
    <w:rsid w:val="41A72E17"/>
    <w:rsid w:val="41ACBDDB"/>
    <w:rsid w:val="41B524E9"/>
    <w:rsid w:val="41CFB9E8"/>
    <w:rsid w:val="41D04E5A"/>
    <w:rsid w:val="41D4171C"/>
    <w:rsid w:val="41D8A993"/>
    <w:rsid w:val="41D8AEF7"/>
    <w:rsid w:val="41E502B1"/>
    <w:rsid w:val="41ED24E0"/>
    <w:rsid w:val="41F103A6"/>
    <w:rsid w:val="41F1D273"/>
    <w:rsid w:val="41F4B6E7"/>
    <w:rsid w:val="420C9A7D"/>
    <w:rsid w:val="4211A6CE"/>
    <w:rsid w:val="4211DEB4"/>
    <w:rsid w:val="42128715"/>
    <w:rsid w:val="422C9D08"/>
    <w:rsid w:val="4244AB66"/>
    <w:rsid w:val="425138B5"/>
    <w:rsid w:val="4252C041"/>
    <w:rsid w:val="4253B2A9"/>
    <w:rsid w:val="4254E618"/>
    <w:rsid w:val="425948E4"/>
    <w:rsid w:val="425C323A"/>
    <w:rsid w:val="4265616D"/>
    <w:rsid w:val="4271B21B"/>
    <w:rsid w:val="42769D04"/>
    <w:rsid w:val="427F8E5D"/>
    <w:rsid w:val="4284CB9F"/>
    <w:rsid w:val="428503BD"/>
    <w:rsid w:val="4286CBD1"/>
    <w:rsid w:val="4288A1D8"/>
    <w:rsid w:val="428A8B90"/>
    <w:rsid w:val="4293C27B"/>
    <w:rsid w:val="4297D3B9"/>
    <w:rsid w:val="4298CA1E"/>
    <w:rsid w:val="429B4396"/>
    <w:rsid w:val="429DA7C0"/>
    <w:rsid w:val="42B430A7"/>
    <w:rsid w:val="42BDE294"/>
    <w:rsid w:val="42C1B72D"/>
    <w:rsid w:val="42C4BAFD"/>
    <w:rsid w:val="42C78371"/>
    <w:rsid w:val="42CBC488"/>
    <w:rsid w:val="42CD542F"/>
    <w:rsid w:val="42CF5628"/>
    <w:rsid w:val="42CF765B"/>
    <w:rsid w:val="42D832A9"/>
    <w:rsid w:val="42E4D6F1"/>
    <w:rsid w:val="42E9211C"/>
    <w:rsid w:val="42F488F3"/>
    <w:rsid w:val="42FF55C2"/>
    <w:rsid w:val="4303193A"/>
    <w:rsid w:val="43052B80"/>
    <w:rsid w:val="4306E7B5"/>
    <w:rsid w:val="430802B8"/>
    <w:rsid w:val="4309E383"/>
    <w:rsid w:val="43209C28"/>
    <w:rsid w:val="4322618F"/>
    <w:rsid w:val="433624F4"/>
    <w:rsid w:val="4355DC32"/>
    <w:rsid w:val="43575FA0"/>
    <w:rsid w:val="4357617B"/>
    <w:rsid w:val="4368606B"/>
    <w:rsid w:val="43857190"/>
    <w:rsid w:val="438D8270"/>
    <w:rsid w:val="439D98B4"/>
    <w:rsid w:val="43A410F4"/>
    <w:rsid w:val="43BBB84D"/>
    <w:rsid w:val="43BC1C41"/>
    <w:rsid w:val="43C7168E"/>
    <w:rsid w:val="43C787E8"/>
    <w:rsid w:val="43CCA66E"/>
    <w:rsid w:val="43D2DE26"/>
    <w:rsid w:val="43D34D0D"/>
    <w:rsid w:val="43DD1AEE"/>
    <w:rsid w:val="43DDED4E"/>
    <w:rsid w:val="43EB3A9F"/>
    <w:rsid w:val="43F3381A"/>
    <w:rsid w:val="43F3E4F3"/>
    <w:rsid w:val="43FE0E26"/>
    <w:rsid w:val="44030CC2"/>
    <w:rsid w:val="44066C42"/>
    <w:rsid w:val="440A62AD"/>
    <w:rsid w:val="440C064B"/>
    <w:rsid w:val="440C7444"/>
    <w:rsid w:val="441ED81E"/>
    <w:rsid w:val="441F4D56"/>
    <w:rsid w:val="442DA60B"/>
    <w:rsid w:val="443517F4"/>
    <w:rsid w:val="443EE507"/>
    <w:rsid w:val="444BA29A"/>
    <w:rsid w:val="444BF562"/>
    <w:rsid w:val="444C0290"/>
    <w:rsid w:val="44584920"/>
    <w:rsid w:val="44598DDF"/>
    <w:rsid w:val="4460EB25"/>
    <w:rsid w:val="44658AB3"/>
    <w:rsid w:val="4469419C"/>
    <w:rsid w:val="446CCF5E"/>
    <w:rsid w:val="447D4EFA"/>
    <w:rsid w:val="447F7BBD"/>
    <w:rsid w:val="448F68E6"/>
    <w:rsid w:val="44976F8D"/>
    <w:rsid w:val="449C7129"/>
    <w:rsid w:val="449E6697"/>
    <w:rsid w:val="44A2C2EA"/>
    <w:rsid w:val="44BB404C"/>
    <w:rsid w:val="44C6C586"/>
    <w:rsid w:val="44CF901E"/>
    <w:rsid w:val="44D45B13"/>
    <w:rsid w:val="44D5A605"/>
    <w:rsid w:val="44E097B6"/>
    <w:rsid w:val="44EC0B4E"/>
    <w:rsid w:val="44EE2067"/>
    <w:rsid w:val="44F0329E"/>
    <w:rsid w:val="44F4F987"/>
    <w:rsid w:val="44F69FB0"/>
    <w:rsid w:val="4506D75F"/>
    <w:rsid w:val="4507DF40"/>
    <w:rsid w:val="451532B0"/>
    <w:rsid w:val="451B5861"/>
    <w:rsid w:val="452B801D"/>
    <w:rsid w:val="45382BD8"/>
    <w:rsid w:val="4542EB1B"/>
    <w:rsid w:val="454B31C2"/>
    <w:rsid w:val="45604ED0"/>
    <w:rsid w:val="4563ECE5"/>
    <w:rsid w:val="45642A33"/>
    <w:rsid w:val="4573B601"/>
    <w:rsid w:val="458378C1"/>
    <w:rsid w:val="459607AE"/>
    <w:rsid w:val="459AC6AC"/>
    <w:rsid w:val="459DE7DE"/>
    <w:rsid w:val="459F08FB"/>
    <w:rsid w:val="45A42402"/>
    <w:rsid w:val="45A5BBC4"/>
    <w:rsid w:val="45AF5DCB"/>
    <w:rsid w:val="45BBFBC7"/>
    <w:rsid w:val="45CB9B84"/>
    <w:rsid w:val="45CFB525"/>
    <w:rsid w:val="45D09F8E"/>
    <w:rsid w:val="45D81D29"/>
    <w:rsid w:val="45E1A541"/>
    <w:rsid w:val="45E1B496"/>
    <w:rsid w:val="45E4E74B"/>
    <w:rsid w:val="45E5A9CE"/>
    <w:rsid w:val="45E5E83F"/>
    <w:rsid w:val="45ECBB4E"/>
    <w:rsid w:val="45F31B87"/>
    <w:rsid w:val="45FBED4F"/>
    <w:rsid w:val="4607C336"/>
    <w:rsid w:val="460BF2FB"/>
    <w:rsid w:val="46114124"/>
    <w:rsid w:val="4616CEAF"/>
    <w:rsid w:val="46170828"/>
    <w:rsid w:val="4626762B"/>
    <w:rsid w:val="4641EB71"/>
    <w:rsid w:val="46449C05"/>
    <w:rsid w:val="464CE2D8"/>
    <w:rsid w:val="464DE27A"/>
    <w:rsid w:val="46537A80"/>
    <w:rsid w:val="465E7365"/>
    <w:rsid w:val="4662B8B3"/>
    <w:rsid w:val="466B5559"/>
    <w:rsid w:val="466C0319"/>
    <w:rsid w:val="468039C7"/>
    <w:rsid w:val="4683E6F9"/>
    <w:rsid w:val="468D1C8C"/>
    <w:rsid w:val="46904753"/>
    <w:rsid w:val="46972B13"/>
    <w:rsid w:val="469BC768"/>
    <w:rsid w:val="46ABE9FE"/>
    <w:rsid w:val="46AFEC19"/>
    <w:rsid w:val="46B24426"/>
    <w:rsid w:val="46B2B950"/>
    <w:rsid w:val="46C22179"/>
    <w:rsid w:val="46CAD937"/>
    <w:rsid w:val="46CB772D"/>
    <w:rsid w:val="46D5D704"/>
    <w:rsid w:val="46D98703"/>
    <w:rsid w:val="46DAFE8D"/>
    <w:rsid w:val="46E3887C"/>
    <w:rsid w:val="46E7D011"/>
    <w:rsid w:val="46E9AAB4"/>
    <w:rsid w:val="46EB14A8"/>
    <w:rsid w:val="46F303BF"/>
    <w:rsid w:val="46F45016"/>
    <w:rsid w:val="46FB539F"/>
    <w:rsid w:val="470CEEAD"/>
    <w:rsid w:val="470D6865"/>
    <w:rsid w:val="4725FE8B"/>
    <w:rsid w:val="472ACA7B"/>
    <w:rsid w:val="47351C87"/>
    <w:rsid w:val="4737D1A1"/>
    <w:rsid w:val="4742AF16"/>
    <w:rsid w:val="474556D7"/>
    <w:rsid w:val="474A58BA"/>
    <w:rsid w:val="475D034C"/>
    <w:rsid w:val="475D8C09"/>
    <w:rsid w:val="475EC5A6"/>
    <w:rsid w:val="47661B53"/>
    <w:rsid w:val="47985BB7"/>
    <w:rsid w:val="47992B15"/>
    <w:rsid w:val="479D794B"/>
    <w:rsid w:val="47AB52BF"/>
    <w:rsid w:val="47B7724F"/>
    <w:rsid w:val="47C33C0D"/>
    <w:rsid w:val="47C9A3AD"/>
    <w:rsid w:val="47CC8B88"/>
    <w:rsid w:val="47DD8E4B"/>
    <w:rsid w:val="47E16C98"/>
    <w:rsid w:val="47EFBBE5"/>
    <w:rsid w:val="47F2A283"/>
    <w:rsid w:val="47F93918"/>
    <w:rsid w:val="47FD2B38"/>
    <w:rsid w:val="4803A8EE"/>
    <w:rsid w:val="480A6A7C"/>
    <w:rsid w:val="4811EFEC"/>
    <w:rsid w:val="4816ADBE"/>
    <w:rsid w:val="481A418E"/>
    <w:rsid w:val="481B5A51"/>
    <w:rsid w:val="481C514E"/>
    <w:rsid w:val="4820346A"/>
    <w:rsid w:val="484169AA"/>
    <w:rsid w:val="4847097F"/>
    <w:rsid w:val="4848A742"/>
    <w:rsid w:val="484D9075"/>
    <w:rsid w:val="4852B3BF"/>
    <w:rsid w:val="4858EEB0"/>
    <w:rsid w:val="485AFD91"/>
    <w:rsid w:val="485F7FA5"/>
    <w:rsid w:val="486654D7"/>
    <w:rsid w:val="486AFFA2"/>
    <w:rsid w:val="48909729"/>
    <w:rsid w:val="48A919FF"/>
    <w:rsid w:val="48AD3239"/>
    <w:rsid w:val="48B0E7A6"/>
    <w:rsid w:val="48B1E002"/>
    <w:rsid w:val="48BFB0E3"/>
    <w:rsid w:val="48C1DA37"/>
    <w:rsid w:val="48DAD26C"/>
    <w:rsid w:val="48E0D305"/>
    <w:rsid w:val="48EBC2EB"/>
    <w:rsid w:val="48EC4865"/>
    <w:rsid w:val="48F53289"/>
    <w:rsid w:val="48F8AD75"/>
    <w:rsid w:val="48FA2852"/>
    <w:rsid w:val="48FA9D5A"/>
    <w:rsid w:val="48FD7BE7"/>
    <w:rsid w:val="491FD665"/>
    <w:rsid w:val="4924576E"/>
    <w:rsid w:val="49339A51"/>
    <w:rsid w:val="49375DE9"/>
    <w:rsid w:val="493DEE81"/>
    <w:rsid w:val="4943EE47"/>
    <w:rsid w:val="4952006B"/>
    <w:rsid w:val="4958BE87"/>
    <w:rsid w:val="495C1E17"/>
    <w:rsid w:val="495F209D"/>
    <w:rsid w:val="49608446"/>
    <w:rsid w:val="49628DDE"/>
    <w:rsid w:val="4963B907"/>
    <w:rsid w:val="496CFD9A"/>
    <w:rsid w:val="497B0BBA"/>
    <w:rsid w:val="4985C77D"/>
    <w:rsid w:val="49A3039A"/>
    <w:rsid w:val="49A8DD54"/>
    <w:rsid w:val="49AB5C15"/>
    <w:rsid w:val="49B17FFD"/>
    <w:rsid w:val="49B7F57E"/>
    <w:rsid w:val="49B8D989"/>
    <w:rsid w:val="49BB6263"/>
    <w:rsid w:val="49C01D49"/>
    <w:rsid w:val="49CA2C9D"/>
    <w:rsid w:val="49DB7EFC"/>
    <w:rsid w:val="49E6896F"/>
    <w:rsid w:val="49E803A1"/>
    <w:rsid w:val="49EAC783"/>
    <w:rsid w:val="49EB34D5"/>
    <w:rsid w:val="49F226BE"/>
    <w:rsid w:val="49FE6676"/>
    <w:rsid w:val="4A0211B1"/>
    <w:rsid w:val="4A03496A"/>
    <w:rsid w:val="4A09FC62"/>
    <w:rsid w:val="4A1325D5"/>
    <w:rsid w:val="4A15903E"/>
    <w:rsid w:val="4A21522C"/>
    <w:rsid w:val="4A266B89"/>
    <w:rsid w:val="4A292EEB"/>
    <w:rsid w:val="4A2B72E5"/>
    <w:rsid w:val="4A302396"/>
    <w:rsid w:val="4A36AD14"/>
    <w:rsid w:val="4A422857"/>
    <w:rsid w:val="4A5816F2"/>
    <w:rsid w:val="4A5B5163"/>
    <w:rsid w:val="4A68BD8B"/>
    <w:rsid w:val="4A6B921E"/>
    <w:rsid w:val="4A6F5A25"/>
    <w:rsid w:val="4A7CD1E4"/>
    <w:rsid w:val="4A874DF6"/>
    <w:rsid w:val="4A87697F"/>
    <w:rsid w:val="4A9A637D"/>
    <w:rsid w:val="4AA008A6"/>
    <w:rsid w:val="4AA112E0"/>
    <w:rsid w:val="4AA3367B"/>
    <w:rsid w:val="4AAAA299"/>
    <w:rsid w:val="4AB08500"/>
    <w:rsid w:val="4AB3F934"/>
    <w:rsid w:val="4AB9358B"/>
    <w:rsid w:val="4AC496E2"/>
    <w:rsid w:val="4ACF07AD"/>
    <w:rsid w:val="4AD95182"/>
    <w:rsid w:val="4AED05A2"/>
    <w:rsid w:val="4AF38EAD"/>
    <w:rsid w:val="4AFD9DDC"/>
    <w:rsid w:val="4B0308B3"/>
    <w:rsid w:val="4B0B25C3"/>
    <w:rsid w:val="4B3328C9"/>
    <w:rsid w:val="4B3718F0"/>
    <w:rsid w:val="4B3DAAE5"/>
    <w:rsid w:val="4B44B33B"/>
    <w:rsid w:val="4B54B14C"/>
    <w:rsid w:val="4B5AEA65"/>
    <w:rsid w:val="4B5C6236"/>
    <w:rsid w:val="4B69D70A"/>
    <w:rsid w:val="4B7AC054"/>
    <w:rsid w:val="4B7C4C05"/>
    <w:rsid w:val="4B904FAF"/>
    <w:rsid w:val="4B9A47CC"/>
    <w:rsid w:val="4BD0A0BB"/>
    <w:rsid w:val="4BD4B5D0"/>
    <w:rsid w:val="4BDC3CD3"/>
    <w:rsid w:val="4BDCBBCE"/>
    <w:rsid w:val="4BE1F960"/>
    <w:rsid w:val="4BF5E3F7"/>
    <w:rsid w:val="4C0A20D5"/>
    <w:rsid w:val="4C0BF46D"/>
    <w:rsid w:val="4C1986FE"/>
    <w:rsid w:val="4C235C14"/>
    <w:rsid w:val="4C267632"/>
    <w:rsid w:val="4C2E4DCB"/>
    <w:rsid w:val="4C37C369"/>
    <w:rsid w:val="4C3A7288"/>
    <w:rsid w:val="4C3DDB8F"/>
    <w:rsid w:val="4C574F79"/>
    <w:rsid w:val="4C5C4D7D"/>
    <w:rsid w:val="4C5E71A3"/>
    <w:rsid w:val="4C7CF18F"/>
    <w:rsid w:val="4C8031AD"/>
    <w:rsid w:val="4C81EDBD"/>
    <w:rsid w:val="4C8DD01C"/>
    <w:rsid w:val="4C91CE5E"/>
    <w:rsid w:val="4C9B2D11"/>
    <w:rsid w:val="4C9B5CC2"/>
    <w:rsid w:val="4CA3850C"/>
    <w:rsid w:val="4CB99844"/>
    <w:rsid w:val="4CBA162C"/>
    <w:rsid w:val="4CCD04CB"/>
    <w:rsid w:val="4CCF5DC7"/>
    <w:rsid w:val="4CD1A199"/>
    <w:rsid w:val="4CD231AD"/>
    <w:rsid w:val="4CD29C0E"/>
    <w:rsid w:val="4CE2FD35"/>
    <w:rsid w:val="4CE6019C"/>
    <w:rsid w:val="4CE8187E"/>
    <w:rsid w:val="4D040047"/>
    <w:rsid w:val="4D0D99E2"/>
    <w:rsid w:val="4D2143F9"/>
    <w:rsid w:val="4D2C9086"/>
    <w:rsid w:val="4D3610FA"/>
    <w:rsid w:val="4D467274"/>
    <w:rsid w:val="4D52FEE0"/>
    <w:rsid w:val="4D54CC5B"/>
    <w:rsid w:val="4D55F2BF"/>
    <w:rsid w:val="4D5E2678"/>
    <w:rsid w:val="4D6AE19B"/>
    <w:rsid w:val="4D6B0A6D"/>
    <w:rsid w:val="4D6F676F"/>
    <w:rsid w:val="4D8D9D64"/>
    <w:rsid w:val="4D95105D"/>
    <w:rsid w:val="4D960FFD"/>
    <w:rsid w:val="4D99896E"/>
    <w:rsid w:val="4D9D217A"/>
    <w:rsid w:val="4DA0DCE7"/>
    <w:rsid w:val="4DA6E6AD"/>
    <w:rsid w:val="4DADD40B"/>
    <w:rsid w:val="4DBAD117"/>
    <w:rsid w:val="4DC1252E"/>
    <w:rsid w:val="4DC701CD"/>
    <w:rsid w:val="4DC747D2"/>
    <w:rsid w:val="4DD01387"/>
    <w:rsid w:val="4DD02234"/>
    <w:rsid w:val="4DD1D320"/>
    <w:rsid w:val="4DD54140"/>
    <w:rsid w:val="4DD8F134"/>
    <w:rsid w:val="4DE550C4"/>
    <w:rsid w:val="4DE777AC"/>
    <w:rsid w:val="4DF0721E"/>
    <w:rsid w:val="4DF69184"/>
    <w:rsid w:val="4DFC03B0"/>
    <w:rsid w:val="4E0259D7"/>
    <w:rsid w:val="4E094E04"/>
    <w:rsid w:val="4E0D6ECD"/>
    <w:rsid w:val="4E16696B"/>
    <w:rsid w:val="4E23B63F"/>
    <w:rsid w:val="4E2AFA1C"/>
    <w:rsid w:val="4E2F9105"/>
    <w:rsid w:val="4E320753"/>
    <w:rsid w:val="4E3610F3"/>
    <w:rsid w:val="4E4C28F4"/>
    <w:rsid w:val="4E4C385A"/>
    <w:rsid w:val="4E543530"/>
    <w:rsid w:val="4E61EAF6"/>
    <w:rsid w:val="4E64B24D"/>
    <w:rsid w:val="4E6732FC"/>
    <w:rsid w:val="4E69B0C3"/>
    <w:rsid w:val="4E6B0D62"/>
    <w:rsid w:val="4E7021DB"/>
    <w:rsid w:val="4E816526"/>
    <w:rsid w:val="4E863C79"/>
    <w:rsid w:val="4E86BA73"/>
    <w:rsid w:val="4EB3E2FF"/>
    <w:rsid w:val="4EC6AADA"/>
    <w:rsid w:val="4EC82063"/>
    <w:rsid w:val="4EC92765"/>
    <w:rsid w:val="4EC9426A"/>
    <w:rsid w:val="4ED5D0BB"/>
    <w:rsid w:val="4ED930A2"/>
    <w:rsid w:val="4EDF7453"/>
    <w:rsid w:val="4EDFCE2B"/>
    <w:rsid w:val="4EEB112C"/>
    <w:rsid w:val="4F031AC2"/>
    <w:rsid w:val="4F05EE7B"/>
    <w:rsid w:val="4F0A3DD0"/>
    <w:rsid w:val="4F0AFA43"/>
    <w:rsid w:val="4F0CCB2B"/>
    <w:rsid w:val="4F112661"/>
    <w:rsid w:val="4F2D8B15"/>
    <w:rsid w:val="4F436804"/>
    <w:rsid w:val="4F441690"/>
    <w:rsid w:val="4F46FEDB"/>
    <w:rsid w:val="4F5467DB"/>
    <w:rsid w:val="4F55695F"/>
    <w:rsid w:val="4F5BF9CC"/>
    <w:rsid w:val="4F5C21F8"/>
    <w:rsid w:val="4F5CF66F"/>
    <w:rsid w:val="4F627051"/>
    <w:rsid w:val="4F670E83"/>
    <w:rsid w:val="4F6E3477"/>
    <w:rsid w:val="4F70912F"/>
    <w:rsid w:val="4F7265FD"/>
    <w:rsid w:val="4F77F045"/>
    <w:rsid w:val="4F79583A"/>
    <w:rsid w:val="4F79850E"/>
    <w:rsid w:val="4F7D4139"/>
    <w:rsid w:val="4F811874"/>
    <w:rsid w:val="4F85BA3A"/>
    <w:rsid w:val="4F9DAF51"/>
    <w:rsid w:val="4F9E4DDD"/>
    <w:rsid w:val="4FA6BB15"/>
    <w:rsid w:val="4FAD589F"/>
    <w:rsid w:val="4FB71479"/>
    <w:rsid w:val="4FBFB8BC"/>
    <w:rsid w:val="4FC51168"/>
    <w:rsid w:val="4FD40DCD"/>
    <w:rsid w:val="4FD64285"/>
    <w:rsid w:val="500333F9"/>
    <w:rsid w:val="5004C6F6"/>
    <w:rsid w:val="5006D0F9"/>
    <w:rsid w:val="500B3B77"/>
    <w:rsid w:val="50179F18"/>
    <w:rsid w:val="501C81D2"/>
    <w:rsid w:val="502944AB"/>
    <w:rsid w:val="50321967"/>
    <w:rsid w:val="503C9DE2"/>
    <w:rsid w:val="5045D335"/>
    <w:rsid w:val="5048F365"/>
    <w:rsid w:val="506539CB"/>
    <w:rsid w:val="5075FC3D"/>
    <w:rsid w:val="50854152"/>
    <w:rsid w:val="50A0068F"/>
    <w:rsid w:val="50A12A79"/>
    <w:rsid w:val="50A2900B"/>
    <w:rsid w:val="50B2CDE4"/>
    <w:rsid w:val="50B5E184"/>
    <w:rsid w:val="50B87DD6"/>
    <w:rsid w:val="50B92B3D"/>
    <w:rsid w:val="50BA4F57"/>
    <w:rsid w:val="50C3039C"/>
    <w:rsid w:val="50D5C3AB"/>
    <w:rsid w:val="50DA0FD7"/>
    <w:rsid w:val="50EACE17"/>
    <w:rsid w:val="50EC4327"/>
    <w:rsid w:val="50F98DFA"/>
    <w:rsid w:val="50FCD7F1"/>
    <w:rsid w:val="510303F5"/>
    <w:rsid w:val="510712CE"/>
    <w:rsid w:val="510BE22E"/>
    <w:rsid w:val="51188B78"/>
    <w:rsid w:val="511929DA"/>
    <w:rsid w:val="511BCCA6"/>
    <w:rsid w:val="511DBF20"/>
    <w:rsid w:val="51247C42"/>
    <w:rsid w:val="5127312D"/>
    <w:rsid w:val="512A4865"/>
    <w:rsid w:val="512C0BC8"/>
    <w:rsid w:val="512DB354"/>
    <w:rsid w:val="51323C62"/>
    <w:rsid w:val="51429AD1"/>
    <w:rsid w:val="51470D76"/>
    <w:rsid w:val="514E3E5B"/>
    <w:rsid w:val="514EBCB6"/>
    <w:rsid w:val="515B5F9C"/>
    <w:rsid w:val="5163E0AF"/>
    <w:rsid w:val="5166EBE8"/>
    <w:rsid w:val="516A02AD"/>
    <w:rsid w:val="5175384E"/>
    <w:rsid w:val="517A80A6"/>
    <w:rsid w:val="517F4D38"/>
    <w:rsid w:val="51832E0C"/>
    <w:rsid w:val="518C61CE"/>
    <w:rsid w:val="518EF274"/>
    <w:rsid w:val="51B22C56"/>
    <w:rsid w:val="51B57E02"/>
    <w:rsid w:val="51DB110B"/>
    <w:rsid w:val="51DDB37C"/>
    <w:rsid w:val="51E3ECAE"/>
    <w:rsid w:val="51E9D5C5"/>
    <w:rsid w:val="51EB0753"/>
    <w:rsid w:val="51F2DD16"/>
    <w:rsid w:val="51F4AF89"/>
    <w:rsid w:val="51F4F4F7"/>
    <w:rsid w:val="51F986F0"/>
    <w:rsid w:val="5205D8F1"/>
    <w:rsid w:val="5206FDA5"/>
    <w:rsid w:val="521B4894"/>
    <w:rsid w:val="522AAC47"/>
    <w:rsid w:val="522D62A0"/>
    <w:rsid w:val="522E096D"/>
    <w:rsid w:val="52454961"/>
    <w:rsid w:val="525AC531"/>
    <w:rsid w:val="525EF0C9"/>
    <w:rsid w:val="525FEE89"/>
    <w:rsid w:val="526283D2"/>
    <w:rsid w:val="526403A7"/>
    <w:rsid w:val="52721956"/>
    <w:rsid w:val="5277213E"/>
    <w:rsid w:val="52787173"/>
    <w:rsid w:val="527B8CB7"/>
    <w:rsid w:val="527F7F67"/>
    <w:rsid w:val="5286A3B9"/>
    <w:rsid w:val="528A5C44"/>
    <w:rsid w:val="528C15CF"/>
    <w:rsid w:val="5294FC57"/>
    <w:rsid w:val="529E9305"/>
    <w:rsid w:val="52A93CB1"/>
    <w:rsid w:val="52A99FF0"/>
    <w:rsid w:val="52AA5DC0"/>
    <w:rsid w:val="52AAB618"/>
    <w:rsid w:val="52AE3DF3"/>
    <w:rsid w:val="52B1FDF3"/>
    <w:rsid w:val="52BFDACF"/>
    <w:rsid w:val="52C801C9"/>
    <w:rsid w:val="52D50310"/>
    <w:rsid w:val="52E27C44"/>
    <w:rsid w:val="52E4F437"/>
    <w:rsid w:val="52F49918"/>
    <w:rsid w:val="52F4A194"/>
    <w:rsid w:val="52F69471"/>
    <w:rsid w:val="52F72DA5"/>
    <w:rsid w:val="52FF8309"/>
    <w:rsid w:val="530880E3"/>
    <w:rsid w:val="530C7934"/>
    <w:rsid w:val="530F2BCA"/>
    <w:rsid w:val="530F3389"/>
    <w:rsid w:val="530F746B"/>
    <w:rsid w:val="531EBEB1"/>
    <w:rsid w:val="5321E08D"/>
    <w:rsid w:val="53352C02"/>
    <w:rsid w:val="53371609"/>
    <w:rsid w:val="533B7C10"/>
    <w:rsid w:val="533C77B2"/>
    <w:rsid w:val="53481B9F"/>
    <w:rsid w:val="53499C5E"/>
    <w:rsid w:val="534F9A23"/>
    <w:rsid w:val="53572918"/>
    <w:rsid w:val="535B7F9B"/>
    <w:rsid w:val="535D1C31"/>
    <w:rsid w:val="535EF2FA"/>
    <w:rsid w:val="535EF47D"/>
    <w:rsid w:val="5362E2E6"/>
    <w:rsid w:val="536A2DB2"/>
    <w:rsid w:val="536C7924"/>
    <w:rsid w:val="537FEE88"/>
    <w:rsid w:val="53822C1C"/>
    <w:rsid w:val="53858557"/>
    <w:rsid w:val="538C29EC"/>
    <w:rsid w:val="5393CA4C"/>
    <w:rsid w:val="5398CBB9"/>
    <w:rsid w:val="53A61242"/>
    <w:rsid w:val="53ACC1A6"/>
    <w:rsid w:val="53B51D59"/>
    <w:rsid w:val="53B60085"/>
    <w:rsid w:val="53B9AC8C"/>
    <w:rsid w:val="53D1BE91"/>
    <w:rsid w:val="53D51091"/>
    <w:rsid w:val="53D94A68"/>
    <w:rsid w:val="53DBFDEE"/>
    <w:rsid w:val="53DCBE4D"/>
    <w:rsid w:val="53E79DAF"/>
    <w:rsid w:val="53EDDB34"/>
    <w:rsid w:val="5404DE05"/>
    <w:rsid w:val="5406059F"/>
    <w:rsid w:val="54065B52"/>
    <w:rsid w:val="540D2DA7"/>
    <w:rsid w:val="5416F0F5"/>
    <w:rsid w:val="5422B3EB"/>
    <w:rsid w:val="544F10AB"/>
    <w:rsid w:val="5450E480"/>
    <w:rsid w:val="5452B0E6"/>
    <w:rsid w:val="54535E50"/>
    <w:rsid w:val="545A6E25"/>
    <w:rsid w:val="5466103F"/>
    <w:rsid w:val="546F8C9E"/>
    <w:rsid w:val="5473593B"/>
    <w:rsid w:val="5473C794"/>
    <w:rsid w:val="54903FE6"/>
    <w:rsid w:val="549A194B"/>
    <w:rsid w:val="54ACECBF"/>
    <w:rsid w:val="54BDBC05"/>
    <w:rsid w:val="54C1705B"/>
    <w:rsid w:val="54C2757A"/>
    <w:rsid w:val="54C3072D"/>
    <w:rsid w:val="54DB651A"/>
    <w:rsid w:val="54E0DB9E"/>
    <w:rsid w:val="54E6ADAB"/>
    <w:rsid w:val="54E8A400"/>
    <w:rsid w:val="54EE3192"/>
    <w:rsid w:val="550276AD"/>
    <w:rsid w:val="550696F3"/>
    <w:rsid w:val="550DE10A"/>
    <w:rsid w:val="5519D1E1"/>
    <w:rsid w:val="552EDBA8"/>
    <w:rsid w:val="5536D315"/>
    <w:rsid w:val="553CAE5F"/>
    <w:rsid w:val="553CEDEE"/>
    <w:rsid w:val="55433E89"/>
    <w:rsid w:val="5543D3DE"/>
    <w:rsid w:val="5545CF35"/>
    <w:rsid w:val="5549153B"/>
    <w:rsid w:val="5553A377"/>
    <w:rsid w:val="55561B54"/>
    <w:rsid w:val="5556C422"/>
    <w:rsid w:val="556A55EB"/>
    <w:rsid w:val="556DAE98"/>
    <w:rsid w:val="55727E0C"/>
    <w:rsid w:val="557495A2"/>
    <w:rsid w:val="55783FA0"/>
    <w:rsid w:val="557D6DD0"/>
    <w:rsid w:val="558BF81E"/>
    <w:rsid w:val="5594D15C"/>
    <w:rsid w:val="559DDA47"/>
    <w:rsid w:val="55A4528A"/>
    <w:rsid w:val="55B11056"/>
    <w:rsid w:val="55B65AF0"/>
    <w:rsid w:val="55BE6D48"/>
    <w:rsid w:val="55C11ED2"/>
    <w:rsid w:val="55D00E8D"/>
    <w:rsid w:val="55DCC322"/>
    <w:rsid w:val="55E8B6A4"/>
    <w:rsid w:val="55FAA1F4"/>
    <w:rsid w:val="55FFF3ED"/>
    <w:rsid w:val="560044CF"/>
    <w:rsid w:val="56045D2C"/>
    <w:rsid w:val="56067700"/>
    <w:rsid w:val="561200F0"/>
    <w:rsid w:val="561782E5"/>
    <w:rsid w:val="561E1114"/>
    <w:rsid w:val="561F6722"/>
    <w:rsid w:val="5623B0AD"/>
    <w:rsid w:val="56270239"/>
    <w:rsid w:val="5630964B"/>
    <w:rsid w:val="56379DAF"/>
    <w:rsid w:val="56392F45"/>
    <w:rsid w:val="563B4EF6"/>
    <w:rsid w:val="56412054"/>
    <w:rsid w:val="56412D48"/>
    <w:rsid w:val="564B443E"/>
    <w:rsid w:val="564E4018"/>
    <w:rsid w:val="56602094"/>
    <w:rsid w:val="56671723"/>
    <w:rsid w:val="566AC400"/>
    <w:rsid w:val="5688CAFA"/>
    <w:rsid w:val="5690259A"/>
    <w:rsid w:val="569ADDFA"/>
    <w:rsid w:val="569F688E"/>
    <w:rsid w:val="56A5FED7"/>
    <w:rsid w:val="56A94870"/>
    <w:rsid w:val="56A9FF00"/>
    <w:rsid w:val="56B183C8"/>
    <w:rsid w:val="56B6F086"/>
    <w:rsid w:val="56D0EA07"/>
    <w:rsid w:val="56D14C95"/>
    <w:rsid w:val="56D74E89"/>
    <w:rsid w:val="56D7B0FE"/>
    <w:rsid w:val="56DAD346"/>
    <w:rsid w:val="56E13B8F"/>
    <w:rsid w:val="56E323D4"/>
    <w:rsid w:val="56E39D84"/>
    <w:rsid w:val="56EA5CD7"/>
    <w:rsid w:val="56FDE66F"/>
    <w:rsid w:val="571B33BB"/>
    <w:rsid w:val="571CE3B4"/>
    <w:rsid w:val="571D58DB"/>
    <w:rsid w:val="571EAB1F"/>
    <w:rsid w:val="572E6246"/>
    <w:rsid w:val="574BBA28"/>
    <w:rsid w:val="575CCB90"/>
    <w:rsid w:val="576F1D20"/>
    <w:rsid w:val="5775B30F"/>
    <w:rsid w:val="5775FAC4"/>
    <w:rsid w:val="577EE537"/>
    <w:rsid w:val="57832A54"/>
    <w:rsid w:val="578338D8"/>
    <w:rsid w:val="579AA008"/>
    <w:rsid w:val="579EA713"/>
    <w:rsid w:val="57ACCA8E"/>
    <w:rsid w:val="57ADD471"/>
    <w:rsid w:val="57AE1ACD"/>
    <w:rsid w:val="57B4F57A"/>
    <w:rsid w:val="57B68799"/>
    <w:rsid w:val="57C1F83F"/>
    <w:rsid w:val="57C752B7"/>
    <w:rsid w:val="57D3FBB9"/>
    <w:rsid w:val="57D4CFA7"/>
    <w:rsid w:val="57D8C968"/>
    <w:rsid w:val="57E2D684"/>
    <w:rsid w:val="57E31969"/>
    <w:rsid w:val="57E5F0F3"/>
    <w:rsid w:val="57EA7F97"/>
    <w:rsid w:val="57F36ABE"/>
    <w:rsid w:val="58001D1B"/>
    <w:rsid w:val="580374CF"/>
    <w:rsid w:val="5815A521"/>
    <w:rsid w:val="58185DB7"/>
    <w:rsid w:val="5822432A"/>
    <w:rsid w:val="5825F80A"/>
    <w:rsid w:val="5828AB16"/>
    <w:rsid w:val="582C21FA"/>
    <w:rsid w:val="58451674"/>
    <w:rsid w:val="585C418C"/>
    <w:rsid w:val="5863392F"/>
    <w:rsid w:val="58669A43"/>
    <w:rsid w:val="5871386B"/>
    <w:rsid w:val="58765C57"/>
    <w:rsid w:val="5877FA2D"/>
    <w:rsid w:val="58788347"/>
    <w:rsid w:val="58851A20"/>
    <w:rsid w:val="5889EB76"/>
    <w:rsid w:val="58945FE1"/>
    <w:rsid w:val="58A251DC"/>
    <w:rsid w:val="58A59795"/>
    <w:rsid w:val="58A72592"/>
    <w:rsid w:val="58A85D1A"/>
    <w:rsid w:val="58AB9EC1"/>
    <w:rsid w:val="58B0B31D"/>
    <w:rsid w:val="58B5161D"/>
    <w:rsid w:val="58BCD4FC"/>
    <w:rsid w:val="58D0C4CD"/>
    <w:rsid w:val="58D72C53"/>
    <w:rsid w:val="58D9A7C3"/>
    <w:rsid w:val="58DE3D26"/>
    <w:rsid w:val="58EFFB5F"/>
    <w:rsid w:val="58F1CEBE"/>
    <w:rsid w:val="58F444FB"/>
    <w:rsid w:val="58FD97EE"/>
    <w:rsid w:val="590355EC"/>
    <w:rsid w:val="590CE326"/>
    <w:rsid w:val="590E4AF8"/>
    <w:rsid w:val="591361B4"/>
    <w:rsid w:val="59174FD4"/>
    <w:rsid w:val="591FEDBB"/>
    <w:rsid w:val="5920B932"/>
    <w:rsid w:val="5921E3EC"/>
    <w:rsid w:val="592212FA"/>
    <w:rsid w:val="5935237D"/>
    <w:rsid w:val="593724BD"/>
    <w:rsid w:val="593902ED"/>
    <w:rsid w:val="594882FC"/>
    <w:rsid w:val="594DF27C"/>
    <w:rsid w:val="594E2417"/>
    <w:rsid w:val="59557C7C"/>
    <w:rsid w:val="59596846"/>
    <w:rsid w:val="5960A247"/>
    <w:rsid w:val="59702C40"/>
    <w:rsid w:val="59739358"/>
    <w:rsid w:val="5973E60D"/>
    <w:rsid w:val="5977A558"/>
    <w:rsid w:val="597BDB91"/>
    <w:rsid w:val="5988D248"/>
    <w:rsid w:val="59896294"/>
    <w:rsid w:val="598ED051"/>
    <w:rsid w:val="5996AED6"/>
    <w:rsid w:val="59ADFAE1"/>
    <w:rsid w:val="59B45772"/>
    <w:rsid w:val="59C0FC3D"/>
    <w:rsid w:val="59C81059"/>
    <w:rsid w:val="59DAF0E6"/>
    <w:rsid w:val="59DDFBEE"/>
    <w:rsid w:val="59DF7004"/>
    <w:rsid w:val="59EA6D4A"/>
    <w:rsid w:val="59FC4407"/>
    <w:rsid w:val="5A109365"/>
    <w:rsid w:val="5A11A71E"/>
    <w:rsid w:val="5A151D70"/>
    <w:rsid w:val="5A170C82"/>
    <w:rsid w:val="5A171BAE"/>
    <w:rsid w:val="5A17B1D8"/>
    <w:rsid w:val="5A1EB928"/>
    <w:rsid w:val="5A21CF4B"/>
    <w:rsid w:val="5A25B27C"/>
    <w:rsid w:val="5A25D1CD"/>
    <w:rsid w:val="5A29DF51"/>
    <w:rsid w:val="5A318556"/>
    <w:rsid w:val="5A3553AA"/>
    <w:rsid w:val="5A4A5ABF"/>
    <w:rsid w:val="5A4AC714"/>
    <w:rsid w:val="5A5115CB"/>
    <w:rsid w:val="5A57E923"/>
    <w:rsid w:val="5A5E4ACD"/>
    <w:rsid w:val="5A5EB05B"/>
    <w:rsid w:val="5A66CE1D"/>
    <w:rsid w:val="5A6B9F92"/>
    <w:rsid w:val="5A812386"/>
    <w:rsid w:val="5A890BED"/>
    <w:rsid w:val="5A961C15"/>
    <w:rsid w:val="5AA860AE"/>
    <w:rsid w:val="5AAF9178"/>
    <w:rsid w:val="5AB78035"/>
    <w:rsid w:val="5ABAC0D6"/>
    <w:rsid w:val="5AC322E5"/>
    <w:rsid w:val="5AD4BCC8"/>
    <w:rsid w:val="5AE8BD06"/>
    <w:rsid w:val="5AF1FDEC"/>
    <w:rsid w:val="5AF4564B"/>
    <w:rsid w:val="5AF5B948"/>
    <w:rsid w:val="5AF88BAB"/>
    <w:rsid w:val="5AFC1682"/>
    <w:rsid w:val="5B08DACA"/>
    <w:rsid w:val="5B0FBDF1"/>
    <w:rsid w:val="5B24AF79"/>
    <w:rsid w:val="5B2ECCD4"/>
    <w:rsid w:val="5B314C4E"/>
    <w:rsid w:val="5B596EAA"/>
    <w:rsid w:val="5B7395F6"/>
    <w:rsid w:val="5B7BCA50"/>
    <w:rsid w:val="5B7DB8F1"/>
    <w:rsid w:val="5B88F10D"/>
    <w:rsid w:val="5B8C5E2F"/>
    <w:rsid w:val="5B8D71E6"/>
    <w:rsid w:val="5B996DC3"/>
    <w:rsid w:val="5BA87F70"/>
    <w:rsid w:val="5BACD64D"/>
    <w:rsid w:val="5BB913C0"/>
    <w:rsid w:val="5BBC4F1E"/>
    <w:rsid w:val="5BC460A7"/>
    <w:rsid w:val="5BC9C165"/>
    <w:rsid w:val="5BD23D84"/>
    <w:rsid w:val="5BD765FF"/>
    <w:rsid w:val="5BDAE56A"/>
    <w:rsid w:val="5BDF9970"/>
    <w:rsid w:val="5BE00550"/>
    <w:rsid w:val="5BE5B518"/>
    <w:rsid w:val="5BEB7321"/>
    <w:rsid w:val="5BF338C4"/>
    <w:rsid w:val="5BF33938"/>
    <w:rsid w:val="5BF47DE8"/>
    <w:rsid w:val="5C051D22"/>
    <w:rsid w:val="5C1219DC"/>
    <w:rsid w:val="5C13B9E1"/>
    <w:rsid w:val="5C14D4EF"/>
    <w:rsid w:val="5C170EBF"/>
    <w:rsid w:val="5C26E98A"/>
    <w:rsid w:val="5C2803E2"/>
    <w:rsid w:val="5C380E7D"/>
    <w:rsid w:val="5C39181D"/>
    <w:rsid w:val="5C449F2A"/>
    <w:rsid w:val="5C4597C9"/>
    <w:rsid w:val="5C4F440B"/>
    <w:rsid w:val="5C5A31F3"/>
    <w:rsid w:val="5C5D0F77"/>
    <w:rsid w:val="5C6AF3E3"/>
    <w:rsid w:val="5C6CA516"/>
    <w:rsid w:val="5C6DFA61"/>
    <w:rsid w:val="5C6EA919"/>
    <w:rsid w:val="5C723F0E"/>
    <w:rsid w:val="5C745957"/>
    <w:rsid w:val="5C755C74"/>
    <w:rsid w:val="5C7C66BC"/>
    <w:rsid w:val="5C9502B6"/>
    <w:rsid w:val="5CA1950C"/>
    <w:rsid w:val="5CAC64A4"/>
    <w:rsid w:val="5CB30CC2"/>
    <w:rsid w:val="5CB363E4"/>
    <w:rsid w:val="5CBD637A"/>
    <w:rsid w:val="5CBFC62A"/>
    <w:rsid w:val="5CC4B18C"/>
    <w:rsid w:val="5CDC0472"/>
    <w:rsid w:val="5CF065A7"/>
    <w:rsid w:val="5CF8FE78"/>
    <w:rsid w:val="5CFCF6D5"/>
    <w:rsid w:val="5CFF3F99"/>
    <w:rsid w:val="5D01EBF7"/>
    <w:rsid w:val="5D0CF259"/>
    <w:rsid w:val="5D131F51"/>
    <w:rsid w:val="5D15A70D"/>
    <w:rsid w:val="5D2F4C40"/>
    <w:rsid w:val="5D30A6CF"/>
    <w:rsid w:val="5D30D11F"/>
    <w:rsid w:val="5D356D3E"/>
    <w:rsid w:val="5D3D0730"/>
    <w:rsid w:val="5D428105"/>
    <w:rsid w:val="5D4602AE"/>
    <w:rsid w:val="5D59261B"/>
    <w:rsid w:val="5D5A69E1"/>
    <w:rsid w:val="5D67AF94"/>
    <w:rsid w:val="5D68996C"/>
    <w:rsid w:val="5D7A3FC5"/>
    <w:rsid w:val="5D7CFBA4"/>
    <w:rsid w:val="5D8C0578"/>
    <w:rsid w:val="5DBE268C"/>
    <w:rsid w:val="5DC1E187"/>
    <w:rsid w:val="5DC3DF37"/>
    <w:rsid w:val="5DCDEDC7"/>
    <w:rsid w:val="5DE2322F"/>
    <w:rsid w:val="5DEABF6E"/>
    <w:rsid w:val="5DEF0071"/>
    <w:rsid w:val="5DF321F1"/>
    <w:rsid w:val="5E0DE76D"/>
    <w:rsid w:val="5E15F6EC"/>
    <w:rsid w:val="5E16F24B"/>
    <w:rsid w:val="5E1B4453"/>
    <w:rsid w:val="5E1F3875"/>
    <w:rsid w:val="5E3236AA"/>
    <w:rsid w:val="5E35D209"/>
    <w:rsid w:val="5E4F3A99"/>
    <w:rsid w:val="5E54F1B1"/>
    <w:rsid w:val="5E692388"/>
    <w:rsid w:val="5E770A60"/>
    <w:rsid w:val="5E7CB964"/>
    <w:rsid w:val="5E82DBE2"/>
    <w:rsid w:val="5E839C1A"/>
    <w:rsid w:val="5E85E8A2"/>
    <w:rsid w:val="5E92FD76"/>
    <w:rsid w:val="5E931EC3"/>
    <w:rsid w:val="5E94FC7E"/>
    <w:rsid w:val="5E9D913A"/>
    <w:rsid w:val="5E9E9383"/>
    <w:rsid w:val="5EB5041C"/>
    <w:rsid w:val="5EB67E2E"/>
    <w:rsid w:val="5EB74D04"/>
    <w:rsid w:val="5EB7D484"/>
    <w:rsid w:val="5EBA2F99"/>
    <w:rsid w:val="5EBE6FCA"/>
    <w:rsid w:val="5EC5DB12"/>
    <w:rsid w:val="5ECC47FB"/>
    <w:rsid w:val="5ED23ABB"/>
    <w:rsid w:val="5EDD954E"/>
    <w:rsid w:val="5EE123C9"/>
    <w:rsid w:val="5EE862B4"/>
    <w:rsid w:val="5EEA3453"/>
    <w:rsid w:val="5EECE57A"/>
    <w:rsid w:val="5EF3E882"/>
    <w:rsid w:val="5EFBA451"/>
    <w:rsid w:val="5F013AD7"/>
    <w:rsid w:val="5F06AC2C"/>
    <w:rsid w:val="5F0B91EA"/>
    <w:rsid w:val="5F0ECB9C"/>
    <w:rsid w:val="5F1282A4"/>
    <w:rsid w:val="5F12B4E2"/>
    <w:rsid w:val="5F189DD6"/>
    <w:rsid w:val="5F19D169"/>
    <w:rsid w:val="5F1A8FB9"/>
    <w:rsid w:val="5F1AC273"/>
    <w:rsid w:val="5F1E8FE6"/>
    <w:rsid w:val="5F23D589"/>
    <w:rsid w:val="5F2AAF1D"/>
    <w:rsid w:val="5F38501F"/>
    <w:rsid w:val="5F3BF4A4"/>
    <w:rsid w:val="5F3F3105"/>
    <w:rsid w:val="5F4B2EDC"/>
    <w:rsid w:val="5F4E002C"/>
    <w:rsid w:val="5F574744"/>
    <w:rsid w:val="5F58E770"/>
    <w:rsid w:val="5F5A9572"/>
    <w:rsid w:val="5F5D5A08"/>
    <w:rsid w:val="5F63BBEE"/>
    <w:rsid w:val="5F79ED6C"/>
    <w:rsid w:val="5F91448E"/>
    <w:rsid w:val="5F944B5C"/>
    <w:rsid w:val="5F9BCC31"/>
    <w:rsid w:val="5F9DB91B"/>
    <w:rsid w:val="5FA513F4"/>
    <w:rsid w:val="5FC3ECD7"/>
    <w:rsid w:val="5FC6B1F1"/>
    <w:rsid w:val="5FCBB17F"/>
    <w:rsid w:val="5FD00C3F"/>
    <w:rsid w:val="5FD23752"/>
    <w:rsid w:val="5FD2D20C"/>
    <w:rsid w:val="5FD3D9B0"/>
    <w:rsid w:val="5FDAC880"/>
    <w:rsid w:val="5FE5A50B"/>
    <w:rsid w:val="5FF38FD8"/>
    <w:rsid w:val="5FF6CAEB"/>
    <w:rsid w:val="600C67A4"/>
    <w:rsid w:val="60125A54"/>
    <w:rsid w:val="60182E05"/>
    <w:rsid w:val="6024B5E3"/>
    <w:rsid w:val="60261D80"/>
    <w:rsid w:val="60412AA1"/>
    <w:rsid w:val="60454E7A"/>
    <w:rsid w:val="604E368C"/>
    <w:rsid w:val="60518343"/>
    <w:rsid w:val="606EE7BD"/>
    <w:rsid w:val="6071FAEF"/>
    <w:rsid w:val="6076AAD4"/>
    <w:rsid w:val="607AB21B"/>
    <w:rsid w:val="6088FA58"/>
    <w:rsid w:val="609C9B07"/>
    <w:rsid w:val="60A0553C"/>
    <w:rsid w:val="60A106F6"/>
    <w:rsid w:val="60A5E950"/>
    <w:rsid w:val="60A9D92A"/>
    <w:rsid w:val="60AE34DF"/>
    <w:rsid w:val="60BA95EE"/>
    <w:rsid w:val="60BDB33A"/>
    <w:rsid w:val="60C2EBB4"/>
    <w:rsid w:val="60C7EC8A"/>
    <w:rsid w:val="60C85227"/>
    <w:rsid w:val="60D41B40"/>
    <w:rsid w:val="60DA833F"/>
    <w:rsid w:val="60E8629D"/>
    <w:rsid w:val="60F56F6F"/>
    <w:rsid w:val="60FBDF1B"/>
    <w:rsid w:val="60FF6ECB"/>
    <w:rsid w:val="6102AE0C"/>
    <w:rsid w:val="611B49EE"/>
    <w:rsid w:val="611DA43B"/>
    <w:rsid w:val="612314A3"/>
    <w:rsid w:val="6132490A"/>
    <w:rsid w:val="6153E33C"/>
    <w:rsid w:val="6156EAA1"/>
    <w:rsid w:val="615BFDD6"/>
    <w:rsid w:val="618CAA4C"/>
    <w:rsid w:val="618E0746"/>
    <w:rsid w:val="618F476B"/>
    <w:rsid w:val="619992EF"/>
    <w:rsid w:val="61A9B20B"/>
    <w:rsid w:val="61B3A453"/>
    <w:rsid w:val="61C0D5A3"/>
    <w:rsid w:val="61C1B6E0"/>
    <w:rsid w:val="61D4DAF5"/>
    <w:rsid w:val="61D5A137"/>
    <w:rsid w:val="61DA00CD"/>
    <w:rsid w:val="61DA3D1B"/>
    <w:rsid w:val="61DC9C33"/>
    <w:rsid w:val="61DE34A6"/>
    <w:rsid w:val="61DF21D3"/>
    <w:rsid w:val="61F77197"/>
    <w:rsid w:val="61FBB652"/>
    <w:rsid w:val="620687EB"/>
    <w:rsid w:val="620DE33D"/>
    <w:rsid w:val="6211BD0B"/>
    <w:rsid w:val="621C5901"/>
    <w:rsid w:val="6229A1E2"/>
    <w:rsid w:val="622E1BC5"/>
    <w:rsid w:val="62390944"/>
    <w:rsid w:val="624EDC69"/>
    <w:rsid w:val="625213D1"/>
    <w:rsid w:val="625D8441"/>
    <w:rsid w:val="626BE7AF"/>
    <w:rsid w:val="62709D82"/>
    <w:rsid w:val="62716F78"/>
    <w:rsid w:val="628239F0"/>
    <w:rsid w:val="628B465C"/>
    <w:rsid w:val="6291F2F7"/>
    <w:rsid w:val="62A9C05E"/>
    <w:rsid w:val="62A9F92F"/>
    <w:rsid w:val="62B59AD6"/>
    <w:rsid w:val="62BD6ADA"/>
    <w:rsid w:val="62BDFB83"/>
    <w:rsid w:val="62D9391E"/>
    <w:rsid w:val="62E23BC0"/>
    <w:rsid w:val="62F3484A"/>
    <w:rsid w:val="62F3FACE"/>
    <w:rsid w:val="62FE2F30"/>
    <w:rsid w:val="6301C575"/>
    <w:rsid w:val="63336EBA"/>
    <w:rsid w:val="6336EC04"/>
    <w:rsid w:val="63447D32"/>
    <w:rsid w:val="634A40C9"/>
    <w:rsid w:val="634D8A60"/>
    <w:rsid w:val="635F274F"/>
    <w:rsid w:val="6365B858"/>
    <w:rsid w:val="63661212"/>
    <w:rsid w:val="636C3BD3"/>
    <w:rsid w:val="636F9489"/>
    <w:rsid w:val="63778341"/>
    <w:rsid w:val="63779D9A"/>
    <w:rsid w:val="6377B629"/>
    <w:rsid w:val="6379EFF3"/>
    <w:rsid w:val="63849D38"/>
    <w:rsid w:val="6387C846"/>
    <w:rsid w:val="63890037"/>
    <w:rsid w:val="63903EB9"/>
    <w:rsid w:val="63911E1A"/>
    <w:rsid w:val="639B30C5"/>
    <w:rsid w:val="63A861D2"/>
    <w:rsid w:val="63A892B1"/>
    <w:rsid w:val="63AF5CE1"/>
    <w:rsid w:val="63AFE98E"/>
    <w:rsid w:val="63B203B5"/>
    <w:rsid w:val="63BCBD78"/>
    <w:rsid w:val="63C18C54"/>
    <w:rsid w:val="63D2E390"/>
    <w:rsid w:val="63D66B84"/>
    <w:rsid w:val="63DF2ED5"/>
    <w:rsid w:val="63E9F305"/>
    <w:rsid w:val="63F06EAD"/>
    <w:rsid w:val="63FC6666"/>
    <w:rsid w:val="6404F3B4"/>
    <w:rsid w:val="640C2262"/>
    <w:rsid w:val="640C24C0"/>
    <w:rsid w:val="640FC70B"/>
    <w:rsid w:val="64178FCE"/>
    <w:rsid w:val="64288BCE"/>
    <w:rsid w:val="642CB298"/>
    <w:rsid w:val="642D2B4D"/>
    <w:rsid w:val="643ADB0E"/>
    <w:rsid w:val="644187CE"/>
    <w:rsid w:val="6457C2E1"/>
    <w:rsid w:val="645AAD57"/>
    <w:rsid w:val="6462FF9E"/>
    <w:rsid w:val="6463A749"/>
    <w:rsid w:val="6468A6E7"/>
    <w:rsid w:val="646980FB"/>
    <w:rsid w:val="646BD621"/>
    <w:rsid w:val="646EF907"/>
    <w:rsid w:val="6484C944"/>
    <w:rsid w:val="6487195E"/>
    <w:rsid w:val="64910124"/>
    <w:rsid w:val="6495A2B0"/>
    <w:rsid w:val="64A37F9E"/>
    <w:rsid w:val="64A8DBD1"/>
    <w:rsid w:val="64AB7EAE"/>
    <w:rsid w:val="64AC0C3D"/>
    <w:rsid w:val="64B82BA9"/>
    <w:rsid w:val="64CCEA8B"/>
    <w:rsid w:val="64D78268"/>
    <w:rsid w:val="64D91BBC"/>
    <w:rsid w:val="64DB7787"/>
    <w:rsid w:val="64DBBA1E"/>
    <w:rsid w:val="64E24588"/>
    <w:rsid w:val="64EF7152"/>
    <w:rsid w:val="64F15748"/>
    <w:rsid w:val="64FA4EF9"/>
    <w:rsid w:val="6503DBAE"/>
    <w:rsid w:val="6507698D"/>
    <w:rsid w:val="6508660A"/>
    <w:rsid w:val="650CBDEE"/>
    <w:rsid w:val="652730DC"/>
    <w:rsid w:val="652EF8A4"/>
    <w:rsid w:val="652FA2E5"/>
    <w:rsid w:val="653852F1"/>
    <w:rsid w:val="653D4C2C"/>
    <w:rsid w:val="6541ADC9"/>
    <w:rsid w:val="6547E72D"/>
    <w:rsid w:val="655073F9"/>
    <w:rsid w:val="65551718"/>
    <w:rsid w:val="65557D74"/>
    <w:rsid w:val="655DC50D"/>
    <w:rsid w:val="65668827"/>
    <w:rsid w:val="65673F1F"/>
    <w:rsid w:val="6568722E"/>
    <w:rsid w:val="656A5BE9"/>
    <w:rsid w:val="656B4772"/>
    <w:rsid w:val="656CFD4D"/>
    <w:rsid w:val="657214BD"/>
    <w:rsid w:val="6580DDDF"/>
    <w:rsid w:val="6581780B"/>
    <w:rsid w:val="65840D36"/>
    <w:rsid w:val="658F7786"/>
    <w:rsid w:val="659326ED"/>
    <w:rsid w:val="6596DA1B"/>
    <w:rsid w:val="65987BDA"/>
    <w:rsid w:val="65ABF396"/>
    <w:rsid w:val="65ADB743"/>
    <w:rsid w:val="65BA2A4F"/>
    <w:rsid w:val="65BD0A4A"/>
    <w:rsid w:val="65C13E89"/>
    <w:rsid w:val="65DE5CAE"/>
    <w:rsid w:val="65E13CC7"/>
    <w:rsid w:val="65EB189F"/>
    <w:rsid w:val="65EF2B7A"/>
    <w:rsid w:val="65FD5381"/>
    <w:rsid w:val="65FF5D13"/>
    <w:rsid w:val="6607B2C9"/>
    <w:rsid w:val="660B7E5B"/>
    <w:rsid w:val="661156F3"/>
    <w:rsid w:val="6615B510"/>
    <w:rsid w:val="66205FB0"/>
    <w:rsid w:val="6621E975"/>
    <w:rsid w:val="66247AEA"/>
    <w:rsid w:val="662757D6"/>
    <w:rsid w:val="662EE4E4"/>
    <w:rsid w:val="6630DB73"/>
    <w:rsid w:val="66316B9B"/>
    <w:rsid w:val="6638ACE3"/>
    <w:rsid w:val="664A722B"/>
    <w:rsid w:val="664D189B"/>
    <w:rsid w:val="664DA582"/>
    <w:rsid w:val="6650034E"/>
    <w:rsid w:val="6652DFC6"/>
    <w:rsid w:val="66620E4A"/>
    <w:rsid w:val="66707C84"/>
    <w:rsid w:val="6679E893"/>
    <w:rsid w:val="667C18F5"/>
    <w:rsid w:val="6683004E"/>
    <w:rsid w:val="66867264"/>
    <w:rsid w:val="66900C61"/>
    <w:rsid w:val="66ACCCE3"/>
    <w:rsid w:val="66B1AAD9"/>
    <w:rsid w:val="66B5B9CC"/>
    <w:rsid w:val="66D0089D"/>
    <w:rsid w:val="66D4DD8E"/>
    <w:rsid w:val="66D70CD0"/>
    <w:rsid w:val="66DAA2CC"/>
    <w:rsid w:val="66E232AF"/>
    <w:rsid w:val="66E29573"/>
    <w:rsid w:val="66E7B3CC"/>
    <w:rsid w:val="66E9EBE3"/>
    <w:rsid w:val="66F43E93"/>
    <w:rsid w:val="6710B0F8"/>
    <w:rsid w:val="6713AC94"/>
    <w:rsid w:val="6714EF57"/>
    <w:rsid w:val="6717A0E8"/>
    <w:rsid w:val="6721F152"/>
    <w:rsid w:val="672A2FEA"/>
    <w:rsid w:val="672D80E4"/>
    <w:rsid w:val="6734C880"/>
    <w:rsid w:val="67414BFA"/>
    <w:rsid w:val="67627571"/>
    <w:rsid w:val="676A9881"/>
    <w:rsid w:val="6773C1B4"/>
    <w:rsid w:val="677443B1"/>
    <w:rsid w:val="677E63B3"/>
    <w:rsid w:val="6788AE5A"/>
    <w:rsid w:val="67986EB9"/>
    <w:rsid w:val="679C07D5"/>
    <w:rsid w:val="67A0CDEA"/>
    <w:rsid w:val="67AE5B07"/>
    <w:rsid w:val="67AFE23C"/>
    <w:rsid w:val="67B414B9"/>
    <w:rsid w:val="67C102D5"/>
    <w:rsid w:val="67CB2DD8"/>
    <w:rsid w:val="67D551EC"/>
    <w:rsid w:val="67DB6D9C"/>
    <w:rsid w:val="67DBD7B7"/>
    <w:rsid w:val="67DDCEA5"/>
    <w:rsid w:val="67E78A7C"/>
    <w:rsid w:val="67FA2DEA"/>
    <w:rsid w:val="67FDE4FF"/>
    <w:rsid w:val="68021071"/>
    <w:rsid w:val="680793D7"/>
    <w:rsid w:val="680EB56D"/>
    <w:rsid w:val="681D36EF"/>
    <w:rsid w:val="682230DA"/>
    <w:rsid w:val="682F0ED9"/>
    <w:rsid w:val="6831D375"/>
    <w:rsid w:val="683FC43B"/>
    <w:rsid w:val="6849909B"/>
    <w:rsid w:val="684ABE9C"/>
    <w:rsid w:val="684D52FC"/>
    <w:rsid w:val="6852642D"/>
    <w:rsid w:val="6853EC0F"/>
    <w:rsid w:val="6856137C"/>
    <w:rsid w:val="68567717"/>
    <w:rsid w:val="6862947A"/>
    <w:rsid w:val="68689627"/>
    <w:rsid w:val="686C9D38"/>
    <w:rsid w:val="686F1B56"/>
    <w:rsid w:val="6871FF15"/>
    <w:rsid w:val="68750C35"/>
    <w:rsid w:val="6875F180"/>
    <w:rsid w:val="687E96EB"/>
    <w:rsid w:val="6880BAFA"/>
    <w:rsid w:val="6881667B"/>
    <w:rsid w:val="6883AE3F"/>
    <w:rsid w:val="68847DCD"/>
    <w:rsid w:val="68901E56"/>
    <w:rsid w:val="6890CED0"/>
    <w:rsid w:val="6896E27E"/>
    <w:rsid w:val="68A37B2E"/>
    <w:rsid w:val="68A6AB3D"/>
    <w:rsid w:val="68A8B9D3"/>
    <w:rsid w:val="68B31555"/>
    <w:rsid w:val="68B7C3EF"/>
    <w:rsid w:val="68BABCE8"/>
    <w:rsid w:val="68CB9DE7"/>
    <w:rsid w:val="68D0C880"/>
    <w:rsid w:val="68D0F293"/>
    <w:rsid w:val="68D8DE19"/>
    <w:rsid w:val="68E0046A"/>
    <w:rsid w:val="68E38021"/>
    <w:rsid w:val="68E40587"/>
    <w:rsid w:val="68E66E25"/>
    <w:rsid w:val="68EF8F6D"/>
    <w:rsid w:val="68F30518"/>
    <w:rsid w:val="68FAB741"/>
    <w:rsid w:val="690BFCCA"/>
    <w:rsid w:val="690E4F0D"/>
    <w:rsid w:val="69316898"/>
    <w:rsid w:val="69327892"/>
    <w:rsid w:val="69359466"/>
    <w:rsid w:val="6935D022"/>
    <w:rsid w:val="69399355"/>
    <w:rsid w:val="6957BEC8"/>
    <w:rsid w:val="695C9200"/>
    <w:rsid w:val="696D4DE3"/>
    <w:rsid w:val="6978D0FC"/>
    <w:rsid w:val="69806B18"/>
    <w:rsid w:val="698BE0C8"/>
    <w:rsid w:val="698F3E61"/>
    <w:rsid w:val="6997BBB7"/>
    <w:rsid w:val="699F295D"/>
    <w:rsid w:val="69A118F3"/>
    <w:rsid w:val="69B1CDA5"/>
    <w:rsid w:val="69B25AAF"/>
    <w:rsid w:val="69BE3AB9"/>
    <w:rsid w:val="69C3E4E9"/>
    <w:rsid w:val="69C7F31D"/>
    <w:rsid w:val="69D41DC8"/>
    <w:rsid w:val="69D56EBE"/>
    <w:rsid w:val="69DD820A"/>
    <w:rsid w:val="69DF8E4A"/>
    <w:rsid w:val="69E8E175"/>
    <w:rsid w:val="69FA341D"/>
    <w:rsid w:val="6A0709E5"/>
    <w:rsid w:val="6A074A8B"/>
    <w:rsid w:val="6A09B7C3"/>
    <w:rsid w:val="6A0E1825"/>
    <w:rsid w:val="6A0F4965"/>
    <w:rsid w:val="6A17ADEE"/>
    <w:rsid w:val="6A1ECD8F"/>
    <w:rsid w:val="6A22520F"/>
    <w:rsid w:val="6A26CD0F"/>
    <w:rsid w:val="6A2848B9"/>
    <w:rsid w:val="6A296D37"/>
    <w:rsid w:val="6A39D174"/>
    <w:rsid w:val="6A404351"/>
    <w:rsid w:val="6A4723DB"/>
    <w:rsid w:val="6A4F920C"/>
    <w:rsid w:val="6A549B8C"/>
    <w:rsid w:val="6A55C4F2"/>
    <w:rsid w:val="6A592A0C"/>
    <w:rsid w:val="6A5AC974"/>
    <w:rsid w:val="6A65305D"/>
    <w:rsid w:val="6A6DA072"/>
    <w:rsid w:val="6A73E59F"/>
    <w:rsid w:val="6A78EE84"/>
    <w:rsid w:val="6A7CB1D1"/>
    <w:rsid w:val="6A8B6FE7"/>
    <w:rsid w:val="6A8D6D12"/>
    <w:rsid w:val="6A96474D"/>
    <w:rsid w:val="6A9E9456"/>
    <w:rsid w:val="6A9EED44"/>
    <w:rsid w:val="6AAB196F"/>
    <w:rsid w:val="6AAC9014"/>
    <w:rsid w:val="6AB4810E"/>
    <w:rsid w:val="6ABAF8AC"/>
    <w:rsid w:val="6AC5D613"/>
    <w:rsid w:val="6AC75A3C"/>
    <w:rsid w:val="6AE021F9"/>
    <w:rsid w:val="6AF79D7B"/>
    <w:rsid w:val="6AF83D27"/>
    <w:rsid w:val="6AFC62E8"/>
    <w:rsid w:val="6AFD5886"/>
    <w:rsid w:val="6B067E5F"/>
    <w:rsid w:val="6B06ED8C"/>
    <w:rsid w:val="6B0EE58B"/>
    <w:rsid w:val="6B0FEBB9"/>
    <w:rsid w:val="6B1FA0D3"/>
    <w:rsid w:val="6B24D876"/>
    <w:rsid w:val="6B3F586E"/>
    <w:rsid w:val="6B40E347"/>
    <w:rsid w:val="6B45F2DB"/>
    <w:rsid w:val="6B468754"/>
    <w:rsid w:val="6B4C7ECB"/>
    <w:rsid w:val="6B5EE098"/>
    <w:rsid w:val="6B62E8F5"/>
    <w:rsid w:val="6B790870"/>
    <w:rsid w:val="6B7A98CA"/>
    <w:rsid w:val="6B8735A2"/>
    <w:rsid w:val="6B9AE1D6"/>
    <w:rsid w:val="6BA5871A"/>
    <w:rsid w:val="6BA8F248"/>
    <w:rsid w:val="6BAD7D01"/>
    <w:rsid w:val="6BB58689"/>
    <w:rsid w:val="6BBDC1CD"/>
    <w:rsid w:val="6BBFD026"/>
    <w:rsid w:val="6BC32C2F"/>
    <w:rsid w:val="6BC4FEA8"/>
    <w:rsid w:val="6BC51755"/>
    <w:rsid w:val="6BD31C1F"/>
    <w:rsid w:val="6BD39CB1"/>
    <w:rsid w:val="6BDBE973"/>
    <w:rsid w:val="6BED9FD6"/>
    <w:rsid w:val="6BF0659D"/>
    <w:rsid w:val="6BF5769E"/>
    <w:rsid w:val="6BF718FD"/>
    <w:rsid w:val="6C046271"/>
    <w:rsid w:val="6C065D6A"/>
    <w:rsid w:val="6C0CA32B"/>
    <w:rsid w:val="6C1CEC86"/>
    <w:rsid w:val="6C218E46"/>
    <w:rsid w:val="6C22C71B"/>
    <w:rsid w:val="6C371A15"/>
    <w:rsid w:val="6C39E87B"/>
    <w:rsid w:val="6C3A2C8A"/>
    <w:rsid w:val="6C49F7C6"/>
    <w:rsid w:val="6C5D321E"/>
    <w:rsid w:val="6C5E397D"/>
    <w:rsid w:val="6C618353"/>
    <w:rsid w:val="6C645A41"/>
    <w:rsid w:val="6C6CA97A"/>
    <w:rsid w:val="6C72F292"/>
    <w:rsid w:val="6C757E43"/>
    <w:rsid w:val="6C800165"/>
    <w:rsid w:val="6C892827"/>
    <w:rsid w:val="6C8FA2F2"/>
    <w:rsid w:val="6C91327F"/>
    <w:rsid w:val="6C937DBC"/>
    <w:rsid w:val="6C93AAB5"/>
    <w:rsid w:val="6C9656C6"/>
    <w:rsid w:val="6CA2D092"/>
    <w:rsid w:val="6CC47F37"/>
    <w:rsid w:val="6CD3FCEE"/>
    <w:rsid w:val="6CDF5640"/>
    <w:rsid w:val="6CE4EA7C"/>
    <w:rsid w:val="6CEF1C8D"/>
    <w:rsid w:val="6CF143DE"/>
    <w:rsid w:val="6CF557D3"/>
    <w:rsid w:val="6CF55C8D"/>
    <w:rsid w:val="6D05B724"/>
    <w:rsid w:val="6D0C13C8"/>
    <w:rsid w:val="6D1634D5"/>
    <w:rsid w:val="6D19D2D2"/>
    <w:rsid w:val="6D22BB0E"/>
    <w:rsid w:val="6D27BD37"/>
    <w:rsid w:val="6D28DF8F"/>
    <w:rsid w:val="6D313731"/>
    <w:rsid w:val="6D439FF3"/>
    <w:rsid w:val="6D457920"/>
    <w:rsid w:val="6D4D60E3"/>
    <w:rsid w:val="6D4D80E0"/>
    <w:rsid w:val="6D4E7084"/>
    <w:rsid w:val="6D5A4A2B"/>
    <w:rsid w:val="6D61A7DE"/>
    <w:rsid w:val="6D630A4E"/>
    <w:rsid w:val="6D69B5A1"/>
    <w:rsid w:val="6D6A08C2"/>
    <w:rsid w:val="6D70C6B1"/>
    <w:rsid w:val="6D831B42"/>
    <w:rsid w:val="6D87EA6C"/>
    <w:rsid w:val="6D9677D0"/>
    <w:rsid w:val="6DA0F413"/>
    <w:rsid w:val="6DA2C7B8"/>
    <w:rsid w:val="6DA6E9DE"/>
    <w:rsid w:val="6DAF76C1"/>
    <w:rsid w:val="6DB21CB6"/>
    <w:rsid w:val="6DB4EFF6"/>
    <w:rsid w:val="6DB817EA"/>
    <w:rsid w:val="6DB82F4A"/>
    <w:rsid w:val="6DB86FA8"/>
    <w:rsid w:val="6DBF24CD"/>
    <w:rsid w:val="6DC3F660"/>
    <w:rsid w:val="6DC80D3C"/>
    <w:rsid w:val="6DD2B367"/>
    <w:rsid w:val="6DD60AE7"/>
    <w:rsid w:val="6DD6982E"/>
    <w:rsid w:val="6DE65D79"/>
    <w:rsid w:val="6DE96FFA"/>
    <w:rsid w:val="6DEB6815"/>
    <w:rsid w:val="6E0B16F4"/>
    <w:rsid w:val="6E0B5593"/>
    <w:rsid w:val="6E0C0231"/>
    <w:rsid w:val="6E0C77A9"/>
    <w:rsid w:val="6E188EAA"/>
    <w:rsid w:val="6E1ECEE4"/>
    <w:rsid w:val="6E25EA4D"/>
    <w:rsid w:val="6E304E96"/>
    <w:rsid w:val="6E30EF3D"/>
    <w:rsid w:val="6E42B3EF"/>
    <w:rsid w:val="6E5216FF"/>
    <w:rsid w:val="6E60E00C"/>
    <w:rsid w:val="6E7E4995"/>
    <w:rsid w:val="6E81BE4E"/>
    <w:rsid w:val="6E8C3716"/>
    <w:rsid w:val="6EABEC4B"/>
    <w:rsid w:val="6EB06219"/>
    <w:rsid w:val="6EB6394F"/>
    <w:rsid w:val="6EBB9AC3"/>
    <w:rsid w:val="6EC192FB"/>
    <w:rsid w:val="6EC68A5F"/>
    <w:rsid w:val="6ED5F8B3"/>
    <w:rsid w:val="6ED69794"/>
    <w:rsid w:val="6EEC5A1D"/>
    <w:rsid w:val="6EF79027"/>
    <w:rsid w:val="6EF8D357"/>
    <w:rsid w:val="6F10A9DE"/>
    <w:rsid w:val="6F12057C"/>
    <w:rsid w:val="6F15596E"/>
    <w:rsid w:val="6F164A2C"/>
    <w:rsid w:val="6F1A54E4"/>
    <w:rsid w:val="6F24BC03"/>
    <w:rsid w:val="6F25B3B4"/>
    <w:rsid w:val="6F2D4238"/>
    <w:rsid w:val="6F335B84"/>
    <w:rsid w:val="6F370DAC"/>
    <w:rsid w:val="6F387043"/>
    <w:rsid w:val="6F4F0403"/>
    <w:rsid w:val="6F62B463"/>
    <w:rsid w:val="6F694AC1"/>
    <w:rsid w:val="6F83B339"/>
    <w:rsid w:val="6F96FB6B"/>
    <w:rsid w:val="6FA0D02D"/>
    <w:rsid w:val="6FA40791"/>
    <w:rsid w:val="6FB50F49"/>
    <w:rsid w:val="6FBD091C"/>
    <w:rsid w:val="6FC0FF85"/>
    <w:rsid w:val="6FD15398"/>
    <w:rsid w:val="6FDED73C"/>
    <w:rsid w:val="6FE880BD"/>
    <w:rsid w:val="6FF3D5B9"/>
    <w:rsid w:val="70028789"/>
    <w:rsid w:val="70093D4C"/>
    <w:rsid w:val="700F8E20"/>
    <w:rsid w:val="702B05E7"/>
    <w:rsid w:val="702BD52A"/>
    <w:rsid w:val="7031D9E1"/>
    <w:rsid w:val="703BAF90"/>
    <w:rsid w:val="703E44ED"/>
    <w:rsid w:val="7042A4FE"/>
    <w:rsid w:val="70494FC1"/>
    <w:rsid w:val="70752213"/>
    <w:rsid w:val="708AA22F"/>
    <w:rsid w:val="708F9106"/>
    <w:rsid w:val="70912D67"/>
    <w:rsid w:val="709B192A"/>
    <w:rsid w:val="70A7D1B1"/>
    <w:rsid w:val="70AED44D"/>
    <w:rsid w:val="70B803A9"/>
    <w:rsid w:val="70BCB7FE"/>
    <w:rsid w:val="70BF41F1"/>
    <w:rsid w:val="70C21B4F"/>
    <w:rsid w:val="70C68C06"/>
    <w:rsid w:val="70DC2AA2"/>
    <w:rsid w:val="70DD8D8E"/>
    <w:rsid w:val="70DF48F2"/>
    <w:rsid w:val="70E5A91F"/>
    <w:rsid w:val="70F64227"/>
    <w:rsid w:val="70F732D3"/>
    <w:rsid w:val="70F89D6E"/>
    <w:rsid w:val="71012606"/>
    <w:rsid w:val="71058B7D"/>
    <w:rsid w:val="71072AEC"/>
    <w:rsid w:val="710C13B6"/>
    <w:rsid w:val="711AD521"/>
    <w:rsid w:val="71226496"/>
    <w:rsid w:val="712F1F1C"/>
    <w:rsid w:val="7134AFCA"/>
    <w:rsid w:val="713E6C5A"/>
    <w:rsid w:val="7140A967"/>
    <w:rsid w:val="7141F3B0"/>
    <w:rsid w:val="71480993"/>
    <w:rsid w:val="714996E9"/>
    <w:rsid w:val="7149F053"/>
    <w:rsid w:val="7151D7B1"/>
    <w:rsid w:val="715E0F6D"/>
    <w:rsid w:val="7161350E"/>
    <w:rsid w:val="71664DA7"/>
    <w:rsid w:val="7170886D"/>
    <w:rsid w:val="71743B09"/>
    <w:rsid w:val="7179AAD6"/>
    <w:rsid w:val="717EA163"/>
    <w:rsid w:val="718736E4"/>
    <w:rsid w:val="7197CE78"/>
    <w:rsid w:val="71989D0F"/>
    <w:rsid w:val="719AF5F7"/>
    <w:rsid w:val="719D49F4"/>
    <w:rsid w:val="71AF5984"/>
    <w:rsid w:val="71BA8143"/>
    <w:rsid w:val="71BB7DAC"/>
    <w:rsid w:val="71BE58EF"/>
    <w:rsid w:val="71C049B5"/>
    <w:rsid w:val="71C05D79"/>
    <w:rsid w:val="71C19C41"/>
    <w:rsid w:val="71C53E88"/>
    <w:rsid w:val="71DCC2CC"/>
    <w:rsid w:val="71ED1E1D"/>
    <w:rsid w:val="71F88450"/>
    <w:rsid w:val="72001D07"/>
    <w:rsid w:val="7201FD4F"/>
    <w:rsid w:val="720E156E"/>
    <w:rsid w:val="721E6835"/>
    <w:rsid w:val="72272131"/>
    <w:rsid w:val="722ADE01"/>
    <w:rsid w:val="722C0850"/>
    <w:rsid w:val="723278E9"/>
    <w:rsid w:val="723349C1"/>
    <w:rsid w:val="7238DA66"/>
    <w:rsid w:val="723A32DE"/>
    <w:rsid w:val="723B97A5"/>
    <w:rsid w:val="72415BFB"/>
    <w:rsid w:val="7242519A"/>
    <w:rsid w:val="724B33E7"/>
    <w:rsid w:val="72511E15"/>
    <w:rsid w:val="72587817"/>
    <w:rsid w:val="725B488D"/>
    <w:rsid w:val="725DD1DB"/>
    <w:rsid w:val="725E135F"/>
    <w:rsid w:val="725F5C3D"/>
    <w:rsid w:val="726A1256"/>
    <w:rsid w:val="7270A991"/>
    <w:rsid w:val="72718E84"/>
    <w:rsid w:val="727DCD9B"/>
    <w:rsid w:val="728D2551"/>
    <w:rsid w:val="728E1D1B"/>
    <w:rsid w:val="7296A90F"/>
    <w:rsid w:val="72A913E6"/>
    <w:rsid w:val="72B2FCC8"/>
    <w:rsid w:val="72C41C08"/>
    <w:rsid w:val="72DF0FD7"/>
    <w:rsid w:val="72EB2D52"/>
    <w:rsid w:val="72EBA7D9"/>
    <w:rsid w:val="72EC3354"/>
    <w:rsid w:val="72F2D0CC"/>
    <w:rsid w:val="72F850E7"/>
    <w:rsid w:val="72F9CE26"/>
    <w:rsid w:val="72FA8E6E"/>
    <w:rsid w:val="7304A8AE"/>
    <w:rsid w:val="73054D04"/>
    <w:rsid w:val="730FA722"/>
    <w:rsid w:val="73103688"/>
    <w:rsid w:val="731455FA"/>
    <w:rsid w:val="7314B5C0"/>
    <w:rsid w:val="731EB329"/>
    <w:rsid w:val="7322782A"/>
    <w:rsid w:val="732739AB"/>
    <w:rsid w:val="73299ED0"/>
    <w:rsid w:val="73317E48"/>
    <w:rsid w:val="73384F0E"/>
    <w:rsid w:val="73436A95"/>
    <w:rsid w:val="7345E2D7"/>
    <w:rsid w:val="734B3DD5"/>
    <w:rsid w:val="734C927B"/>
    <w:rsid w:val="73565FC0"/>
    <w:rsid w:val="735D845F"/>
    <w:rsid w:val="736E1DF8"/>
    <w:rsid w:val="7370FA05"/>
    <w:rsid w:val="7371DACB"/>
    <w:rsid w:val="7373999A"/>
    <w:rsid w:val="73745F94"/>
    <w:rsid w:val="7379CDE9"/>
    <w:rsid w:val="73924951"/>
    <w:rsid w:val="7397C8E2"/>
    <w:rsid w:val="73AE4E1E"/>
    <w:rsid w:val="73B4F83D"/>
    <w:rsid w:val="73BDC5AE"/>
    <w:rsid w:val="73BFC4FB"/>
    <w:rsid w:val="73D42081"/>
    <w:rsid w:val="73DAD6A0"/>
    <w:rsid w:val="73DB0AAD"/>
    <w:rsid w:val="73EA903E"/>
    <w:rsid w:val="73EE11FA"/>
    <w:rsid w:val="73F7BB53"/>
    <w:rsid w:val="74002937"/>
    <w:rsid w:val="7404362F"/>
    <w:rsid w:val="74046B8C"/>
    <w:rsid w:val="7406EBCA"/>
    <w:rsid w:val="7408451B"/>
    <w:rsid w:val="740A6EEC"/>
    <w:rsid w:val="7411364B"/>
    <w:rsid w:val="74468714"/>
    <w:rsid w:val="74484425"/>
    <w:rsid w:val="7448CBAF"/>
    <w:rsid w:val="74557010"/>
    <w:rsid w:val="745C9FF6"/>
    <w:rsid w:val="74639573"/>
    <w:rsid w:val="74656D01"/>
    <w:rsid w:val="74704736"/>
    <w:rsid w:val="7470F3E4"/>
    <w:rsid w:val="74731D03"/>
    <w:rsid w:val="747B80E8"/>
    <w:rsid w:val="748440CD"/>
    <w:rsid w:val="7486D7E9"/>
    <w:rsid w:val="7488653A"/>
    <w:rsid w:val="749CCEFD"/>
    <w:rsid w:val="749FA9C8"/>
    <w:rsid w:val="74A4A75F"/>
    <w:rsid w:val="74A80AF3"/>
    <w:rsid w:val="74B91DB5"/>
    <w:rsid w:val="74BFD821"/>
    <w:rsid w:val="74C41E21"/>
    <w:rsid w:val="74C7309B"/>
    <w:rsid w:val="74C7D74B"/>
    <w:rsid w:val="74CBA9E7"/>
    <w:rsid w:val="74D5C080"/>
    <w:rsid w:val="74D7C1DC"/>
    <w:rsid w:val="74D7C436"/>
    <w:rsid w:val="74E540C8"/>
    <w:rsid w:val="74E56FF4"/>
    <w:rsid w:val="74E58946"/>
    <w:rsid w:val="74E7C9FB"/>
    <w:rsid w:val="74ECF901"/>
    <w:rsid w:val="74F3490C"/>
    <w:rsid w:val="74F7D8FB"/>
    <w:rsid w:val="74FAE2B8"/>
    <w:rsid w:val="7502B8D7"/>
    <w:rsid w:val="75055168"/>
    <w:rsid w:val="751F12A6"/>
    <w:rsid w:val="7521163C"/>
    <w:rsid w:val="75220424"/>
    <w:rsid w:val="7529CA83"/>
    <w:rsid w:val="7531B2F7"/>
    <w:rsid w:val="753768CB"/>
    <w:rsid w:val="7550D7A6"/>
    <w:rsid w:val="755DE158"/>
    <w:rsid w:val="75653E85"/>
    <w:rsid w:val="7570BAF0"/>
    <w:rsid w:val="75723DBC"/>
    <w:rsid w:val="75724FF4"/>
    <w:rsid w:val="75731BE8"/>
    <w:rsid w:val="7580C10E"/>
    <w:rsid w:val="75853945"/>
    <w:rsid w:val="759779AB"/>
    <w:rsid w:val="759896F8"/>
    <w:rsid w:val="759DAC8B"/>
    <w:rsid w:val="75A00F78"/>
    <w:rsid w:val="75A62913"/>
    <w:rsid w:val="75ADCAFD"/>
    <w:rsid w:val="75B300A1"/>
    <w:rsid w:val="75B5D36F"/>
    <w:rsid w:val="75BE7EFB"/>
    <w:rsid w:val="75C19F01"/>
    <w:rsid w:val="75D2D250"/>
    <w:rsid w:val="75D6E614"/>
    <w:rsid w:val="75DC1474"/>
    <w:rsid w:val="75DEE6B4"/>
    <w:rsid w:val="75E432C9"/>
    <w:rsid w:val="75EAC494"/>
    <w:rsid w:val="761DBED9"/>
    <w:rsid w:val="762E5E71"/>
    <w:rsid w:val="76329F81"/>
    <w:rsid w:val="7635B222"/>
    <w:rsid w:val="764E8386"/>
    <w:rsid w:val="764F49E0"/>
    <w:rsid w:val="7653D645"/>
    <w:rsid w:val="7659A491"/>
    <w:rsid w:val="76622296"/>
    <w:rsid w:val="7672FE58"/>
    <w:rsid w:val="76735C0A"/>
    <w:rsid w:val="7676112E"/>
    <w:rsid w:val="767CA1D1"/>
    <w:rsid w:val="767D1CF6"/>
    <w:rsid w:val="767D9624"/>
    <w:rsid w:val="76838969"/>
    <w:rsid w:val="768D3FC6"/>
    <w:rsid w:val="768EB50E"/>
    <w:rsid w:val="76A2DF83"/>
    <w:rsid w:val="76ACE57A"/>
    <w:rsid w:val="76B95311"/>
    <w:rsid w:val="76BAF8ED"/>
    <w:rsid w:val="76CCA185"/>
    <w:rsid w:val="76DD9409"/>
    <w:rsid w:val="76E66513"/>
    <w:rsid w:val="76FF2D4F"/>
    <w:rsid w:val="7701669E"/>
    <w:rsid w:val="7716446E"/>
    <w:rsid w:val="773E8483"/>
    <w:rsid w:val="774DF9F6"/>
    <w:rsid w:val="775F60E6"/>
    <w:rsid w:val="776307DD"/>
    <w:rsid w:val="777379E8"/>
    <w:rsid w:val="7776C446"/>
    <w:rsid w:val="777AFA51"/>
    <w:rsid w:val="778028C6"/>
    <w:rsid w:val="778ECFA1"/>
    <w:rsid w:val="77A01557"/>
    <w:rsid w:val="77A4BE44"/>
    <w:rsid w:val="77A69B80"/>
    <w:rsid w:val="77A8EA02"/>
    <w:rsid w:val="77AC7D71"/>
    <w:rsid w:val="77B2C8D7"/>
    <w:rsid w:val="77B34B08"/>
    <w:rsid w:val="77B3F590"/>
    <w:rsid w:val="77C3411B"/>
    <w:rsid w:val="77C5F1E3"/>
    <w:rsid w:val="77DA3F84"/>
    <w:rsid w:val="780D411A"/>
    <w:rsid w:val="78111912"/>
    <w:rsid w:val="78143C20"/>
    <w:rsid w:val="7814C9A3"/>
    <w:rsid w:val="781A20F1"/>
    <w:rsid w:val="781A30C8"/>
    <w:rsid w:val="78200B48"/>
    <w:rsid w:val="783E1AA8"/>
    <w:rsid w:val="783F0511"/>
    <w:rsid w:val="7845BD85"/>
    <w:rsid w:val="786A1C69"/>
    <w:rsid w:val="786F347E"/>
    <w:rsid w:val="787DFC5E"/>
    <w:rsid w:val="788B60D3"/>
    <w:rsid w:val="788C92C4"/>
    <w:rsid w:val="788FC073"/>
    <w:rsid w:val="78932061"/>
    <w:rsid w:val="78963820"/>
    <w:rsid w:val="78A97FCC"/>
    <w:rsid w:val="78AFE36A"/>
    <w:rsid w:val="78D6DF17"/>
    <w:rsid w:val="78DE275D"/>
    <w:rsid w:val="78E4131D"/>
    <w:rsid w:val="78E86761"/>
    <w:rsid w:val="78EFEC58"/>
    <w:rsid w:val="78F910DF"/>
    <w:rsid w:val="7900FCEE"/>
    <w:rsid w:val="79031398"/>
    <w:rsid w:val="7923AA1E"/>
    <w:rsid w:val="792781E7"/>
    <w:rsid w:val="792FEF4A"/>
    <w:rsid w:val="793C2616"/>
    <w:rsid w:val="794F6B09"/>
    <w:rsid w:val="795E780D"/>
    <w:rsid w:val="79681196"/>
    <w:rsid w:val="7978FB9A"/>
    <w:rsid w:val="797C694F"/>
    <w:rsid w:val="798EBE77"/>
    <w:rsid w:val="79953B6D"/>
    <w:rsid w:val="799A1E69"/>
    <w:rsid w:val="799D3585"/>
    <w:rsid w:val="79B020A5"/>
    <w:rsid w:val="79BD7DFB"/>
    <w:rsid w:val="79C8632A"/>
    <w:rsid w:val="79D19A32"/>
    <w:rsid w:val="79D1B800"/>
    <w:rsid w:val="79D3FC2B"/>
    <w:rsid w:val="79D48027"/>
    <w:rsid w:val="79E3FE57"/>
    <w:rsid w:val="79E72EE3"/>
    <w:rsid w:val="79F8B30D"/>
    <w:rsid w:val="7A05722A"/>
    <w:rsid w:val="7A0BEDCA"/>
    <w:rsid w:val="7A11A0D8"/>
    <w:rsid w:val="7A1C285F"/>
    <w:rsid w:val="7A2329B7"/>
    <w:rsid w:val="7A24DEE5"/>
    <w:rsid w:val="7A269ABA"/>
    <w:rsid w:val="7A2D2FAC"/>
    <w:rsid w:val="7A33B65A"/>
    <w:rsid w:val="7A34CBE4"/>
    <w:rsid w:val="7A38F661"/>
    <w:rsid w:val="7A3A1615"/>
    <w:rsid w:val="7A3CBE3F"/>
    <w:rsid w:val="7A48D362"/>
    <w:rsid w:val="7A4C7969"/>
    <w:rsid w:val="7A4EC9A0"/>
    <w:rsid w:val="7A50234F"/>
    <w:rsid w:val="7A51E374"/>
    <w:rsid w:val="7A57B523"/>
    <w:rsid w:val="7A68983F"/>
    <w:rsid w:val="7A6A19CE"/>
    <w:rsid w:val="7A6F29A2"/>
    <w:rsid w:val="7A767ED4"/>
    <w:rsid w:val="7A77E50B"/>
    <w:rsid w:val="7A803614"/>
    <w:rsid w:val="7A8620CB"/>
    <w:rsid w:val="7A89CA17"/>
    <w:rsid w:val="7A8DFDD0"/>
    <w:rsid w:val="7A94DEB0"/>
    <w:rsid w:val="7A989BE6"/>
    <w:rsid w:val="7AA6DDA7"/>
    <w:rsid w:val="7AA8A488"/>
    <w:rsid w:val="7AA922DC"/>
    <w:rsid w:val="7AAA7B22"/>
    <w:rsid w:val="7AB069A3"/>
    <w:rsid w:val="7AC3A711"/>
    <w:rsid w:val="7AD2F614"/>
    <w:rsid w:val="7ADDB1EE"/>
    <w:rsid w:val="7AEED7D6"/>
    <w:rsid w:val="7B0D3227"/>
    <w:rsid w:val="7B0E6844"/>
    <w:rsid w:val="7B10EC54"/>
    <w:rsid w:val="7B13D9CF"/>
    <w:rsid w:val="7B1E3B3A"/>
    <w:rsid w:val="7B1F1DCF"/>
    <w:rsid w:val="7B22BC0A"/>
    <w:rsid w:val="7B289F57"/>
    <w:rsid w:val="7B297622"/>
    <w:rsid w:val="7B2C2A2B"/>
    <w:rsid w:val="7B2EBCFB"/>
    <w:rsid w:val="7B404F12"/>
    <w:rsid w:val="7B492B8D"/>
    <w:rsid w:val="7B5341B8"/>
    <w:rsid w:val="7B542361"/>
    <w:rsid w:val="7B5AEECF"/>
    <w:rsid w:val="7B64E5FE"/>
    <w:rsid w:val="7B718C56"/>
    <w:rsid w:val="7B7C9673"/>
    <w:rsid w:val="7B8D46D3"/>
    <w:rsid w:val="7B8FB3D8"/>
    <w:rsid w:val="7B92A049"/>
    <w:rsid w:val="7B96FAE1"/>
    <w:rsid w:val="7B9CE838"/>
    <w:rsid w:val="7BB5BCAD"/>
    <w:rsid w:val="7BC92CB2"/>
    <w:rsid w:val="7BCDD267"/>
    <w:rsid w:val="7BD307CE"/>
    <w:rsid w:val="7BD3F5E6"/>
    <w:rsid w:val="7BDDA74D"/>
    <w:rsid w:val="7BE7C1ED"/>
    <w:rsid w:val="7BE7DC1D"/>
    <w:rsid w:val="7BE854A3"/>
    <w:rsid w:val="7BF5525D"/>
    <w:rsid w:val="7BF76E22"/>
    <w:rsid w:val="7BF8CAA8"/>
    <w:rsid w:val="7BFDC80D"/>
    <w:rsid w:val="7C13906E"/>
    <w:rsid w:val="7C15E0A1"/>
    <w:rsid w:val="7C1FDB27"/>
    <w:rsid w:val="7C248EC1"/>
    <w:rsid w:val="7C2BA526"/>
    <w:rsid w:val="7C2D7605"/>
    <w:rsid w:val="7C41A9E2"/>
    <w:rsid w:val="7C41B73B"/>
    <w:rsid w:val="7C4FD6E2"/>
    <w:rsid w:val="7C52E9E3"/>
    <w:rsid w:val="7C6500E2"/>
    <w:rsid w:val="7C677502"/>
    <w:rsid w:val="7C827ED4"/>
    <w:rsid w:val="7C834667"/>
    <w:rsid w:val="7C8C67C9"/>
    <w:rsid w:val="7C8F90E2"/>
    <w:rsid w:val="7C931DC7"/>
    <w:rsid w:val="7C950A1F"/>
    <w:rsid w:val="7C9E06D8"/>
    <w:rsid w:val="7CA51BFC"/>
    <w:rsid w:val="7CA5873E"/>
    <w:rsid w:val="7CB1A52C"/>
    <w:rsid w:val="7CCB34BA"/>
    <w:rsid w:val="7CD3A6BE"/>
    <w:rsid w:val="7CD9D476"/>
    <w:rsid w:val="7CEEB1FB"/>
    <w:rsid w:val="7CFB4304"/>
    <w:rsid w:val="7CFDE3D1"/>
    <w:rsid w:val="7D02A8F1"/>
    <w:rsid w:val="7D0CF8B8"/>
    <w:rsid w:val="7D14307F"/>
    <w:rsid w:val="7D1E6D5F"/>
    <w:rsid w:val="7D28F473"/>
    <w:rsid w:val="7D388058"/>
    <w:rsid w:val="7D3B7306"/>
    <w:rsid w:val="7D4655E8"/>
    <w:rsid w:val="7D48CA3B"/>
    <w:rsid w:val="7D516D6D"/>
    <w:rsid w:val="7D51FEAC"/>
    <w:rsid w:val="7D5CDE89"/>
    <w:rsid w:val="7D5E1E32"/>
    <w:rsid w:val="7D66B945"/>
    <w:rsid w:val="7D6AB77C"/>
    <w:rsid w:val="7D6E398D"/>
    <w:rsid w:val="7D73E9CE"/>
    <w:rsid w:val="7D77C497"/>
    <w:rsid w:val="7D8B985C"/>
    <w:rsid w:val="7D8DFE91"/>
    <w:rsid w:val="7D9AA667"/>
    <w:rsid w:val="7D9D87F9"/>
    <w:rsid w:val="7DA58665"/>
    <w:rsid w:val="7DBC5339"/>
    <w:rsid w:val="7DDACDA4"/>
    <w:rsid w:val="7DE8F061"/>
    <w:rsid w:val="7DEAD386"/>
    <w:rsid w:val="7DF14BDE"/>
    <w:rsid w:val="7DF38410"/>
    <w:rsid w:val="7DFDDDFF"/>
    <w:rsid w:val="7E0BD534"/>
    <w:rsid w:val="7E166F68"/>
    <w:rsid w:val="7E21A4FC"/>
    <w:rsid w:val="7E2AAE3B"/>
    <w:rsid w:val="7E370D41"/>
    <w:rsid w:val="7E3CBF8F"/>
    <w:rsid w:val="7E42D69E"/>
    <w:rsid w:val="7E4410C8"/>
    <w:rsid w:val="7E4651A5"/>
    <w:rsid w:val="7E468B8B"/>
    <w:rsid w:val="7E5A0D18"/>
    <w:rsid w:val="7E61FD95"/>
    <w:rsid w:val="7E68136E"/>
    <w:rsid w:val="7E761E0D"/>
    <w:rsid w:val="7EA19360"/>
    <w:rsid w:val="7EAA3B8E"/>
    <w:rsid w:val="7EAECE2C"/>
    <w:rsid w:val="7EC3C619"/>
    <w:rsid w:val="7EC83243"/>
    <w:rsid w:val="7ED19EDD"/>
    <w:rsid w:val="7EE13BA6"/>
    <w:rsid w:val="7EEB22AF"/>
    <w:rsid w:val="7EF44F40"/>
    <w:rsid w:val="7F0299AC"/>
    <w:rsid w:val="7F126689"/>
    <w:rsid w:val="7F145E18"/>
    <w:rsid w:val="7F174F8A"/>
    <w:rsid w:val="7F17A9DC"/>
    <w:rsid w:val="7F216CA8"/>
    <w:rsid w:val="7F258B73"/>
    <w:rsid w:val="7F2A86DF"/>
    <w:rsid w:val="7F2BE9EC"/>
    <w:rsid w:val="7F347595"/>
    <w:rsid w:val="7F3FF7B1"/>
    <w:rsid w:val="7F40EAE2"/>
    <w:rsid w:val="7F4527C3"/>
    <w:rsid w:val="7F48736F"/>
    <w:rsid w:val="7F503ADD"/>
    <w:rsid w:val="7F53054E"/>
    <w:rsid w:val="7F55158D"/>
    <w:rsid w:val="7F576C28"/>
    <w:rsid w:val="7F5776BC"/>
    <w:rsid w:val="7F5B817B"/>
    <w:rsid w:val="7F68E101"/>
    <w:rsid w:val="7F6BB4F6"/>
    <w:rsid w:val="7F7CB86E"/>
    <w:rsid w:val="7F7E981E"/>
    <w:rsid w:val="7F84ACAD"/>
    <w:rsid w:val="7F89C3D2"/>
    <w:rsid w:val="7F8B7117"/>
    <w:rsid w:val="7F8F965B"/>
    <w:rsid w:val="7F9C7A5E"/>
    <w:rsid w:val="7F9E7F42"/>
    <w:rsid w:val="7F9E87F6"/>
    <w:rsid w:val="7FB978C8"/>
    <w:rsid w:val="7FBAE1E0"/>
    <w:rsid w:val="7FBDFD27"/>
    <w:rsid w:val="7FC23928"/>
    <w:rsid w:val="7FCB8FDF"/>
    <w:rsid w:val="7FD38ECC"/>
    <w:rsid w:val="7FD41C1E"/>
    <w:rsid w:val="7FE2D26B"/>
    <w:rsid w:val="7FEEFB60"/>
    <w:rsid w:val="7FF74609"/>
    <w:rsid w:val="7FF7E7D4"/>
    <w:rsid w:val="7FF87DD3"/>
    <w:rsid w:val="7FF88BB0"/>
    <w:rsid w:val="7FFDA1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ED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iPriority="3" w:unhideWhenUsed="1" w:qFormat="1"/>
    <w:lsdException w:name="heading 9" w:semiHidden="1" w:uiPriority="3"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Dat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4EB3"/>
    <w:pPr>
      <w:spacing w:before="120" w:after="120" w:line="280" w:lineRule="atLeast"/>
    </w:pPr>
    <w:rPr>
      <w:sz w:val="20"/>
    </w:rPr>
  </w:style>
  <w:style w:type="paragraph" w:styleId="Heading1">
    <w:name w:val="heading 1"/>
    <w:basedOn w:val="Normal"/>
    <w:next w:val="BodyText"/>
    <w:link w:val="Heading1Char"/>
    <w:uiPriority w:val="9"/>
    <w:qFormat/>
    <w:rsid w:val="00567E8F"/>
    <w:pPr>
      <w:keepNext/>
      <w:keepLines/>
      <w:spacing w:before="36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3A2875"/>
    <w:pPr>
      <w:keepNext/>
      <w:keepLines/>
      <w:spacing w:before="24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3900AC"/>
    <w:pPr>
      <w:keepNext/>
      <w:keepLines/>
      <w:spacing w:before="240" w:after="180" w:line="240" w:lineRule="auto"/>
      <w:outlineLvl w:val="2"/>
    </w:pPr>
    <w:rPr>
      <w:rFonts w:asciiTheme="majorHAnsi" w:eastAsiaTheme="majorEastAsia" w:hAnsiTheme="majorHAnsi" w:cstheme="majorBidi"/>
      <w:b/>
      <w:bCs/>
      <w:sz w:val="24"/>
    </w:rPr>
  </w:style>
  <w:style w:type="paragraph" w:styleId="Heading4">
    <w:name w:val="heading 4"/>
    <w:basedOn w:val="Normal"/>
    <w:next w:val="BodyText"/>
    <w:link w:val="Heading4Char"/>
    <w:qFormat/>
    <w:rsid w:val="00CA3EF5"/>
    <w:pPr>
      <w:keepNext/>
      <w:keepLines/>
      <w:spacing w:before="240" w:line="240" w:lineRule="auto"/>
      <w:outlineLvl w:val="3"/>
    </w:pPr>
    <w:rPr>
      <w:rFonts w:asciiTheme="majorHAnsi" w:eastAsiaTheme="majorEastAsia" w:hAnsiTheme="majorHAnsi" w:cstheme="majorBidi"/>
      <w:b/>
      <w:bCs/>
      <w:i/>
      <w:iCs/>
      <w:sz w:val="22"/>
    </w:rPr>
  </w:style>
  <w:style w:type="paragraph" w:styleId="Heading5">
    <w:name w:val="heading 5"/>
    <w:basedOn w:val="Normal"/>
    <w:next w:val="BodyText"/>
    <w:link w:val="Heading5Char"/>
    <w:qFormat/>
    <w:rsid w:val="008153A5"/>
    <w:pPr>
      <w:keepNext/>
      <w:keepLines/>
      <w:spacing w:before="240"/>
      <w:outlineLvl w:val="4"/>
    </w:pPr>
    <w:rPr>
      <w:rFonts w:asciiTheme="majorHAnsi" w:eastAsiaTheme="majorEastAsia" w:hAnsiTheme="majorHAnsi" w:cstheme="majorBidi"/>
      <w:b/>
      <w:i/>
      <w:color w:val="00428B" w:themeColor="text2"/>
    </w:rPr>
  </w:style>
  <w:style w:type="paragraph" w:styleId="Heading6">
    <w:name w:val="heading 6"/>
    <w:basedOn w:val="Normal"/>
    <w:next w:val="BodyText"/>
    <w:link w:val="Heading6Char"/>
    <w:semiHidden/>
    <w:qFormat/>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qFormat/>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qFormat/>
    <w:rsid w:val="001D6A54"/>
    <w:pPr>
      <w:keepNext/>
      <w:keepLines/>
      <w:pageBreakBefore/>
      <w:numPr>
        <w:numId w:val="5"/>
      </w:numPr>
      <w:tabs>
        <w:tab w:val="right" w:pos="9639"/>
      </w:tabs>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5"/>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uiPriority w:val="99"/>
    <w:qFormat/>
    <w:rsid w:val="00542CE9"/>
    <w:pPr>
      <w:tabs>
        <w:tab w:val="left" w:pos="2268"/>
        <w:tab w:val="left" w:pos="4536"/>
        <w:tab w:val="left" w:pos="6804"/>
        <w:tab w:val="right" w:pos="9638"/>
      </w:tabs>
      <w:spacing w:after="200"/>
    </w:pPr>
  </w:style>
  <w:style w:type="character" w:customStyle="1" w:styleId="BodyTextChar">
    <w:name w:val="Body Text Char"/>
    <w:basedOn w:val="DefaultParagraphFont"/>
    <w:link w:val="BodyText"/>
    <w:uiPriority w:val="99"/>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aliases w:val="Caption Style,Figure,CDM B/Caption,~Caption"/>
    <w:basedOn w:val="Normal"/>
    <w:next w:val="BodyText"/>
    <w:link w:val="CaptionChar"/>
    <w:unhideWhenUsed/>
    <w:qFormat/>
    <w:rsid w:val="00E66AE3"/>
    <w:pPr>
      <w:keepNext/>
      <w:keepLines/>
      <w:tabs>
        <w:tab w:val="left" w:pos="1134"/>
      </w:tabs>
      <w:spacing w:before="60" w:line="240" w:lineRule="auto"/>
      <w:outlineLvl w:val="4"/>
    </w:pPr>
    <w:rPr>
      <w:rFonts w:eastAsiaTheme="minorHAnsi" w:cstheme="minorBidi"/>
      <w:bCs/>
      <w:color w:val="00428B" w:themeColor="text2"/>
      <w:sz w:val="18"/>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B03007"/>
    <w:pPr>
      <w:tabs>
        <w:tab w:val="center" w:pos="4320"/>
        <w:tab w:val="right" w:pos="8640"/>
      </w:tabs>
      <w:spacing w:line="240" w:lineRule="auto"/>
      <w:jc w:val="right"/>
    </w:pPr>
    <w:rPr>
      <w:rFonts w:eastAsia="Cambria" w:cstheme="minorBidi"/>
      <w:noProof/>
      <w:color w:val="00428B" w:themeColor="text2"/>
      <w:lang w:eastAsia="en-US"/>
    </w:rPr>
  </w:style>
  <w:style w:type="character" w:customStyle="1" w:styleId="FooterChar">
    <w:name w:val="Footer Char"/>
    <w:basedOn w:val="DefaultParagraphFont"/>
    <w:link w:val="Footer"/>
    <w:uiPriority w:val="99"/>
    <w:rsid w:val="00B03007"/>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uiPriority w:val="9"/>
    <w:rsid w:val="00567E8F"/>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3A2875"/>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3900AC"/>
    <w:rPr>
      <w:rFonts w:asciiTheme="majorHAnsi" w:eastAsiaTheme="majorEastAsia" w:hAnsiTheme="majorHAnsi" w:cstheme="majorBidi"/>
      <w:b/>
      <w:bCs/>
    </w:rPr>
  </w:style>
  <w:style w:type="character" w:customStyle="1" w:styleId="Heading4Char">
    <w:name w:val="Heading 4 Char"/>
    <w:basedOn w:val="DefaultParagraphFont"/>
    <w:link w:val="Heading4"/>
    <w:rsid w:val="00CA3EF5"/>
    <w:rPr>
      <w:rFonts w:asciiTheme="majorHAnsi" w:eastAsiaTheme="majorEastAsia" w:hAnsiTheme="majorHAnsi" w:cstheme="majorBidi"/>
      <w:b/>
      <w:bCs/>
      <w:i/>
      <w:iCs/>
      <w:sz w:val="22"/>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rsid w:val="005F4F22"/>
    <w:rPr>
      <w:rFonts w:asciiTheme="majorHAnsi" w:eastAsiaTheme="majorEastAsia" w:hAnsiTheme="majorHAnsi" w:cstheme="majorBidi"/>
      <w:caps/>
      <w:color w:val="00428B" w:themeColor="text2"/>
      <w:sz w:val="20"/>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sz w:val="20"/>
      <w:szCs w:val="22"/>
      <w:lang w:eastAsia="en-US"/>
    </w:rPr>
  </w:style>
  <w:style w:type="paragraph" w:styleId="Header">
    <w:name w:val="header"/>
    <w:basedOn w:val="Normal"/>
    <w:link w:val="HeaderChar"/>
    <w:uiPriority w:val="99"/>
    <w:rsid w:val="00661F2B"/>
    <w:pPr>
      <w:tabs>
        <w:tab w:val="left" w:pos="7796"/>
      </w:tabs>
      <w:spacing w:after="480"/>
      <w:jc w:val="right"/>
    </w:pPr>
    <w:rPr>
      <w:rFonts w:eastAsiaTheme="minorHAnsi" w:cstheme="minorBidi"/>
      <w:color w:val="4D4F53"/>
      <w:lang w:eastAsia="fr-CA"/>
    </w:rPr>
  </w:style>
  <w:style w:type="character" w:customStyle="1" w:styleId="HeaderChar">
    <w:name w:val="Header Char"/>
    <w:basedOn w:val="DefaultParagraphFont"/>
    <w:link w:val="Header"/>
    <w:uiPriority w:val="99"/>
    <w:rsid w:val="00661F2B"/>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link w:val="ListBulletChar"/>
    <w:qFormat/>
    <w:rsid w:val="005D102B"/>
    <w:pPr>
      <w:numPr>
        <w:numId w:val="6"/>
      </w:numPr>
      <w:tabs>
        <w:tab w:val="clear" w:pos="360"/>
        <w:tab w:val="clear" w:pos="2268"/>
        <w:tab w:val="clear" w:pos="4536"/>
        <w:tab w:val="clear" w:pos="6804"/>
        <w:tab w:val="clear" w:pos="9638"/>
        <w:tab w:val="left" w:pos="567"/>
      </w:tabs>
      <w:spacing w:after="120"/>
      <w:ind w:left="567" w:hanging="567"/>
      <w:contextualSpacing/>
    </w:pPr>
  </w:style>
  <w:style w:type="paragraph" w:styleId="ListBullet2">
    <w:name w:val="List Bullet 2"/>
    <w:basedOn w:val="ListBullet"/>
    <w:qFormat/>
    <w:rsid w:val="00D25F86"/>
    <w:pPr>
      <w:numPr>
        <w:numId w:val="22"/>
      </w:numPr>
      <w:ind w:left="1134" w:hanging="567"/>
    </w:pPr>
  </w:style>
  <w:style w:type="paragraph" w:styleId="ListBullet3">
    <w:name w:val="List Bullet 3"/>
    <w:basedOn w:val="ListBullet2"/>
    <w:qFormat/>
    <w:rsid w:val="00350E22"/>
    <w:pPr>
      <w:numPr>
        <w:numId w:val="34"/>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CA7636"/>
    <w:pPr>
      <w:ind w:left="567"/>
    </w:pPr>
  </w:style>
  <w:style w:type="paragraph" w:styleId="ListContinue2">
    <w:name w:val="List Continue 2"/>
    <w:basedOn w:val="Normal"/>
    <w:rsid w:val="00CA7636"/>
    <w:pPr>
      <w:ind w:left="1134"/>
    </w:pPr>
  </w:style>
  <w:style w:type="paragraph" w:styleId="ListContinue3">
    <w:name w:val="List Continue 3"/>
    <w:basedOn w:val="Normal"/>
    <w:rsid w:val="00CA7636"/>
    <w:pPr>
      <w:ind w:left="1701"/>
    </w:pPr>
  </w:style>
  <w:style w:type="paragraph" w:styleId="ListContinue4">
    <w:name w:val="List Continue 4"/>
    <w:basedOn w:val="Normal"/>
    <w:semiHidden/>
    <w:unhideWhenUsed/>
    <w:rsid w:val="00F256B8"/>
    <w:pPr>
      <w:ind w:left="1429"/>
      <w:contextualSpacing/>
    </w:pPr>
  </w:style>
  <w:style w:type="paragraph" w:styleId="ListContinue5">
    <w:name w:val="List Continue 5"/>
    <w:basedOn w:val="Normal"/>
    <w:semiHidden/>
    <w:unhideWhenUsed/>
    <w:rsid w:val="00F256B8"/>
    <w:pPr>
      <w:ind w:left="1786"/>
      <w:contextualSpacing/>
    </w:pPr>
  </w:style>
  <w:style w:type="paragraph" w:styleId="ListNumber">
    <w:name w:val="List Number"/>
    <w:basedOn w:val="BodyText"/>
    <w:unhideWhenUsed/>
    <w:qFormat/>
    <w:rsid w:val="001D0E5E"/>
    <w:pPr>
      <w:numPr>
        <w:numId w:val="31"/>
      </w:numPr>
      <w:tabs>
        <w:tab w:val="clear" w:pos="2268"/>
        <w:tab w:val="clear" w:pos="4536"/>
        <w:tab w:val="clear" w:pos="6804"/>
        <w:tab w:val="clear" w:pos="9638"/>
      </w:tabs>
      <w:spacing w:after="120"/>
      <w:ind w:left="567" w:hanging="567"/>
    </w:pPr>
  </w:style>
  <w:style w:type="paragraph" w:styleId="ListNumber2">
    <w:name w:val="List Number 2"/>
    <w:basedOn w:val="ListNumber"/>
    <w:unhideWhenUsed/>
    <w:qFormat/>
    <w:rsid w:val="00F256B8"/>
  </w:style>
  <w:style w:type="paragraph" w:styleId="ListNumber3">
    <w:name w:val="List Number 3"/>
    <w:basedOn w:val="ListNumber2"/>
    <w:unhideWhenUsed/>
    <w:qFormat/>
    <w:rsid w:val="00F256B8"/>
  </w:style>
  <w:style w:type="paragraph" w:styleId="ListNumber4">
    <w:name w:val="List Number 4"/>
    <w:basedOn w:val="ListNumber3"/>
    <w:unhideWhenUsed/>
    <w:rsid w:val="0065738D"/>
    <w:pPr>
      <w:contextualSpacing/>
    </w:pPr>
  </w:style>
  <w:style w:type="paragraph" w:styleId="ListNumber5">
    <w:name w:val="List Number 5"/>
    <w:basedOn w:val="ListNumber4"/>
    <w:unhideWhenUsed/>
    <w:rsid w:val="0065738D"/>
    <w:pPr>
      <w:contextualSpacing w:val="0"/>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2"/>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8153A5"/>
    <w:rPr>
      <w:rFonts w:asciiTheme="majorHAnsi" w:eastAsiaTheme="majorEastAsia" w:hAnsiTheme="majorHAnsi" w:cstheme="majorBidi"/>
      <w:b/>
      <w:i/>
      <w:color w:val="00428B" w:themeColor="text2"/>
      <w:sz w:val="20"/>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link w:val="NoSpacingChar"/>
    <w:qFormat/>
    <w:rsid w:val="00F256B8"/>
  </w:style>
  <w:style w:type="paragraph" w:styleId="NormalWeb">
    <w:name w:val="Normal (Web)"/>
    <w:basedOn w:val="Normal"/>
    <w:rsid w:val="00F256B8"/>
  </w:style>
  <w:style w:type="paragraph" w:customStyle="1" w:styleId="Notes">
    <w:name w:val="Notes"/>
    <w:basedOn w:val="Normal"/>
    <w:next w:val="BodyText12ptAbove"/>
    <w:qFormat/>
    <w:rsid w:val="0017585B"/>
    <w:pPr>
      <w:spacing w:before="60" w:line="240" w:lineRule="atLeast"/>
      <w:contextualSpacing/>
    </w:pPr>
    <w:rPr>
      <w:rFonts w:cs="Arial"/>
    </w:rPr>
  </w:style>
  <w:style w:type="paragraph" w:customStyle="1" w:styleId="NotesNumbered">
    <w:name w:val="Notes Numbered"/>
    <w:basedOn w:val="Normal"/>
    <w:qFormat/>
    <w:rsid w:val="007A0760"/>
    <w:pPr>
      <w:numPr>
        <w:numId w:val="9"/>
      </w:numPr>
      <w:spacing w:before="60" w:after="240" w:line="240" w:lineRule="atLeast"/>
      <w:contextualSpacing/>
    </w:pPr>
    <w:rPr>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qFormat/>
    <w:rsid w:val="007A0760"/>
    <w:pPr>
      <w:tabs>
        <w:tab w:val="left" w:pos="964"/>
      </w:tabs>
      <w:spacing w:before="60" w:line="240" w:lineRule="atLeast"/>
      <w:ind w:left="964" w:hanging="964"/>
      <w:contextualSpacing/>
    </w:pPr>
    <w:rPr>
      <w:rFonts w:cs="Arial"/>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qFormat/>
    <w:rsid w:val="001A5B84"/>
    <w:pPr>
      <w:spacing w:after="360"/>
      <w:contextualSpacing/>
      <w:outlineLvl w:val="0"/>
    </w:pPr>
    <w:rPr>
      <w:rFonts w:asciiTheme="majorHAnsi" w:eastAsiaTheme="minorEastAsia" w:hAnsiTheme="majorHAnsi"/>
      <w:b/>
      <w:color w:val="00428B"/>
      <w:sz w:val="64"/>
      <w:szCs w:val="48"/>
    </w:rPr>
  </w:style>
  <w:style w:type="character" w:customStyle="1" w:styleId="TitleChar">
    <w:name w:val="Title Char"/>
    <w:basedOn w:val="DefaultParagraphFont"/>
    <w:link w:val="Title"/>
    <w:uiPriority w:val="1"/>
    <w:rsid w:val="00126F98"/>
    <w:rPr>
      <w:rFonts w:asciiTheme="majorHAnsi" w:eastAsiaTheme="minorEastAsia" w:hAnsiTheme="majorHAnsi"/>
      <w:b/>
      <w:color w:val="00428B"/>
      <w:sz w:val="64"/>
      <w:szCs w:val="48"/>
    </w:rPr>
  </w:style>
  <w:style w:type="paragraph" w:styleId="Subtitle">
    <w:name w:val="Subtitle"/>
    <w:basedOn w:val="Normal"/>
    <w:next w:val="BodyText"/>
    <w:link w:val="SubtitleChar"/>
    <w:uiPriority w:val="1"/>
    <w:qFormat/>
    <w:rsid w:val="00126F98"/>
    <w:rPr>
      <w:b/>
      <w:color w:val="00428B" w:themeColor="text2"/>
    </w:rPr>
  </w:style>
  <w:style w:type="character" w:customStyle="1" w:styleId="SubtitleChar">
    <w:name w:val="Subtitle Char"/>
    <w:basedOn w:val="DefaultParagraphFont"/>
    <w:link w:val="Subtitle"/>
    <w:uiPriority w:val="1"/>
    <w:rsid w:val="00126F98"/>
    <w:rPr>
      <w:b/>
      <w:color w:val="00428B" w:themeColor="text2"/>
    </w:rPr>
  </w:style>
  <w:style w:type="table" w:styleId="TableGrid">
    <w:name w:val="Table Grid"/>
    <w:aliases w:val="Board Paper Table,ICB Table,MCW Table Grid,PB Table,SW table design"/>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rsid w:val="00F82E34"/>
    <w:pPr>
      <w:tabs>
        <w:tab w:val="right" w:leader="dot" w:pos="9027"/>
      </w:tabs>
      <w:spacing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33"/>
      </w:numPr>
    </w:pPr>
  </w:style>
  <w:style w:type="numbering" w:customStyle="1" w:styleId="TableFootnotes">
    <w:name w:val="TableFootnotes"/>
    <w:uiPriority w:val="99"/>
    <w:rsid w:val="00F256B8"/>
    <w:pPr>
      <w:numPr>
        <w:numId w:val="3"/>
      </w:numPr>
    </w:pPr>
  </w:style>
  <w:style w:type="numbering" w:customStyle="1" w:styleId="TableNumbering">
    <w:name w:val="TableNumbering"/>
    <w:uiPriority w:val="99"/>
    <w:rsid w:val="00F256B8"/>
    <w:pPr>
      <w:numPr>
        <w:numId w:val="5"/>
      </w:numPr>
    </w:pPr>
  </w:style>
  <w:style w:type="paragraph" w:styleId="TOC1">
    <w:name w:val="toc 1"/>
    <w:basedOn w:val="Normal"/>
    <w:next w:val="Normal"/>
    <w:autoRedefine/>
    <w:uiPriority w:val="39"/>
    <w:rsid w:val="00324272"/>
    <w:pPr>
      <w:tabs>
        <w:tab w:val="left" w:pos="851"/>
        <w:tab w:val="right" w:leader="dot" w:pos="9639"/>
      </w:tabs>
      <w:spacing w:before="60" w:after="100"/>
      <w:ind w:left="85"/>
    </w:pPr>
    <w:rPr>
      <w:rFonts w:asciiTheme="majorHAnsi" w:eastAsiaTheme="minorHAnsi" w:hAnsiTheme="majorHAnsi" w:cstheme="minorBidi"/>
      <w:b/>
      <w:noProof/>
      <w:lang w:val="en-US" w:eastAsia="en-US"/>
    </w:rPr>
  </w:style>
  <w:style w:type="paragraph" w:styleId="TOC2">
    <w:name w:val="toc 2"/>
    <w:basedOn w:val="Normal"/>
    <w:next w:val="Normal"/>
    <w:autoRedefine/>
    <w:uiPriority w:val="39"/>
    <w:rsid w:val="00AF49EF"/>
    <w:pPr>
      <w:tabs>
        <w:tab w:val="right" w:pos="567"/>
        <w:tab w:val="right" w:leader="dot" w:pos="9639"/>
      </w:tabs>
      <w:spacing w:before="60" w:after="100"/>
      <w:ind w:left="85"/>
    </w:pPr>
    <w:rPr>
      <w:rFonts w:eastAsiaTheme="minorHAnsi" w:cstheme="minorBidi"/>
      <w:bCs/>
      <w:noProof/>
      <w:sz w:val="18"/>
      <w:lang w:eastAsia="fr-CA"/>
    </w:rPr>
  </w:style>
  <w:style w:type="paragraph" w:styleId="TOC3">
    <w:name w:val="toc 3"/>
    <w:basedOn w:val="Normal"/>
    <w:next w:val="Normal"/>
    <w:autoRedefine/>
    <w:uiPriority w:val="39"/>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rsid w:val="005A16A6"/>
    <w:pPr>
      <w:numPr>
        <w:ilvl w:val="4"/>
      </w:numPr>
      <w:ind w:left="85"/>
    </w:pPr>
    <w:rPr>
      <w:sz w:val="22"/>
    </w:rPr>
  </w:style>
  <w:style w:type="paragraph" w:styleId="TOC4">
    <w:name w:val="toc 4"/>
    <w:basedOn w:val="Normal"/>
    <w:next w:val="Normal"/>
    <w:autoRedefine/>
    <w:uiPriority w:val="39"/>
    <w:rsid w:val="005A16A6"/>
    <w:pPr>
      <w:numPr>
        <w:ilvl w:val="3"/>
      </w:numPr>
      <w:ind w:left="85"/>
    </w:pPr>
    <w:rPr>
      <w:sz w:val="22"/>
    </w:rPr>
  </w:style>
  <w:style w:type="paragraph" w:styleId="TOCHeading">
    <w:name w:val="TOC Heading"/>
    <w:next w:val="Normal"/>
    <w:uiPriority w:val="39"/>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rsid w:val="00C90AFB"/>
    <w:pPr>
      <w:spacing w:after="480"/>
    </w:pPr>
    <w:rPr>
      <w:noProof/>
    </w:rPr>
  </w:style>
  <w:style w:type="character" w:customStyle="1" w:styleId="DateChar">
    <w:name w:val="Date Char"/>
    <w:basedOn w:val="DefaultParagraphFont"/>
    <w:link w:val="Date"/>
    <w:uiPriority w:val="1"/>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qFormat/>
    <w:rsid w:val="000B4796"/>
    <w:pPr>
      <w:spacing w:before="240" w:after="240"/>
      <w:ind w:left="357" w:right="357"/>
      <w:jc w:val="center"/>
    </w:pPr>
    <w:rPr>
      <w:i/>
      <w:iCs/>
    </w:rPr>
  </w:style>
  <w:style w:type="character" w:customStyle="1" w:styleId="QuoteChar">
    <w:name w:val="Quote Char"/>
    <w:basedOn w:val="DefaultParagraphFont"/>
    <w:link w:val="Quote"/>
    <w:rsid w:val="005F4F22"/>
    <w:rPr>
      <w:i/>
      <w:iCs/>
    </w:rPr>
  </w:style>
  <w:style w:type="paragraph" w:customStyle="1" w:styleId="TableText">
    <w:name w:val="Table Text"/>
    <w:basedOn w:val="Normal"/>
    <w:uiPriority w:val="99"/>
    <w:qFormat/>
    <w:rsid w:val="00767B75"/>
    <w:pPr>
      <w:spacing w:before="60" w:after="60"/>
    </w:pPr>
    <w:rPr>
      <w:sz w:val="16"/>
    </w:rPr>
  </w:style>
  <w:style w:type="paragraph" w:customStyle="1" w:styleId="TableHeading">
    <w:name w:val="Table Heading"/>
    <w:basedOn w:val="TableText"/>
    <w:uiPriority w:val="99"/>
    <w:qFormat/>
    <w:rsid w:val="000F52E3"/>
    <w:pPr>
      <w:spacing w:before="0" w:after="0"/>
    </w:pPr>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4D35EA"/>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4D35EA"/>
    <w:pPr>
      <w:keepNext/>
    </w:pPr>
    <w:rPr>
      <w:b/>
    </w:rPr>
  </w:style>
  <w:style w:type="paragraph" w:customStyle="1" w:styleId="HighlightBoxBullet">
    <w:name w:val="Highlight Box Bullet"/>
    <w:basedOn w:val="HighlightBoxText"/>
    <w:qFormat/>
    <w:rsid w:val="00CA7636"/>
    <w:pPr>
      <w:numPr>
        <w:numId w:val="8"/>
      </w:numPr>
    </w:pPr>
  </w:style>
  <w:style w:type="paragraph" w:customStyle="1" w:styleId="HighlightBoxNumbering">
    <w:name w:val="Highlight Box Numbering"/>
    <w:basedOn w:val="HighlightBoxText"/>
    <w:qFormat/>
    <w:rsid w:val="00CA7636"/>
    <w:pPr>
      <w:numPr>
        <w:numId w:val="7"/>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661F2B"/>
    <w:pPr>
      <w:pBdr>
        <w:bottom w:val="single" w:sz="8" w:space="2" w:color="00428B" w:themeColor="text2"/>
      </w:pBdr>
      <w:spacing w:after="290" w:line="320" w:lineRule="exact"/>
    </w:pPr>
  </w:style>
  <w:style w:type="table" w:customStyle="1" w:styleId="MWTableGrid">
    <w:name w:val="MW Table Grid"/>
    <w:basedOn w:val="TableNormal"/>
    <w:uiPriority w:val="99"/>
    <w:rsid w:val="003F22B5"/>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styleId="ListParagraph">
    <w:name w:val="List Paragraph"/>
    <w:aliases w:val="Bullet"/>
    <w:basedOn w:val="Normal"/>
    <w:uiPriority w:val="34"/>
    <w:qFormat/>
    <w:rsid w:val="00767B75"/>
    <w:pPr>
      <w:numPr>
        <w:numId w:val="30"/>
      </w:numPr>
      <w:spacing w:after="160" w:line="278" w:lineRule="auto"/>
      <w:contextualSpacing/>
    </w:pPr>
    <w:rPr>
      <w:rFonts w:eastAsiaTheme="minorHAnsi" w:cstheme="minorBidi"/>
      <w:color w:val="auto"/>
      <w:kern w:val="2"/>
      <w:lang w:eastAsia="en-US"/>
      <w14:ligatures w14:val="standardContextual"/>
    </w:rPr>
  </w:style>
  <w:style w:type="character" w:styleId="IntenseEmphasis">
    <w:name w:val="Intense Emphasis"/>
    <w:basedOn w:val="DefaultParagraphFont"/>
    <w:uiPriority w:val="21"/>
    <w:qFormat/>
    <w:rsid w:val="00767B75"/>
    <w:rPr>
      <w:i/>
      <w:iCs/>
      <w:color w:val="003168" w:themeColor="accent1" w:themeShade="BF"/>
    </w:rPr>
  </w:style>
  <w:style w:type="paragraph" w:styleId="IntenseQuote">
    <w:name w:val="Intense Quote"/>
    <w:basedOn w:val="Normal"/>
    <w:next w:val="Normal"/>
    <w:link w:val="IntenseQuoteChar"/>
    <w:uiPriority w:val="30"/>
    <w:qFormat/>
    <w:rsid w:val="00767B75"/>
    <w:pPr>
      <w:pBdr>
        <w:top w:val="single" w:sz="4" w:space="10" w:color="003168" w:themeColor="accent1" w:themeShade="BF"/>
        <w:bottom w:val="single" w:sz="4" w:space="10" w:color="003168" w:themeColor="accent1" w:themeShade="BF"/>
      </w:pBdr>
      <w:spacing w:before="360" w:after="360" w:line="259" w:lineRule="auto"/>
      <w:ind w:left="864" w:right="864"/>
      <w:jc w:val="center"/>
    </w:pPr>
    <w:rPr>
      <w:rFonts w:eastAsiaTheme="minorHAnsi" w:cstheme="minorBidi"/>
      <w:i/>
      <w:iCs/>
      <w:color w:val="003168"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767B75"/>
    <w:rPr>
      <w:rFonts w:eastAsiaTheme="minorHAnsi" w:cstheme="minorBidi"/>
      <w:i/>
      <w:iCs/>
      <w:color w:val="003168" w:themeColor="accent1" w:themeShade="BF"/>
      <w:kern w:val="2"/>
      <w:sz w:val="22"/>
      <w:szCs w:val="22"/>
      <w:lang w:eastAsia="en-US"/>
      <w14:ligatures w14:val="standardContextual"/>
    </w:rPr>
  </w:style>
  <w:style w:type="character" w:styleId="IntenseReference">
    <w:name w:val="Intense Reference"/>
    <w:basedOn w:val="DefaultParagraphFont"/>
    <w:uiPriority w:val="32"/>
    <w:qFormat/>
    <w:rsid w:val="00767B75"/>
    <w:rPr>
      <w:b/>
      <w:bCs/>
      <w:smallCaps/>
      <w:color w:val="003168" w:themeColor="accent1" w:themeShade="BF"/>
      <w:spacing w:val="5"/>
    </w:rPr>
  </w:style>
  <w:style w:type="paragraph" w:customStyle="1" w:styleId="Pa2">
    <w:name w:val="Pa2"/>
    <w:basedOn w:val="Normal"/>
    <w:uiPriority w:val="99"/>
    <w:rsid w:val="00767B75"/>
    <w:pPr>
      <w:tabs>
        <w:tab w:val="left" w:pos="284"/>
        <w:tab w:val="left" w:pos="4536"/>
        <w:tab w:val="left" w:pos="6804"/>
        <w:tab w:val="right" w:pos="9638"/>
      </w:tabs>
      <w:autoSpaceDE w:val="0"/>
      <w:autoSpaceDN w:val="0"/>
      <w:spacing w:before="240" w:after="200" w:line="191" w:lineRule="atLeast"/>
    </w:pPr>
    <w:rPr>
      <w:rFonts w:ascii="WNIAX E+ Bliss" w:eastAsiaTheme="minorHAnsi" w:hAnsi="WNIAX E+ Bliss"/>
      <w:color w:val="auto"/>
      <w:lang w:eastAsia="en-US"/>
    </w:rPr>
  </w:style>
  <w:style w:type="paragraph" w:customStyle="1" w:styleId="Pa3">
    <w:name w:val="Pa3"/>
    <w:basedOn w:val="Normal"/>
    <w:uiPriority w:val="99"/>
    <w:rsid w:val="00767B75"/>
    <w:pPr>
      <w:tabs>
        <w:tab w:val="left" w:pos="284"/>
        <w:tab w:val="left" w:pos="4536"/>
        <w:tab w:val="left" w:pos="6804"/>
        <w:tab w:val="right" w:pos="9638"/>
      </w:tabs>
      <w:autoSpaceDE w:val="0"/>
      <w:autoSpaceDN w:val="0"/>
      <w:spacing w:before="240" w:after="200" w:line="191" w:lineRule="atLeast"/>
    </w:pPr>
    <w:rPr>
      <w:rFonts w:ascii="WNIAX E+ Bliss" w:eastAsiaTheme="minorHAnsi" w:hAnsi="WNIAX E+ Bliss"/>
      <w:color w:val="auto"/>
      <w:lang w:eastAsia="en-US"/>
    </w:rPr>
  </w:style>
  <w:style w:type="character" w:customStyle="1" w:styleId="A1">
    <w:name w:val="A1"/>
    <w:basedOn w:val="DefaultParagraphFont"/>
    <w:uiPriority w:val="99"/>
    <w:rsid w:val="00767B75"/>
    <w:rPr>
      <w:rFonts w:ascii="WNIAX E+ Bliss" w:hAnsi="WNIAX E+ Bliss" w:hint="default"/>
      <w:b/>
      <w:bCs/>
      <w:color w:val="000000"/>
    </w:rPr>
  </w:style>
  <w:style w:type="character" w:customStyle="1" w:styleId="A2">
    <w:name w:val="A2"/>
    <w:basedOn w:val="DefaultParagraphFont"/>
    <w:uiPriority w:val="99"/>
    <w:rsid w:val="00767B75"/>
    <w:rPr>
      <w:rFonts w:ascii="Bliss" w:hAnsi="Bliss" w:hint="default"/>
      <w:color w:val="000000"/>
    </w:rPr>
  </w:style>
  <w:style w:type="table" w:styleId="ListTable3-Accent1">
    <w:name w:val="List Table 3 Accent 1"/>
    <w:basedOn w:val="TableNormal"/>
    <w:uiPriority w:val="48"/>
    <w:rsid w:val="00767B75"/>
    <w:pPr>
      <w:spacing w:line="240" w:lineRule="auto"/>
    </w:pPr>
    <w:rPr>
      <w:sz w:val="20"/>
      <w:szCs w:val="20"/>
    </w:r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paragraph" w:customStyle="1" w:styleId="paragraph">
    <w:name w:val="paragraph"/>
    <w:basedOn w:val="Normal"/>
    <w:rsid w:val="00767B75"/>
    <w:pPr>
      <w:spacing w:before="100" w:beforeAutospacing="1" w:after="100" w:afterAutospacing="1" w:line="240" w:lineRule="auto"/>
    </w:pPr>
    <w:rPr>
      <w:rFonts w:ascii="Times New Roman" w:hAnsi="Times New Roman"/>
      <w:color w:val="auto"/>
    </w:rPr>
  </w:style>
  <w:style w:type="character" w:customStyle="1" w:styleId="normaltextrun">
    <w:name w:val="normaltextrun"/>
    <w:basedOn w:val="DefaultParagraphFont"/>
    <w:rsid w:val="00767B75"/>
  </w:style>
  <w:style w:type="character" w:customStyle="1" w:styleId="eop">
    <w:name w:val="eop"/>
    <w:basedOn w:val="DefaultParagraphFont"/>
    <w:rsid w:val="00767B75"/>
  </w:style>
  <w:style w:type="character" w:customStyle="1" w:styleId="contextualspellingandgrammarerrorzoomed">
    <w:name w:val="contextualspellingandgrammarerrorzoomed"/>
    <w:basedOn w:val="DefaultParagraphFont"/>
    <w:rsid w:val="00767B75"/>
  </w:style>
  <w:style w:type="paragraph" w:styleId="CommentText">
    <w:name w:val="annotation text"/>
    <w:basedOn w:val="Normal"/>
    <w:link w:val="CommentTextChar"/>
    <w:uiPriority w:val="99"/>
    <w:unhideWhenUsed/>
    <w:rsid w:val="00767B75"/>
    <w:pPr>
      <w:spacing w:after="160" w:line="240" w:lineRule="auto"/>
    </w:pPr>
    <w:rPr>
      <w:rFonts w:eastAsiaTheme="minorHAnsi" w:cstheme="minorBidi"/>
      <w:color w:val="auto"/>
      <w:kern w:val="2"/>
      <w:szCs w:val="20"/>
      <w:lang w:eastAsia="en-US"/>
      <w14:ligatures w14:val="standardContextual"/>
    </w:rPr>
  </w:style>
  <w:style w:type="character" w:customStyle="1" w:styleId="CommentTextChar">
    <w:name w:val="Comment Text Char"/>
    <w:basedOn w:val="DefaultParagraphFont"/>
    <w:link w:val="CommentText"/>
    <w:uiPriority w:val="99"/>
    <w:rsid w:val="00767B75"/>
    <w:rPr>
      <w:rFonts w:eastAsiaTheme="minorHAnsi" w:cstheme="minorBidi"/>
      <w:color w:val="auto"/>
      <w:kern w:val="2"/>
      <w:sz w:val="20"/>
      <w:szCs w:val="20"/>
      <w:lang w:eastAsia="en-US"/>
      <w14:ligatures w14:val="standardContextual"/>
    </w:rPr>
  </w:style>
  <w:style w:type="character" w:styleId="CommentReference">
    <w:name w:val="annotation reference"/>
    <w:basedOn w:val="DefaultParagraphFont"/>
    <w:uiPriority w:val="99"/>
    <w:semiHidden/>
    <w:unhideWhenUsed/>
    <w:rsid w:val="00767B75"/>
    <w:rPr>
      <w:sz w:val="16"/>
      <w:szCs w:val="16"/>
    </w:rPr>
  </w:style>
  <w:style w:type="paragraph" w:styleId="CommentSubject">
    <w:name w:val="annotation subject"/>
    <w:basedOn w:val="CommentText"/>
    <w:next w:val="CommentText"/>
    <w:link w:val="CommentSubjectChar"/>
    <w:uiPriority w:val="99"/>
    <w:semiHidden/>
    <w:unhideWhenUsed/>
    <w:rsid w:val="00767B75"/>
    <w:rPr>
      <w:b/>
      <w:bCs/>
    </w:rPr>
  </w:style>
  <w:style w:type="character" w:customStyle="1" w:styleId="CommentSubjectChar">
    <w:name w:val="Comment Subject Char"/>
    <w:basedOn w:val="CommentTextChar"/>
    <w:link w:val="CommentSubject"/>
    <w:uiPriority w:val="99"/>
    <w:semiHidden/>
    <w:rsid w:val="00767B75"/>
    <w:rPr>
      <w:rFonts w:eastAsiaTheme="minorHAnsi" w:cstheme="minorBidi"/>
      <w:b/>
      <w:bCs/>
      <w:color w:val="auto"/>
      <w:kern w:val="2"/>
      <w:sz w:val="20"/>
      <w:szCs w:val="20"/>
      <w:lang w:eastAsia="en-US"/>
      <w14:ligatures w14:val="standardContextual"/>
    </w:rPr>
  </w:style>
  <w:style w:type="character" w:styleId="UnresolvedMention">
    <w:name w:val="Unresolved Mention"/>
    <w:basedOn w:val="DefaultParagraphFont"/>
    <w:uiPriority w:val="99"/>
    <w:semiHidden/>
    <w:unhideWhenUsed/>
    <w:rsid w:val="00767B75"/>
    <w:rPr>
      <w:color w:val="605E5C"/>
      <w:shd w:val="clear" w:color="auto" w:fill="E1DFDD"/>
    </w:rPr>
  </w:style>
  <w:style w:type="character" w:styleId="Mention">
    <w:name w:val="Mention"/>
    <w:basedOn w:val="DefaultParagraphFont"/>
    <w:uiPriority w:val="99"/>
    <w:unhideWhenUsed/>
    <w:rsid w:val="00767B75"/>
    <w:rPr>
      <w:color w:val="2B579A"/>
      <w:shd w:val="clear" w:color="auto" w:fill="E1DFDD"/>
    </w:rPr>
  </w:style>
  <w:style w:type="paragraph" w:styleId="FootnoteText">
    <w:name w:val="footnote text"/>
    <w:basedOn w:val="Normal"/>
    <w:link w:val="FootnoteTextChar"/>
    <w:uiPriority w:val="99"/>
    <w:unhideWhenUsed/>
    <w:rsid w:val="004804DD"/>
    <w:pPr>
      <w:spacing w:line="240" w:lineRule="auto"/>
    </w:pPr>
    <w:rPr>
      <w:rFonts w:eastAsiaTheme="minorHAnsi" w:cstheme="minorBidi"/>
      <w:color w:val="auto"/>
      <w:kern w:val="2"/>
      <w:sz w:val="16"/>
      <w:szCs w:val="20"/>
      <w:lang w:eastAsia="en-US"/>
      <w14:ligatures w14:val="standardContextual"/>
    </w:rPr>
  </w:style>
  <w:style w:type="character" w:customStyle="1" w:styleId="FootnoteTextChar">
    <w:name w:val="Footnote Text Char"/>
    <w:basedOn w:val="DefaultParagraphFont"/>
    <w:link w:val="FootnoteText"/>
    <w:uiPriority w:val="99"/>
    <w:rsid w:val="004804DD"/>
    <w:rPr>
      <w:rFonts w:eastAsiaTheme="minorHAnsi" w:cstheme="minorBidi"/>
      <w:color w:val="auto"/>
      <w:kern w:val="2"/>
      <w:sz w:val="16"/>
      <w:szCs w:val="20"/>
      <w:lang w:eastAsia="en-US"/>
      <w14:ligatures w14:val="standardContextual"/>
    </w:rPr>
  </w:style>
  <w:style w:type="character" w:styleId="FootnoteReference">
    <w:name w:val="footnote reference"/>
    <w:basedOn w:val="DefaultParagraphFont"/>
    <w:uiPriority w:val="99"/>
    <w:unhideWhenUsed/>
    <w:rsid w:val="00767B75"/>
    <w:rPr>
      <w:vertAlign w:val="superscript"/>
    </w:rPr>
  </w:style>
  <w:style w:type="table" w:styleId="ListTable2-Accent2">
    <w:name w:val="List Table 2 Accent 2"/>
    <w:basedOn w:val="TableNormal"/>
    <w:uiPriority w:val="47"/>
    <w:rsid w:val="00767B75"/>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paragraph" w:customStyle="1" w:styleId="PS21Heading3">
    <w:name w:val="PS21 Heading 3"/>
    <w:basedOn w:val="Heading3"/>
    <w:link w:val="PS21Heading3Char"/>
    <w:qFormat/>
    <w:rsid w:val="00767B75"/>
    <w:pPr>
      <w:tabs>
        <w:tab w:val="left" w:pos="284"/>
        <w:tab w:val="left" w:pos="1134"/>
        <w:tab w:val="left" w:pos="4536"/>
        <w:tab w:val="left" w:pos="6804"/>
        <w:tab w:val="right" w:pos="9638"/>
      </w:tabs>
      <w:spacing w:before="200" w:after="120"/>
    </w:pPr>
    <w:rPr>
      <w:color w:val="00428B" w:themeColor="text2"/>
      <w:spacing w:val="-10"/>
      <w:szCs w:val="26"/>
      <w:lang w:eastAsia="fr-CA"/>
    </w:rPr>
  </w:style>
  <w:style w:type="character" w:customStyle="1" w:styleId="PS21Heading3Char">
    <w:name w:val="PS21 Heading 3 Char"/>
    <w:basedOn w:val="Heading3Char"/>
    <w:link w:val="PS21Heading3"/>
    <w:rsid w:val="00767B75"/>
    <w:rPr>
      <w:rFonts w:asciiTheme="majorHAnsi" w:eastAsiaTheme="majorEastAsia" w:hAnsiTheme="majorHAnsi" w:cstheme="majorBidi"/>
      <w:b/>
      <w:bCs/>
      <w:color w:val="00428B" w:themeColor="text2"/>
      <w:spacing w:val="-10"/>
      <w:szCs w:val="26"/>
      <w:lang w:eastAsia="fr-CA"/>
    </w:rPr>
  </w:style>
  <w:style w:type="character" w:customStyle="1" w:styleId="CaptionChar">
    <w:name w:val="Caption Char"/>
    <w:aliases w:val="Caption Style Char,Figure Char,CDM B/Caption Char,~Caption Char"/>
    <w:basedOn w:val="DefaultParagraphFont"/>
    <w:link w:val="Caption"/>
    <w:locked/>
    <w:rsid w:val="00E66AE3"/>
    <w:rPr>
      <w:rFonts w:eastAsiaTheme="minorHAnsi" w:cstheme="minorBidi"/>
      <w:bCs/>
      <w:color w:val="00428B" w:themeColor="text2"/>
      <w:sz w:val="18"/>
      <w:lang w:eastAsia="fr-CA"/>
    </w:rPr>
  </w:style>
  <w:style w:type="paragraph" w:customStyle="1" w:styleId="FooterMW">
    <w:name w:val="Footer MW"/>
    <w:basedOn w:val="Footer"/>
    <w:uiPriority w:val="99"/>
    <w:semiHidden/>
    <w:qFormat/>
    <w:rsid w:val="00767B75"/>
    <w:pPr>
      <w:tabs>
        <w:tab w:val="left" w:pos="284"/>
        <w:tab w:val="left" w:pos="4536"/>
        <w:tab w:val="left" w:pos="6804"/>
        <w:tab w:val="right" w:pos="9638"/>
      </w:tabs>
      <w:spacing w:before="300" w:after="180"/>
      <w:ind w:left="1701" w:right="2268"/>
      <w:jc w:val="left"/>
    </w:pPr>
    <w:rPr>
      <w:sz w:val="12"/>
      <w:szCs w:val="20"/>
    </w:rPr>
  </w:style>
  <w:style w:type="paragraph" w:customStyle="1" w:styleId="IntroParagraph">
    <w:name w:val="Intro Paragraph"/>
    <w:basedOn w:val="Normal"/>
    <w:uiPriority w:val="99"/>
    <w:qFormat/>
    <w:rsid w:val="00767B75"/>
    <w:pPr>
      <w:tabs>
        <w:tab w:val="left" w:pos="284"/>
        <w:tab w:val="left" w:pos="4536"/>
        <w:tab w:val="left" w:pos="6804"/>
        <w:tab w:val="right" w:pos="9638"/>
      </w:tabs>
      <w:spacing w:before="240" w:after="240"/>
    </w:pPr>
    <w:rPr>
      <w:rFonts w:ascii="Verdana" w:hAnsi="Verdana"/>
      <w:color w:val="00428B" w:themeColor="text2"/>
      <w:spacing w:val="1"/>
      <w:sz w:val="22"/>
      <w:szCs w:val="22"/>
      <w:lang w:eastAsia="en-US"/>
    </w:rPr>
  </w:style>
  <w:style w:type="paragraph" w:customStyle="1" w:styleId="PSHeading1">
    <w:name w:val="PS Heading 1"/>
    <w:basedOn w:val="Normal"/>
    <w:next w:val="Heading1"/>
    <w:uiPriority w:val="99"/>
    <w:qFormat/>
    <w:rsid w:val="00767B75"/>
    <w:pPr>
      <w:pageBreakBefore/>
      <w:pBdr>
        <w:bottom w:val="single" w:sz="4" w:space="1" w:color="0092D7" w:themeColor="accent2"/>
      </w:pBdr>
      <w:tabs>
        <w:tab w:val="left" w:pos="284"/>
        <w:tab w:val="left" w:pos="851"/>
        <w:tab w:val="left" w:pos="4536"/>
        <w:tab w:val="left" w:pos="6804"/>
        <w:tab w:val="right" w:pos="9638"/>
      </w:tabs>
      <w:spacing w:before="240" w:after="360" w:line="260" w:lineRule="atLeast"/>
      <w:ind w:left="851" w:hanging="851"/>
      <w:outlineLvl w:val="0"/>
    </w:pPr>
    <w:rPr>
      <w:b/>
      <w:color w:val="0092D7" w:themeColor="accent2"/>
      <w:spacing w:val="-10"/>
      <w:sz w:val="36"/>
      <w:szCs w:val="20"/>
      <w:lang w:eastAsia="fr-CA"/>
    </w:rPr>
  </w:style>
  <w:style w:type="paragraph" w:customStyle="1" w:styleId="OurRef">
    <w:name w:val="Our Ref"/>
    <w:basedOn w:val="Date"/>
    <w:uiPriority w:val="99"/>
    <w:semiHidden/>
    <w:qFormat/>
    <w:rsid w:val="00767B75"/>
    <w:pPr>
      <w:tabs>
        <w:tab w:val="left" w:pos="284"/>
        <w:tab w:val="left" w:pos="4536"/>
        <w:tab w:val="left" w:pos="6804"/>
        <w:tab w:val="right" w:pos="9638"/>
      </w:tabs>
      <w:spacing w:before="1320" w:line="260" w:lineRule="atLeast"/>
      <w:contextualSpacing/>
    </w:pPr>
    <w:rPr>
      <w:color w:val="FFFFFF"/>
      <w:sz w:val="16"/>
      <w:szCs w:val="16"/>
      <w:lang w:eastAsia="fr-CA"/>
    </w:rPr>
  </w:style>
  <w:style w:type="table" w:customStyle="1" w:styleId="TableGridLight2">
    <w:name w:val="Table Grid Light2"/>
    <w:basedOn w:val="TableNormal"/>
    <w:uiPriority w:val="40"/>
    <w:rsid w:val="00767B75"/>
    <w:pPr>
      <w:spacing w:line="240" w:lineRule="auto"/>
    </w:pPr>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umbers">
    <w:name w:val="Table Numbers"/>
    <w:basedOn w:val="BodyText"/>
    <w:link w:val="TableNumbersChar"/>
    <w:qFormat/>
    <w:rsid w:val="00BC1F3F"/>
    <w:pPr>
      <w:tabs>
        <w:tab w:val="clear" w:pos="2268"/>
        <w:tab w:val="clear" w:pos="4536"/>
        <w:tab w:val="clear" w:pos="6804"/>
        <w:tab w:val="left" w:pos="284"/>
      </w:tabs>
      <w:spacing w:before="60" w:after="60" w:line="240" w:lineRule="auto"/>
    </w:pPr>
    <w:rPr>
      <w:sz w:val="16"/>
      <w:szCs w:val="20"/>
      <w:lang w:eastAsia="fr-CA"/>
    </w:rPr>
  </w:style>
  <w:style w:type="character" w:customStyle="1" w:styleId="TableNumbersChar">
    <w:name w:val="Table Numbers Char"/>
    <w:basedOn w:val="BodyTextChar"/>
    <w:link w:val="TableNumbers"/>
    <w:rsid w:val="00BC1F3F"/>
    <w:rPr>
      <w:sz w:val="16"/>
      <w:szCs w:val="20"/>
      <w:lang w:eastAsia="fr-CA"/>
    </w:rPr>
  </w:style>
  <w:style w:type="table" w:customStyle="1" w:styleId="MWTableGrid1">
    <w:name w:val="MW Table Grid1"/>
    <w:basedOn w:val="TableNormal"/>
    <w:uiPriority w:val="99"/>
    <w:rsid w:val="00767B75"/>
    <w:pPr>
      <w:spacing w:before="60" w:after="60" w:line="260" w:lineRule="atLeast"/>
    </w:pPr>
    <w:rPr>
      <w:sz w:val="20"/>
      <w:szCs w:val="20"/>
    </w:r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table" w:customStyle="1" w:styleId="MWTableGrid2">
    <w:name w:val="MW Table Grid2"/>
    <w:basedOn w:val="TableNormal"/>
    <w:uiPriority w:val="99"/>
    <w:rsid w:val="00767B75"/>
    <w:pPr>
      <w:spacing w:before="60" w:after="60" w:line="260" w:lineRule="atLeast"/>
    </w:pPr>
    <w:rPr>
      <w:sz w:val="20"/>
      <w:szCs w:val="20"/>
    </w:r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customStyle="1" w:styleId="PullBox">
    <w:name w:val="Pull Box"/>
    <w:basedOn w:val="BodyText"/>
    <w:uiPriority w:val="99"/>
    <w:qFormat/>
    <w:rsid w:val="00767B75"/>
    <w:pPr>
      <w:pBdr>
        <w:top w:val="single" w:sz="4" w:space="10" w:color="auto"/>
        <w:left w:val="single" w:sz="4" w:space="8" w:color="auto"/>
        <w:bottom w:val="single" w:sz="4" w:space="10" w:color="auto"/>
        <w:right w:val="single" w:sz="4" w:space="8" w:color="auto"/>
      </w:pBdr>
      <w:tabs>
        <w:tab w:val="clear" w:pos="2268"/>
        <w:tab w:val="clear" w:pos="4536"/>
        <w:tab w:val="clear" w:pos="6804"/>
        <w:tab w:val="clear" w:pos="9638"/>
        <w:tab w:val="left" w:pos="284"/>
      </w:tabs>
      <w:spacing w:before="200" w:line="288" w:lineRule="auto"/>
      <w:ind w:left="170" w:right="170"/>
    </w:pPr>
    <w:rPr>
      <w:rFonts w:ascii="Arial" w:eastAsia="Cambria" w:hAnsi="Arial"/>
      <w:color w:val="auto"/>
      <w:szCs w:val="20"/>
      <w:lang w:eastAsia="en-US"/>
    </w:rPr>
  </w:style>
  <w:style w:type="paragraph" w:customStyle="1" w:styleId="xmsonormal">
    <w:name w:val="x_msonormal"/>
    <w:basedOn w:val="Normal"/>
    <w:uiPriority w:val="99"/>
    <w:rsid w:val="00767B75"/>
    <w:pPr>
      <w:tabs>
        <w:tab w:val="left" w:pos="284"/>
        <w:tab w:val="left" w:pos="4536"/>
        <w:tab w:val="left" w:pos="6804"/>
        <w:tab w:val="right" w:pos="9638"/>
      </w:tabs>
      <w:spacing w:before="240" w:after="200" w:line="240" w:lineRule="auto"/>
    </w:pPr>
    <w:rPr>
      <w:rFonts w:ascii="Calibri" w:eastAsiaTheme="minorHAnsi" w:hAnsi="Calibri" w:cs="Calibri"/>
      <w:color w:val="auto"/>
      <w:sz w:val="22"/>
      <w:szCs w:val="22"/>
      <w:lang w:eastAsia="fr-CA"/>
    </w:rPr>
  </w:style>
  <w:style w:type="table" w:customStyle="1" w:styleId="MelbourneWaterTableStyle">
    <w:name w:val="Melbourne Water Table Style"/>
    <w:basedOn w:val="LightList-Accent5"/>
    <w:uiPriority w:val="99"/>
    <w:rsid w:val="00767B75"/>
    <w:pPr>
      <w:spacing w:before="60" w:after="60"/>
    </w:pPr>
    <w:rPr>
      <w:rFonts w:ascii="Verdana" w:eastAsiaTheme="minorHAnsi" w:hAnsi="Verdana" w:cstheme="minorBidi"/>
      <w:color w:val="auto"/>
      <w:sz w:val="20"/>
      <w:szCs w:val="20"/>
    </w:rPr>
    <w:tblPr>
      <w:jc w:val="center"/>
    </w:tblPr>
    <w:trPr>
      <w:jc w:val="center"/>
    </w:trPr>
    <w:tcPr>
      <w:vAlign w:val="center"/>
    </w:tcPr>
    <w:tblStylePr w:type="firstRow">
      <w:pPr>
        <w:wordWrap/>
        <w:spacing w:beforeLines="0" w:before="120" w:beforeAutospacing="0" w:afterLines="0" w:after="120" w:afterAutospacing="0" w:line="240" w:lineRule="auto"/>
        <w:contextualSpacing w:val="0"/>
        <w:jc w:val="left"/>
      </w:pPr>
      <w:rPr>
        <w:rFonts w:ascii="Verdana" w:hAnsi="Verdana"/>
        <w:b w:val="0"/>
        <w:bCs/>
        <w:color w:val="FFFFFF" w:themeColor="background1"/>
        <w:sz w:val="22"/>
      </w:rPr>
      <w:tblPr/>
      <w:tcPr>
        <w:tcBorders>
          <w:top w:val="nil"/>
          <w:left w:val="nil"/>
          <w:bottom w:val="nil"/>
          <w:right w:val="nil"/>
          <w:insideH w:val="nil"/>
          <w:insideV w:val="nil"/>
          <w:tl2br w:val="nil"/>
          <w:tr2bl w:val="nil"/>
        </w:tcBorders>
        <w:shd w:val="clear" w:color="auto" w:fill="00428B"/>
      </w:tcPr>
    </w:tblStylePr>
    <w:tblStylePr w:type="lastRow">
      <w:pPr>
        <w:spacing w:before="0" w:after="0" w:line="240" w:lineRule="auto"/>
      </w:pPr>
      <w:rPr>
        <w:b w:val="0"/>
        <w:bCs/>
      </w:rPr>
      <w:tblPr/>
      <w:tcPr>
        <w:tcBorders>
          <w:top w:val="nil"/>
          <w:left w:val="nil"/>
          <w:bottom w:val="nil"/>
          <w:right w:val="nil"/>
          <w:insideH w:val="nil"/>
          <w:insideV w:val="nil"/>
          <w:tl2br w:val="nil"/>
          <w:tr2bl w:val="nil"/>
        </w:tcBorders>
      </w:tcPr>
    </w:tblStylePr>
    <w:tblStylePr w:type="firstCol">
      <w:rPr>
        <w:b w:val="0"/>
        <w:bCs/>
      </w:rPr>
    </w:tblStylePr>
    <w:tblStylePr w:type="lastCol">
      <w:rPr>
        <w:b w:val="0"/>
        <w:bCs/>
      </w:rPr>
    </w:tblStylePr>
    <w:tblStylePr w:type="band1Vert">
      <w:tblPr/>
      <w:tcPr>
        <w:tcBorders>
          <w:top w:val="nil"/>
          <w:left w:val="nil"/>
          <w:bottom w:val="nil"/>
          <w:right w:val="nil"/>
          <w:insideH w:val="nil"/>
          <w:insideV w:val="nil"/>
          <w:tl2br w:val="nil"/>
          <w:tr2bl w:val="nil"/>
        </w:tcBorders>
      </w:tcPr>
    </w:tblStylePr>
    <w:tblStylePr w:type="band1Horz">
      <w:rPr>
        <w:rFonts w:ascii="Verdana" w:hAnsi="Verdana"/>
        <w:b w:val="0"/>
        <w:sz w:val="20"/>
      </w:rPr>
      <w:tblPr/>
      <w:tcPr>
        <w:tcBorders>
          <w:top w:val="nil"/>
          <w:left w:val="nil"/>
          <w:bottom w:val="nil"/>
          <w:right w:val="nil"/>
          <w:insideH w:val="nil"/>
          <w:insideV w:val="nil"/>
          <w:tl2br w:val="nil"/>
          <w:tr2bl w:val="nil"/>
        </w:tcBorders>
        <w:shd w:val="clear" w:color="auto" w:fill="FFFFFF" w:themeFill="background1"/>
      </w:tcPr>
    </w:tblStylePr>
    <w:tblStylePr w:type="band2Horz">
      <w:rPr>
        <w:rFonts w:ascii="Verdana" w:hAnsi="Verdana"/>
        <w:b w:val="0"/>
        <w:sz w:val="20"/>
      </w:rPr>
      <w:tblPr/>
      <w:tcPr>
        <w:tcBorders>
          <w:top w:val="nil"/>
          <w:left w:val="nil"/>
          <w:bottom w:val="nil"/>
          <w:right w:val="nil"/>
          <w:insideH w:val="nil"/>
          <w:insideV w:val="nil"/>
          <w:tl2br w:val="nil"/>
          <w:tr2bl w:val="nil"/>
        </w:tcBorders>
        <w:shd w:val="clear" w:color="auto" w:fill="DCDCDC"/>
      </w:tcPr>
    </w:tblStylePr>
  </w:style>
  <w:style w:type="paragraph" w:customStyle="1" w:styleId="Bullet1">
    <w:name w:val="Bullet 1"/>
    <w:basedOn w:val="BodyText"/>
    <w:uiPriority w:val="99"/>
    <w:qFormat/>
    <w:rsid w:val="00767B75"/>
    <w:pPr>
      <w:numPr>
        <w:numId w:val="12"/>
      </w:numPr>
      <w:tabs>
        <w:tab w:val="clear" w:pos="2268"/>
        <w:tab w:val="clear" w:pos="4536"/>
        <w:tab w:val="clear" w:pos="6804"/>
        <w:tab w:val="clear" w:pos="9638"/>
        <w:tab w:val="left" w:pos="284"/>
      </w:tabs>
      <w:spacing w:before="0" w:after="170" w:line="250" w:lineRule="atLeast"/>
    </w:pPr>
    <w:rPr>
      <w:rFonts w:eastAsiaTheme="minorHAnsi"/>
      <w:color w:val="00428B" w:themeColor="text2"/>
      <w:sz w:val="19"/>
      <w:szCs w:val="20"/>
      <w:lang w:eastAsia="en-US"/>
    </w:rPr>
  </w:style>
  <w:style w:type="paragraph" w:customStyle="1" w:styleId="Bullet2">
    <w:name w:val="Bullet 2"/>
    <w:basedOn w:val="BodyText"/>
    <w:uiPriority w:val="99"/>
    <w:qFormat/>
    <w:rsid w:val="00767B75"/>
    <w:pPr>
      <w:numPr>
        <w:ilvl w:val="1"/>
        <w:numId w:val="12"/>
      </w:numPr>
      <w:tabs>
        <w:tab w:val="clear" w:pos="2268"/>
        <w:tab w:val="clear" w:pos="4536"/>
        <w:tab w:val="clear" w:pos="6804"/>
        <w:tab w:val="clear" w:pos="9638"/>
        <w:tab w:val="left" w:pos="284"/>
      </w:tabs>
      <w:spacing w:before="0" w:after="170" w:line="250" w:lineRule="atLeast"/>
    </w:pPr>
    <w:rPr>
      <w:rFonts w:eastAsiaTheme="minorHAnsi"/>
      <w:color w:val="00428B" w:themeColor="text2"/>
      <w:sz w:val="19"/>
      <w:szCs w:val="20"/>
      <w:lang w:eastAsia="en-US"/>
    </w:rPr>
  </w:style>
  <w:style w:type="paragraph" w:customStyle="1" w:styleId="TableBullet1">
    <w:name w:val="Table Bullet 1"/>
    <w:basedOn w:val="Normal"/>
    <w:uiPriority w:val="19"/>
    <w:qFormat/>
    <w:rsid w:val="00767B75"/>
    <w:pPr>
      <w:numPr>
        <w:ilvl w:val="7"/>
        <w:numId w:val="12"/>
      </w:numPr>
      <w:tabs>
        <w:tab w:val="left" w:pos="284"/>
        <w:tab w:val="left" w:pos="4536"/>
        <w:tab w:val="left" w:pos="6804"/>
        <w:tab w:val="right" w:pos="9638"/>
      </w:tabs>
      <w:spacing w:before="60" w:after="60" w:line="250" w:lineRule="atLeast"/>
    </w:pPr>
    <w:rPr>
      <w:rFonts w:eastAsiaTheme="minorHAnsi"/>
      <w:color w:val="00428B" w:themeColor="text2"/>
      <w:sz w:val="19"/>
      <w:szCs w:val="20"/>
      <w:lang w:eastAsia="en-US"/>
    </w:rPr>
  </w:style>
  <w:style w:type="paragraph" w:customStyle="1" w:styleId="TableBullet20">
    <w:name w:val="Table Bullet 2"/>
    <w:basedOn w:val="Bullet2"/>
    <w:uiPriority w:val="19"/>
    <w:qFormat/>
    <w:rsid w:val="00767B75"/>
    <w:pPr>
      <w:numPr>
        <w:ilvl w:val="8"/>
      </w:numPr>
      <w:spacing w:before="60" w:after="60"/>
    </w:pPr>
  </w:style>
  <w:style w:type="numbering" w:customStyle="1" w:styleId="Bullets">
    <w:name w:val="Bullets"/>
    <w:uiPriority w:val="99"/>
    <w:rsid w:val="00767B75"/>
    <w:pPr>
      <w:numPr>
        <w:numId w:val="4"/>
      </w:numPr>
    </w:pPr>
  </w:style>
  <w:style w:type="table" w:customStyle="1" w:styleId="MWTableGrid3">
    <w:name w:val="MW Table Grid3"/>
    <w:basedOn w:val="TableNormal"/>
    <w:uiPriority w:val="99"/>
    <w:rsid w:val="00767B75"/>
    <w:pPr>
      <w:spacing w:before="60" w:after="60" w:line="260" w:lineRule="atLeast"/>
    </w:pPr>
    <w:rPr>
      <w:sz w:val="20"/>
      <w:szCs w:val="20"/>
    </w:r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styleId="Strong">
    <w:name w:val="Strong"/>
    <w:aliases w:val="Executive summary"/>
    <w:basedOn w:val="Heading1Char"/>
    <w:uiPriority w:val="22"/>
    <w:qFormat/>
    <w:rsid w:val="00767B75"/>
    <w:rPr>
      <w:rFonts w:asciiTheme="majorHAnsi" w:eastAsiaTheme="majorEastAsia" w:hAnsiTheme="majorHAnsi" w:cstheme="majorBidi"/>
      <w:b w:val="0"/>
      <w:bCs/>
      <w:color w:val="0092D7" w:themeColor="accent2"/>
      <w:spacing w:val="-10"/>
      <w:sz w:val="44"/>
      <w:szCs w:val="40"/>
      <w:lang w:eastAsia="fr-CA"/>
    </w:rPr>
  </w:style>
  <w:style w:type="character" w:customStyle="1" w:styleId="spellingerror">
    <w:name w:val="spellingerror"/>
    <w:basedOn w:val="DefaultParagraphFont"/>
    <w:rsid w:val="00767B75"/>
  </w:style>
  <w:style w:type="paragraph" w:customStyle="1" w:styleId="Default">
    <w:name w:val="Default"/>
    <w:rsid w:val="00767B75"/>
    <w:pPr>
      <w:autoSpaceDE w:val="0"/>
      <w:autoSpaceDN w:val="0"/>
      <w:adjustRightInd w:val="0"/>
      <w:spacing w:line="240" w:lineRule="auto"/>
    </w:pPr>
    <w:rPr>
      <w:rFonts w:ascii="Calibri" w:hAnsi="Calibri" w:cs="Calibri"/>
      <w:color w:val="000000"/>
    </w:rPr>
  </w:style>
  <w:style w:type="character" w:styleId="Emphasis">
    <w:name w:val="Emphasis"/>
    <w:basedOn w:val="DefaultParagraphFont"/>
    <w:uiPriority w:val="20"/>
    <w:qFormat/>
    <w:rsid w:val="00767B75"/>
    <w:rPr>
      <w:i/>
      <w:iCs/>
    </w:rPr>
  </w:style>
  <w:style w:type="table" w:customStyle="1" w:styleId="PlainTable22">
    <w:name w:val="Plain Table 22"/>
    <w:basedOn w:val="TableNormal"/>
    <w:uiPriority w:val="42"/>
    <w:rsid w:val="00767B75"/>
    <w:pPr>
      <w:spacing w:line="240" w:lineRule="auto"/>
    </w:pPr>
    <w:rPr>
      <w:sz w:val="20"/>
      <w:szCs w:val="20"/>
    </w:r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MWTableGrid4">
    <w:name w:val="MW Table Grid4"/>
    <w:basedOn w:val="TableNormal"/>
    <w:uiPriority w:val="99"/>
    <w:rsid w:val="00767B75"/>
    <w:pPr>
      <w:spacing w:before="60" w:after="60" w:line="260" w:lineRule="atLeast"/>
    </w:pPr>
    <w:rPr>
      <w:sz w:val="20"/>
      <w:szCs w:val="20"/>
    </w:r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table" w:customStyle="1" w:styleId="MWTableGrid5">
    <w:name w:val="MW Table Grid5"/>
    <w:basedOn w:val="TableNormal"/>
    <w:uiPriority w:val="99"/>
    <w:rsid w:val="00767B75"/>
    <w:pPr>
      <w:spacing w:before="60" w:after="60" w:line="260" w:lineRule="atLeast"/>
    </w:pPr>
    <w:rPr>
      <w:sz w:val="20"/>
      <w:szCs w:val="20"/>
    </w:r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customStyle="1" w:styleId="PS21Heading2">
    <w:name w:val="PS21 Heading 2"/>
    <w:basedOn w:val="Heading2"/>
    <w:link w:val="PS21Heading2Char"/>
    <w:uiPriority w:val="99"/>
    <w:qFormat/>
    <w:rsid w:val="00767B75"/>
    <w:pPr>
      <w:tabs>
        <w:tab w:val="left" w:pos="284"/>
        <w:tab w:val="left" w:pos="709"/>
        <w:tab w:val="left" w:pos="4536"/>
        <w:tab w:val="left" w:pos="6804"/>
        <w:tab w:val="right" w:pos="9638"/>
      </w:tabs>
      <w:spacing w:before="360" w:after="240"/>
      <w:ind w:left="851" w:hanging="851"/>
    </w:pPr>
    <w:rPr>
      <w:color w:val="0092D7" w:themeColor="accent2"/>
      <w:spacing w:val="-10"/>
      <w:lang w:eastAsia="fr-CA"/>
    </w:rPr>
  </w:style>
  <w:style w:type="character" w:customStyle="1" w:styleId="PS21Heading2Char">
    <w:name w:val="PS21 Heading 2 Char"/>
    <w:basedOn w:val="Heading2Char"/>
    <w:link w:val="PS21Heading2"/>
    <w:uiPriority w:val="99"/>
    <w:rsid w:val="00767B75"/>
    <w:rPr>
      <w:rFonts w:asciiTheme="majorHAnsi" w:eastAsiaTheme="majorEastAsia" w:hAnsiTheme="majorHAnsi" w:cstheme="majorBidi"/>
      <w:b/>
      <w:bCs/>
      <w:color w:val="0092D7" w:themeColor="accent2"/>
      <w:spacing w:val="-10"/>
      <w:sz w:val="28"/>
      <w:szCs w:val="26"/>
      <w:lang w:eastAsia="fr-CA"/>
    </w:rPr>
  </w:style>
  <w:style w:type="table" w:customStyle="1" w:styleId="GridTable4-Accent12">
    <w:name w:val="Grid Table 4 - Accent 12"/>
    <w:basedOn w:val="TableNormal"/>
    <w:uiPriority w:val="49"/>
    <w:rsid w:val="00767B75"/>
    <w:pPr>
      <w:spacing w:line="240" w:lineRule="auto"/>
    </w:pPr>
    <w:rPr>
      <w:sz w:val="20"/>
      <w:szCs w:val="20"/>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character" w:customStyle="1" w:styleId="NoSpacingChar">
    <w:name w:val="No Spacing Char"/>
    <w:basedOn w:val="DefaultParagraphFont"/>
    <w:link w:val="NoSpacing"/>
    <w:uiPriority w:val="1"/>
    <w:rsid w:val="00767B75"/>
  </w:style>
  <w:style w:type="paragraph" w:styleId="TOC6">
    <w:name w:val="toc 6"/>
    <w:basedOn w:val="Normal"/>
    <w:next w:val="Normal"/>
    <w:autoRedefine/>
    <w:uiPriority w:val="39"/>
    <w:unhideWhenUsed/>
    <w:rsid w:val="00767B75"/>
    <w:pPr>
      <w:tabs>
        <w:tab w:val="left" w:pos="284"/>
        <w:tab w:val="left" w:pos="4536"/>
        <w:tab w:val="left" w:pos="6804"/>
        <w:tab w:val="right" w:pos="9638"/>
      </w:tabs>
      <w:spacing w:before="240" w:after="100" w:line="259" w:lineRule="auto"/>
      <w:ind w:left="1100"/>
    </w:pPr>
    <w:rPr>
      <w:rFonts w:eastAsiaTheme="minorEastAsia" w:cstheme="minorBidi"/>
      <w:color w:val="auto"/>
      <w:sz w:val="22"/>
      <w:szCs w:val="22"/>
      <w:lang w:eastAsia="fr-CA"/>
    </w:rPr>
  </w:style>
  <w:style w:type="paragraph" w:styleId="TOC7">
    <w:name w:val="toc 7"/>
    <w:basedOn w:val="Normal"/>
    <w:next w:val="Normal"/>
    <w:autoRedefine/>
    <w:uiPriority w:val="39"/>
    <w:unhideWhenUsed/>
    <w:rsid w:val="00767B75"/>
    <w:pPr>
      <w:tabs>
        <w:tab w:val="left" w:pos="284"/>
        <w:tab w:val="left" w:pos="4536"/>
        <w:tab w:val="left" w:pos="6804"/>
        <w:tab w:val="right" w:pos="9638"/>
      </w:tabs>
      <w:spacing w:before="240" w:after="100" w:line="259" w:lineRule="auto"/>
      <w:ind w:left="1320"/>
    </w:pPr>
    <w:rPr>
      <w:rFonts w:eastAsiaTheme="minorEastAsia" w:cstheme="minorBidi"/>
      <w:color w:val="auto"/>
      <w:sz w:val="22"/>
      <w:szCs w:val="22"/>
      <w:lang w:eastAsia="fr-CA"/>
    </w:rPr>
  </w:style>
  <w:style w:type="paragraph" w:styleId="TOC8">
    <w:name w:val="toc 8"/>
    <w:basedOn w:val="Normal"/>
    <w:next w:val="Normal"/>
    <w:autoRedefine/>
    <w:uiPriority w:val="39"/>
    <w:unhideWhenUsed/>
    <w:rsid w:val="00767B75"/>
    <w:pPr>
      <w:tabs>
        <w:tab w:val="left" w:pos="284"/>
        <w:tab w:val="left" w:pos="4536"/>
        <w:tab w:val="left" w:pos="6804"/>
        <w:tab w:val="right" w:pos="9638"/>
      </w:tabs>
      <w:spacing w:before="240" w:after="100" w:line="259" w:lineRule="auto"/>
      <w:ind w:left="1540"/>
    </w:pPr>
    <w:rPr>
      <w:rFonts w:eastAsiaTheme="minorEastAsia" w:cstheme="minorBidi"/>
      <w:color w:val="auto"/>
      <w:sz w:val="22"/>
      <w:szCs w:val="22"/>
      <w:lang w:eastAsia="fr-CA"/>
    </w:rPr>
  </w:style>
  <w:style w:type="paragraph" w:styleId="TOC9">
    <w:name w:val="toc 9"/>
    <w:basedOn w:val="Normal"/>
    <w:next w:val="Normal"/>
    <w:autoRedefine/>
    <w:uiPriority w:val="39"/>
    <w:unhideWhenUsed/>
    <w:rsid w:val="00767B75"/>
    <w:pPr>
      <w:tabs>
        <w:tab w:val="left" w:pos="284"/>
        <w:tab w:val="left" w:pos="4536"/>
        <w:tab w:val="left" w:pos="6804"/>
        <w:tab w:val="right" w:pos="9638"/>
      </w:tabs>
      <w:spacing w:before="240" w:after="100" w:line="259" w:lineRule="auto"/>
      <w:ind w:left="1760"/>
    </w:pPr>
    <w:rPr>
      <w:rFonts w:eastAsiaTheme="minorEastAsia" w:cstheme="minorBidi"/>
      <w:color w:val="auto"/>
      <w:sz w:val="22"/>
      <w:szCs w:val="22"/>
      <w:lang w:eastAsia="fr-CA"/>
    </w:rPr>
  </w:style>
  <w:style w:type="paragraph" w:styleId="Index1">
    <w:name w:val="index 1"/>
    <w:basedOn w:val="Normal"/>
    <w:next w:val="Normal"/>
    <w:autoRedefine/>
    <w:uiPriority w:val="99"/>
    <w:semiHidden/>
    <w:unhideWhenUsed/>
    <w:rsid w:val="00767B75"/>
    <w:pPr>
      <w:tabs>
        <w:tab w:val="left" w:pos="284"/>
        <w:tab w:val="left" w:pos="4536"/>
        <w:tab w:val="left" w:pos="6804"/>
        <w:tab w:val="right" w:pos="9638"/>
      </w:tabs>
      <w:spacing w:before="240" w:after="200" w:line="240" w:lineRule="auto"/>
      <w:ind w:left="200" w:hanging="200"/>
    </w:pPr>
    <w:rPr>
      <w:szCs w:val="20"/>
      <w:lang w:eastAsia="fr-CA"/>
    </w:rPr>
  </w:style>
  <w:style w:type="paragraph" w:customStyle="1" w:styleId="TableBody">
    <w:name w:val="Table Body"/>
    <w:basedOn w:val="Normal"/>
    <w:uiPriority w:val="19"/>
    <w:qFormat/>
    <w:rsid w:val="00A11884"/>
    <w:pPr>
      <w:tabs>
        <w:tab w:val="left" w:pos="284"/>
        <w:tab w:val="left" w:pos="4536"/>
        <w:tab w:val="left" w:pos="6804"/>
        <w:tab w:val="right" w:pos="9638"/>
      </w:tabs>
      <w:spacing w:after="60" w:line="240" w:lineRule="auto"/>
    </w:pPr>
    <w:rPr>
      <w:rFonts w:cstheme="minorHAnsi"/>
      <w:color w:val="auto"/>
      <w:spacing w:val="1"/>
      <w:sz w:val="16"/>
      <w:szCs w:val="20"/>
      <w:lang w:eastAsia="en-US"/>
    </w:rPr>
  </w:style>
  <w:style w:type="paragraph" w:customStyle="1" w:styleId="MWBodyText">
    <w:name w:val="MW_BodyText"/>
    <w:uiPriority w:val="99"/>
    <w:qFormat/>
    <w:rsid w:val="00767B75"/>
    <w:pPr>
      <w:spacing w:after="160" w:line="240" w:lineRule="atLeast"/>
    </w:pPr>
    <w:rPr>
      <w:rFonts w:ascii="Verdana" w:hAnsi="Verdana"/>
      <w:color w:val="auto"/>
      <w:sz w:val="20"/>
      <w:lang w:eastAsia="en-US"/>
    </w:rPr>
  </w:style>
  <w:style w:type="character" w:customStyle="1" w:styleId="UnresolvedMention1">
    <w:name w:val="Unresolved Mention1"/>
    <w:basedOn w:val="DefaultParagraphFont"/>
    <w:uiPriority w:val="99"/>
    <w:semiHidden/>
    <w:unhideWhenUsed/>
    <w:rsid w:val="00767B75"/>
    <w:rPr>
      <w:color w:val="605E5C"/>
      <w:shd w:val="clear" w:color="auto" w:fill="E1DFDD"/>
    </w:rPr>
  </w:style>
  <w:style w:type="paragraph" w:customStyle="1" w:styleId="msonormal0">
    <w:name w:val="msonormal"/>
    <w:basedOn w:val="Normal"/>
    <w:uiPriority w:val="99"/>
    <w:rsid w:val="00767B75"/>
    <w:pPr>
      <w:tabs>
        <w:tab w:val="left" w:pos="284"/>
        <w:tab w:val="left" w:pos="4536"/>
        <w:tab w:val="left" w:pos="6804"/>
        <w:tab w:val="right" w:pos="9638"/>
      </w:tabs>
      <w:spacing w:before="240" w:after="200" w:line="260" w:lineRule="atLeast"/>
    </w:pPr>
    <w:rPr>
      <w:lang w:eastAsia="fr-CA"/>
    </w:rPr>
  </w:style>
  <w:style w:type="character" w:customStyle="1" w:styleId="Heading8Char1">
    <w:name w:val="Heading 8 Char1"/>
    <w:aliases w:val="Appendix Title Char1"/>
    <w:basedOn w:val="DefaultParagraphFont"/>
    <w:semiHidden/>
    <w:rsid w:val="00767B75"/>
    <w:rPr>
      <w:rFonts w:asciiTheme="majorHAnsi" w:eastAsiaTheme="majorEastAsia" w:hAnsiTheme="majorHAnsi" w:cstheme="majorBidi"/>
      <w:color w:val="463E40" w:themeColor="text1" w:themeTint="D8"/>
      <w:sz w:val="21"/>
      <w:szCs w:val="21"/>
    </w:rPr>
  </w:style>
  <w:style w:type="character" w:customStyle="1" w:styleId="Heading9Char1">
    <w:name w:val="Heading 9 Char1"/>
    <w:aliases w:val="Appendix Heading 1 Char1"/>
    <w:basedOn w:val="DefaultParagraphFont"/>
    <w:semiHidden/>
    <w:rsid w:val="00767B75"/>
    <w:rPr>
      <w:rFonts w:asciiTheme="majorHAnsi" w:eastAsiaTheme="majorEastAsia" w:hAnsiTheme="majorHAnsi" w:cstheme="majorBidi"/>
      <w:i/>
      <w:iCs/>
      <w:color w:val="463E40" w:themeColor="text1" w:themeTint="D8"/>
      <w:sz w:val="21"/>
      <w:szCs w:val="21"/>
    </w:rPr>
  </w:style>
  <w:style w:type="character" w:customStyle="1" w:styleId="UnresolvedMention10">
    <w:name w:val="Unresolved Mention10"/>
    <w:basedOn w:val="DefaultParagraphFont"/>
    <w:uiPriority w:val="99"/>
    <w:semiHidden/>
    <w:rsid w:val="00767B75"/>
    <w:rPr>
      <w:color w:val="605E5C"/>
      <w:shd w:val="clear" w:color="auto" w:fill="E1DFDD"/>
    </w:rPr>
  </w:style>
  <w:style w:type="paragraph" w:customStyle="1" w:styleId="PSHeadingAttachment">
    <w:name w:val="PS Heading Attachment"/>
    <w:basedOn w:val="PSHeading1"/>
    <w:qFormat/>
    <w:rsid w:val="00767B75"/>
    <w:pPr>
      <w:ind w:left="0" w:firstLine="0"/>
    </w:pPr>
  </w:style>
  <w:style w:type="character" w:customStyle="1" w:styleId="UnresolvedMention2">
    <w:name w:val="Unresolved Mention2"/>
    <w:basedOn w:val="DefaultParagraphFont"/>
    <w:uiPriority w:val="99"/>
    <w:semiHidden/>
    <w:unhideWhenUsed/>
    <w:rsid w:val="00767B75"/>
    <w:rPr>
      <w:color w:val="605E5C"/>
      <w:shd w:val="clear" w:color="auto" w:fill="E1DFDD"/>
    </w:rPr>
  </w:style>
  <w:style w:type="character" w:customStyle="1" w:styleId="UnresolvedMention3">
    <w:name w:val="Unresolved Mention3"/>
    <w:basedOn w:val="DefaultParagraphFont"/>
    <w:uiPriority w:val="99"/>
    <w:semiHidden/>
    <w:unhideWhenUsed/>
    <w:rsid w:val="00767B75"/>
    <w:rPr>
      <w:color w:val="605E5C"/>
      <w:shd w:val="clear" w:color="auto" w:fill="E1DFDD"/>
    </w:rPr>
  </w:style>
  <w:style w:type="character" w:customStyle="1" w:styleId="UnresolvedMention100">
    <w:name w:val="Unresolved Mention100"/>
    <w:basedOn w:val="DefaultParagraphFont"/>
    <w:uiPriority w:val="99"/>
    <w:semiHidden/>
    <w:rsid w:val="00767B75"/>
    <w:rPr>
      <w:color w:val="605E5C"/>
      <w:shd w:val="clear" w:color="auto" w:fill="E1DFDD"/>
    </w:rPr>
  </w:style>
  <w:style w:type="character" w:customStyle="1" w:styleId="UnresolvedMention1000">
    <w:name w:val="Unresolved Mention1000"/>
    <w:basedOn w:val="DefaultParagraphFont"/>
    <w:uiPriority w:val="99"/>
    <w:semiHidden/>
    <w:rsid w:val="00767B75"/>
    <w:rPr>
      <w:color w:val="605E5C"/>
      <w:shd w:val="clear" w:color="auto" w:fill="E1DFDD"/>
    </w:rPr>
  </w:style>
  <w:style w:type="character" w:customStyle="1" w:styleId="UnresolvedMention10000">
    <w:name w:val="Unresolved Mention10000"/>
    <w:basedOn w:val="DefaultParagraphFont"/>
    <w:uiPriority w:val="99"/>
    <w:semiHidden/>
    <w:rsid w:val="00767B75"/>
    <w:rPr>
      <w:color w:val="605E5C"/>
      <w:shd w:val="clear" w:color="auto" w:fill="E1DFDD"/>
    </w:rPr>
  </w:style>
  <w:style w:type="character" w:customStyle="1" w:styleId="UnresolvedMention100000">
    <w:name w:val="Unresolved Mention100000"/>
    <w:basedOn w:val="DefaultParagraphFont"/>
    <w:uiPriority w:val="99"/>
    <w:semiHidden/>
    <w:rsid w:val="00767B75"/>
    <w:rPr>
      <w:color w:val="605E5C"/>
      <w:shd w:val="clear" w:color="auto" w:fill="E1DFDD"/>
    </w:rPr>
  </w:style>
  <w:style w:type="table" w:customStyle="1" w:styleId="GridTable1Light-Accent52">
    <w:name w:val="Grid Table 1 Light - Accent 52"/>
    <w:basedOn w:val="TableNormal"/>
    <w:next w:val="GridTable1Light-Accent5"/>
    <w:uiPriority w:val="46"/>
    <w:rsid w:val="00767B75"/>
    <w:pPr>
      <w:spacing w:line="240" w:lineRule="auto"/>
    </w:pPr>
    <w:rPr>
      <w:rFonts w:eastAsia="Calibri"/>
      <w:color w:val="auto"/>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tion1">
    <w:name w:val="Mention1"/>
    <w:basedOn w:val="DefaultParagraphFont"/>
    <w:uiPriority w:val="99"/>
    <w:unhideWhenUsed/>
    <w:rsid w:val="00767B75"/>
    <w:rPr>
      <w:color w:val="2B579A"/>
      <w:shd w:val="clear" w:color="auto" w:fill="E6E6E6"/>
    </w:rPr>
  </w:style>
  <w:style w:type="paragraph" w:styleId="PlainText">
    <w:name w:val="Plain Text"/>
    <w:basedOn w:val="Normal"/>
    <w:link w:val="PlainTextChar"/>
    <w:uiPriority w:val="99"/>
    <w:semiHidden/>
    <w:unhideWhenUsed/>
    <w:rsid w:val="00767B75"/>
    <w:pPr>
      <w:tabs>
        <w:tab w:val="left" w:pos="284"/>
        <w:tab w:val="left" w:pos="4536"/>
        <w:tab w:val="left" w:pos="6804"/>
        <w:tab w:val="right" w:pos="9638"/>
      </w:tabs>
      <w:spacing w:before="240" w:after="200" w:line="240" w:lineRule="auto"/>
    </w:pPr>
    <w:rPr>
      <w:rFonts w:ascii="Verdana" w:eastAsiaTheme="minorHAnsi" w:hAnsi="Verdana"/>
      <w:color w:val="000000"/>
      <w:szCs w:val="20"/>
      <w:lang w:eastAsia="fr-CA"/>
    </w:rPr>
  </w:style>
  <w:style w:type="character" w:customStyle="1" w:styleId="PlainTextChar">
    <w:name w:val="Plain Text Char"/>
    <w:basedOn w:val="DefaultParagraphFont"/>
    <w:link w:val="PlainText"/>
    <w:uiPriority w:val="99"/>
    <w:semiHidden/>
    <w:rsid w:val="00767B75"/>
    <w:rPr>
      <w:rFonts w:ascii="Verdana" w:eastAsiaTheme="minorHAnsi" w:hAnsi="Verdana"/>
      <w:color w:val="000000"/>
      <w:sz w:val="20"/>
      <w:szCs w:val="20"/>
      <w:lang w:eastAsia="fr-CA"/>
    </w:rPr>
  </w:style>
  <w:style w:type="table" w:styleId="GridTable1Light-Accent5">
    <w:name w:val="Grid Table 1 Light Accent 5"/>
    <w:basedOn w:val="TableNormal"/>
    <w:uiPriority w:val="46"/>
    <w:rsid w:val="00767B75"/>
    <w:pPr>
      <w:spacing w:line="240" w:lineRule="auto"/>
    </w:pPr>
    <w:rPr>
      <w:sz w:val="20"/>
      <w:szCs w:val="20"/>
    </w:r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character" w:customStyle="1" w:styleId="ItalicText">
    <w:name w:val="Italic Text"/>
    <w:basedOn w:val="DefaultParagraphFont"/>
    <w:uiPriority w:val="1"/>
    <w:qFormat/>
    <w:rsid w:val="00767B75"/>
    <w:rPr>
      <w:i/>
    </w:rPr>
  </w:style>
  <w:style w:type="paragraph" w:customStyle="1" w:styleId="Footer1">
    <w:name w:val="Footer1"/>
    <w:basedOn w:val="Normal"/>
    <w:next w:val="Footer"/>
    <w:uiPriority w:val="99"/>
    <w:rsid w:val="00767B75"/>
    <w:pPr>
      <w:tabs>
        <w:tab w:val="left" w:pos="284"/>
        <w:tab w:val="center" w:pos="4320"/>
        <w:tab w:val="left" w:pos="4536"/>
        <w:tab w:val="left" w:pos="6804"/>
        <w:tab w:val="right" w:pos="8640"/>
        <w:tab w:val="right" w:pos="9638"/>
      </w:tabs>
      <w:spacing w:after="200" w:line="240" w:lineRule="auto"/>
      <w:jc w:val="right"/>
    </w:pPr>
    <w:rPr>
      <w:rFonts w:eastAsia="Cambria"/>
      <w:noProof/>
      <w:color w:val="auto"/>
      <w:sz w:val="16"/>
      <w:szCs w:val="22"/>
      <w:lang w:eastAsia="en-US"/>
    </w:rPr>
  </w:style>
  <w:style w:type="paragraph" w:customStyle="1" w:styleId="Header1">
    <w:name w:val="Header1"/>
    <w:basedOn w:val="Normal"/>
    <w:next w:val="Header"/>
    <w:uiPriority w:val="99"/>
    <w:rsid w:val="00767B75"/>
    <w:pPr>
      <w:pBdr>
        <w:bottom w:val="single" w:sz="8" w:space="5" w:color="00428B"/>
      </w:pBdr>
      <w:tabs>
        <w:tab w:val="left" w:pos="284"/>
        <w:tab w:val="left" w:pos="4536"/>
        <w:tab w:val="left" w:pos="6804"/>
        <w:tab w:val="right" w:pos="9639"/>
      </w:tabs>
      <w:spacing w:before="240" w:after="480" w:line="260" w:lineRule="atLeast"/>
    </w:pPr>
    <w:rPr>
      <w:rFonts w:eastAsia="Verdana"/>
      <w:color w:val="4D4F53"/>
      <w:sz w:val="16"/>
      <w:szCs w:val="22"/>
      <w:lang w:eastAsia="fr-CA"/>
    </w:rPr>
  </w:style>
  <w:style w:type="paragraph" w:customStyle="1" w:styleId="numbers">
    <w:name w:val="numbers"/>
    <w:basedOn w:val="BodyText"/>
    <w:qFormat/>
    <w:rsid w:val="00793BF4"/>
    <w:pPr>
      <w:widowControl w:val="0"/>
      <w:numPr>
        <w:numId w:val="13"/>
      </w:numPr>
      <w:tabs>
        <w:tab w:val="clear" w:pos="2268"/>
        <w:tab w:val="clear" w:pos="4536"/>
        <w:tab w:val="clear" w:pos="6804"/>
        <w:tab w:val="clear" w:pos="9638"/>
        <w:tab w:val="left" w:pos="284"/>
      </w:tabs>
      <w:autoSpaceDE w:val="0"/>
      <w:autoSpaceDN w:val="0"/>
      <w:spacing w:before="0" w:after="240" w:line="240" w:lineRule="auto"/>
      <w:ind w:left="567" w:hanging="567"/>
    </w:pPr>
    <w:rPr>
      <w:rFonts w:ascii="Verdana" w:eastAsia="Bliss-Light" w:hAnsi="Verdana" w:cs="Bliss-Light"/>
      <w:szCs w:val="17"/>
      <w:lang w:val="en-US" w:eastAsia="en-US" w:bidi="en-US"/>
    </w:rPr>
  </w:style>
  <w:style w:type="character" w:customStyle="1" w:styleId="Mention2">
    <w:name w:val="Mention2"/>
    <w:basedOn w:val="DefaultParagraphFont"/>
    <w:uiPriority w:val="99"/>
    <w:unhideWhenUsed/>
    <w:rsid w:val="00767B75"/>
    <w:rPr>
      <w:color w:val="2B579A"/>
      <w:shd w:val="clear" w:color="auto" w:fill="E1DFDD"/>
    </w:rPr>
  </w:style>
  <w:style w:type="character" w:customStyle="1" w:styleId="scxp185374842">
    <w:name w:val="scxp185374842"/>
    <w:basedOn w:val="DefaultParagraphFont"/>
    <w:rsid w:val="00767B75"/>
  </w:style>
  <w:style w:type="character" w:customStyle="1" w:styleId="UnresolvedMention4">
    <w:name w:val="Unresolved Mention4"/>
    <w:basedOn w:val="DefaultParagraphFont"/>
    <w:uiPriority w:val="99"/>
    <w:semiHidden/>
    <w:unhideWhenUsed/>
    <w:rsid w:val="00767B75"/>
    <w:rPr>
      <w:color w:val="605E5C"/>
      <w:shd w:val="clear" w:color="auto" w:fill="E1DFDD"/>
    </w:rPr>
  </w:style>
  <w:style w:type="character" w:customStyle="1" w:styleId="scxp147073718">
    <w:name w:val="scxp147073718"/>
    <w:basedOn w:val="DefaultParagraphFont"/>
    <w:rsid w:val="00767B75"/>
  </w:style>
  <w:style w:type="character" w:customStyle="1" w:styleId="Mention3">
    <w:name w:val="Mention3"/>
    <w:basedOn w:val="DefaultParagraphFont"/>
    <w:uiPriority w:val="99"/>
    <w:unhideWhenUsed/>
    <w:rsid w:val="00767B75"/>
    <w:rPr>
      <w:color w:val="2B579A"/>
      <w:shd w:val="clear" w:color="auto" w:fill="E1DFDD"/>
    </w:rPr>
  </w:style>
  <w:style w:type="character" w:customStyle="1" w:styleId="Mention30">
    <w:name w:val="Mention30"/>
    <w:basedOn w:val="DefaultParagraphFont"/>
    <w:uiPriority w:val="99"/>
    <w:unhideWhenUsed/>
    <w:rsid w:val="00767B75"/>
    <w:rPr>
      <w:color w:val="2B579A"/>
      <w:shd w:val="clear" w:color="auto" w:fill="E1DFDD"/>
    </w:rPr>
  </w:style>
  <w:style w:type="table" w:styleId="TableGridLight">
    <w:name w:val="Grid Table Light"/>
    <w:basedOn w:val="TableNormal"/>
    <w:uiPriority w:val="40"/>
    <w:rsid w:val="00767B75"/>
    <w:pPr>
      <w:spacing w:line="240" w:lineRule="auto"/>
    </w:pPr>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5">
    <w:name w:val="Unresolved Mention5"/>
    <w:basedOn w:val="DefaultParagraphFont"/>
    <w:uiPriority w:val="99"/>
    <w:semiHidden/>
    <w:unhideWhenUsed/>
    <w:rsid w:val="00767B75"/>
    <w:rPr>
      <w:color w:val="605E5C"/>
      <w:shd w:val="clear" w:color="auto" w:fill="E1DFDD"/>
    </w:rPr>
  </w:style>
  <w:style w:type="character" w:customStyle="1" w:styleId="Mention4">
    <w:name w:val="Mention4"/>
    <w:basedOn w:val="DefaultParagraphFont"/>
    <w:uiPriority w:val="99"/>
    <w:unhideWhenUsed/>
    <w:rsid w:val="00767B75"/>
    <w:rPr>
      <w:color w:val="2B579A"/>
      <w:shd w:val="clear" w:color="auto" w:fill="E1DFDD"/>
    </w:rPr>
  </w:style>
  <w:style w:type="table" w:styleId="GridTable4-Accent6">
    <w:name w:val="Grid Table 4 Accent 6"/>
    <w:basedOn w:val="TableNormal"/>
    <w:uiPriority w:val="49"/>
    <w:rsid w:val="00767B75"/>
    <w:pPr>
      <w:spacing w:line="240" w:lineRule="auto"/>
    </w:pPr>
    <w:rPr>
      <w:sz w:val="20"/>
      <w:szCs w:val="20"/>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numbering" w:customStyle="1" w:styleId="ListBullets">
    <w:name w:val="ListBullets"/>
    <w:uiPriority w:val="99"/>
    <w:rsid w:val="00767B75"/>
  </w:style>
  <w:style w:type="table" w:customStyle="1" w:styleId="CorpPlan1">
    <w:name w:val="Corp Plan 1"/>
    <w:basedOn w:val="TableNormal"/>
    <w:uiPriority w:val="99"/>
    <w:rsid w:val="00767B75"/>
    <w:pPr>
      <w:spacing w:line="240" w:lineRule="auto"/>
    </w:pPr>
    <w:rPr>
      <w:rFonts w:ascii="Segoe UI" w:hAnsi="Segoe UI"/>
      <w:color w:val="auto"/>
      <w:sz w:val="18"/>
      <w:szCs w:val="20"/>
    </w:rPr>
    <w:tblPr>
      <w:tblBorders>
        <w:bottom w:val="single" w:sz="4" w:space="0" w:color="008998"/>
        <w:insideH w:val="single" w:sz="4" w:space="0" w:color="008998"/>
      </w:tblBorders>
    </w:tblPr>
    <w:tblStylePr w:type="firstRow">
      <w:rPr>
        <w:rFonts w:ascii="Aptos" w:hAnsi="Aptos"/>
        <w:b/>
        <w:color w:val="FFFFFF" w:themeColor="background1"/>
        <w:sz w:val="20"/>
      </w:rPr>
      <w:tblPr/>
      <w:tcPr>
        <w:shd w:val="clear" w:color="auto" w:fill="00428B" w:themeFill="accent1"/>
      </w:tcPr>
    </w:tblStylePr>
  </w:style>
  <w:style w:type="table" w:styleId="GridTable4-Accent1">
    <w:name w:val="Grid Table 4 Accent 1"/>
    <w:basedOn w:val="TableNormal"/>
    <w:uiPriority w:val="49"/>
    <w:rsid w:val="00767B75"/>
    <w:pPr>
      <w:spacing w:line="240" w:lineRule="auto"/>
    </w:pPr>
    <w:rPr>
      <w:sz w:val="20"/>
      <w:szCs w:val="20"/>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paragraph" w:customStyle="1" w:styleId="Pa14">
    <w:name w:val="Pa14"/>
    <w:basedOn w:val="Normal"/>
    <w:next w:val="Normal"/>
    <w:uiPriority w:val="99"/>
    <w:rsid w:val="00767B75"/>
    <w:pPr>
      <w:autoSpaceDE w:val="0"/>
      <w:autoSpaceDN w:val="0"/>
      <w:adjustRightInd w:val="0"/>
      <w:spacing w:line="161" w:lineRule="atLeast"/>
    </w:pPr>
    <w:rPr>
      <w:rFonts w:ascii="Bliss Light" w:hAnsi="Bliss Light"/>
    </w:rPr>
  </w:style>
  <w:style w:type="paragraph" w:customStyle="1" w:styleId="Tablebullet">
    <w:name w:val="Table bullet"/>
    <w:basedOn w:val="ListBullet"/>
    <w:link w:val="TablebulletChar"/>
    <w:qFormat/>
    <w:rsid w:val="0030061C"/>
    <w:pPr>
      <w:numPr>
        <w:numId w:val="14"/>
      </w:numPr>
      <w:tabs>
        <w:tab w:val="left" w:pos="357"/>
      </w:tabs>
      <w:spacing w:line="260" w:lineRule="atLeast"/>
      <w:ind w:left="357" w:hanging="357"/>
      <w:contextualSpacing w:val="0"/>
    </w:pPr>
    <w:rPr>
      <w:sz w:val="16"/>
    </w:rPr>
  </w:style>
  <w:style w:type="paragraph" w:customStyle="1" w:styleId="Table">
    <w:name w:val="Table"/>
    <w:basedOn w:val="BodyText"/>
    <w:link w:val="TableChar"/>
    <w:qFormat/>
    <w:rsid w:val="00046BD5"/>
    <w:pPr>
      <w:tabs>
        <w:tab w:val="clear" w:pos="2268"/>
        <w:tab w:val="clear" w:pos="4536"/>
        <w:tab w:val="clear" w:pos="6804"/>
        <w:tab w:val="left" w:pos="284"/>
      </w:tabs>
      <w:spacing w:before="60" w:after="120" w:line="240" w:lineRule="auto"/>
      <w:ind w:left="1134" w:hanging="1134"/>
    </w:pPr>
    <w:rPr>
      <w:b/>
      <w:sz w:val="18"/>
      <w:szCs w:val="20"/>
      <w:lang w:eastAsia="fr-CA"/>
    </w:rPr>
  </w:style>
  <w:style w:type="character" w:customStyle="1" w:styleId="TableChar">
    <w:name w:val="Table Char"/>
    <w:basedOn w:val="BodyTextChar"/>
    <w:link w:val="Table"/>
    <w:rsid w:val="00046BD5"/>
    <w:rPr>
      <w:b/>
      <w:sz w:val="18"/>
      <w:szCs w:val="20"/>
      <w:lang w:eastAsia="fr-CA"/>
    </w:rPr>
  </w:style>
  <w:style w:type="paragraph" w:customStyle="1" w:styleId="Tablenumber">
    <w:name w:val="Table number"/>
    <w:basedOn w:val="Tablebullet"/>
    <w:link w:val="TablenumberChar"/>
    <w:qFormat/>
    <w:rsid w:val="00917D33"/>
    <w:pPr>
      <w:numPr>
        <w:numId w:val="36"/>
      </w:numPr>
      <w:ind w:left="357" w:hanging="357"/>
    </w:pPr>
    <w:rPr>
      <w:rFonts w:eastAsiaTheme="minorEastAsia"/>
    </w:rPr>
  </w:style>
  <w:style w:type="character" w:customStyle="1" w:styleId="ListBulletChar">
    <w:name w:val="List Bullet Char"/>
    <w:basedOn w:val="BodyTextChar"/>
    <w:link w:val="ListBullet"/>
    <w:rsid w:val="0088314A"/>
    <w:rPr>
      <w:sz w:val="20"/>
    </w:rPr>
  </w:style>
  <w:style w:type="character" w:customStyle="1" w:styleId="TablebulletChar">
    <w:name w:val="Table bullet Char"/>
    <w:basedOn w:val="ListBulletChar"/>
    <w:link w:val="Tablebullet"/>
    <w:rsid w:val="0030061C"/>
    <w:rPr>
      <w:sz w:val="16"/>
    </w:rPr>
  </w:style>
  <w:style w:type="character" w:customStyle="1" w:styleId="TablenumberChar">
    <w:name w:val="Table number Char"/>
    <w:basedOn w:val="TablebulletChar"/>
    <w:link w:val="Tablenumber"/>
    <w:rsid w:val="0088314A"/>
    <w:rPr>
      <w:rFonts w:eastAsiaTheme="minorEastAsia"/>
      <w:sz w:val="16"/>
    </w:rPr>
  </w:style>
  <w:style w:type="paragraph" w:customStyle="1" w:styleId="Tablebullet2">
    <w:name w:val="Table bullet 2"/>
    <w:basedOn w:val="Tablebullet"/>
    <w:link w:val="Tablebullet2Char"/>
    <w:qFormat/>
    <w:rsid w:val="000178CC"/>
    <w:pPr>
      <w:numPr>
        <w:numId w:val="37"/>
      </w:numPr>
      <w:tabs>
        <w:tab w:val="clear" w:pos="357"/>
        <w:tab w:val="clear" w:pos="567"/>
        <w:tab w:val="left" w:pos="714"/>
      </w:tabs>
      <w:ind w:left="714" w:hanging="357"/>
    </w:pPr>
  </w:style>
  <w:style w:type="character" w:customStyle="1" w:styleId="Tablebullet2Char">
    <w:name w:val="Table bullet 2 Char"/>
    <w:basedOn w:val="TablebulletChar"/>
    <w:link w:val="Tablebullet2"/>
    <w:rsid w:val="00A12997"/>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592722">
      <w:bodyDiv w:val="1"/>
      <w:marLeft w:val="0"/>
      <w:marRight w:val="0"/>
      <w:marTop w:val="0"/>
      <w:marBottom w:val="0"/>
      <w:divBdr>
        <w:top w:val="none" w:sz="0" w:space="0" w:color="auto"/>
        <w:left w:val="none" w:sz="0" w:space="0" w:color="auto"/>
        <w:bottom w:val="none" w:sz="0" w:space="0" w:color="auto"/>
        <w:right w:val="none" w:sz="0" w:space="0" w:color="auto"/>
      </w:divBdr>
    </w:div>
    <w:div w:id="931088658">
      <w:bodyDiv w:val="1"/>
      <w:marLeft w:val="0"/>
      <w:marRight w:val="0"/>
      <w:marTop w:val="0"/>
      <w:marBottom w:val="0"/>
      <w:divBdr>
        <w:top w:val="none" w:sz="0" w:space="0" w:color="auto"/>
        <w:left w:val="none" w:sz="0" w:space="0" w:color="auto"/>
        <w:bottom w:val="none" w:sz="0" w:space="0" w:color="auto"/>
        <w:right w:val="none" w:sz="0" w:space="0" w:color="auto"/>
      </w:divBdr>
    </w:div>
    <w:div w:id="1147666696">
      <w:bodyDiv w:val="1"/>
      <w:marLeft w:val="0"/>
      <w:marRight w:val="0"/>
      <w:marTop w:val="0"/>
      <w:marBottom w:val="0"/>
      <w:divBdr>
        <w:top w:val="none" w:sz="0" w:space="0" w:color="auto"/>
        <w:left w:val="none" w:sz="0" w:space="0" w:color="auto"/>
        <w:bottom w:val="none" w:sz="0" w:space="0" w:color="auto"/>
        <w:right w:val="none" w:sz="0" w:space="0" w:color="auto"/>
      </w:divBdr>
      <w:divsChild>
        <w:div w:id="114909345">
          <w:marLeft w:val="0"/>
          <w:marRight w:val="0"/>
          <w:marTop w:val="0"/>
          <w:marBottom w:val="0"/>
          <w:divBdr>
            <w:top w:val="none" w:sz="0" w:space="0" w:color="auto"/>
            <w:left w:val="none" w:sz="0" w:space="0" w:color="auto"/>
            <w:bottom w:val="none" w:sz="0" w:space="0" w:color="auto"/>
            <w:right w:val="none" w:sz="0" w:space="0" w:color="auto"/>
          </w:divBdr>
          <w:divsChild>
            <w:div w:id="354119348">
              <w:marLeft w:val="0"/>
              <w:marRight w:val="0"/>
              <w:marTop w:val="0"/>
              <w:marBottom w:val="0"/>
              <w:divBdr>
                <w:top w:val="none" w:sz="0" w:space="0" w:color="auto"/>
                <w:left w:val="none" w:sz="0" w:space="0" w:color="auto"/>
                <w:bottom w:val="none" w:sz="0" w:space="0" w:color="auto"/>
                <w:right w:val="none" w:sz="0" w:space="0" w:color="auto"/>
              </w:divBdr>
            </w:div>
          </w:divsChild>
        </w:div>
        <w:div w:id="747045231">
          <w:marLeft w:val="0"/>
          <w:marRight w:val="0"/>
          <w:marTop w:val="0"/>
          <w:marBottom w:val="0"/>
          <w:divBdr>
            <w:top w:val="none" w:sz="0" w:space="0" w:color="auto"/>
            <w:left w:val="none" w:sz="0" w:space="0" w:color="auto"/>
            <w:bottom w:val="none" w:sz="0" w:space="0" w:color="auto"/>
            <w:right w:val="none" w:sz="0" w:space="0" w:color="auto"/>
          </w:divBdr>
          <w:divsChild>
            <w:div w:id="1989507988">
              <w:marLeft w:val="0"/>
              <w:marRight w:val="0"/>
              <w:marTop w:val="0"/>
              <w:marBottom w:val="0"/>
              <w:divBdr>
                <w:top w:val="none" w:sz="0" w:space="0" w:color="auto"/>
                <w:left w:val="none" w:sz="0" w:space="0" w:color="auto"/>
                <w:bottom w:val="none" w:sz="0" w:space="0" w:color="auto"/>
                <w:right w:val="none" w:sz="0" w:space="0" w:color="auto"/>
              </w:divBdr>
            </w:div>
          </w:divsChild>
        </w:div>
        <w:div w:id="934553570">
          <w:marLeft w:val="0"/>
          <w:marRight w:val="0"/>
          <w:marTop w:val="0"/>
          <w:marBottom w:val="0"/>
          <w:divBdr>
            <w:top w:val="none" w:sz="0" w:space="0" w:color="auto"/>
            <w:left w:val="none" w:sz="0" w:space="0" w:color="auto"/>
            <w:bottom w:val="none" w:sz="0" w:space="0" w:color="auto"/>
            <w:right w:val="none" w:sz="0" w:space="0" w:color="auto"/>
          </w:divBdr>
          <w:divsChild>
            <w:div w:id="349255753">
              <w:marLeft w:val="0"/>
              <w:marRight w:val="0"/>
              <w:marTop w:val="0"/>
              <w:marBottom w:val="0"/>
              <w:divBdr>
                <w:top w:val="none" w:sz="0" w:space="0" w:color="auto"/>
                <w:left w:val="none" w:sz="0" w:space="0" w:color="auto"/>
                <w:bottom w:val="none" w:sz="0" w:space="0" w:color="auto"/>
                <w:right w:val="none" w:sz="0" w:space="0" w:color="auto"/>
              </w:divBdr>
            </w:div>
          </w:divsChild>
        </w:div>
        <w:div w:id="992877428">
          <w:marLeft w:val="0"/>
          <w:marRight w:val="0"/>
          <w:marTop w:val="0"/>
          <w:marBottom w:val="0"/>
          <w:divBdr>
            <w:top w:val="none" w:sz="0" w:space="0" w:color="auto"/>
            <w:left w:val="none" w:sz="0" w:space="0" w:color="auto"/>
            <w:bottom w:val="none" w:sz="0" w:space="0" w:color="auto"/>
            <w:right w:val="none" w:sz="0" w:space="0" w:color="auto"/>
          </w:divBdr>
          <w:divsChild>
            <w:div w:id="494345171">
              <w:marLeft w:val="0"/>
              <w:marRight w:val="0"/>
              <w:marTop w:val="0"/>
              <w:marBottom w:val="0"/>
              <w:divBdr>
                <w:top w:val="none" w:sz="0" w:space="0" w:color="auto"/>
                <w:left w:val="none" w:sz="0" w:space="0" w:color="auto"/>
                <w:bottom w:val="none" w:sz="0" w:space="0" w:color="auto"/>
                <w:right w:val="none" w:sz="0" w:space="0" w:color="auto"/>
              </w:divBdr>
            </w:div>
          </w:divsChild>
        </w:div>
        <w:div w:id="1233929391">
          <w:marLeft w:val="0"/>
          <w:marRight w:val="0"/>
          <w:marTop w:val="0"/>
          <w:marBottom w:val="0"/>
          <w:divBdr>
            <w:top w:val="none" w:sz="0" w:space="0" w:color="auto"/>
            <w:left w:val="none" w:sz="0" w:space="0" w:color="auto"/>
            <w:bottom w:val="none" w:sz="0" w:space="0" w:color="auto"/>
            <w:right w:val="none" w:sz="0" w:space="0" w:color="auto"/>
          </w:divBdr>
          <w:divsChild>
            <w:div w:id="680395294">
              <w:marLeft w:val="0"/>
              <w:marRight w:val="0"/>
              <w:marTop w:val="0"/>
              <w:marBottom w:val="0"/>
              <w:divBdr>
                <w:top w:val="none" w:sz="0" w:space="0" w:color="auto"/>
                <w:left w:val="none" w:sz="0" w:space="0" w:color="auto"/>
                <w:bottom w:val="none" w:sz="0" w:space="0" w:color="auto"/>
                <w:right w:val="none" w:sz="0" w:space="0" w:color="auto"/>
              </w:divBdr>
            </w:div>
          </w:divsChild>
        </w:div>
        <w:div w:id="1404793451">
          <w:marLeft w:val="0"/>
          <w:marRight w:val="0"/>
          <w:marTop w:val="0"/>
          <w:marBottom w:val="0"/>
          <w:divBdr>
            <w:top w:val="none" w:sz="0" w:space="0" w:color="auto"/>
            <w:left w:val="none" w:sz="0" w:space="0" w:color="auto"/>
            <w:bottom w:val="none" w:sz="0" w:space="0" w:color="auto"/>
            <w:right w:val="none" w:sz="0" w:space="0" w:color="auto"/>
          </w:divBdr>
          <w:divsChild>
            <w:div w:id="332999949">
              <w:marLeft w:val="0"/>
              <w:marRight w:val="0"/>
              <w:marTop w:val="0"/>
              <w:marBottom w:val="0"/>
              <w:divBdr>
                <w:top w:val="none" w:sz="0" w:space="0" w:color="auto"/>
                <w:left w:val="none" w:sz="0" w:space="0" w:color="auto"/>
                <w:bottom w:val="none" w:sz="0" w:space="0" w:color="auto"/>
                <w:right w:val="none" w:sz="0" w:space="0" w:color="auto"/>
              </w:divBdr>
            </w:div>
          </w:divsChild>
        </w:div>
        <w:div w:id="1595699876">
          <w:marLeft w:val="0"/>
          <w:marRight w:val="0"/>
          <w:marTop w:val="0"/>
          <w:marBottom w:val="0"/>
          <w:divBdr>
            <w:top w:val="none" w:sz="0" w:space="0" w:color="auto"/>
            <w:left w:val="none" w:sz="0" w:space="0" w:color="auto"/>
            <w:bottom w:val="none" w:sz="0" w:space="0" w:color="auto"/>
            <w:right w:val="none" w:sz="0" w:space="0" w:color="auto"/>
          </w:divBdr>
          <w:divsChild>
            <w:div w:id="725646250">
              <w:marLeft w:val="0"/>
              <w:marRight w:val="0"/>
              <w:marTop w:val="0"/>
              <w:marBottom w:val="0"/>
              <w:divBdr>
                <w:top w:val="none" w:sz="0" w:space="0" w:color="auto"/>
                <w:left w:val="none" w:sz="0" w:space="0" w:color="auto"/>
                <w:bottom w:val="none" w:sz="0" w:space="0" w:color="auto"/>
                <w:right w:val="none" w:sz="0" w:space="0" w:color="auto"/>
              </w:divBdr>
            </w:div>
          </w:divsChild>
        </w:div>
        <w:div w:id="1921866262">
          <w:marLeft w:val="0"/>
          <w:marRight w:val="0"/>
          <w:marTop w:val="0"/>
          <w:marBottom w:val="0"/>
          <w:divBdr>
            <w:top w:val="none" w:sz="0" w:space="0" w:color="auto"/>
            <w:left w:val="none" w:sz="0" w:space="0" w:color="auto"/>
            <w:bottom w:val="none" w:sz="0" w:space="0" w:color="auto"/>
            <w:right w:val="none" w:sz="0" w:space="0" w:color="auto"/>
          </w:divBdr>
          <w:divsChild>
            <w:div w:id="13087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58847">
      <w:bodyDiv w:val="1"/>
      <w:marLeft w:val="0"/>
      <w:marRight w:val="0"/>
      <w:marTop w:val="0"/>
      <w:marBottom w:val="0"/>
      <w:divBdr>
        <w:top w:val="none" w:sz="0" w:space="0" w:color="auto"/>
        <w:left w:val="none" w:sz="0" w:space="0" w:color="auto"/>
        <w:bottom w:val="none" w:sz="0" w:space="0" w:color="auto"/>
        <w:right w:val="none" w:sz="0" w:space="0" w:color="auto"/>
      </w:divBdr>
      <w:divsChild>
        <w:div w:id="126944973">
          <w:marLeft w:val="0"/>
          <w:marRight w:val="0"/>
          <w:marTop w:val="0"/>
          <w:marBottom w:val="0"/>
          <w:divBdr>
            <w:top w:val="none" w:sz="0" w:space="0" w:color="auto"/>
            <w:left w:val="none" w:sz="0" w:space="0" w:color="auto"/>
            <w:bottom w:val="none" w:sz="0" w:space="0" w:color="auto"/>
            <w:right w:val="none" w:sz="0" w:space="0" w:color="auto"/>
          </w:divBdr>
          <w:divsChild>
            <w:div w:id="1714694775">
              <w:marLeft w:val="0"/>
              <w:marRight w:val="0"/>
              <w:marTop w:val="0"/>
              <w:marBottom w:val="0"/>
              <w:divBdr>
                <w:top w:val="none" w:sz="0" w:space="0" w:color="auto"/>
                <w:left w:val="none" w:sz="0" w:space="0" w:color="auto"/>
                <w:bottom w:val="none" w:sz="0" w:space="0" w:color="auto"/>
                <w:right w:val="none" w:sz="0" w:space="0" w:color="auto"/>
              </w:divBdr>
            </w:div>
          </w:divsChild>
        </w:div>
        <w:div w:id="226771518">
          <w:marLeft w:val="0"/>
          <w:marRight w:val="0"/>
          <w:marTop w:val="0"/>
          <w:marBottom w:val="0"/>
          <w:divBdr>
            <w:top w:val="none" w:sz="0" w:space="0" w:color="auto"/>
            <w:left w:val="none" w:sz="0" w:space="0" w:color="auto"/>
            <w:bottom w:val="none" w:sz="0" w:space="0" w:color="auto"/>
            <w:right w:val="none" w:sz="0" w:space="0" w:color="auto"/>
          </w:divBdr>
          <w:divsChild>
            <w:div w:id="1787696668">
              <w:marLeft w:val="0"/>
              <w:marRight w:val="0"/>
              <w:marTop w:val="0"/>
              <w:marBottom w:val="0"/>
              <w:divBdr>
                <w:top w:val="none" w:sz="0" w:space="0" w:color="auto"/>
                <w:left w:val="none" w:sz="0" w:space="0" w:color="auto"/>
                <w:bottom w:val="none" w:sz="0" w:space="0" w:color="auto"/>
                <w:right w:val="none" w:sz="0" w:space="0" w:color="auto"/>
              </w:divBdr>
            </w:div>
          </w:divsChild>
        </w:div>
        <w:div w:id="245723017">
          <w:marLeft w:val="0"/>
          <w:marRight w:val="0"/>
          <w:marTop w:val="0"/>
          <w:marBottom w:val="0"/>
          <w:divBdr>
            <w:top w:val="none" w:sz="0" w:space="0" w:color="auto"/>
            <w:left w:val="none" w:sz="0" w:space="0" w:color="auto"/>
            <w:bottom w:val="none" w:sz="0" w:space="0" w:color="auto"/>
            <w:right w:val="none" w:sz="0" w:space="0" w:color="auto"/>
          </w:divBdr>
          <w:divsChild>
            <w:div w:id="910237832">
              <w:marLeft w:val="0"/>
              <w:marRight w:val="0"/>
              <w:marTop w:val="0"/>
              <w:marBottom w:val="0"/>
              <w:divBdr>
                <w:top w:val="none" w:sz="0" w:space="0" w:color="auto"/>
                <w:left w:val="none" w:sz="0" w:space="0" w:color="auto"/>
                <w:bottom w:val="none" w:sz="0" w:space="0" w:color="auto"/>
                <w:right w:val="none" w:sz="0" w:space="0" w:color="auto"/>
              </w:divBdr>
            </w:div>
          </w:divsChild>
        </w:div>
        <w:div w:id="1202278191">
          <w:marLeft w:val="0"/>
          <w:marRight w:val="0"/>
          <w:marTop w:val="0"/>
          <w:marBottom w:val="0"/>
          <w:divBdr>
            <w:top w:val="none" w:sz="0" w:space="0" w:color="auto"/>
            <w:left w:val="none" w:sz="0" w:space="0" w:color="auto"/>
            <w:bottom w:val="none" w:sz="0" w:space="0" w:color="auto"/>
            <w:right w:val="none" w:sz="0" w:space="0" w:color="auto"/>
          </w:divBdr>
          <w:divsChild>
            <w:div w:id="2083521384">
              <w:marLeft w:val="0"/>
              <w:marRight w:val="0"/>
              <w:marTop w:val="0"/>
              <w:marBottom w:val="0"/>
              <w:divBdr>
                <w:top w:val="none" w:sz="0" w:space="0" w:color="auto"/>
                <w:left w:val="none" w:sz="0" w:space="0" w:color="auto"/>
                <w:bottom w:val="none" w:sz="0" w:space="0" w:color="auto"/>
                <w:right w:val="none" w:sz="0" w:space="0" w:color="auto"/>
              </w:divBdr>
            </w:div>
          </w:divsChild>
        </w:div>
        <w:div w:id="2088645770">
          <w:marLeft w:val="0"/>
          <w:marRight w:val="0"/>
          <w:marTop w:val="0"/>
          <w:marBottom w:val="0"/>
          <w:divBdr>
            <w:top w:val="none" w:sz="0" w:space="0" w:color="auto"/>
            <w:left w:val="none" w:sz="0" w:space="0" w:color="auto"/>
            <w:bottom w:val="none" w:sz="0" w:space="0" w:color="auto"/>
            <w:right w:val="none" w:sz="0" w:space="0" w:color="auto"/>
          </w:divBdr>
          <w:divsChild>
            <w:div w:id="1429039262">
              <w:marLeft w:val="0"/>
              <w:marRight w:val="0"/>
              <w:marTop w:val="0"/>
              <w:marBottom w:val="0"/>
              <w:divBdr>
                <w:top w:val="none" w:sz="0" w:space="0" w:color="auto"/>
                <w:left w:val="none" w:sz="0" w:space="0" w:color="auto"/>
                <w:bottom w:val="none" w:sz="0" w:space="0" w:color="auto"/>
                <w:right w:val="none" w:sz="0" w:space="0" w:color="auto"/>
              </w:divBdr>
            </w:div>
            <w:div w:id="17647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71315">
      <w:bodyDiv w:val="1"/>
      <w:marLeft w:val="0"/>
      <w:marRight w:val="0"/>
      <w:marTop w:val="0"/>
      <w:marBottom w:val="0"/>
      <w:divBdr>
        <w:top w:val="none" w:sz="0" w:space="0" w:color="auto"/>
        <w:left w:val="none" w:sz="0" w:space="0" w:color="auto"/>
        <w:bottom w:val="none" w:sz="0" w:space="0" w:color="auto"/>
        <w:right w:val="none" w:sz="0" w:space="0" w:color="auto"/>
      </w:divBdr>
    </w:div>
    <w:div w:id="1525049342">
      <w:bodyDiv w:val="1"/>
      <w:marLeft w:val="0"/>
      <w:marRight w:val="0"/>
      <w:marTop w:val="0"/>
      <w:marBottom w:val="0"/>
      <w:divBdr>
        <w:top w:val="none" w:sz="0" w:space="0" w:color="auto"/>
        <w:left w:val="none" w:sz="0" w:space="0" w:color="auto"/>
        <w:bottom w:val="none" w:sz="0" w:space="0" w:color="auto"/>
        <w:right w:val="none" w:sz="0" w:space="0" w:color="auto"/>
      </w:divBdr>
    </w:div>
    <w:div w:id="1557938169">
      <w:bodyDiv w:val="1"/>
      <w:marLeft w:val="0"/>
      <w:marRight w:val="0"/>
      <w:marTop w:val="0"/>
      <w:marBottom w:val="0"/>
      <w:divBdr>
        <w:top w:val="none" w:sz="0" w:space="0" w:color="auto"/>
        <w:left w:val="none" w:sz="0" w:space="0" w:color="auto"/>
        <w:bottom w:val="none" w:sz="0" w:space="0" w:color="auto"/>
        <w:right w:val="none" w:sz="0" w:space="0" w:color="auto"/>
      </w:divBdr>
      <w:divsChild>
        <w:div w:id="363092275">
          <w:marLeft w:val="0"/>
          <w:marRight w:val="0"/>
          <w:marTop w:val="0"/>
          <w:marBottom w:val="0"/>
          <w:divBdr>
            <w:top w:val="none" w:sz="0" w:space="0" w:color="auto"/>
            <w:left w:val="none" w:sz="0" w:space="0" w:color="auto"/>
            <w:bottom w:val="none" w:sz="0" w:space="0" w:color="auto"/>
            <w:right w:val="none" w:sz="0" w:space="0" w:color="auto"/>
          </w:divBdr>
          <w:divsChild>
            <w:div w:id="696809088">
              <w:marLeft w:val="0"/>
              <w:marRight w:val="0"/>
              <w:marTop w:val="0"/>
              <w:marBottom w:val="0"/>
              <w:divBdr>
                <w:top w:val="none" w:sz="0" w:space="0" w:color="auto"/>
                <w:left w:val="none" w:sz="0" w:space="0" w:color="auto"/>
                <w:bottom w:val="none" w:sz="0" w:space="0" w:color="auto"/>
                <w:right w:val="none" w:sz="0" w:space="0" w:color="auto"/>
              </w:divBdr>
            </w:div>
          </w:divsChild>
        </w:div>
        <w:div w:id="688482155">
          <w:marLeft w:val="0"/>
          <w:marRight w:val="0"/>
          <w:marTop w:val="0"/>
          <w:marBottom w:val="0"/>
          <w:divBdr>
            <w:top w:val="none" w:sz="0" w:space="0" w:color="auto"/>
            <w:left w:val="none" w:sz="0" w:space="0" w:color="auto"/>
            <w:bottom w:val="none" w:sz="0" w:space="0" w:color="auto"/>
            <w:right w:val="none" w:sz="0" w:space="0" w:color="auto"/>
          </w:divBdr>
          <w:divsChild>
            <w:div w:id="1333096425">
              <w:marLeft w:val="0"/>
              <w:marRight w:val="0"/>
              <w:marTop w:val="0"/>
              <w:marBottom w:val="0"/>
              <w:divBdr>
                <w:top w:val="none" w:sz="0" w:space="0" w:color="auto"/>
                <w:left w:val="none" w:sz="0" w:space="0" w:color="auto"/>
                <w:bottom w:val="none" w:sz="0" w:space="0" w:color="auto"/>
                <w:right w:val="none" w:sz="0" w:space="0" w:color="auto"/>
              </w:divBdr>
            </w:div>
          </w:divsChild>
        </w:div>
        <w:div w:id="1100030039">
          <w:marLeft w:val="0"/>
          <w:marRight w:val="0"/>
          <w:marTop w:val="0"/>
          <w:marBottom w:val="0"/>
          <w:divBdr>
            <w:top w:val="none" w:sz="0" w:space="0" w:color="auto"/>
            <w:left w:val="none" w:sz="0" w:space="0" w:color="auto"/>
            <w:bottom w:val="none" w:sz="0" w:space="0" w:color="auto"/>
            <w:right w:val="none" w:sz="0" w:space="0" w:color="auto"/>
          </w:divBdr>
          <w:divsChild>
            <w:div w:id="1703363687">
              <w:marLeft w:val="0"/>
              <w:marRight w:val="0"/>
              <w:marTop w:val="0"/>
              <w:marBottom w:val="0"/>
              <w:divBdr>
                <w:top w:val="none" w:sz="0" w:space="0" w:color="auto"/>
                <w:left w:val="none" w:sz="0" w:space="0" w:color="auto"/>
                <w:bottom w:val="none" w:sz="0" w:space="0" w:color="auto"/>
                <w:right w:val="none" w:sz="0" w:space="0" w:color="auto"/>
              </w:divBdr>
            </w:div>
          </w:divsChild>
        </w:div>
        <w:div w:id="1537042541">
          <w:marLeft w:val="0"/>
          <w:marRight w:val="0"/>
          <w:marTop w:val="0"/>
          <w:marBottom w:val="0"/>
          <w:divBdr>
            <w:top w:val="none" w:sz="0" w:space="0" w:color="auto"/>
            <w:left w:val="none" w:sz="0" w:space="0" w:color="auto"/>
            <w:bottom w:val="none" w:sz="0" w:space="0" w:color="auto"/>
            <w:right w:val="none" w:sz="0" w:space="0" w:color="auto"/>
          </w:divBdr>
          <w:divsChild>
            <w:div w:id="637960164">
              <w:marLeft w:val="0"/>
              <w:marRight w:val="0"/>
              <w:marTop w:val="0"/>
              <w:marBottom w:val="0"/>
              <w:divBdr>
                <w:top w:val="none" w:sz="0" w:space="0" w:color="auto"/>
                <w:left w:val="none" w:sz="0" w:space="0" w:color="auto"/>
                <w:bottom w:val="none" w:sz="0" w:space="0" w:color="auto"/>
                <w:right w:val="none" w:sz="0" w:space="0" w:color="auto"/>
              </w:divBdr>
            </w:div>
          </w:divsChild>
        </w:div>
        <w:div w:id="1568607461">
          <w:marLeft w:val="0"/>
          <w:marRight w:val="0"/>
          <w:marTop w:val="0"/>
          <w:marBottom w:val="0"/>
          <w:divBdr>
            <w:top w:val="none" w:sz="0" w:space="0" w:color="auto"/>
            <w:left w:val="none" w:sz="0" w:space="0" w:color="auto"/>
            <w:bottom w:val="none" w:sz="0" w:space="0" w:color="auto"/>
            <w:right w:val="none" w:sz="0" w:space="0" w:color="auto"/>
          </w:divBdr>
          <w:divsChild>
            <w:div w:id="1872373196">
              <w:marLeft w:val="0"/>
              <w:marRight w:val="0"/>
              <w:marTop w:val="0"/>
              <w:marBottom w:val="0"/>
              <w:divBdr>
                <w:top w:val="none" w:sz="0" w:space="0" w:color="auto"/>
                <w:left w:val="none" w:sz="0" w:space="0" w:color="auto"/>
                <w:bottom w:val="none" w:sz="0" w:space="0" w:color="auto"/>
                <w:right w:val="none" w:sz="0" w:space="0" w:color="auto"/>
              </w:divBdr>
            </w:div>
          </w:divsChild>
        </w:div>
        <w:div w:id="1944535236">
          <w:marLeft w:val="0"/>
          <w:marRight w:val="0"/>
          <w:marTop w:val="0"/>
          <w:marBottom w:val="0"/>
          <w:divBdr>
            <w:top w:val="none" w:sz="0" w:space="0" w:color="auto"/>
            <w:left w:val="none" w:sz="0" w:space="0" w:color="auto"/>
            <w:bottom w:val="none" w:sz="0" w:space="0" w:color="auto"/>
            <w:right w:val="none" w:sz="0" w:space="0" w:color="auto"/>
          </w:divBdr>
          <w:divsChild>
            <w:div w:id="1021325056">
              <w:marLeft w:val="0"/>
              <w:marRight w:val="0"/>
              <w:marTop w:val="0"/>
              <w:marBottom w:val="0"/>
              <w:divBdr>
                <w:top w:val="none" w:sz="0" w:space="0" w:color="auto"/>
                <w:left w:val="none" w:sz="0" w:space="0" w:color="auto"/>
                <w:bottom w:val="none" w:sz="0" w:space="0" w:color="auto"/>
                <w:right w:val="none" w:sz="0" w:space="0" w:color="auto"/>
              </w:divBdr>
            </w:div>
          </w:divsChild>
        </w:div>
        <w:div w:id="2068332354">
          <w:marLeft w:val="0"/>
          <w:marRight w:val="0"/>
          <w:marTop w:val="0"/>
          <w:marBottom w:val="0"/>
          <w:divBdr>
            <w:top w:val="none" w:sz="0" w:space="0" w:color="auto"/>
            <w:left w:val="none" w:sz="0" w:space="0" w:color="auto"/>
            <w:bottom w:val="none" w:sz="0" w:space="0" w:color="auto"/>
            <w:right w:val="none" w:sz="0" w:space="0" w:color="auto"/>
          </w:divBdr>
          <w:divsChild>
            <w:div w:id="1225026045">
              <w:marLeft w:val="0"/>
              <w:marRight w:val="0"/>
              <w:marTop w:val="0"/>
              <w:marBottom w:val="0"/>
              <w:divBdr>
                <w:top w:val="none" w:sz="0" w:space="0" w:color="auto"/>
                <w:left w:val="none" w:sz="0" w:space="0" w:color="auto"/>
                <w:bottom w:val="none" w:sz="0" w:space="0" w:color="auto"/>
                <w:right w:val="none" w:sz="0" w:space="0" w:color="auto"/>
              </w:divBdr>
            </w:div>
          </w:divsChild>
        </w:div>
        <w:div w:id="2137992040">
          <w:marLeft w:val="0"/>
          <w:marRight w:val="0"/>
          <w:marTop w:val="0"/>
          <w:marBottom w:val="0"/>
          <w:divBdr>
            <w:top w:val="none" w:sz="0" w:space="0" w:color="auto"/>
            <w:left w:val="none" w:sz="0" w:space="0" w:color="auto"/>
            <w:bottom w:val="none" w:sz="0" w:space="0" w:color="auto"/>
            <w:right w:val="none" w:sz="0" w:space="0" w:color="auto"/>
          </w:divBdr>
          <w:divsChild>
            <w:div w:id="12176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249">
      <w:bodyDiv w:val="1"/>
      <w:marLeft w:val="0"/>
      <w:marRight w:val="0"/>
      <w:marTop w:val="0"/>
      <w:marBottom w:val="0"/>
      <w:divBdr>
        <w:top w:val="none" w:sz="0" w:space="0" w:color="auto"/>
        <w:left w:val="none" w:sz="0" w:space="0" w:color="auto"/>
        <w:bottom w:val="none" w:sz="0" w:space="0" w:color="auto"/>
        <w:right w:val="none" w:sz="0" w:space="0" w:color="auto"/>
      </w:divBdr>
    </w:div>
    <w:div w:id="1907764077">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147234506">
      <w:bodyDiv w:val="1"/>
      <w:marLeft w:val="0"/>
      <w:marRight w:val="0"/>
      <w:marTop w:val="0"/>
      <w:marBottom w:val="0"/>
      <w:divBdr>
        <w:top w:val="none" w:sz="0" w:space="0" w:color="auto"/>
        <w:left w:val="none" w:sz="0" w:space="0" w:color="auto"/>
        <w:bottom w:val="none" w:sz="0" w:space="0" w:color="auto"/>
        <w:right w:val="none" w:sz="0" w:space="0" w:color="auto"/>
      </w:divBdr>
      <w:divsChild>
        <w:div w:id="339280108">
          <w:marLeft w:val="0"/>
          <w:marRight w:val="0"/>
          <w:marTop w:val="0"/>
          <w:marBottom w:val="0"/>
          <w:divBdr>
            <w:top w:val="none" w:sz="0" w:space="0" w:color="auto"/>
            <w:left w:val="none" w:sz="0" w:space="0" w:color="auto"/>
            <w:bottom w:val="none" w:sz="0" w:space="0" w:color="auto"/>
            <w:right w:val="none" w:sz="0" w:space="0" w:color="auto"/>
          </w:divBdr>
          <w:divsChild>
            <w:div w:id="1420590849">
              <w:marLeft w:val="0"/>
              <w:marRight w:val="0"/>
              <w:marTop w:val="0"/>
              <w:marBottom w:val="0"/>
              <w:divBdr>
                <w:top w:val="none" w:sz="0" w:space="0" w:color="auto"/>
                <w:left w:val="none" w:sz="0" w:space="0" w:color="auto"/>
                <w:bottom w:val="none" w:sz="0" w:space="0" w:color="auto"/>
                <w:right w:val="none" w:sz="0" w:space="0" w:color="auto"/>
              </w:divBdr>
            </w:div>
          </w:divsChild>
        </w:div>
        <w:div w:id="447043149">
          <w:marLeft w:val="0"/>
          <w:marRight w:val="0"/>
          <w:marTop w:val="0"/>
          <w:marBottom w:val="0"/>
          <w:divBdr>
            <w:top w:val="none" w:sz="0" w:space="0" w:color="auto"/>
            <w:left w:val="none" w:sz="0" w:space="0" w:color="auto"/>
            <w:bottom w:val="none" w:sz="0" w:space="0" w:color="auto"/>
            <w:right w:val="none" w:sz="0" w:space="0" w:color="auto"/>
          </w:divBdr>
          <w:divsChild>
            <w:div w:id="2073314071">
              <w:marLeft w:val="0"/>
              <w:marRight w:val="0"/>
              <w:marTop w:val="0"/>
              <w:marBottom w:val="0"/>
              <w:divBdr>
                <w:top w:val="none" w:sz="0" w:space="0" w:color="auto"/>
                <w:left w:val="none" w:sz="0" w:space="0" w:color="auto"/>
                <w:bottom w:val="none" w:sz="0" w:space="0" w:color="auto"/>
                <w:right w:val="none" w:sz="0" w:space="0" w:color="auto"/>
              </w:divBdr>
            </w:div>
          </w:divsChild>
        </w:div>
        <w:div w:id="546449330">
          <w:marLeft w:val="0"/>
          <w:marRight w:val="0"/>
          <w:marTop w:val="0"/>
          <w:marBottom w:val="0"/>
          <w:divBdr>
            <w:top w:val="none" w:sz="0" w:space="0" w:color="auto"/>
            <w:left w:val="none" w:sz="0" w:space="0" w:color="auto"/>
            <w:bottom w:val="none" w:sz="0" w:space="0" w:color="auto"/>
            <w:right w:val="none" w:sz="0" w:space="0" w:color="auto"/>
          </w:divBdr>
          <w:divsChild>
            <w:div w:id="742213769">
              <w:marLeft w:val="0"/>
              <w:marRight w:val="0"/>
              <w:marTop w:val="0"/>
              <w:marBottom w:val="0"/>
              <w:divBdr>
                <w:top w:val="none" w:sz="0" w:space="0" w:color="auto"/>
                <w:left w:val="none" w:sz="0" w:space="0" w:color="auto"/>
                <w:bottom w:val="none" w:sz="0" w:space="0" w:color="auto"/>
                <w:right w:val="none" w:sz="0" w:space="0" w:color="auto"/>
              </w:divBdr>
            </w:div>
          </w:divsChild>
        </w:div>
        <w:div w:id="571308610">
          <w:marLeft w:val="0"/>
          <w:marRight w:val="0"/>
          <w:marTop w:val="0"/>
          <w:marBottom w:val="0"/>
          <w:divBdr>
            <w:top w:val="none" w:sz="0" w:space="0" w:color="auto"/>
            <w:left w:val="none" w:sz="0" w:space="0" w:color="auto"/>
            <w:bottom w:val="none" w:sz="0" w:space="0" w:color="auto"/>
            <w:right w:val="none" w:sz="0" w:space="0" w:color="auto"/>
          </w:divBdr>
          <w:divsChild>
            <w:div w:id="1667438205">
              <w:marLeft w:val="0"/>
              <w:marRight w:val="0"/>
              <w:marTop w:val="0"/>
              <w:marBottom w:val="0"/>
              <w:divBdr>
                <w:top w:val="none" w:sz="0" w:space="0" w:color="auto"/>
                <w:left w:val="none" w:sz="0" w:space="0" w:color="auto"/>
                <w:bottom w:val="none" w:sz="0" w:space="0" w:color="auto"/>
                <w:right w:val="none" w:sz="0" w:space="0" w:color="auto"/>
              </w:divBdr>
            </w:div>
          </w:divsChild>
        </w:div>
        <w:div w:id="960496855">
          <w:marLeft w:val="0"/>
          <w:marRight w:val="0"/>
          <w:marTop w:val="0"/>
          <w:marBottom w:val="0"/>
          <w:divBdr>
            <w:top w:val="none" w:sz="0" w:space="0" w:color="auto"/>
            <w:left w:val="none" w:sz="0" w:space="0" w:color="auto"/>
            <w:bottom w:val="none" w:sz="0" w:space="0" w:color="auto"/>
            <w:right w:val="none" w:sz="0" w:space="0" w:color="auto"/>
          </w:divBdr>
          <w:divsChild>
            <w:div w:id="659388610">
              <w:marLeft w:val="0"/>
              <w:marRight w:val="0"/>
              <w:marTop w:val="0"/>
              <w:marBottom w:val="0"/>
              <w:divBdr>
                <w:top w:val="none" w:sz="0" w:space="0" w:color="auto"/>
                <w:left w:val="none" w:sz="0" w:space="0" w:color="auto"/>
                <w:bottom w:val="none" w:sz="0" w:space="0" w:color="auto"/>
                <w:right w:val="none" w:sz="0" w:space="0" w:color="auto"/>
              </w:divBdr>
            </w:div>
          </w:divsChild>
        </w:div>
        <w:div w:id="1077627052">
          <w:marLeft w:val="0"/>
          <w:marRight w:val="0"/>
          <w:marTop w:val="0"/>
          <w:marBottom w:val="0"/>
          <w:divBdr>
            <w:top w:val="none" w:sz="0" w:space="0" w:color="auto"/>
            <w:left w:val="none" w:sz="0" w:space="0" w:color="auto"/>
            <w:bottom w:val="none" w:sz="0" w:space="0" w:color="auto"/>
            <w:right w:val="none" w:sz="0" w:space="0" w:color="auto"/>
          </w:divBdr>
          <w:divsChild>
            <w:div w:id="2023782048">
              <w:marLeft w:val="0"/>
              <w:marRight w:val="0"/>
              <w:marTop w:val="0"/>
              <w:marBottom w:val="0"/>
              <w:divBdr>
                <w:top w:val="none" w:sz="0" w:space="0" w:color="auto"/>
                <w:left w:val="none" w:sz="0" w:space="0" w:color="auto"/>
                <w:bottom w:val="none" w:sz="0" w:space="0" w:color="auto"/>
                <w:right w:val="none" w:sz="0" w:space="0" w:color="auto"/>
              </w:divBdr>
            </w:div>
          </w:divsChild>
        </w:div>
        <w:div w:id="1416436258">
          <w:marLeft w:val="0"/>
          <w:marRight w:val="0"/>
          <w:marTop w:val="0"/>
          <w:marBottom w:val="0"/>
          <w:divBdr>
            <w:top w:val="none" w:sz="0" w:space="0" w:color="auto"/>
            <w:left w:val="none" w:sz="0" w:space="0" w:color="auto"/>
            <w:bottom w:val="none" w:sz="0" w:space="0" w:color="auto"/>
            <w:right w:val="none" w:sz="0" w:space="0" w:color="auto"/>
          </w:divBdr>
          <w:divsChild>
            <w:div w:id="2095085486">
              <w:marLeft w:val="0"/>
              <w:marRight w:val="0"/>
              <w:marTop w:val="0"/>
              <w:marBottom w:val="0"/>
              <w:divBdr>
                <w:top w:val="none" w:sz="0" w:space="0" w:color="auto"/>
                <w:left w:val="none" w:sz="0" w:space="0" w:color="auto"/>
                <w:bottom w:val="none" w:sz="0" w:space="0" w:color="auto"/>
                <w:right w:val="none" w:sz="0" w:space="0" w:color="auto"/>
              </w:divBdr>
            </w:div>
          </w:divsChild>
        </w:div>
        <w:div w:id="2038776641">
          <w:marLeft w:val="0"/>
          <w:marRight w:val="0"/>
          <w:marTop w:val="0"/>
          <w:marBottom w:val="0"/>
          <w:divBdr>
            <w:top w:val="none" w:sz="0" w:space="0" w:color="auto"/>
            <w:left w:val="none" w:sz="0" w:space="0" w:color="auto"/>
            <w:bottom w:val="none" w:sz="0" w:space="0" w:color="auto"/>
            <w:right w:val="none" w:sz="0" w:space="0" w:color="auto"/>
          </w:divBdr>
          <w:divsChild>
            <w:div w:id="14651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footer" Target="footer3.xml"/><Relationship Id="rId42" Type="http://schemas.openxmlformats.org/officeDocument/2006/relationships/image" Target="media/image15.png"/><Relationship Id="rId63" Type="http://schemas.openxmlformats.org/officeDocument/2006/relationships/header" Target="header8.xml"/><Relationship Id="rId84" Type="http://schemas.openxmlformats.org/officeDocument/2006/relationships/header" Target="header16.xml"/><Relationship Id="rId138" Type="http://schemas.openxmlformats.org/officeDocument/2006/relationships/footer" Target="footer23.xml"/><Relationship Id="rId16" Type="http://schemas.openxmlformats.org/officeDocument/2006/relationships/footer" Target="footer2.xml"/><Relationship Id="rId107" Type="http://schemas.openxmlformats.org/officeDocument/2006/relationships/chart" Target="charts/chart20.xml"/><Relationship Id="rId11" Type="http://schemas.openxmlformats.org/officeDocument/2006/relationships/header" Target="header1.xml"/><Relationship Id="rId32" Type="http://schemas.openxmlformats.org/officeDocument/2006/relationships/image" Target="media/image7.jpeg"/><Relationship Id="rId37" Type="http://schemas.openxmlformats.org/officeDocument/2006/relationships/chart" Target="charts/chart1.xml"/><Relationship Id="rId53" Type="http://schemas.openxmlformats.org/officeDocument/2006/relationships/image" Target="media/image23.png"/><Relationship Id="rId58" Type="http://schemas.openxmlformats.org/officeDocument/2006/relationships/image" Target="media/image28.jpeg"/><Relationship Id="rId74" Type="http://schemas.openxmlformats.org/officeDocument/2006/relationships/footer" Target="footer10.xml"/><Relationship Id="rId79" Type="http://schemas.openxmlformats.org/officeDocument/2006/relationships/footer" Target="footer13.xml"/><Relationship Id="rId102" Type="http://schemas.openxmlformats.org/officeDocument/2006/relationships/chart" Target="charts/chart19.xml"/><Relationship Id="rId123" Type="http://schemas.openxmlformats.org/officeDocument/2006/relationships/footer" Target="footer15.xml"/><Relationship Id="rId128" Type="http://schemas.openxmlformats.org/officeDocument/2006/relationships/header" Target="header22.xml"/><Relationship Id="rId5" Type="http://schemas.openxmlformats.org/officeDocument/2006/relationships/styles" Target="styles.xml"/><Relationship Id="rId90" Type="http://schemas.openxmlformats.org/officeDocument/2006/relationships/chart" Target="charts/chart8.xml"/><Relationship Id="rId95" Type="http://schemas.openxmlformats.org/officeDocument/2006/relationships/chart" Target="charts/chart13.xml"/><Relationship Id="rId22" Type="http://schemas.openxmlformats.org/officeDocument/2006/relationships/footer" Target="footer4.xml"/><Relationship Id="rId27" Type="http://schemas.openxmlformats.org/officeDocument/2006/relationships/diagramLayout" Target="diagrams/layout1.xml"/><Relationship Id="rId43" Type="http://schemas.openxmlformats.org/officeDocument/2006/relationships/image" Target="media/image16.jpeg"/><Relationship Id="rId48" Type="http://schemas.openxmlformats.org/officeDocument/2006/relationships/image" Target="media/image20.png"/><Relationship Id="rId64" Type="http://schemas.openxmlformats.org/officeDocument/2006/relationships/footer" Target="footer7.xml"/><Relationship Id="rId69" Type="http://schemas.openxmlformats.org/officeDocument/2006/relationships/image" Target="media/image33.jpeg"/><Relationship Id="rId113" Type="http://schemas.openxmlformats.org/officeDocument/2006/relationships/image" Target="media/image42.png"/><Relationship Id="rId118" Type="http://schemas.openxmlformats.org/officeDocument/2006/relationships/image" Target="media/image47.jpeg"/><Relationship Id="rId134" Type="http://schemas.openxmlformats.org/officeDocument/2006/relationships/header" Target="header25.xml"/><Relationship Id="rId139" Type="http://schemas.openxmlformats.org/officeDocument/2006/relationships/fontTable" Target="fontTable.xml"/><Relationship Id="rId80" Type="http://schemas.openxmlformats.org/officeDocument/2006/relationships/image" Target="media/image36.jpeg"/><Relationship Id="rId85" Type="http://schemas.openxmlformats.org/officeDocument/2006/relationships/chart" Target="charts/chart3.xml"/><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image" Target="media/image8.jpeg"/><Relationship Id="rId38" Type="http://schemas.openxmlformats.org/officeDocument/2006/relationships/footer" Target="footer6.xml"/><Relationship Id="rId59" Type="http://schemas.openxmlformats.org/officeDocument/2006/relationships/image" Target="media/image29.jpeg"/><Relationship Id="rId103" Type="http://schemas.openxmlformats.org/officeDocument/2006/relationships/image" Target="media/image39.jpeg"/><Relationship Id="rId108" Type="http://schemas.openxmlformats.org/officeDocument/2006/relationships/image" Target="media/image41.jpeg"/><Relationship Id="rId124" Type="http://schemas.openxmlformats.org/officeDocument/2006/relationships/footer" Target="footer16.xml"/><Relationship Id="rId129" Type="http://schemas.openxmlformats.org/officeDocument/2006/relationships/footer" Target="footer18.xml"/><Relationship Id="rId54" Type="http://schemas.openxmlformats.org/officeDocument/2006/relationships/image" Target="media/image24.png"/><Relationship Id="rId70" Type="http://schemas.openxmlformats.org/officeDocument/2006/relationships/image" Target="media/image34.jpeg"/><Relationship Id="rId75" Type="http://schemas.openxmlformats.org/officeDocument/2006/relationships/footer" Target="footer11.xml"/><Relationship Id="rId91" Type="http://schemas.openxmlformats.org/officeDocument/2006/relationships/chart" Target="charts/chart9.xml"/><Relationship Id="rId96" Type="http://schemas.openxmlformats.org/officeDocument/2006/relationships/chart" Target="charts/chart14.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eader" Target="header6.xml"/><Relationship Id="rId28" Type="http://schemas.openxmlformats.org/officeDocument/2006/relationships/diagramQuickStyle" Target="diagrams/quickStyle1.xml"/><Relationship Id="rId49" Type="http://schemas.openxmlformats.org/officeDocument/2006/relationships/image" Target="media/image21.png"/><Relationship Id="rId114" Type="http://schemas.openxmlformats.org/officeDocument/2006/relationships/image" Target="media/image43.png"/><Relationship Id="rId119" Type="http://schemas.openxmlformats.org/officeDocument/2006/relationships/image" Target="media/image48.jpeg"/><Relationship Id="rId44" Type="http://schemas.openxmlformats.org/officeDocument/2006/relationships/hyperlink" Target="https://www.melbournewater.com.au/services/prices-and-charges/price-submission" TargetMode="External"/><Relationship Id="rId60" Type="http://schemas.openxmlformats.org/officeDocument/2006/relationships/image" Target="media/image30.jpeg"/><Relationship Id="rId65" Type="http://schemas.openxmlformats.org/officeDocument/2006/relationships/footer" Target="footer8.xml"/><Relationship Id="rId81" Type="http://schemas.openxmlformats.org/officeDocument/2006/relationships/image" Target="media/image37.jpeg"/><Relationship Id="rId86" Type="http://schemas.openxmlformats.org/officeDocument/2006/relationships/chart" Target="charts/chart4.xml"/><Relationship Id="rId130" Type="http://schemas.openxmlformats.org/officeDocument/2006/relationships/footer" Target="footer19.xml"/><Relationship Id="rId135" Type="http://schemas.openxmlformats.org/officeDocument/2006/relationships/footer" Target="footer21.xml"/><Relationship Id="rId13" Type="http://schemas.openxmlformats.org/officeDocument/2006/relationships/footer" Target="footer1.xml"/><Relationship Id="rId18" Type="http://schemas.openxmlformats.org/officeDocument/2006/relationships/image" Target="media/image4.svg"/><Relationship Id="rId39" Type="http://schemas.openxmlformats.org/officeDocument/2006/relationships/image" Target="media/image12.jpeg"/><Relationship Id="rId109" Type="http://schemas.openxmlformats.org/officeDocument/2006/relationships/chart" Target="charts/chart21.xml"/><Relationship Id="rId34" Type="http://schemas.openxmlformats.org/officeDocument/2006/relationships/image" Target="media/image9.jpeg"/><Relationship Id="rId50" Type="http://schemas.openxmlformats.org/officeDocument/2006/relationships/image" Target="media/image21.jpeg"/><Relationship Id="rId55" Type="http://schemas.openxmlformats.org/officeDocument/2006/relationships/image" Target="media/image25.png"/><Relationship Id="rId76" Type="http://schemas.openxmlformats.org/officeDocument/2006/relationships/header" Target="header12.xml"/><Relationship Id="rId97" Type="http://schemas.openxmlformats.org/officeDocument/2006/relationships/chart" Target="charts/chart15.xml"/><Relationship Id="rId104" Type="http://schemas.openxmlformats.org/officeDocument/2006/relationships/header" Target="header17.xml"/><Relationship Id="rId120" Type="http://schemas.openxmlformats.org/officeDocument/2006/relationships/image" Target="media/image49.jpeg"/><Relationship Id="rId125" Type="http://schemas.openxmlformats.org/officeDocument/2006/relationships/header" Target="header20.xml"/><Relationship Id="rId7" Type="http://schemas.openxmlformats.org/officeDocument/2006/relationships/webSettings" Target="webSettings.xml"/><Relationship Id="rId71" Type="http://schemas.openxmlformats.org/officeDocument/2006/relationships/image" Target="media/image35.png"/><Relationship Id="rId92" Type="http://schemas.openxmlformats.org/officeDocument/2006/relationships/chart" Target="charts/chart10.xml"/><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footer" Target="footer5.xml"/><Relationship Id="rId40" Type="http://schemas.openxmlformats.org/officeDocument/2006/relationships/image" Target="media/image13.jpeg"/><Relationship Id="rId45" Type="http://schemas.openxmlformats.org/officeDocument/2006/relationships/image" Target="media/image17.jpeg"/><Relationship Id="rId66" Type="http://schemas.openxmlformats.org/officeDocument/2006/relationships/header" Target="header9.xml"/><Relationship Id="rId87" Type="http://schemas.openxmlformats.org/officeDocument/2006/relationships/chart" Target="charts/chart5.xml"/><Relationship Id="rId110" Type="http://schemas.openxmlformats.org/officeDocument/2006/relationships/chart" Target="charts/chart22.xml"/><Relationship Id="rId115" Type="http://schemas.openxmlformats.org/officeDocument/2006/relationships/image" Target="media/image44.png"/><Relationship Id="rId131" Type="http://schemas.openxmlformats.org/officeDocument/2006/relationships/header" Target="header23.xml"/><Relationship Id="rId136" Type="http://schemas.openxmlformats.org/officeDocument/2006/relationships/footer" Target="footer22.xml"/><Relationship Id="rId61" Type="http://schemas.openxmlformats.org/officeDocument/2006/relationships/image" Target="media/image31.jpeg"/><Relationship Id="rId82" Type="http://schemas.openxmlformats.org/officeDocument/2006/relationships/header" Target="header14.xml"/><Relationship Id="rId19" Type="http://schemas.openxmlformats.org/officeDocument/2006/relationships/header" Target="header4.xml"/><Relationship Id="rId14" Type="http://schemas.openxmlformats.org/officeDocument/2006/relationships/header" Target="header3.xml"/><Relationship Id="rId30" Type="http://schemas.microsoft.com/office/2007/relationships/diagramDrawing" Target="diagrams/drawing1.xml"/><Relationship Id="rId35" Type="http://schemas.openxmlformats.org/officeDocument/2006/relationships/image" Target="media/image10.jpeg"/><Relationship Id="rId56" Type="http://schemas.openxmlformats.org/officeDocument/2006/relationships/image" Target="media/image26.png"/><Relationship Id="rId77" Type="http://schemas.openxmlformats.org/officeDocument/2006/relationships/footer" Target="footer12.xml"/><Relationship Id="rId100" Type="http://schemas.openxmlformats.org/officeDocument/2006/relationships/chart" Target="charts/chart17.xml"/><Relationship Id="rId105" Type="http://schemas.openxmlformats.org/officeDocument/2006/relationships/footer" Target="footer14.xml"/><Relationship Id="rId126" Type="http://schemas.openxmlformats.org/officeDocument/2006/relationships/footer" Target="footer17.xml"/><Relationship Id="rId8" Type="http://schemas.openxmlformats.org/officeDocument/2006/relationships/footnotes" Target="footnotes.xml"/><Relationship Id="rId51" Type="http://schemas.openxmlformats.org/officeDocument/2006/relationships/chart" Target="charts/chart2.xml"/><Relationship Id="rId72" Type="http://schemas.openxmlformats.org/officeDocument/2006/relationships/header" Target="header10.xml"/><Relationship Id="rId93" Type="http://schemas.openxmlformats.org/officeDocument/2006/relationships/chart" Target="charts/chart11.xml"/><Relationship Id="rId98" Type="http://schemas.openxmlformats.org/officeDocument/2006/relationships/image" Target="media/image38.jpeg"/><Relationship Id="rId121" Type="http://schemas.openxmlformats.org/officeDocument/2006/relationships/header" Target="header18.xm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image" Target="media/image18.png"/><Relationship Id="rId67" Type="http://schemas.openxmlformats.org/officeDocument/2006/relationships/footer" Target="footer9.xml"/><Relationship Id="rId116" Type="http://schemas.openxmlformats.org/officeDocument/2006/relationships/image" Target="media/image45.png"/><Relationship Id="rId137" Type="http://schemas.openxmlformats.org/officeDocument/2006/relationships/header" Target="header26.xml"/><Relationship Id="rId20" Type="http://schemas.openxmlformats.org/officeDocument/2006/relationships/header" Target="header5.xml"/><Relationship Id="rId41" Type="http://schemas.openxmlformats.org/officeDocument/2006/relationships/image" Target="media/image14.png"/><Relationship Id="rId62" Type="http://schemas.openxmlformats.org/officeDocument/2006/relationships/header" Target="header7.xml"/><Relationship Id="rId83" Type="http://schemas.openxmlformats.org/officeDocument/2006/relationships/header" Target="header15.xml"/><Relationship Id="rId88" Type="http://schemas.openxmlformats.org/officeDocument/2006/relationships/chart" Target="charts/chart6.xml"/><Relationship Id="rId111" Type="http://schemas.openxmlformats.org/officeDocument/2006/relationships/chart" Target="charts/chart23.xml"/><Relationship Id="rId132" Type="http://schemas.openxmlformats.org/officeDocument/2006/relationships/footer" Target="footer20.xml"/><Relationship Id="rId15" Type="http://schemas.openxmlformats.org/officeDocument/2006/relationships/image" Target="media/image2.jpeg"/><Relationship Id="rId36" Type="http://schemas.openxmlformats.org/officeDocument/2006/relationships/image" Target="media/image11.jpeg"/><Relationship Id="rId57" Type="http://schemas.openxmlformats.org/officeDocument/2006/relationships/image" Target="media/image27.jpeg"/><Relationship Id="rId106" Type="http://schemas.openxmlformats.org/officeDocument/2006/relationships/image" Target="media/image40.jpeg"/><Relationship Id="rId127" Type="http://schemas.openxmlformats.org/officeDocument/2006/relationships/header" Target="header21.xml"/><Relationship Id="rId10" Type="http://schemas.openxmlformats.org/officeDocument/2006/relationships/image" Target="media/image1.jpeg"/><Relationship Id="rId31" Type="http://schemas.openxmlformats.org/officeDocument/2006/relationships/image" Target="media/image6.jpeg"/><Relationship Id="rId52" Type="http://schemas.openxmlformats.org/officeDocument/2006/relationships/image" Target="media/image22.png"/><Relationship Id="rId73" Type="http://schemas.openxmlformats.org/officeDocument/2006/relationships/header" Target="header11.xml"/><Relationship Id="rId78" Type="http://schemas.openxmlformats.org/officeDocument/2006/relationships/header" Target="header13.xml"/><Relationship Id="rId94" Type="http://schemas.openxmlformats.org/officeDocument/2006/relationships/chart" Target="charts/chart12.xml"/><Relationship Id="rId99" Type="http://schemas.openxmlformats.org/officeDocument/2006/relationships/chart" Target="charts/chart16.xml"/><Relationship Id="rId101" Type="http://schemas.openxmlformats.org/officeDocument/2006/relationships/chart" Target="charts/chart18.xml"/><Relationship Id="rId122" Type="http://schemas.openxmlformats.org/officeDocument/2006/relationships/header" Target="header19.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diagramData" Target="diagrams/data1.xml"/><Relationship Id="rId47" Type="http://schemas.openxmlformats.org/officeDocument/2006/relationships/image" Target="media/image19.png"/><Relationship Id="rId68" Type="http://schemas.openxmlformats.org/officeDocument/2006/relationships/image" Target="media/image32.png"/><Relationship Id="rId89" Type="http://schemas.openxmlformats.org/officeDocument/2006/relationships/chart" Target="charts/chart7.xml"/><Relationship Id="rId112" Type="http://schemas.openxmlformats.org/officeDocument/2006/relationships/chart" Target="charts/chart24.xml"/><Relationship Id="rId133" Type="http://schemas.openxmlformats.org/officeDocument/2006/relationships/header" Target="header24.xml"/></Relationships>
</file>

<file path=word/_rels/footnotes.xml.rels><?xml version="1.0" encoding="UTF-8" standalone="yes"?>
<Relationships xmlns="http://schemas.openxmlformats.org/package/2006/relationships"><Relationship Id="rId2" Type="http://schemas.openxmlformats.org/officeDocument/2006/relationships/hyperlink" Target="http://www.bom.gov.au/climate/data/" TargetMode="External"/><Relationship Id="rId1" Type="http://schemas.openxmlformats.org/officeDocument/2006/relationships/hyperlink" Target="https://www.melbournewater.com.au/sites/default/files/Principles-for-provision-of-waterway-and-drainage-services-for-urban-growth.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42687507413314"/>
          <c:y val="3.8222153437623453E-2"/>
          <c:w val="0.8711848122619501"/>
          <c:h val="0.68654803507109852"/>
        </c:manualLayout>
      </c:layout>
      <c:barChart>
        <c:barDir val="col"/>
        <c:grouping val="stacked"/>
        <c:varyColors val="0"/>
        <c:ser>
          <c:idx val="0"/>
          <c:order val="0"/>
          <c:tx>
            <c:strRef>
              <c:f>'[Copy of Program Summaries Data V2 - 31 July 2025 UPDATED GROSS.xlsx]Mapping to Outcomes'!$T$90</c:f>
              <c:strCache>
                <c:ptCount val="1"/>
                <c:pt idx="0">
                  <c:v>Renewals</c:v>
                </c:pt>
              </c:strCache>
            </c:strRef>
          </c:tx>
          <c:spPr>
            <a:solidFill>
              <a:schemeClr val="accent1"/>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Outcomes'!$U$90:$X$90</c:f>
              <c:numCache>
                <c:formatCode>General</c:formatCode>
                <c:ptCount val="4"/>
                <c:pt idx="0" formatCode="&quot;$&quot;#,##0,,&quot;m&quot;;\-&quot;$&quot;#,##0,,&quot;m&quot;;&quot;$&quot;0">
                  <c:v>825627695.39183986</c:v>
                </c:pt>
              </c:numCache>
            </c:numRef>
          </c:val>
          <c:extLst>
            <c:ext xmlns:c16="http://schemas.microsoft.com/office/drawing/2014/chart" uri="{C3380CC4-5D6E-409C-BE32-E72D297353CC}">
              <c16:uniqueId val="{00000000-E559-45F2-A3A4-CE483EFA3307}"/>
            </c:ext>
          </c:extLst>
        </c:ser>
        <c:ser>
          <c:idx val="1"/>
          <c:order val="1"/>
          <c:tx>
            <c:strRef>
              <c:f>'[Copy of Program Summaries Data V2 - 31 July 2025 UPDATED GROSS.xlsx]Mapping to Outcomes'!$T$91</c:f>
              <c:strCache>
                <c:ptCount val="1"/>
                <c:pt idx="0">
                  <c:v>Growth</c:v>
                </c:pt>
              </c:strCache>
            </c:strRef>
          </c:tx>
          <c:spPr>
            <a:solidFill>
              <a:schemeClr val="accent2"/>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Outcomes'!$U$91:$X$91</c:f>
              <c:numCache>
                <c:formatCode>General</c:formatCode>
                <c:ptCount val="4"/>
                <c:pt idx="0" formatCode="&quot;$&quot;#,##0,,&quot;m&quot;;\-&quot;$&quot;#,##0,,&quot;m&quot;;&quot;$&quot;0">
                  <c:v>827532275.23658276</c:v>
                </c:pt>
              </c:numCache>
            </c:numRef>
          </c:val>
          <c:extLst>
            <c:ext xmlns:c16="http://schemas.microsoft.com/office/drawing/2014/chart" uri="{C3380CC4-5D6E-409C-BE32-E72D297353CC}">
              <c16:uniqueId val="{00000001-E559-45F2-A3A4-CE483EFA3307}"/>
            </c:ext>
          </c:extLst>
        </c:ser>
        <c:ser>
          <c:idx val="2"/>
          <c:order val="2"/>
          <c:tx>
            <c:strRef>
              <c:f>'[Copy of Program Summaries Data V2 - 31 July 2025 UPDATED GROSS.xlsx]Mapping to Outcomes'!$T$92</c:f>
              <c:strCache>
                <c:ptCount val="1"/>
                <c:pt idx="0">
                  <c:v>Improvements/Compliance</c:v>
                </c:pt>
              </c:strCache>
            </c:strRef>
          </c:tx>
          <c:spPr>
            <a:solidFill>
              <a:schemeClr val="accent3"/>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Outcomes'!$U$92:$X$92</c:f>
              <c:numCache>
                <c:formatCode>General</c:formatCode>
                <c:ptCount val="4"/>
                <c:pt idx="0" formatCode="&quot;$&quot;#,##0,,&quot;m&quot;;\-&quot;$&quot;#,##0,,&quot;m&quot;;&quot;$&quot;0">
                  <c:v>637855468.1848346</c:v>
                </c:pt>
              </c:numCache>
            </c:numRef>
          </c:val>
          <c:extLst>
            <c:ext xmlns:c16="http://schemas.microsoft.com/office/drawing/2014/chart" uri="{C3380CC4-5D6E-409C-BE32-E72D297353CC}">
              <c16:uniqueId val="{00000002-E559-45F2-A3A4-CE483EFA3307}"/>
            </c:ext>
          </c:extLst>
        </c:ser>
        <c:ser>
          <c:idx val="16"/>
          <c:order val="3"/>
          <c:tx>
            <c:strRef>
              <c:f>'[Copy of Program Summaries Data V2 - 31 July 2025 UPDATED GROSS.xlsx]Mapping to Outcomes'!$T$93</c:f>
              <c:strCache>
                <c:ptCount val="1"/>
                <c:pt idx="0">
                  <c:v>Capitalised Desalination Costs</c:v>
                </c:pt>
              </c:strCache>
            </c:strRef>
          </c:tx>
          <c:spPr>
            <a:solidFill>
              <a:schemeClr val="tx1">
                <a:lumMod val="50000"/>
                <a:lumOff val="50000"/>
              </a:schemeClr>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Outcomes'!$U$93:$X$93</c:f>
              <c:numCache>
                <c:formatCode>General</c:formatCode>
                <c:ptCount val="4"/>
                <c:pt idx="0" formatCode="&quot;$&quot;#,##0,,&quot;m&quot;;\-&quot;$&quot;#,##0,,&quot;m&quot;;&quot;$&quot;0">
                  <c:v>621139953.87618744</c:v>
                </c:pt>
              </c:numCache>
            </c:numRef>
          </c:val>
          <c:extLst>
            <c:ext xmlns:c16="http://schemas.microsoft.com/office/drawing/2014/chart" uri="{C3380CC4-5D6E-409C-BE32-E72D297353CC}">
              <c16:uniqueId val="{00000003-E559-45F2-A3A4-CE483EFA3307}"/>
            </c:ext>
          </c:extLst>
        </c:ser>
        <c:ser>
          <c:idx val="3"/>
          <c:order val="4"/>
          <c:tx>
            <c:strRef>
              <c:f>'[Copy of Program Summaries Data V2 - 31 July 2025 UPDATED GROSS.xlsx]Mapping to Outcomes'!$T$94</c:f>
              <c:strCache>
                <c:ptCount val="1"/>
                <c:pt idx="0">
                  <c:v>Total</c:v>
                </c:pt>
              </c:strCache>
            </c:strRef>
          </c:tx>
          <c:spPr>
            <a:no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Outcomes'!$U$94:$X$94</c:f>
              <c:numCache>
                <c:formatCode>General</c:formatCode>
                <c:ptCount val="4"/>
                <c:pt idx="0" formatCode="&quot;$&quot;#,##0,,&quot;m&quot;;\-&quot;$&quot;#,##0,,&quot;m&quot;;&quot;$&quot;0">
                  <c:v>2912155392.6894445</c:v>
                </c:pt>
              </c:numCache>
            </c:numRef>
          </c:val>
          <c:extLst>
            <c:ext xmlns:c16="http://schemas.microsoft.com/office/drawing/2014/chart" uri="{C3380CC4-5D6E-409C-BE32-E72D297353CC}">
              <c16:uniqueId val="{00000004-E559-45F2-A3A4-CE483EFA3307}"/>
            </c:ext>
          </c:extLst>
        </c:ser>
        <c:ser>
          <c:idx val="4"/>
          <c:order val="5"/>
          <c:tx>
            <c:strRef>
              <c:f>'[Copy of Program Summaries Data V2 - 31 July 2025 UPDATED GROSS.xlsx]Mapping to Outcomes'!$T$95</c:f>
              <c:strCache>
                <c:ptCount val="1"/>
                <c:pt idx="0">
                  <c:v>Renewals</c:v>
                </c:pt>
              </c:strCache>
            </c:strRef>
          </c:tx>
          <c:spPr>
            <a:solidFill>
              <a:schemeClr val="accent1"/>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Outcomes'!$U$95:$X$95</c:f>
              <c:numCache>
                <c:formatCode>"$"#,##0,,"m";\-"$"#,##0,,"m";"$"0</c:formatCode>
                <c:ptCount val="4"/>
                <c:pt idx="1">
                  <c:v>1142573505.1764169</c:v>
                </c:pt>
              </c:numCache>
            </c:numRef>
          </c:val>
          <c:extLst>
            <c:ext xmlns:c16="http://schemas.microsoft.com/office/drawing/2014/chart" uri="{C3380CC4-5D6E-409C-BE32-E72D297353CC}">
              <c16:uniqueId val="{00000005-E559-45F2-A3A4-CE483EFA3307}"/>
            </c:ext>
          </c:extLst>
        </c:ser>
        <c:ser>
          <c:idx val="5"/>
          <c:order val="6"/>
          <c:tx>
            <c:strRef>
              <c:f>'[Copy of Program Summaries Data V2 - 31 July 2025 UPDATED GROSS.xlsx]Mapping to Outcomes'!$T$96</c:f>
              <c:strCache>
                <c:ptCount val="1"/>
                <c:pt idx="0">
                  <c:v>Growth</c:v>
                </c:pt>
              </c:strCache>
            </c:strRef>
          </c:tx>
          <c:spPr>
            <a:solidFill>
              <a:schemeClr val="accent2"/>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Outcomes'!$U$96:$X$96</c:f>
              <c:numCache>
                <c:formatCode>"$"#,##0,,"m";\-"$"#,##0,,"m";"$"0</c:formatCode>
                <c:ptCount val="4"/>
                <c:pt idx="1">
                  <c:v>918526591.00822735</c:v>
                </c:pt>
              </c:numCache>
            </c:numRef>
          </c:val>
          <c:extLst>
            <c:ext xmlns:c16="http://schemas.microsoft.com/office/drawing/2014/chart" uri="{C3380CC4-5D6E-409C-BE32-E72D297353CC}">
              <c16:uniqueId val="{00000006-E559-45F2-A3A4-CE483EFA3307}"/>
            </c:ext>
          </c:extLst>
        </c:ser>
        <c:ser>
          <c:idx val="6"/>
          <c:order val="7"/>
          <c:tx>
            <c:strRef>
              <c:f>'[Copy of Program Summaries Data V2 - 31 July 2025 UPDATED GROSS.xlsx]Mapping to Outcomes'!$T$97</c:f>
              <c:strCache>
                <c:ptCount val="1"/>
                <c:pt idx="0">
                  <c:v>Improvements/Compliance</c:v>
                </c:pt>
              </c:strCache>
            </c:strRef>
          </c:tx>
          <c:spPr>
            <a:solidFill>
              <a:schemeClr val="accent3"/>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Outcomes'!$U$97:$X$97</c:f>
              <c:numCache>
                <c:formatCode>"$"#,##0,,"m";\-"$"#,##0,,"m";"$"0</c:formatCode>
                <c:ptCount val="4"/>
                <c:pt idx="1">
                  <c:v>676510025.99845397</c:v>
                </c:pt>
              </c:numCache>
            </c:numRef>
          </c:val>
          <c:extLst>
            <c:ext xmlns:c16="http://schemas.microsoft.com/office/drawing/2014/chart" uri="{C3380CC4-5D6E-409C-BE32-E72D297353CC}">
              <c16:uniqueId val="{00000007-E559-45F2-A3A4-CE483EFA3307}"/>
            </c:ext>
          </c:extLst>
        </c:ser>
        <c:ser>
          <c:idx val="7"/>
          <c:order val="8"/>
          <c:tx>
            <c:strRef>
              <c:f>'[Copy of Program Summaries Data V2 - 31 July 2025 UPDATED GROSS.xlsx]Mapping to Outcomes'!$T$98</c:f>
              <c:strCache>
                <c:ptCount val="1"/>
                <c:pt idx="0">
                  <c:v>Total</c:v>
                </c:pt>
              </c:strCache>
            </c:strRef>
          </c:tx>
          <c:spPr>
            <a:no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Outcomes'!$U$98:$X$98</c:f>
              <c:numCache>
                <c:formatCode>"$"#,##0,,"m";\-"$"#,##0,,"m";"$"0</c:formatCode>
                <c:ptCount val="4"/>
                <c:pt idx="1">
                  <c:v>2737610122.1830983</c:v>
                </c:pt>
              </c:numCache>
            </c:numRef>
          </c:val>
          <c:extLst>
            <c:ext xmlns:c16="http://schemas.microsoft.com/office/drawing/2014/chart" uri="{C3380CC4-5D6E-409C-BE32-E72D297353CC}">
              <c16:uniqueId val="{00000008-E559-45F2-A3A4-CE483EFA3307}"/>
            </c:ext>
          </c:extLst>
        </c:ser>
        <c:ser>
          <c:idx val="8"/>
          <c:order val="9"/>
          <c:tx>
            <c:strRef>
              <c:f>'[Copy of Program Summaries Data V2 - 31 July 2025 UPDATED GROSS.xlsx]Mapping to Outcomes'!$T$99</c:f>
              <c:strCache>
                <c:ptCount val="1"/>
                <c:pt idx="0">
                  <c:v>Renewals</c:v>
                </c:pt>
              </c:strCache>
            </c:strRef>
          </c:tx>
          <c:spPr>
            <a:solidFill>
              <a:schemeClr val="tx2"/>
            </a:solidFill>
            <a:ln>
              <a:noFill/>
            </a:ln>
            <a:effectLst/>
          </c:spPr>
          <c:invertIfNegative val="0"/>
          <c:dLbls>
            <c:dLbl>
              <c:idx val="2"/>
              <c:layout>
                <c:manualLayout>
                  <c:x val="8.507989209379524E-2"/>
                  <c:y val="-3.17820658342793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59-45F2-A3A4-CE483EFA3307}"/>
                </c:ext>
              </c:extLst>
            </c:dLbl>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Outcomes'!$U$99:$X$99</c:f>
              <c:numCache>
                <c:formatCode>General</c:formatCode>
                <c:ptCount val="4"/>
                <c:pt idx="2" formatCode="&quot;$&quot;#,##0,,&quot;m&quot;;\-&quot;$&quot;#,##0,,&quot;m&quot;;&quot;$&quot;0">
                  <c:v>94933041.763895601</c:v>
                </c:pt>
              </c:numCache>
            </c:numRef>
          </c:val>
          <c:extLst>
            <c:ext xmlns:c16="http://schemas.microsoft.com/office/drawing/2014/chart" uri="{C3380CC4-5D6E-409C-BE32-E72D297353CC}">
              <c16:uniqueId val="{0000000A-E559-45F2-A3A4-CE483EFA3307}"/>
            </c:ext>
          </c:extLst>
        </c:ser>
        <c:ser>
          <c:idx val="9"/>
          <c:order val="10"/>
          <c:tx>
            <c:strRef>
              <c:f>'[Copy of Program Summaries Data V2 - 31 July 2025 UPDATED GROSS.xlsx]Mapping to Outcomes'!$T$100</c:f>
              <c:strCache>
                <c:ptCount val="1"/>
                <c:pt idx="0">
                  <c:v>Growth</c:v>
                </c:pt>
              </c:strCache>
            </c:strRef>
          </c:tx>
          <c:spPr>
            <a:solidFill>
              <a:schemeClr val="accent2"/>
            </a:solidFill>
            <a:ln>
              <a:noFill/>
            </a:ln>
            <a:effectLst/>
          </c:spPr>
          <c:invertIfNegative val="0"/>
          <c:dLbls>
            <c:dLbl>
              <c:idx val="2"/>
              <c:layout>
                <c:manualLayout>
                  <c:x val="-0.10863344391441507"/>
                  <c:y val="-2.96803652968038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559-45F2-A3A4-CE483EFA3307}"/>
                </c:ext>
              </c:extLst>
            </c:dLbl>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Outcomes'!$U$100:$X$100</c:f>
              <c:numCache>
                <c:formatCode>General</c:formatCode>
                <c:ptCount val="4"/>
                <c:pt idx="2" formatCode="&quot;$&quot;#,##0,,&quot;m&quot;;\-&quot;$&quot;#,##0,,&quot;m&quot;;&quot;$&quot;0">
                  <c:v>3606567.4205906349</c:v>
                </c:pt>
              </c:numCache>
            </c:numRef>
          </c:val>
          <c:extLst>
            <c:ext xmlns:c16="http://schemas.microsoft.com/office/drawing/2014/chart" uri="{C3380CC4-5D6E-409C-BE32-E72D297353CC}">
              <c16:uniqueId val="{0000000C-E559-45F2-A3A4-CE483EFA3307}"/>
            </c:ext>
          </c:extLst>
        </c:ser>
        <c:ser>
          <c:idx val="10"/>
          <c:order val="11"/>
          <c:tx>
            <c:strRef>
              <c:f>'[Copy of Program Summaries Data V2 - 31 July 2025 UPDATED GROSS.xlsx]Mapping to Outcomes'!$T$101</c:f>
              <c:strCache>
                <c:ptCount val="1"/>
                <c:pt idx="0">
                  <c:v>Improvements/Compliance</c:v>
                </c:pt>
              </c:strCache>
            </c:strRef>
          </c:tx>
          <c:spPr>
            <a:solidFill>
              <a:schemeClr val="accent3"/>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Outcomes'!$U$101:$X$101</c:f>
              <c:numCache>
                <c:formatCode>General</c:formatCode>
                <c:ptCount val="4"/>
                <c:pt idx="2" formatCode="&quot;$&quot;#,##0,,&quot;m&quot;;\-&quot;$&quot;#,##0,,&quot;m&quot;;&quot;$&quot;0">
                  <c:v>279278587.06916326</c:v>
                </c:pt>
              </c:numCache>
            </c:numRef>
          </c:val>
          <c:extLst>
            <c:ext xmlns:c16="http://schemas.microsoft.com/office/drawing/2014/chart" uri="{C3380CC4-5D6E-409C-BE32-E72D297353CC}">
              <c16:uniqueId val="{0000000D-E559-45F2-A3A4-CE483EFA3307}"/>
            </c:ext>
          </c:extLst>
        </c:ser>
        <c:ser>
          <c:idx val="17"/>
          <c:order val="12"/>
          <c:tx>
            <c:strRef>
              <c:f>'[Copy of Program Summaries Data V2 - 31 July 2025 UPDATED GROSS.xlsx]Mapping to Outcomes'!$T$102</c:f>
              <c:strCache>
                <c:ptCount val="1"/>
              </c:strCache>
            </c:strRef>
          </c:tx>
          <c:spPr>
            <a:solidFill>
              <a:schemeClr val="accent6">
                <a:lumMod val="80000"/>
                <a:lumOff val="20000"/>
              </a:schemeClr>
            </a:solidFill>
            <a:ln>
              <a:noFill/>
            </a:ln>
            <a:effectLst/>
          </c:spPr>
          <c:invertIfNegative val="0"/>
          <c:dLbls>
            <c:dLbl>
              <c:idx val="2"/>
              <c:layout>
                <c:manualLayout>
                  <c:x val="0.10673999788568643"/>
                  <c:y val="3.2890034371380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559-45F2-A3A4-CE483EFA330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Outcomes'!$U$102:$X$102</c:f>
              <c:numCache>
                <c:formatCode>General</c:formatCode>
                <c:ptCount val="4"/>
              </c:numCache>
            </c:numRef>
          </c:val>
          <c:extLst>
            <c:ext xmlns:c16="http://schemas.microsoft.com/office/drawing/2014/chart" uri="{C3380CC4-5D6E-409C-BE32-E72D297353CC}">
              <c16:uniqueId val="{0000000F-E559-45F2-A3A4-CE483EFA3307}"/>
            </c:ext>
          </c:extLst>
        </c:ser>
        <c:ser>
          <c:idx val="11"/>
          <c:order val="13"/>
          <c:tx>
            <c:strRef>
              <c:f>'[Copy of Program Summaries Data V2 - 31 July 2025 UPDATED GROSS.xlsx]Mapping to Outcomes'!$T$103</c:f>
              <c:strCache>
                <c:ptCount val="1"/>
                <c:pt idx="0">
                  <c:v>Total</c:v>
                </c:pt>
              </c:strCache>
            </c:strRef>
          </c:tx>
          <c:spPr>
            <a:no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Outcomes'!$U$103:$X$103</c:f>
              <c:numCache>
                <c:formatCode>General</c:formatCode>
                <c:ptCount val="4"/>
                <c:pt idx="2" formatCode="&quot;$&quot;#,##0,,&quot;m&quot;;\-&quot;$&quot;#,##0,,&quot;m&quot;;&quot;$&quot;0">
                  <c:v>377818196.25364947</c:v>
                </c:pt>
              </c:numCache>
            </c:numRef>
          </c:val>
          <c:extLst>
            <c:ext xmlns:c16="http://schemas.microsoft.com/office/drawing/2014/chart" uri="{C3380CC4-5D6E-409C-BE32-E72D297353CC}">
              <c16:uniqueId val="{00000010-E559-45F2-A3A4-CE483EFA3307}"/>
            </c:ext>
          </c:extLst>
        </c:ser>
        <c:ser>
          <c:idx val="12"/>
          <c:order val="14"/>
          <c:tx>
            <c:strRef>
              <c:f>'[Copy of Program Summaries Data V2 - 31 July 2025 UPDATED GROSS.xlsx]Mapping to Outcomes'!$T$104</c:f>
              <c:strCache>
                <c:ptCount val="1"/>
                <c:pt idx="0">
                  <c:v>Renewals</c:v>
                </c:pt>
              </c:strCache>
            </c:strRef>
          </c:tx>
          <c:spPr>
            <a:solidFill>
              <a:schemeClr val="accent1"/>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Outcomes'!$U$104:$X$104</c:f>
              <c:numCache>
                <c:formatCode>General</c:formatCode>
                <c:ptCount val="4"/>
                <c:pt idx="3" formatCode="&quot;$&quot;#,##0,,&quot;m&quot;;\-&quot;$&quot;#,##0,,&quot;m&quot;;&quot;$&quot;0">
                  <c:v>152603176.05164954</c:v>
                </c:pt>
              </c:numCache>
            </c:numRef>
          </c:val>
          <c:extLst>
            <c:ext xmlns:c16="http://schemas.microsoft.com/office/drawing/2014/chart" uri="{C3380CC4-5D6E-409C-BE32-E72D297353CC}">
              <c16:uniqueId val="{00000011-E559-45F2-A3A4-CE483EFA3307}"/>
            </c:ext>
          </c:extLst>
        </c:ser>
        <c:ser>
          <c:idx val="13"/>
          <c:order val="15"/>
          <c:tx>
            <c:strRef>
              <c:f>'[Copy of Program Summaries Data V2 - 31 July 2025 UPDATED GROSS.xlsx]Mapping to Outcomes'!$T$105</c:f>
              <c:strCache>
                <c:ptCount val="1"/>
                <c:pt idx="0">
                  <c:v>Growth</c:v>
                </c:pt>
              </c:strCache>
            </c:strRef>
          </c:tx>
          <c:spPr>
            <a:solidFill>
              <a:schemeClr val="accent2"/>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Outcomes'!$U$105:$X$105</c:f>
              <c:numCache>
                <c:formatCode>General</c:formatCode>
                <c:ptCount val="4"/>
                <c:pt idx="3" formatCode="&quot;$&quot;#,##0,,&quot;m&quot;;\-&quot;$&quot;#,##0,,&quot;m&quot;;&quot;$&quot;0">
                  <c:v>1450306180.4868228</c:v>
                </c:pt>
              </c:numCache>
            </c:numRef>
          </c:val>
          <c:extLst>
            <c:ext xmlns:c16="http://schemas.microsoft.com/office/drawing/2014/chart" uri="{C3380CC4-5D6E-409C-BE32-E72D297353CC}">
              <c16:uniqueId val="{00000012-E559-45F2-A3A4-CE483EFA3307}"/>
            </c:ext>
          </c:extLst>
        </c:ser>
        <c:ser>
          <c:idx val="14"/>
          <c:order val="16"/>
          <c:tx>
            <c:strRef>
              <c:f>'[Copy of Program Summaries Data V2 - 31 July 2025 UPDATED GROSS.xlsx]Mapping to Outcomes'!$T$106</c:f>
              <c:strCache>
                <c:ptCount val="1"/>
                <c:pt idx="0">
                  <c:v>Improvements/Compliance</c:v>
                </c:pt>
              </c:strCache>
            </c:strRef>
          </c:tx>
          <c:spPr>
            <a:solidFill>
              <a:schemeClr val="accent3"/>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Outcomes'!$U$106:$X$106</c:f>
              <c:numCache>
                <c:formatCode>General</c:formatCode>
                <c:ptCount val="4"/>
                <c:pt idx="3" formatCode="&quot;$&quot;#,##0,,&quot;m&quot;;\-&quot;$&quot;#,##0,,&quot;m&quot;;&quot;$&quot;0">
                  <c:v>225589851.40229234</c:v>
                </c:pt>
              </c:numCache>
            </c:numRef>
          </c:val>
          <c:extLst>
            <c:ext xmlns:c16="http://schemas.microsoft.com/office/drawing/2014/chart" uri="{C3380CC4-5D6E-409C-BE32-E72D297353CC}">
              <c16:uniqueId val="{00000013-E559-45F2-A3A4-CE483EFA3307}"/>
            </c:ext>
          </c:extLst>
        </c:ser>
        <c:ser>
          <c:idx val="15"/>
          <c:order val="17"/>
          <c:tx>
            <c:strRef>
              <c:f>'[Copy of Program Summaries Data V2 - 31 July 2025 UPDATED GROSS.xlsx]Mapping to Outcomes'!$T$107</c:f>
              <c:strCache>
                <c:ptCount val="1"/>
                <c:pt idx="0">
                  <c:v>Total</c:v>
                </c:pt>
              </c:strCache>
            </c:strRef>
          </c:tx>
          <c:spPr>
            <a:no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Outcomes'!$U$107:$X$107</c:f>
              <c:numCache>
                <c:formatCode>General</c:formatCode>
                <c:ptCount val="4"/>
                <c:pt idx="3" formatCode="&quot;$&quot;#,##0,,&quot;m&quot;;\-&quot;$&quot;#,##0,,&quot;m&quot;;&quot;$&quot;0">
                  <c:v>1828499207.9407647</c:v>
                </c:pt>
              </c:numCache>
            </c:numRef>
          </c:val>
          <c:extLst>
            <c:ext xmlns:c16="http://schemas.microsoft.com/office/drawing/2014/chart" uri="{C3380CC4-5D6E-409C-BE32-E72D297353CC}">
              <c16:uniqueId val="{00000014-E559-45F2-A3A4-CE483EFA3307}"/>
            </c:ext>
          </c:extLst>
        </c:ser>
        <c:dLbls>
          <c:dLblPos val="ctr"/>
          <c:showLegendKey val="0"/>
          <c:showVal val="1"/>
          <c:showCatName val="0"/>
          <c:showSerName val="0"/>
          <c:showPercent val="0"/>
          <c:showBubbleSize val="0"/>
        </c:dLbls>
        <c:gapWidth val="150"/>
        <c:overlap val="100"/>
        <c:axId val="186077536"/>
        <c:axId val="186072256"/>
      </c:barChart>
      <c:catAx>
        <c:axId val="18607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72256"/>
        <c:crosses val="autoZero"/>
        <c:auto val="1"/>
        <c:lblAlgn val="ctr"/>
        <c:lblOffset val="100"/>
        <c:noMultiLvlLbl val="0"/>
      </c:catAx>
      <c:valAx>
        <c:axId val="186072256"/>
        <c:scaling>
          <c:orientation val="minMax"/>
          <c:max val="3000000000"/>
          <c:min val="0"/>
        </c:scaling>
        <c:delete val="0"/>
        <c:axPos val="l"/>
        <c:majorGridlines>
          <c:spPr>
            <a:ln w="9525" cap="flat" cmpd="sng" algn="ctr">
              <a:solidFill>
                <a:schemeClr val="tx1">
                  <a:lumMod val="15000"/>
                  <a:lumOff val="85000"/>
                </a:schemeClr>
              </a:solidFill>
              <a:round/>
            </a:ln>
            <a:effectLst/>
          </c:spPr>
        </c:majorGridlines>
        <c:numFmt formatCode="_(#,##0,,_);\(#,##0,,\);_(&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77536"/>
        <c:crosses val="autoZero"/>
        <c:crossBetween val="between"/>
      </c:valAx>
      <c:spPr>
        <a:noFill/>
        <a:ln>
          <a:noFill/>
        </a:ln>
        <a:effectLst/>
      </c:spPr>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ayout>
        <c:manualLayout>
          <c:xMode val="edge"/>
          <c:yMode val="edge"/>
          <c:x val="5.2075037621749865E-2"/>
          <c:y val="0.91904403550010294"/>
          <c:w val="0.9"/>
          <c:h val="8.09559644998972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'[Copy of Program Summaries Data V2 - 31 July 2025 UPDATED GROSS.xlsx]Mapping to Outcomes'!$AL$9</c:f>
              <c:strCache>
                <c:ptCount val="1"/>
                <c:pt idx="0">
                  <c:v>Eastern Treatment Plant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Outcomes'!$AM$8:$AQ$8</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Outcomes'!$AM$9:$AQ$9</c:f>
              <c:numCache>
                <c:formatCode>#,##0,,;\-#,##0,;</c:formatCode>
                <c:ptCount val="5"/>
                <c:pt idx="0">
                  <c:v>78542726.902634159</c:v>
                </c:pt>
                <c:pt idx="1">
                  <c:v>96141691.881308779</c:v>
                </c:pt>
                <c:pt idx="2">
                  <c:v>224495094.48742768</c:v>
                </c:pt>
                <c:pt idx="3">
                  <c:v>310159014.73713607</c:v>
                </c:pt>
                <c:pt idx="4">
                  <c:v>231135174.74075514</c:v>
                </c:pt>
              </c:numCache>
            </c:numRef>
          </c:val>
          <c:extLst>
            <c:ext xmlns:c16="http://schemas.microsoft.com/office/drawing/2014/chart" uri="{C3380CC4-5D6E-409C-BE32-E72D297353CC}">
              <c16:uniqueId val="{00000000-D096-42F1-9A7B-24E6572F4316}"/>
            </c:ext>
          </c:extLst>
        </c:ser>
        <c:ser>
          <c:idx val="1"/>
          <c:order val="1"/>
          <c:tx>
            <c:strRef>
              <c:f>'[Copy of Program Summaries Data V2 - 31 July 2025 UPDATED GROSS.xlsx]Mapping to Outcomes'!$AL$10</c:f>
              <c:strCache>
                <c:ptCount val="1"/>
                <c:pt idx="0">
                  <c:v>Western Treatment Plant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Outcomes'!$AM$8:$AQ$8</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Outcomes'!$AM$10:$AQ$10</c:f>
              <c:numCache>
                <c:formatCode>#,##0,,;\-#,##0,;</c:formatCode>
                <c:ptCount val="5"/>
                <c:pt idx="0">
                  <c:v>257858948.3180488</c:v>
                </c:pt>
                <c:pt idx="1">
                  <c:v>175164441.57220697</c:v>
                </c:pt>
                <c:pt idx="2">
                  <c:v>168686050.8211779</c:v>
                </c:pt>
                <c:pt idx="3">
                  <c:v>143431907.72084126</c:v>
                </c:pt>
                <c:pt idx="4">
                  <c:v>131651386.73498338</c:v>
                </c:pt>
              </c:numCache>
            </c:numRef>
          </c:val>
          <c:extLst>
            <c:ext xmlns:c16="http://schemas.microsoft.com/office/drawing/2014/chart" uri="{C3380CC4-5D6E-409C-BE32-E72D297353CC}">
              <c16:uniqueId val="{00000001-D096-42F1-9A7B-24E6572F4316}"/>
            </c:ext>
          </c:extLst>
        </c:ser>
        <c:ser>
          <c:idx val="2"/>
          <c:order val="2"/>
          <c:tx>
            <c:strRef>
              <c:f>'[Copy of Program Summaries Data V2 - 31 July 2025 UPDATED GROSS.xlsx]Mapping to Outcomes'!$AL$11</c:f>
              <c:strCache>
                <c:ptCount val="1"/>
                <c:pt idx="0">
                  <c:v>Sewerage Transfer</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Outcomes'!$AM$8:$AQ$8</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Outcomes'!$AM$11:$AQ$11</c:f>
              <c:numCache>
                <c:formatCode>#,##0,,;\-#,##0,;</c:formatCode>
                <c:ptCount val="5"/>
                <c:pt idx="0">
                  <c:v>184709536.47811711</c:v>
                </c:pt>
                <c:pt idx="1">
                  <c:v>189550534.20486662</c:v>
                </c:pt>
                <c:pt idx="2">
                  <c:v>109730071.42605595</c:v>
                </c:pt>
                <c:pt idx="3">
                  <c:v>116063105.6939012</c:v>
                </c:pt>
                <c:pt idx="4">
                  <c:v>141165141.72550032</c:v>
                </c:pt>
              </c:numCache>
            </c:numRef>
          </c:val>
          <c:extLst>
            <c:ext xmlns:c16="http://schemas.microsoft.com/office/drawing/2014/chart" uri="{C3380CC4-5D6E-409C-BE32-E72D297353CC}">
              <c16:uniqueId val="{00000002-D096-42F1-9A7B-24E6572F4316}"/>
            </c:ext>
          </c:extLst>
        </c:ser>
        <c:ser>
          <c:idx val="3"/>
          <c:order val="3"/>
          <c:tx>
            <c:strRef>
              <c:f>'[Copy of Program Summaries Data V2 - 31 July 2025 UPDATED GROSS.xlsx]Mapping to Outcomes'!$AL$12</c:f>
              <c:strCache>
                <c:ptCount val="1"/>
                <c:pt idx="0">
                  <c:v>Capitalised Sewerage Costs</c:v>
                </c:pt>
              </c:strCache>
            </c:strRef>
          </c:tx>
          <c:spPr>
            <a:solidFill>
              <a:schemeClr val="tx1">
                <a:lumMod val="50000"/>
                <a:lumOff val="50000"/>
              </a:schemeClr>
            </a:solidFill>
            <a:ln>
              <a:noFill/>
            </a:ln>
            <a:effectLst/>
          </c:spPr>
          <c:invertIfNegative val="0"/>
          <c:dLbls>
            <c:dLbl>
              <c:idx val="0"/>
              <c:layout>
                <c:manualLayout>
                  <c:x val="0"/>
                  <c:y val="2.79463605916706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96-42F1-9A7B-24E6572F4316}"/>
                </c:ext>
              </c:extLst>
            </c:dLbl>
            <c:dLbl>
              <c:idx val="1"/>
              <c:layout>
                <c:manualLayout>
                  <c:x val="0"/>
                  <c:y val="2.79463605916706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96-42F1-9A7B-24E6572F4316}"/>
                </c:ext>
              </c:extLst>
            </c:dLbl>
            <c:dLbl>
              <c:idx val="4"/>
              <c:layout>
                <c:manualLayout>
                  <c:x val="-1.8676073874247922E-2"/>
                  <c:y val="2.63346612590270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96-42F1-9A7B-24E6572F4316}"/>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'[Copy of Program Summaries Data V2 - 31 July 2025 UPDATED GROSS.xlsx]Mapping to Outcomes'!$AM$12:$AQ$12</c:f>
              <c:numCache>
                <c:formatCode>#,##0,,;\-#,##0,;</c:formatCode>
                <c:ptCount val="5"/>
                <c:pt idx="0">
                  <c:v>4620000</c:v>
                </c:pt>
                <c:pt idx="1">
                  <c:v>4630000</c:v>
                </c:pt>
                <c:pt idx="2">
                  <c:v>21230000</c:v>
                </c:pt>
                <c:pt idx="3">
                  <c:v>21230000</c:v>
                </c:pt>
                <c:pt idx="4">
                  <c:v>6590000</c:v>
                </c:pt>
              </c:numCache>
            </c:numRef>
          </c:val>
          <c:extLst>
            <c:ext xmlns:c16="http://schemas.microsoft.com/office/drawing/2014/chart" uri="{C3380CC4-5D6E-409C-BE32-E72D297353CC}">
              <c16:uniqueId val="{00000008-D096-42F1-9A7B-24E6572F4316}"/>
            </c:ext>
          </c:extLst>
        </c:ser>
        <c:ser>
          <c:idx val="4"/>
          <c:order val="4"/>
          <c:tx>
            <c:strRef>
              <c:f>'[Copy of Program Summaries Data V2 - 31 July 2025 UPDATED GROSS.xlsx]Mapping to Outcomes'!$AL$13</c:f>
              <c:strCache>
                <c:ptCount val="1"/>
                <c:pt idx="0">
                  <c:v>Total Outcome 2</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Outcomes'!$AM$8:$AQ$8</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Outcomes'!$AM$13:$AQ$13</c:f>
              <c:numCache>
                <c:formatCode>#,##0,,;\-#,##0,;</c:formatCode>
                <c:ptCount val="5"/>
                <c:pt idx="0">
                  <c:v>525731211.69880009</c:v>
                </c:pt>
                <c:pt idx="1">
                  <c:v>465486667.65838242</c:v>
                </c:pt>
                <c:pt idx="2">
                  <c:v>524141216.73466152</c:v>
                </c:pt>
                <c:pt idx="3">
                  <c:v>590884028.15187848</c:v>
                </c:pt>
                <c:pt idx="4">
                  <c:v>510541703.20123887</c:v>
                </c:pt>
              </c:numCache>
            </c:numRef>
          </c:val>
          <c:extLst>
            <c:ext xmlns:c16="http://schemas.microsoft.com/office/drawing/2014/chart" uri="{C3380CC4-5D6E-409C-BE32-E72D297353CC}">
              <c16:uniqueId val="{00000009-D096-42F1-9A7B-24E6572F4316}"/>
            </c:ext>
          </c:extLst>
        </c:ser>
        <c:dLbls>
          <c:dLblPos val="ctr"/>
          <c:showLegendKey val="0"/>
          <c:showVal val="1"/>
          <c:showCatName val="0"/>
          <c:showSerName val="0"/>
          <c:showPercent val="0"/>
          <c:showBubbleSize val="0"/>
        </c:dLbls>
        <c:gapWidth val="40"/>
        <c:overlap val="100"/>
        <c:axId val="1691723600"/>
        <c:axId val="1691721680"/>
      </c:barChart>
      <c:catAx>
        <c:axId val="169172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1691721680"/>
        <c:crosses val="autoZero"/>
        <c:auto val="1"/>
        <c:lblAlgn val="ctr"/>
        <c:lblOffset val="100"/>
        <c:noMultiLvlLbl val="0"/>
      </c:catAx>
      <c:valAx>
        <c:axId val="1691721680"/>
        <c:scaling>
          <c:orientation val="minMax"/>
          <c:max val="7500000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1691723600"/>
        <c:crosses val="autoZero"/>
        <c:crossBetween val="between"/>
      </c:valAx>
      <c:spPr>
        <a:noFill/>
        <a:ln>
          <a:noFill/>
        </a:ln>
        <a:effectLst/>
      </c:spPr>
    </c:plotArea>
    <c:legend>
      <c:legendPos val="b"/>
      <c:legendEntry>
        <c:idx val="4"/>
        <c:delete val="1"/>
      </c:legendEntry>
      <c:layout>
        <c:manualLayout>
          <c:xMode val="edge"/>
          <c:yMode val="edge"/>
          <c:x val="0.10658735380116958"/>
          <c:y val="0.91774529346622369"/>
          <c:w val="0.87351145224171545"/>
          <c:h val="7.54616094499815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lumMod val="75000"/>
              <a:lumOff val="25000"/>
            </a:schemeClr>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10814615758295E-2"/>
          <c:y val="5.4106534964407045E-2"/>
          <c:w val="0.89444392208959467"/>
          <c:h val="0.82275629095961333"/>
        </c:manualLayout>
      </c:layout>
      <c:barChart>
        <c:barDir val="col"/>
        <c:grouping val="stacked"/>
        <c:varyColors val="0"/>
        <c:ser>
          <c:idx val="1"/>
          <c:order val="0"/>
          <c:tx>
            <c:strRef>
              <c:f>'[Copy of Program Summaries Data V2 - 31 July 2025 UPDATED GROSS.xlsx]Mapping to Outcomes'!$AC$44</c:f>
              <c:strCache>
                <c:ptCount val="1"/>
                <c:pt idx="0">
                  <c:v>Renewals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Outcomes'!$AM$43:$AQ$43</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Outcomes'!$AM$44:$AQ$44</c:f>
              <c:numCache>
                <c:formatCode>#,##0,,;\-#,##0,;</c:formatCode>
                <c:ptCount val="5"/>
                <c:pt idx="0">
                  <c:v>246191405.87440977</c:v>
                </c:pt>
                <c:pt idx="1">
                  <c:v>276366807.67028016</c:v>
                </c:pt>
                <c:pt idx="2">
                  <c:v>191330852.96280673</c:v>
                </c:pt>
                <c:pt idx="3">
                  <c:v>201922078.51848766</c:v>
                </c:pt>
                <c:pt idx="4">
                  <c:v>179746906.75306237</c:v>
                </c:pt>
              </c:numCache>
            </c:numRef>
          </c:val>
          <c:extLst>
            <c:ext xmlns:c16="http://schemas.microsoft.com/office/drawing/2014/chart" uri="{C3380CC4-5D6E-409C-BE32-E72D297353CC}">
              <c16:uniqueId val="{00000000-CE77-4E4D-95F8-52EAC9087AE1}"/>
            </c:ext>
          </c:extLst>
        </c:ser>
        <c:ser>
          <c:idx val="0"/>
          <c:order val="1"/>
          <c:tx>
            <c:strRef>
              <c:f>'[Copy of Program Summaries Data V2 - 31 July 2025 UPDATED GROSS.xlsx]Mapping to Outcomes'!$AC$45</c:f>
              <c:strCache>
                <c:ptCount val="1"/>
                <c:pt idx="0">
                  <c:v>Growth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Outcomes'!$AM$43:$AQ$43</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Outcomes'!$AM$45:$AQ$45</c:f>
              <c:numCache>
                <c:formatCode>#,##0,,;\-#,##0,;</c:formatCode>
                <c:ptCount val="5"/>
                <c:pt idx="0">
                  <c:v>210486351.39512199</c:v>
                </c:pt>
                <c:pt idx="1">
                  <c:v>119589729.96073769</c:v>
                </c:pt>
                <c:pt idx="2">
                  <c:v>193841440.65698418</c:v>
                </c:pt>
                <c:pt idx="3">
                  <c:v>225797757.40694284</c:v>
                </c:pt>
                <c:pt idx="4">
                  <c:v>168811311.58844069</c:v>
                </c:pt>
              </c:numCache>
            </c:numRef>
          </c:val>
          <c:extLst>
            <c:ext xmlns:c16="http://schemas.microsoft.com/office/drawing/2014/chart" uri="{C3380CC4-5D6E-409C-BE32-E72D297353CC}">
              <c16:uniqueId val="{00000001-CE77-4E4D-95F8-52EAC9087AE1}"/>
            </c:ext>
          </c:extLst>
        </c:ser>
        <c:ser>
          <c:idx val="3"/>
          <c:order val="2"/>
          <c:tx>
            <c:strRef>
              <c:f>'[Copy of Program Summaries Data V2 - 31 July 2025 UPDATED GROSS.xlsx]Mapping to Outcomes'!$AC$46</c:f>
              <c:strCache>
                <c:ptCount val="1"/>
                <c:pt idx="0">
                  <c:v>Improvements/Compliance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Outcomes'!$AM$43:$AQ$43</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Outcomes'!$AM$46:$AQ$46</c:f>
              <c:numCache>
                <c:formatCode>#,##0,,;\-#,##0,;</c:formatCode>
                <c:ptCount val="5"/>
                <c:pt idx="0">
                  <c:v>69053454.429268301</c:v>
                </c:pt>
                <c:pt idx="1">
                  <c:v>69530130.027364686</c:v>
                </c:pt>
                <c:pt idx="2">
                  <c:v>138968923.1148707</c:v>
                </c:pt>
                <c:pt idx="3">
                  <c:v>163164192.22644806</c:v>
                </c:pt>
                <c:pt idx="4">
                  <c:v>161983484.85973585</c:v>
                </c:pt>
              </c:numCache>
            </c:numRef>
          </c:val>
          <c:extLst>
            <c:ext xmlns:c16="http://schemas.microsoft.com/office/drawing/2014/chart" uri="{C3380CC4-5D6E-409C-BE32-E72D297353CC}">
              <c16:uniqueId val="{00000002-CE77-4E4D-95F8-52EAC9087AE1}"/>
            </c:ext>
          </c:extLst>
        </c:ser>
        <c:ser>
          <c:idx val="6"/>
          <c:order val="3"/>
          <c:tx>
            <c:strRef>
              <c:f>'[Copy of Program Summaries Data V2 - 31 July 2025 UPDATED GROSS.xlsx]Mapping to Outcomes'!$AL$47</c:f>
              <c:strCache>
                <c:ptCount val="1"/>
                <c:pt idx="0">
                  <c:v>Total Outcome 2 excluding capitalised desalination and corporate/iT</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Outcomes'!$AM$43:$AQ$43</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Outcomes'!$AM$47:$AQ$47</c:f>
              <c:numCache>
                <c:formatCode>#,##0,,;\-#,##0,;</c:formatCode>
                <c:ptCount val="5"/>
                <c:pt idx="0">
                  <c:v>525731211.69880003</c:v>
                </c:pt>
                <c:pt idx="1">
                  <c:v>465486667.65838253</c:v>
                </c:pt>
                <c:pt idx="2">
                  <c:v>524141216.73466158</c:v>
                </c:pt>
                <c:pt idx="3">
                  <c:v>590884028.1518786</c:v>
                </c:pt>
                <c:pt idx="4">
                  <c:v>510541703.20123887</c:v>
                </c:pt>
              </c:numCache>
            </c:numRef>
          </c:val>
          <c:extLst>
            <c:ext xmlns:c16="http://schemas.microsoft.com/office/drawing/2014/chart" uri="{C3380CC4-5D6E-409C-BE32-E72D297353CC}">
              <c16:uniqueId val="{00000003-CE77-4E4D-95F8-52EAC9087AE1}"/>
            </c:ext>
          </c:extLst>
        </c:ser>
        <c:dLbls>
          <c:dLblPos val="ctr"/>
          <c:showLegendKey val="0"/>
          <c:showVal val="1"/>
          <c:showCatName val="0"/>
          <c:showSerName val="0"/>
          <c:showPercent val="0"/>
          <c:showBubbleSize val="0"/>
        </c:dLbls>
        <c:gapWidth val="40"/>
        <c:overlap val="100"/>
        <c:axId val="1284659872"/>
        <c:axId val="1284663712"/>
      </c:barChart>
      <c:catAx>
        <c:axId val="128465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1284663712"/>
        <c:crosses val="autoZero"/>
        <c:auto val="1"/>
        <c:lblAlgn val="ctr"/>
        <c:lblOffset val="100"/>
        <c:noMultiLvlLbl val="0"/>
      </c:catAx>
      <c:valAx>
        <c:axId val="1284663712"/>
        <c:scaling>
          <c:orientation val="minMax"/>
          <c:max val="7500000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1284659872"/>
        <c:crosses val="autoZero"/>
        <c:crossBetween val="between"/>
      </c:valAx>
      <c:spPr>
        <a:noFill/>
        <a:ln>
          <a:noFill/>
        </a:ln>
        <a:effectLst/>
      </c:spPr>
    </c:plotArea>
    <c:legend>
      <c:legendPos val="b"/>
      <c:legendEntry>
        <c:idx val="3"/>
        <c:delete val="1"/>
      </c:legendEntry>
      <c:layout>
        <c:manualLayout>
          <c:xMode val="edge"/>
          <c:yMode val="edge"/>
          <c:x val="4.6329081245006204E-2"/>
          <c:y val="0.93877983487314109"/>
          <c:w val="0.90756552556890135"/>
          <c:h val="4.30820425807276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lumMod val="75000"/>
              <a:lumOff val="25000"/>
            </a:schemeClr>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'[Jess Copy of Program Summaries Data V2 - 31 July 2025 UPDATED GROSS.xlsx]Mapping to Outcomes'!$AU$10</c:f>
              <c:strCache>
                <c:ptCount val="1"/>
                <c:pt idx="0">
                  <c:v>Waterways Management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Outcomes'!$AV$8:$AZ$8</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Outcomes'!$AV$10:$AZ$10</c:f>
              <c:numCache>
                <c:formatCode>#,##0,,;\-#,##0,;</c:formatCode>
                <c:ptCount val="5"/>
                <c:pt idx="0">
                  <c:v>43843959.839024402</c:v>
                </c:pt>
                <c:pt idx="1">
                  <c:v>38326615.776067801</c:v>
                </c:pt>
                <c:pt idx="2">
                  <c:v>22552111.060930207</c:v>
                </c:pt>
                <c:pt idx="3">
                  <c:v>21643235.83936806</c:v>
                </c:pt>
                <c:pt idx="4">
                  <c:v>17794653.492705397</c:v>
                </c:pt>
              </c:numCache>
            </c:numRef>
          </c:val>
          <c:extLst>
            <c:ext xmlns:c16="http://schemas.microsoft.com/office/drawing/2014/chart" uri="{C3380CC4-5D6E-409C-BE32-E72D297353CC}">
              <c16:uniqueId val="{00000000-FA86-4890-9FE7-8D0A48A33A10}"/>
            </c:ext>
          </c:extLst>
        </c:ser>
        <c:ser>
          <c:idx val="2"/>
          <c:order val="1"/>
          <c:tx>
            <c:strRef>
              <c:f>'[Jess Copy of Program Summaries Data V2 - 31 July 2025 UPDATED GROSS.xlsx]Mapping to Outcomes'!$AU$11</c:f>
              <c:strCache>
                <c:ptCount val="1"/>
                <c:pt idx="0">
                  <c:v>Land &amp; Biodiversity Management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Outcomes'!$AV$8:$AZ$8</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Outcomes'!$AV$11:$AZ$11</c:f>
              <c:numCache>
                <c:formatCode>#,##0,,;\-#,##0,;</c:formatCode>
                <c:ptCount val="5"/>
                <c:pt idx="0">
                  <c:v>3394817.8536585369</c:v>
                </c:pt>
                <c:pt idx="1">
                  <c:v>3391730.0654372396</c:v>
                </c:pt>
                <c:pt idx="2">
                  <c:v>2950021.4100201689</c:v>
                </c:pt>
                <c:pt idx="3">
                  <c:v>2791098.4064115831</c:v>
                </c:pt>
                <c:pt idx="4">
                  <c:v>2726558.2526739347</c:v>
                </c:pt>
              </c:numCache>
            </c:numRef>
          </c:val>
          <c:extLst>
            <c:ext xmlns:c16="http://schemas.microsoft.com/office/drawing/2014/chart" uri="{C3380CC4-5D6E-409C-BE32-E72D297353CC}">
              <c16:uniqueId val="{00000001-FA86-4890-9FE7-8D0A48A33A10}"/>
            </c:ext>
          </c:extLst>
        </c:ser>
        <c:ser>
          <c:idx val="0"/>
          <c:order val="2"/>
          <c:tx>
            <c:strRef>
              <c:f>'[Jess Copy of Program Summaries Data V2 - 31 July 2025 UPDATED GROSS.xlsx]Mapping to Outcomes'!$AU$9</c:f>
              <c:strCache>
                <c:ptCount val="1"/>
                <c:pt idx="0">
                  <c:v>Stormwater</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Outcomes'!$AV$8:$AZ$8</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Outcomes'!$AV$9:$AZ$9</c:f>
              <c:numCache>
                <c:formatCode>#,##0,,;\-#,##0,;</c:formatCode>
                <c:ptCount val="5"/>
                <c:pt idx="0">
                  <c:v>38166401.336585373</c:v>
                </c:pt>
                <c:pt idx="1">
                  <c:v>15566521.546698395</c:v>
                </c:pt>
                <c:pt idx="2">
                  <c:v>11254247.096821001</c:v>
                </c:pt>
                <c:pt idx="3">
                  <c:v>20686190.652358785</c:v>
                </c:pt>
                <c:pt idx="4">
                  <c:v>12285678.008723941</c:v>
                </c:pt>
              </c:numCache>
            </c:numRef>
          </c:val>
          <c:extLst>
            <c:ext xmlns:c16="http://schemas.microsoft.com/office/drawing/2014/chart" uri="{C3380CC4-5D6E-409C-BE32-E72D297353CC}">
              <c16:uniqueId val="{00000002-FA86-4890-9FE7-8D0A48A33A10}"/>
            </c:ext>
          </c:extLst>
        </c:ser>
        <c:ser>
          <c:idx val="3"/>
          <c:order val="3"/>
          <c:tx>
            <c:strRef>
              <c:f>'[Jess Copy of Program Summaries Data V2 - 31 July 2025 UPDATED GROSS.xlsx]Mapping to Outcomes'!$AU$12</c:f>
              <c:strCache>
                <c:ptCount val="1"/>
                <c:pt idx="0">
                  <c:v>Community Access &amp; Recreation</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D-FA86-4890-9FE7-8D0A48A33A10}"/>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C-FA86-4890-9FE7-8D0A48A33A10}"/>
                </c:ext>
              </c:extLst>
            </c:dLbl>
            <c:dLbl>
              <c:idx val="2"/>
              <c:layout>
                <c:manualLayout>
                  <c:x val="-8.8427665949375303E-2"/>
                  <c:y val="-4.07273808351546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86-4890-9FE7-8D0A48A33A10}"/>
                </c:ext>
              </c:extLst>
            </c:dLbl>
            <c:dLbl>
              <c:idx val="3"/>
              <c:layout>
                <c:manualLayout>
                  <c:x val="-9.3081753630921318E-2"/>
                  <c:y val="-3.59359242663129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86-4890-9FE7-8D0A48A33A10}"/>
                </c:ext>
              </c:extLst>
            </c:dLbl>
            <c:dLbl>
              <c:idx val="4"/>
              <c:layout>
                <c:manualLayout>
                  <c:x val="-8.9979028509890716E-2"/>
                  <c:y val="-3.83316525507337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86-4890-9FE7-8D0A48A33A1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Outcomes'!$AV$8:$AZ$8</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Outcomes'!$AV$12:$AZ$12</c:f>
              <c:numCache>
                <c:formatCode>#,##0,,;\-#,##0,;</c:formatCode>
                <c:ptCount val="5"/>
                <c:pt idx="0">
                  <c:v>39152165.058509506</c:v>
                </c:pt>
                <c:pt idx="1">
                  <c:v>45957090.016905636</c:v>
                </c:pt>
                <c:pt idx="2">
                  <c:v>4799118.8052266426</c:v>
                </c:pt>
                <c:pt idx="3">
                  <c:v>1449322.9604346154</c:v>
                </c:pt>
                <c:pt idx="4">
                  <c:v>492306.83819850115</c:v>
                </c:pt>
              </c:numCache>
            </c:numRef>
          </c:val>
          <c:extLst>
            <c:ext xmlns:c16="http://schemas.microsoft.com/office/drawing/2014/chart" uri="{C3380CC4-5D6E-409C-BE32-E72D297353CC}">
              <c16:uniqueId val="{00000006-FA86-4890-9FE7-8D0A48A33A10}"/>
            </c:ext>
          </c:extLst>
        </c:ser>
        <c:ser>
          <c:idx val="4"/>
          <c:order val="5"/>
          <c:tx>
            <c:strRef>
              <c:f>'[Jess Copy of Program Summaries Data V2 - 31 July 2025 UPDATED GROSS.xlsx]Mapping to Outcomes'!$AU$14</c:f>
              <c:strCache>
                <c:ptCount val="1"/>
                <c:pt idx="0">
                  <c:v>Total Outcome 3</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Outcomes'!$AV$8:$AZ$8</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Outcomes'!$AV$14:$AZ$14</c:f>
              <c:numCache>
                <c:formatCode>#,##0,,;\-#,##0,;</c:formatCode>
                <c:ptCount val="5"/>
                <c:pt idx="0">
                  <c:v>124557344.08777782</c:v>
                </c:pt>
                <c:pt idx="1">
                  <c:v>103241957.40510908</c:v>
                </c:pt>
                <c:pt idx="2">
                  <c:v>41555498.372998014</c:v>
                </c:pt>
                <c:pt idx="3">
                  <c:v>46569847.858573042</c:v>
                </c:pt>
                <c:pt idx="4">
                  <c:v>33299196.592301775</c:v>
                </c:pt>
              </c:numCache>
            </c:numRef>
          </c:val>
          <c:extLst>
            <c:ext xmlns:c16="http://schemas.microsoft.com/office/drawing/2014/chart" uri="{C3380CC4-5D6E-409C-BE32-E72D297353CC}">
              <c16:uniqueId val="{00000007-FA86-4890-9FE7-8D0A48A33A10}"/>
            </c:ext>
          </c:extLst>
        </c:ser>
        <c:dLbls>
          <c:dLblPos val="ctr"/>
          <c:showLegendKey val="0"/>
          <c:showVal val="1"/>
          <c:showCatName val="0"/>
          <c:showSerName val="0"/>
          <c:showPercent val="0"/>
          <c:showBubbleSize val="0"/>
        </c:dLbls>
        <c:gapWidth val="40"/>
        <c:overlap val="100"/>
        <c:axId val="1691723600"/>
        <c:axId val="1691721680"/>
        <c:extLst>
          <c:ext xmlns:c15="http://schemas.microsoft.com/office/drawing/2012/chart" uri="{02D57815-91ED-43cb-92C2-25804820EDAC}">
            <c15:filteredBarSeries>
              <c15:ser>
                <c:idx val="6"/>
                <c:order val="4"/>
                <c:tx>
                  <c:strRef>
                    <c:extLst>
                      <c:ext uri="{02D57815-91ED-43cb-92C2-25804820EDAC}">
                        <c15:formulaRef>
                          <c15:sqref>'[Jess Copy of Program Summaries Data V2 - 31 July 2025 UPDATED GROSS.xlsx]Mapping to Outcomes'!$AU$13</c15:sqref>
                        </c15:formulaRef>
                      </c:ext>
                    </c:extLst>
                    <c:strCache>
                      <c:ptCount val="1"/>
                      <c:pt idx="0">
                        <c:v>Government Contributions</c:v>
                      </c:pt>
                    </c:strCache>
                  </c:strRef>
                </c:tx>
                <c:spPr>
                  <a:solidFill>
                    <a:schemeClr val="accent5">
                      <a:lumMod val="50000"/>
                    </a:schemeClr>
                  </a:solidFill>
                  <a:ln>
                    <a:noFill/>
                  </a:ln>
                  <a:effectLst/>
                </c:spPr>
                <c:invertIfNegative val="0"/>
                <c:dLbls>
                  <c:dLbl>
                    <c:idx val="2"/>
                    <c:delete val="1"/>
                    <c:extLst>
                      <c:ext uri="{CE6537A1-D6FC-4f65-9D91-7224C49458BB}"/>
                      <c:ext xmlns:c16="http://schemas.microsoft.com/office/drawing/2014/chart" uri="{C3380CC4-5D6E-409C-BE32-E72D297353CC}">
                        <c16:uniqueId val="{00000008-FA86-4890-9FE7-8D0A48A33A10}"/>
                      </c:ext>
                    </c:extLst>
                  </c:dLbl>
                  <c:dLbl>
                    <c:idx val="3"/>
                    <c:delete val="1"/>
                    <c:extLst>
                      <c:ext uri="{CE6537A1-D6FC-4f65-9D91-7224C49458BB}"/>
                      <c:ext xmlns:c16="http://schemas.microsoft.com/office/drawing/2014/chart" uri="{C3380CC4-5D6E-409C-BE32-E72D297353CC}">
                        <c16:uniqueId val="{00000009-FA86-4890-9FE7-8D0A48A33A10}"/>
                      </c:ext>
                    </c:extLst>
                  </c:dLbl>
                  <c:dLbl>
                    <c:idx val="4"/>
                    <c:delete val="1"/>
                    <c:extLst>
                      <c:ext uri="{CE6537A1-D6FC-4f65-9D91-7224C49458BB}"/>
                      <c:ext xmlns:c16="http://schemas.microsoft.com/office/drawing/2014/chart" uri="{C3380CC4-5D6E-409C-BE32-E72D297353CC}">
                        <c16:uniqueId val="{0000000A-FA86-4890-9FE7-8D0A48A33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'[Jess Copy of Program Summaries Data V2 - 31 July 2025 UPDATED GROSS.xlsx]Mapping to Outcomes'!$AV$8:$AZ$8</c15:sqref>
                        </c15:formulaRef>
                      </c:ext>
                    </c:extLst>
                    <c:numCache>
                      <c:formatCode>General</c:formatCode>
                      <c:ptCount val="5"/>
                      <c:pt idx="0">
                        <c:v>2027</c:v>
                      </c:pt>
                      <c:pt idx="1">
                        <c:v>2028</c:v>
                      </c:pt>
                      <c:pt idx="2">
                        <c:v>2029</c:v>
                      </c:pt>
                      <c:pt idx="3">
                        <c:v>2030</c:v>
                      </c:pt>
                      <c:pt idx="4">
                        <c:v>2031</c:v>
                      </c:pt>
                    </c:numCache>
                  </c:numRef>
                </c:cat>
                <c:val>
                  <c:numRef>
                    <c:extLst>
                      <c:ext uri="{02D57815-91ED-43cb-92C2-25804820EDAC}">
                        <c15:formulaRef>
                          <c15:sqref>'[Jess Copy of Program Summaries Data V2 - 31 July 2025 UPDATED GROSS.xlsx]Mapping to Outcomes'!$AV$13:$AZ$13</c15:sqref>
                        </c15:formulaRef>
                      </c:ext>
                    </c:extLst>
                    <c:numCache>
                      <c:formatCode>General</c:formatCode>
                      <c:ptCount val="5"/>
                    </c:numCache>
                  </c:numRef>
                </c:val>
                <c:extLst>
                  <c:ext xmlns:c16="http://schemas.microsoft.com/office/drawing/2014/chart" uri="{C3380CC4-5D6E-409C-BE32-E72D297353CC}">
                    <c16:uniqueId val="{0000000B-FA86-4890-9FE7-8D0A48A33A10}"/>
                  </c:ext>
                </c:extLst>
              </c15:ser>
            </c15:filteredBarSeries>
          </c:ext>
        </c:extLst>
      </c:barChart>
      <c:catAx>
        <c:axId val="169172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1691721680"/>
        <c:crosses val="autoZero"/>
        <c:auto val="1"/>
        <c:lblAlgn val="ctr"/>
        <c:lblOffset val="100"/>
        <c:noMultiLvlLbl val="0"/>
      </c:catAx>
      <c:valAx>
        <c:axId val="1691721680"/>
        <c:scaling>
          <c:orientation val="minMax"/>
          <c:max val="1500000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1691723600"/>
        <c:crosses val="autoZero"/>
        <c:crossBetween val="between"/>
      </c:valAx>
      <c:spPr>
        <a:noFill/>
        <a:ln>
          <a:noFill/>
        </a:ln>
        <a:effectLst/>
      </c:spPr>
    </c:plotArea>
    <c:legend>
      <c:legendPos val="b"/>
      <c:legendEntry>
        <c:idx val="4"/>
        <c:delete val="1"/>
      </c:legendEntry>
      <c:layout>
        <c:manualLayout>
          <c:xMode val="edge"/>
          <c:yMode val="edge"/>
          <c:x val="4.6224670040541586E-2"/>
          <c:y val="0.91797049965543043"/>
          <c:w val="0.95351452616215526"/>
          <c:h val="8.20295003445695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lumMod val="75000"/>
              <a:lumOff val="25000"/>
            </a:schemeClr>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10814615758295E-2"/>
          <c:y val="5.4106534964407045E-2"/>
          <c:w val="0.89444392208959467"/>
          <c:h val="0.82275629095961333"/>
        </c:manualLayout>
      </c:layout>
      <c:barChart>
        <c:barDir val="col"/>
        <c:grouping val="stacked"/>
        <c:varyColors val="0"/>
        <c:ser>
          <c:idx val="1"/>
          <c:order val="0"/>
          <c:tx>
            <c:strRef>
              <c:f>'[Jess Copy of Program Summaries Data V2 - 31 July 2025 UPDATED GROSS.xlsx]Mapping to Outcomes'!$AC$44</c:f>
              <c:strCache>
                <c:ptCount val="1"/>
                <c:pt idx="0">
                  <c:v>Renewals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Outcomes'!$AV$43:$AZ$43</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Outcomes'!$AV$44:$AZ$44</c:f>
              <c:numCache>
                <c:formatCode>#,##0,,;\-#,##0,;</c:formatCode>
                <c:ptCount val="5"/>
                <c:pt idx="0">
                  <c:v>19570869.702439029</c:v>
                </c:pt>
                <c:pt idx="1">
                  <c:v>18220509.153819159</c:v>
                </c:pt>
                <c:pt idx="2">
                  <c:v>11724796.104966123</c:v>
                </c:pt>
                <c:pt idx="3">
                  <c:v>21404318.807106651</c:v>
                </c:pt>
                <c:pt idx="4">
                  <c:v>12885933.954767155</c:v>
                </c:pt>
              </c:numCache>
            </c:numRef>
          </c:val>
          <c:extLst>
            <c:ext xmlns:c16="http://schemas.microsoft.com/office/drawing/2014/chart" uri="{C3380CC4-5D6E-409C-BE32-E72D297353CC}">
              <c16:uniqueId val="{00000000-2E90-4FDC-870C-E0ADF60A2296}"/>
            </c:ext>
          </c:extLst>
        </c:ser>
        <c:ser>
          <c:idx val="0"/>
          <c:order val="1"/>
          <c:tx>
            <c:strRef>
              <c:f>'[Jess Copy of Program Summaries Data V2 - 31 July 2025 UPDATED GROSS.xlsx]Mapping to Outcomes'!$AC$45</c:f>
              <c:strCache>
                <c:ptCount val="1"/>
                <c:pt idx="0">
                  <c:v>Growth</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2E90-4FDC-870C-E0ADF60A2296}"/>
                </c:ext>
              </c:extLst>
            </c:dLbl>
            <c:dLbl>
              <c:idx val="1"/>
              <c:delete val="1"/>
              <c:extLst>
                <c:ext xmlns:c15="http://schemas.microsoft.com/office/drawing/2012/chart" uri="{CE6537A1-D6FC-4f65-9D91-7224C49458BB}"/>
                <c:ext xmlns:c16="http://schemas.microsoft.com/office/drawing/2014/chart" uri="{C3380CC4-5D6E-409C-BE32-E72D297353CC}">
                  <c16:uniqueId val="{00000002-2E90-4FDC-870C-E0ADF60A2296}"/>
                </c:ext>
              </c:extLst>
            </c:dLbl>
            <c:dLbl>
              <c:idx val="2"/>
              <c:layout>
                <c:manualLayout>
                  <c:x val="-9.1046223200941023E-2"/>
                  <c:y val="-4.9472369389536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90-4FDC-870C-E0ADF60A2296}"/>
                </c:ext>
              </c:extLst>
            </c:dLbl>
            <c:dLbl>
              <c:idx val="3"/>
              <c:layout>
                <c:manualLayout>
                  <c:x val="-9.1046223200940968E-2"/>
                  <c:y val="-3.46306585726753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90-4FDC-870C-E0ADF60A2296}"/>
                </c:ext>
              </c:extLst>
            </c:dLbl>
            <c:dLbl>
              <c:idx val="4"/>
              <c:layout>
                <c:manualLayout>
                  <c:x val="-8.9476460731959348E-2"/>
                  <c:y val="-4.69987509200594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90-4FDC-870C-E0ADF60A229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Outcomes'!$AV$43:$AZ$43</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Outcomes'!$AV$45:$AZ$45</c:f>
              <c:numCache>
                <c:formatCode>#,##0,,;\-#,##0,;</c:formatCode>
                <c:ptCount val="5"/>
                <c:pt idx="0">
                  <c:v>0</c:v>
                </c:pt>
                <c:pt idx="1">
                  <c:v>0</c:v>
                </c:pt>
                <c:pt idx="2">
                  <c:v>742879.52873579913</c:v>
                </c:pt>
                <c:pt idx="3">
                  <c:v>1449521.0316796082</c:v>
                </c:pt>
                <c:pt idx="4">
                  <c:v>1414166.8601752277</c:v>
                </c:pt>
              </c:numCache>
            </c:numRef>
          </c:val>
          <c:extLst>
            <c:ext xmlns:c16="http://schemas.microsoft.com/office/drawing/2014/chart" uri="{C3380CC4-5D6E-409C-BE32-E72D297353CC}">
              <c16:uniqueId val="{00000006-2E90-4FDC-870C-E0ADF60A2296}"/>
            </c:ext>
          </c:extLst>
        </c:ser>
        <c:ser>
          <c:idx val="3"/>
          <c:order val="2"/>
          <c:tx>
            <c:strRef>
              <c:f>'[Jess Copy of Program Summaries Data V2 - 31 July 2025 UPDATED GROSS.xlsx]Mapping to Outcomes'!$AC$46</c:f>
              <c:strCache>
                <c:ptCount val="1"/>
                <c:pt idx="0">
                  <c:v>Improvements/Compliance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Outcomes'!$AV$43:$AZ$43</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Outcomes'!$AV$46:$AZ$46</c:f>
              <c:numCache>
                <c:formatCode>#,##0,,;\-#,##0,;</c:formatCode>
                <c:ptCount val="5"/>
                <c:pt idx="0">
                  <c:v>104986474.38533878</c:v>
                </c:pt>
                <c:pt idx="1">
                  <c:v>85021448.251289934</c:v>
                </c:pt>
                <c:pt idx="2">
                  <c:v>29087822.73929609</c:v>
                </c:pt>
                <c:pt idx="3">
                  <c:v>23716008.019786775</c:v>
                </c:pt>
                <c:pt idx="4">
                  <c:v>18999095.777359392</c:v>
                </c:pt>
              </c:numCache>
            </c:numRef>
          </c:val>
          <c:extLst>
            <c:ext xmlns:c16="http://schemas.microsoft.com/office/drawing/2014/chart" uri="{C3380CC4-5D6E-409C-BE32-E72D297353CC}">
              <c16:uniqueId val="{00000007-2E90-4FDC-870C-E0ADF60A2296}"/>
            </c:ext>
          </c:extLst>
        </c:ser>
        <c:ser>
          <c:idx val="6"/>
          <c:order val="3"/>
          <c:tx>
            <c:strRef>
              <c:f>'[Jess Copy of Program Summaries Data V2 - 31 July 2025 UPDATED GROSS.xlsx]Mapping to Outcomes'!$AU$47</c:f>
              <c:strCache>
                <c:ptCount val="1"/>
                <c:pt idx="0">
                  <c:v>Total Outcome 3 excluding capitalised desalination and corporate/iT</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Outcomes'!$AV$43:$AZ$43</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Outcomes'!$AV$47:$AZ$47</c:f>
              <c:numCache>
                <c:formatCode>#,##0,,;\-#,##0,;</c:formatCode>
                <c:ptCount val="5"/>
                <c:pt idx="0">
                  <c:v>124557344.08777781</c:v>
                </c:pt>
                <c:pt idx="1">
                  <c:v>103241957.40510909</c:v>
                </c:pt>
                <c:pt idx="2">
                  <c:v>41555498.372998014</c:v>
                </c:pt>
                <c:pt idx="3">
                  <c:v>46569847.858573034</c:v>
                </c:pt>
                <c:pt idx="4">
                  <c:v>33299196.592301775</c:v>
                </c:pt>
              </c:numCache>
            </c:numRef>
          </c:val>
          <c:extLst>
            <c:ext xmlns:c16="http://schemas.microsoft.com/office/drawing/2014/chart" uri="{C3380CC4-5D6E-409C-BE32-E72D297353CC}">
              <c16:uniqueId val="{00000008-2E90-4FDC-870C-E0ADF60A2296}"/>
            </c:ext>
          </c:extLst>
        </c:ser>
        <c:dLbls>
          <c:dLblPos val="ctr"/>
          <c:showLegendKey val="0"/>
          <c:showVal val="1"/>
          <c:showCatName val="0"/>
          <c:showSerName val="0"/>
          <c:showPercent val="0"/>
          <c:showBubbleSize val="0"/>
        </c:dLbls>
        <c:gapWidth val="40"/>
        <c:overlap val="100"/>
        <c:axId val="1284659872"/>
        <c:axId val="1284663712"/>
      </c:barChart>
      <c:catAx>
        <c:axId val="128465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1284663712"/>
        <c:crosses val="autoZero"/>
        <c:auto val="1"/>
        <c:lblAlgn val="ctr"/>
        <c:lblOffset val="100"/>
        <c:noMultiLvlLbl val="0"/>
      </c:catAx>
      <c:valAx>
        <c:axId val="1284663712"/>
        <c:scaling>
          <c:orientation val="minMax"/>
          <c:max val="1500000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1284659872"/>
        <c:crosses val="autoZero"/>
        <c:crossBetween val="between"/>
      </c:valAx>
      <c:spPr>
        <a:noFill/>
        <a:ln>
          <a:noFill/>
        </a:ln>
        <a:effectLst/>
      </c:spPr>
    </c:plotArea>
    <c:legend>
      <c:legendPos val="b"/>
      <c:legendEntry>
        <c:idx val="3"/>
        <c:delete val="1"/>
      </c:legendEntry>
      <c:layout>
        <c:manualLayout>
          <c:xMode val="edge"/>
          <c:yMode val="edge"/>
          <c:x val="0.30571893049904914"/>
          <c:y val="0.93877983487314109"/>
          <c:w val="0.47296100792746981"/>
          <c:h val="4.46079110214116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lumMod val="75000"/>
              <a:lumOff val="25000"/>
            </a:schemeClr>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54627089690469E-2"/>
          <c:y val="2.6848752574252305E-2"/>
          <c:w val="0.88960389131143003"/>
          <c:h val="0.84245127408670939"/>
        </c:manualLayout>
      </c:layout>
      <c:barChart>
        <c:barDir val="col"/>
        <c:grouping val="stacked"/>
        <c:varyColors val="0"/>
        <c:ser>
          <c:idx val="3"/>
          <c:order val="0"/>
          <c:tx>
            <c:strRef>
              <c:f>'[Jess Copy of Program Summaries Data V2 - 31 July 2025 UPDATED GROSS.xlsx]Mapping to Outcomes'!$BD$11</c:f>
              <c:strCache>
                <c:ptCount val="1"/>
                <c:pt idx="0">
                  <c:v>Urban Development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Outcomes'!$AV$8:$AZ$8</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Outcomes'!$BE$11:$BI$11</c:f>
              <c:numCache>
                <c:formatCode>#,##0,,;\-#,##0,;</c:formatCode>
                <c:ptCount val="5"/>
                <c:pt idx="0">
                  <c:v>328128490.68292701</c:v>
                </c:pt>
                <c:pt idx="1">
                  <c:v>347570674.84592509</c:v>
                </c:pt>
                <c:pt idx="2">
                  <c:v>288850500.4860639</c:v>
                </c:pt>
                <c:pt idx="3">
                  <c:v>274017230.24700254</c:v>
                </c:pt>
                <c:pt idx="4">
                  <c:v>256730927.87428796</c:v>
                </c:pt>
              </c:numCache>
            </c:numRef>
          </c:val>
          <c:extLst>
            <c:ext xmlns:c16="http://schemas.microsoft.com/office/drawing/2014/chart" uri="{C3380CC4-5D6E-409C-BE32-E72D297353CC}">
              <c16:uniqueId val="{00000000-7642-4FC7-B78A-5C13DF4C6372}"/>
            </c:ext>
          </c:extLst>
        </c:ser>
        <c:ser>
          <c:idx val="1"/>
          <c:order val="1"/>
          <c:tx>
            <c:strRef>
              <c:f>'[Jess Copy of Program Summaries Data V2 - 31 July 2025 UPDATED GROSS.xlsx]Mapping to Outcomes'!$BD$9</c:f>
              <c:strCache>
                <c:ptCount val="1"/>
                <c:pt idx="0">
                  <c:v>Flood Risk Management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Outcomes'!$AV$8:$AZ$8</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Outcomes'!$BE$9:$BI$9</c:f>
              <c:numCache>
                <c:formatCode>#,##0,,;\-#,##0,;</c:formatCode>
                <c:ptCount val="5"/>
                <c:pt idx="0">
                  <c:v>52471703.824390255</c:v>
                </c:pt>
                <c:pt idx="1">
                  <c:v>41314744.709101744</c:v>
                </c:pt>
                <c:pt idx="2">
                  <c:v>22608029.483031299</c:v>
                </c:pt>
                <c:pt idx="3">
                  <c:v>23273484.318029732</c:v>
                </c:pt>
                <c:pt idx="4">
                  <c:v>12151469.154421875</c:v>
                </c:pt>
              </c:numCache>
            </c:numRef>
          </c:val>
          <c:extLst>
            <c:ext xmlns:c16="http://schemas.microsoft.com/office/drawing/2014/chart" uri="{C3380CC4-5D6E-409C-BE32-E72D297353CC}">
              <c16:uniqueId val="{00000001-7642-4FC7-B78A-5C13DF4C6372}"/>
            </c:ext>
          </c:extLst>
        </c:ser>
        <c:ser>
          <c:idx val="0"/>
          <c:order val="2"/>
          <c:tx>
            <c:strRef>
              <c:f>'[Jess Copy of Program Summaries Data V2 - 31 July 2025 UPDATED GROSS.xlsx]Mapping to Outcomes'!$BD$10</c:f>
              <c:strCache>
                <c:ptCount val="1"/>
                <c:pt idx="0">
                  <c:v>Drainage Management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Outcomes'!$AV$8:$AZ$8</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Outcomes'!$BE$10:$BI$10</c:f>
              <c:numCache>
                <c:formatCode>#,##0,,;\-#,##0,;</c:formatCode>
                <c:ptCount val="5"/>
                <c:pt idx="0">
                  <c:v>38706663.014634147</c:v>
                </c:pt>
                <c:pt idx="1">
                  <c:v>28129451.060083289</c:v>
                </c:pt>
                <c:pt idx="2">
                  <c:v>13890848.348689085</c:v>
                </c:pt>
                <c:pt idx="3">
                  <c:v>30183402.126365259</c:v>
                </c:pt>
                <c:pt idx="4">
                  <c:v>41877235.828922115</c:v>
                </c:pt>
              </c:numCache>
            </c:numRef>
          </c:val>
          <c:extLst>
            <c:ext xmlns:c16="http://schemas.microsoft.com/office/drawing/2014/chart" uri="{C3380CC4-5D6E-409C-BE32-E72D297353CC}">
              <c16:uniqueId val="{00000002-7642-4FC7-B78A-5C13DF4C6372}"/>
            </c:ext>
          </c:extLst>
        </c:ser>
        <c:ser>
          <c:idx val="4"/>
          <c:order val="3"/>
          <c:tx>
            <c:strRef>
              <c:f>'[Jess Copy of Program Summaries Data V2 - 31 July 2025 UPDATED GROSS.xlsx]Mapping to Outcomes'!$BD$12</c:f>
              <c:strCache>
                <c:ptCount val="1"/>
                <c:pt idx="0">
                  <c:v>Total Outcome 4</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Outcomes'!$AV$8:$AZ$8</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Outcomes'!$BE$12:$BI$12</c:f>
              <c:numCache>
                <c:formatCode>#,##0,,;\-#,##0,;</c:formatCode>
                <c:ptCount val="5"/>
                <c:pt idx="0">
                  <c:v>419306857.52195144</c:v>
                </c:pt>
                <c:pt idx="1">
                  <c:v>417014870.61511016</c:v>
                </c:pt>
                <c:pt idx="2">
                  <c:v>325349378.31778431</c:v>
                </c:pt>
                <c:pt idx="3">
                  <c:v>327474116.69139755</c:v>
                </c:pt>
                <c:pt idx="4">
                  <c:v>310759632.85763192</c:v>
                </c:pt>
              </c:numCache>
            </c:numRef>
          </c:val>
          <c:extLst>
            <c:ext xmlns:c16="http://schemas.microsoft.com/office/drawing/2014/chart" uri="{C3380CC4-5D6E-409C-BE32-E72D297353CC}">
              <c16:uniqueId val="{00000003-7642-4FC7-B78A-5C13DF4C6372}"/>
            </c:ext>
          </c:extLst>
        </c:ser>
        <c:dLbls>
          <c:dLblPos val="ctr"/>
          <c:showLegendKey val="0"/>
          <c:showVal val="1"/>
          <c:showCatName val="0"/>
          <c:showSerName val="0"/>
          <c:showPercent val="0"/>
          <c:showBubbleSize val="0"/>
        </c:dLbls>
        <c:gapWidth val="40"/>
        <c:overlap val="100"/>
        <c:axId val="1691723600"/>
        <c:axId val="1691721680"/>
      </c:barChart>
      <c:catAx>
        <c:axId val="169172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1691721680"/>
        <c:crosses val="autoZero"/>
        <c:auto val="1"/>
        <c:lblAlgn val="ctr"/>
        <c:lblOffset val="100"/>
        <c:noMultiLvlLbl val="0"/>
      </c:catAx>
      <c:valAx>
        <c:axId val="1691721680"/>
        <c:scaling>
          <c:orientation val="minMax"/>
          <c:max val="5000000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1691723600"/>
        <c:crosses val="autoZero"/>
        <c:crossBetween val="between"/>
      </c:valAx>
      <c:spPr>
        <a:noFill/>
        <a:ln>
          <a:noFill/>
        </a:ln>
        <a:effectLst/>
      </c:spPr>
    </c:plotArea>
    <c:legend>
      <c:legendPos val="b"/>
      <c:legendEntry>
        <c:idx val="3"/>
        <c:delete val="1"/>
      </c:legendEntry>
      <c:layout>
        <c:manualLayout>
          <c:xMode val="edge"/>
          <c:yMode val="edge"/>
          <c:x val="9.6779041939281649E-2"/>
          <c:y val="0.91693468737015749"/>
          <c:w val="0.90296016443749638"/>
          <c:h val="8.30653126298425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lumMod val="75000"/>
              <a:lumOff val="25000"/>
            </a:schemeClr>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10814615758295E-2"/>
          <c:y val="5.4106534964407045E-2"/>
          <c:w val="0.89444392208959467"/>
          <c:h val="0.82275629095961333"/>
        </c:manualLayout>
      </c:layout>
      <c:barChart>
        <c:barDir val="col"/>
        <c:grouping val="stacked"/>
        <c:varyColors val="0"/>
        <c:ser>
          <c:idx val="1"/>
          <c:order val="0"/>
          <c:tx>
            <c:strRef>
              <c:f>'[Jess Copy of Program Summaries Data V2 - 31 July 2025 UPDATED GROSS.xlsx]Mapping to Outcomes'!$AC$44</c:f>
              <c:strCache>
                <c:ptCount val="1"/>
                <c:pt idx="0">
                  <c:v>Renewals</c:v>
                </c:pt>
              </c:strCache>
            </c:strRef>
          </c:tx>
          <c:spPr>
            <a:solidFill>
              <a:schemeClr val="tx2"/>
            </a:solidFill>
            <a:ln>
              <a:noFill/>
            </a:ln>
            <a:effectLst/>
          </c:spPr>
          <c:invertIfNegative val="0"/>
          <c:dLbls>
            <c:dLbl>
              <c:idx val="2"/>
              <c:layout>
                <c:manualLayout>
                  <c:x val="1.574825606664422E-3"/>
                  <c:y val="-3.65616397578755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92-4F07-84ED-978321F48263}"/>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Outcomes'!$BE$43:$BI$43</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Outcomes'!$BE$44:$BI$44</c:f>
              <c:numCache>
                <c:formatCode>#,##0,,;\-#,##0,;</c:formatCode>
                <c:ptCount val="5"/>
                <c:pt idx="0">
                  <c:v>36699612.682926834</c:v>
                </c:pt>
                <c:pt idx="1">
                  <c:v>26375647.371802501</c:v>
                </c:pt>
                <c:pt idx="2">
                  <c:v>8897799.0313547421</c:v>
                </c:pt>
                <c:pt idx="3">
                  <c:v>28881856.355155304</c:v>
                </c:pt>
                <c:pt idx="4">
                  <c:v>40621646.569612637</c:v>
                </c:pt>
              </c:numCache>
            </c:numRef>
          </c:val>
          <c:extLst>
            <c:ext xmlns:c16="http://schemas.microsoft.com/office/drawing/2014/chart" uri="{C3380CC4-5D6E-409C-BE32-E72D297353CC}">
              <c16:uniqueId val="{00000001-6992-4F07-84ED-978321F48263}"/>
            </c:ext>
          </c:extLst>
        </c:ser>
        <c:ser>
          <c:idx val="0"/>
          <c:order val="1"/>
          <c:tx>
            <c:strRef>
              <c:f>'[Jess Copy of Program Summaries Data V2 - 31 July 2025 UPDATED GROSS.xlsx]Mapping to Outcomes'!$AC$45</c:f>
              <c:strCache>
                <c:ptCount val="1"/>
                <c:pt idx="0">
                  <c:v>Growth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Outcomes'!$BE$43:$BI$43</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Outcomes'!$BE$45:$BI$45</c:f>
              <c:numCache>
                <c:formatCode>#,##0,,;\-#,##0,;</c:formatCode>
                <c:ptCount val="5"/>
                <c:pt idx="0">
                  <c:v>323142224.34146339</c:v>
                </c:pt>
                <c:pt idx="1">
                  <c:v>343990803.81677574</c:v>
                </c:pt>
                <c:pt idx="2">
                  <c:v>284907165.94361663</c:v>
                </c:pt>
                <c:pt idx="3">
                  <c:v>260649715.58458066</c:v>
                </c:pt>
                <c:pt idx="4">
                  <c:v>237616270.80038649</c:v>
                </c:pt>
              </c:numCache>
            </c:numRef>
          </c:val>
          <c:extLst>
            <c:ext xmlns:c16="http://schemas.microsoft.com/office/drawing/2014/chart" uri="{C3380CC4-5D6E-409C-BE32-E72D297353CC}">
              <c16:uniqueId val="{00000002-6992-4F07-84ED-978321F48263}"/>
            </c:ext>
          </c:extLst>
        </c:ser>
        <c:ser>
          <c:idx val="3"/>
          <c:order val="2"/>
          <c:tx>
            <c:strRef>
              <c:f>'[Jess Copy of Program Summaries Data V2 - 31 July 2025 UPDATED GROSS.xlsx]Mapping to Outcomes'!$AC$46</c:f>
              <c:strCache>
                <c:ptCount val="1"/>
                <c:pt idx="0">
                  <c:v>Improvements/Compliance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Outcomes'!$BE$43:$BI$43</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Outcomes'!$BE$46:$BI$46</c:f>
              <c:numCache>
                <c:formatCode>#,##0,,;\-#,##0,;</c:formatCode>
                <c:ptCount val="5"/>
                <c:pt idx="0">
                  <c:v>59465020.497560985</c:v>
                </c:pt>
                <c:pt idx="1">
                  <c:v>46648419.426531844</c:v>
                </c:pt>
                <c:pt idx="2">
                  <c:v>31544413.342812791</c:v>
                </c:pt>
                <c:pt idx="3">
                  <c:v>37942544.751661599</c:v>
                </c:pt>
                <c:pt idx="4">
                  <c:v>32521715.487632826</c:v>
                </c:pt>
              </c:numCache>
            </c:numRef>
          </c:val>
          <c:extLst>
            <c:ext xmlns:c16="http://schemas.microsoft.com/office/drawing/2014/chart" uri="{C3380CC4-5D6E-409C-BE32-E72D297353CC}">
              <c16:uniqueId val="{00000003-6992-4F07-84ED-978321F48263}"/>
            </c:ext>
          </c:extLst>
        </c:ser>
        <c:ser>
          <c:idx val="6"/>
          <c:order val="3"/>
          <c:tx>
            <c:strRef>
              <c:f>'[Jess Copy of Program Summaries Data V2 - 31 July 2025 UPDATED GROSS.xlsx]Mapping to Outcomes'!$BD$47</c:f>
              <c:strCache>
                <c:ptCount val="1"/>
                <c:pt idx="0">
                  <c:v>Total Outcome 4</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'[Jess Copy of Program Summaries Data V2 - 31 July 2025 UPDATED GROSS.xlsx]Mapping to Outcomes'!$BE$43:$BI$43</c:f>
              <c:numCache>
                <c:formatCode>General</c:formatCode>
                <c:ptCount val="5"/>
                <c:pt idx="0">
                  <c:v>2027</c:v>
                </c:pt>
                <c:pt idx="1">
                  <c:v>2028</c:v>
                </c:pt>
                <c:pt idx="2">
                  <c:v>2029</c:v>
                </c:pt>
                <c:pt idx="3">
                  <c:v>2030</c:v>
                </c:pt>
                <c:pt idx="4">
                  <c:v>2031</c:v>
                </c:pt>
              </c:numCache>
            </c:numRef>
          </c:cat>
          <c:val>
            <c:numRef>
              <c:f>'[Jess Copy of Program Summaries Data V2 - 31 July 2025 UPDATED GROSS.xlsx]Mapping to Outcomes'!$BE$47:$BI$47</c:f>
              <c:numCache>
                <c:formatCode>#,##0,,;\-#,##0,;</c:formatCode>
                <c:ptCount val="5"/>
                <c:pt idx="0">
                  <c:v>419306857.5219512</c:v>
                </c:pt>
                <c:pt idx="1">
                  <c:v>417014870.6151101</c:v>
                </c:pt>
                <c:pt idx="2">
                  <c:v>325349378.31778413</c:v>
                </c:pt>
                <c:pt idx="3">
                  <c:v>327474116.69139755</c:v>
                </c:pt>
                <c:pt idx="4">
                  <c:v>310759632.85763192</c:v>
                </c:pt>
              </c:numCache>
            </c:numRef>
          </c:val>
          <c:extLst>
            <c:ext xmlns:c16="http://schemas.microsoft.com/office/drawing/2014/chart" uri="{C3380CC4-5D6E-409C-BE32-E72D297353CC}">
              <c16:uniqueId val="{00000004-6992-4F07-84ED-978321F48263}"/>
            </c:ext>
          </c:extLst>
        </c:ser>
        <c:dLbls>
          <c:dLblPos val="ctr"/>
          <c:showLegendKey val="0"/>
          <c:showVal val="1"/>
          <c:showCatName val="0"/>
          <c:showSerName val="0"/>
          <c:showPercent val="0"/>
          <c:showBubbleSize val="0"/>
        </c:dLbls>
        <c:gapWidth val="40"/>
        <c:overlap val="100"/>
        <c:axId val="1284659872"/>
        <c:axId val="1284663712"/>
      </c:barChart>
      <c:catAx>
        <c:axId val="128465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Verdana" panose="020B0604030504040204" pitchFamily="34" charset="0"/>
                <a:cs typeface="+mn-cs"/>
              </a:defRPr>
            </a:pPr>
            <a:endParaRPr lang="en-US"/>
          </a:p>
        </c:txPr>
        <c:crossAx val="1284663712"/>
        <c:crosses val="autoZero"/>
        <c:auto val="1"/>
        <c:lblAlgn val="ctr"/>
        <c:lblOffset val="100"/>
        <c:noMultiLvlLbl val="0"/>
      </c:catAx>
      <c:valAx>
        <c:axId val="1284663712"/>
        <c:scaling>
          <c:orientation val="minMax"/>
          <c:max val="5000000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Verdana" panose="020B0604030504040204" pitchFamily="34" charset="0"/>
                <a:cs typeface="+mn-cs"/>
              </a:defRPr>
            </a:pPr>
            <a:endParaRPr lang="en-US"/>
          </a:p>
        </c:txPr>
        <c:crossAx val="1284659872"/>
        <c:crosses val="autoZero"/>
        <c:crossBetween val="between"/>
      </c:valAx>
      <c:spPr>
        <a:noFill/>
        <a:ln>
          <a:noFill/>
        </a:ln>
        <a:effectLst/>
      </c:spPr>
    </c:plotArea>
    <c:legend>
      <c:legendPos val="b"/>
      <c:legendEntry>
        <c:idx val="3"/>
        <c:delete val="1"/>
      </c:legendEntry>
      <c:layout>
        <c:manualLayout>
          <c:xMode val="edge"/>
          <c:yMode val="edge"/>
          <c:x val="0.30571893049904914"/>
          <c:y val="0.93877983487314109"/>
          <c:w val="0.47296100792746981"/>
          <c:h val="4.46079110214116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lumMod val="75000"/>
              <a:lumOff val="25000"/>
            </a:schemeClr>
          </a:solidFill>
          <a:latin typeface="+mn-lt"/>
          <a:ea typeface="Verdana" panose="020B060403050404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Tables_and_charts_Bo!$F$111</c:f>
              <c:strCache>
                <c:ptCount val="1"/>
                <c:pt idx="0">
                  <c:v>Controllable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Tables_and_charts_Bo!$G$110:$U$110</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Tables_and_charts_Bo!$G$111:$U$111</c:f>
              <c:numCache>
                <c:formatCode>_(#,##0,,_);\(#,##0,,\);_("-"_)</c:formatCode>
                <c:ptCount val="15"/>
                <c:pt idx="0">
                  <c:v>501249177.4159804</c:v>
                </c:pt>
                <c:pt idx="1">
                  <c:v>500267227.80491465</c:v>
                </c:pt>
                <c:pt idx="2">
                  <c:v>508487250.61361969</c:v>
                </c:pt>
                <c:pt idx="3">
                  <c:v>568053196.85796964</c:v>
                </c:pt>
                <c:pt idx="4">
                  <c:v>547843352.01999974</c:v>
                </c:pt>
                <c:pt idx="5">
                  <c:v>545459733.19354856</c:v>
                </c:pt>
                <c:pt idx="6">
                  <c:v>551149850.44551539</c:v>
                </c:pt>
                <c:pt idx="7">
                  <c:v>561953513.11879098</c:v>
                </c:pt>
                <c:pt idx="8">
                  <c:v>565251819.80440402</c:v>
                </c:pt>
                <c:pt idx="9">
                  <c:v>566147992.84372628</c:v>
                </c:pt>
                <c:pt idx="10">
                  <c:v>565726625.91603279</c:v>
                </c:pt>
                <c:pt idx="11">
                  <c:v>564924783.58474886</c:v>
                </c:pt>
                <c:pt idx="12">
                  <c:v>563842081.81640089</c:v>
                </c:pt>
                <c:pt idx="13">
                  <c:v>564751188.62126076</c:v>
                </c:pt>
                <c:pt idx="14">
                  <c:v>562378158.84444952</c:v>
                </c:pt>
              </c:numCache>
            </c:numRef>
          </c:val>
          <c:extLst>
            <c:ext xmlns:c16="http://schemas.microsoft.com/office/drawing/2014/chart" uri="{C3380CC4-5D6E-409C-BE32-E72D297353CC}">
              <c16:uniqueId val="{00000000-04AB-4791-B513-7D87135478B5}"/>
            </c:ext>
          </c:extLst>
        </c:ser>
        <c:ser>
          <c:idx val="1"/>
          <c:order val="1"/>
          <c:tx>
            <c:strRef>
              <c:f>Tables_and_charts_Bo!$F$112</c:f>
              <c:strCache>
                <c:ptCount val="1"/>
                <c:pt idx="0">
                  <c:v>Victorian Desalination Project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Tables_and_charts_Bo!$G$110:$U$110</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Tables_and_charts_Bo!$G$112:$U$112</c:f>
              <c:numCache>
                <c:formatCode>_(#,##0,,_);\(#,##0,,\);_("-"_)</c:formatCode>
                <c:ptCount val="15"/>
                <c:pt idx="0">
                  <c:v>637967398.43424857</c:v>
                </c:pt>
                <c:pt idx="1">
                  <c:v>614704723.01684105</c:v>
                </c:pt>
                <c:pt idx="2">
                  <c:v>577902516.60274887</c:v>
                </c:pt>
                <c:pt idx="3">
                  <c:v>547304120.34433413</c:v>
                </c:pt>
                <c:pt idx="4">
                  <c:v>530279757.78448743</c:v>
                </c:pt>
                <c:pt idx="5">
                  <c:v>519656107.16115779</c:v>
                </c:pt>
                <c:pt idx="6">
                  <c:v>507233783.14127302</c:v>
                </c:pt>
                <c:pt idx="7">
                  <c:v>502137349.76423556</c:v>
                </c:pt>
                <c:pt idx="8">
                  <c:v>480988665.4662478</c:v>
                </c:pt>
                <c:pt idx="9">
                  <c:v>460296279.39238155</c:v>
                </c:pt>
                <c:pt idx="10">
                  <c:v>438031125.20239156</c:v>
                </c:pt>
                <c:pt idx="11">
                  <c:v>414003985.12234366</c:v>
                </c:pt>
                <c:pt idx="12">
                  <c:v>378844095.64776516</c:v>
                </c:pt>
                <c:pt idx="13">
                  <c:v>351945413.90923274</c:v>
                </c:pt>
                <c:pt idx="14">
                  <c:v>323929709.71699923</c:v>
                </c:pt>
              </c:numCache>
            </c:numRef>
          </c:val>
          <c:extLst>
            <c:ext xmlns:c16="http://schemas.microsoft.com/office/drawing/2014/chart" uri="{C3380CC4-5D6E-409C-BE32-E72D297353CC}">
              <c16:uniqueId val="{00000001-04AB-4791-B513-7D87135478B5}"/>
            </c:ext>
          </c:extLst>
        </c:ser>
        <c:ser>
          <c:idx val="2"/>
          <c:order val="2"/>
          <c:tx>
            <c:strRef>
              <c:f>Tables_and_charts_Bo!$F$113</c:f>
              <c:strCache>
                <c:ptCount val="1"/>
                <c:pt idx="0">
                  <c:v>Other Non-controllable</c:v>
                </c:pt>
              </c:strCache>
            </c:strRef>
          </c:tx>
          <c:spPr>
            <a:solidFill>
              <a:schemeClr val="accent3"/>
            </a:solidFill>
            <a:ln>
              <a:noFill/>
            </a:ln>
            <a:effectLst/>
          </c:spPr>
          <c:invertIfNegative val="0"/>
          <c:dLbls>
            <c:numFmt formatCode="_(#,##0,,_)&quot;&quot;;\(#,##0,,\)&quot;&quot;;_(&quot;-&quot;_)" sourceLinked="0"/>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Tables_and_charts_Bo!$G$110:$U$110</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Tables_and_charts_Bo!$G$113:$U$113</c:f>
              <c:numCache>
                <c:formatCode>_(#,##0.0,,_);\(#,##0.0,,\);_("-"_)</c:formatCode>
                <c:ptCount val="15"/>
                <c:pt idx="0">
                  <c:v>47893779.232111961</c:v>
                </c:pt>
                <c:pt idx="1">
                  <c:v>51078105.101016946</c:v>
                </c:pt>
                <c:pt idx="2">
                  <c:v>60881351.148778282</c:v>
                </c:pt>
                <c:pt idx="3">
                  <c:v>49219099.874366805</c:v>
                </c:pt>
                <c:pt idx="4">
                  <c:v>55693836.118384279</c:v>
                </c:pt>
                <c:pt idx="5" formatCode="_(#,##0,,_);\(#,##0,,\);_(&quot;-&quot;_)">
                  <c:v>49976533.746049322</c:v>
                </c:pt>
                <c:pt idx="6" formatCode="_(#,##0,,_);\(#,##0,,\);_(&quot;-&quot;_)">
                  <c:v>50173135.629967108</c:v>
                </c:pt>
                <c:pt idx="7" formatCode="_(#,##0,,_);\(#,##0,,\);_(&quot;-&quot;_)">
                  <c:v>50371017.365233377</c:v>
                </c:pt>
                <c:pt idx="8" formatCode="_(#,##0,,_);\(#,##0,,\);_(&quot;-&quot;_)">
                  <c:v>50570176.153513968</c:v>
                </c:pt>
                <c:pt idx="9" formatCode="_(#,##0,,_);\(#,##0,,\);_(&quot;-&quot;_)">
                  <c:v>50561269.807121918</c:v>
                </c:pt>
                <c:pt idx="10" formatCode="_(#,##0,,_);\(#,##0,,\);_(&quot;-&quot;_)">
                  <c:v>50552614.465633042</c:v>
                </c:pt>
                <c:pt idx="11" formatCode="_(#,##0,,_);\(#,##0,,\);_(&quot;-&quot;_)">
                  <c:v>50544203.055051059</c:v>
                </c:pt>
                <c:pt idx="12" formatCode="_(#,##0,,_);\(#,##0,,\);_(&quot;-&quot;_)">
                  <c:v>50536028.700743966</c:v>
                </c:pt>
                <c:pt idx="13" formatCode="_(#,##0,,_);\(#,##0,,\);_(&quot;-&quot;_)">
                  <c:v>50528084.721825525</c:v>
                </c:pt>
                <c:pt idx="14" formatCode="_(#,##0,,_);\(#,##0,,\);_(&quot;-&quot;_)">
                  <c:v>50520364.625694849</c:v>
                </c:pt>
              </c:numCache>
            </c:numRef>
          </c:val>
          <c:extLst>
            <c:ext xmlns:c16="http://schemas.microsoft.com/office/drawing/2014/chart" uri="{C3380CC4-5D6E-409C-BE32-E72D297353CC}">
              <c16:uniqueId val="{00000002-04AB-4791-B513-7D87135478B5}"/>
            </c:ext>
          </c:extLst>
        </c:ser>
        <c:ser>
          <c:idx val="3"/>
          <c:order val="3"/>
          <c:tx>
            <c:strRef>
              <c:f>Tables_and_charts_Bo!$F$114</c:f>
              <c:strCache>
                <c:ptCount val="1"/>
                <c:pt idx="0">
                  <c:v>Total</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Tables_and_charts_Bo!$G$110:$U$110</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Tables_and_charts_Bo!$G$114:$U$114</c:f>
              <c:numCache>
                <c:formatCode>_(#,##0,,_);\(#,##0,,\);_("-"_)</c:formatCode>
                <c:ptCount val="15"/>
                <c:pt idx="0">
                  <c:v>1187110355.082341</c:v>
                </c:pt>
                <c:pt idx="1">
                  <c:v>1166050055.9227726</c:v>
                </c:pt>
                <c:pt idx="2">
                  <c:v>1147271118.3651469</c:v>
                </c:pt>
                <c:pt idx="3">
                  <c:v>1164576417.0766706</c:v>
                </c:pt>
                <c:pt idx="4">
                  <c:v>1133816945.9228716</c:v>
                </c:pt>
                <c:pt idx="5">
                  <c:v>1115092374.1007557</c:v>
                </c:pt>
                <c:pt idx="6">
                  <c:v>1108556769.2167556</c:v>
                </c:pt>
                <c:pt idx="7">
                  <c:v>1114461880.24826</c:v>
                </c:pt>
                <c:pt idx="8">
                  <c:v>1096810661.4241657</c:v>
                </c:pt>
                <c:pt idx="9">
                  <c:v>1077005542.0432298</c:v>
                </c:pt>
                <c:pt idx="10">
                  <c:v>1054310365.5840575</c:v>
                </c:pt>
                <c:pt idx="11">
                  <c:v>1029472971.7621436</c:v>
                </c:pt>
                <c:pt idx="12">
                  <c:v>993222206.16490996</c:v>
                </c:pt>
                <c:pt idx="13">
                  <c:v>967224687.25231898</c:v>
                </c:pt>
                <c:pt idx="14">
                  <c:v>936828233.18714368</c:v>
                </c:pt>
              </c:numCache>
            </c:numRef>
          </c:val>
          <c:extLst>
            <c:ext xmlns:c16="http://schemas.microsoft.com/office/drawing/2014/chart" uri="{C3380CC4-5D6E-409C-BE32-E72D297353CC}">
              <c16:uniqueId val="{00000003-04AB-4791-B513-7D87135478B5}"/>
            </c:ext>
          </c:extLst>
        </c:ser>
        <c:dLbls>
          <c:showLegendKey val="0"/>
          <c:showVal val="0"/>
          <c:showCatName val="0"/>
          <c:showSerName val="0"/>
          <c:showPercent val="0"/>
          <c:showBubbleSize val="0"/>
        </c:dLbls>
        <c:gapWidth val="100"/>
        <c:overlap val="100"/>
        <c:axId val="254865168"/>
        <c:axId val="254865648"/>
      </c:barChart>
      <c:catAx>
        <c:axId val="25486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254865648"/>
        <c:crosses val="autoZero"/>
        <c:auto val="1"/>
        <c:lblAlgn val="ctr"/>
        <c:lblOffset val="100"/>
        <c:noMultiLvlLbl val="0"/>
      </c:catAx>
      <c:valAx>
        <c:axId val="254865648"/>
        <c:scaling>
          <c:orientation val="minMax"/>
          <c:max val="1400000000"/>
        </c:scaling>
        <c:delete val="0"/>
        <c:axPos val="l"/>
        <c:majorGridlines>
          <c:spPr>
            <a:ln w="9525" cap="flat" cmpd="sng" algn="ctr">
              <a:solidFill>
                <a:schemeClr val="tx1">
                  <a:lumMod val="15000"/>
                  <a:lumOff val="85000"/>
                </a:schemeClr>
              </a:solidFill>
              <a:round/>
            </a:ln>
            <a:effectLst/>
          </c:spPr>
        </c:majorGridlines>
        <c:numFmt formatCode="_(#,##0,,_);\(#,##0,,\);_(&quot;-&quot;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25486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75000"/>
              <a:lumOff val="25000"/>
            </a:schemeClr>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Tables_and_charts_Bo!$F$118</c:f>
              <c:strCache>
                <c:ptCount val="1"/>
                <c:pt idx="0">
                  <c:v>VDP</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Tables_and_charts_Bo!$G$110:$U$110</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Tables_and_charts_Bo!$G$118:$U$118</c:f>
              <c:numCache>
                <c:formatCode>_(#,##0,,_);\(#,##0,,\);_("-"_)</c:formatCode>
                <c:ptCount val="15"/>
                <c:pt idx="0">
                  <c:v>637967398.43424857</c:v>
                </c:pt>
                <c:pt idx="1">
                  <c:v>614704723.01684105</c:v>
                </c:pt>
                <c:pt idx="2">
                  <c:v>577902516.60274887</c:v>
                </c:pt>
                <c:pt idx="3">
                  <c:v>547304120.34433413</c:v>
                </c:pt>
                <c:pt idx="4">
                  <c:v>530279757.78448743</c:v>
                </c:pt>
                <c:pt idx="5">
                  <c:v>519656107.16115779</c:v>
                </c:pt>
                <c:pt idx="6">
                  <c:v>507233783.14127302</c:v>
                </c:pt>
                <c:pt idx="7">
                  <c:v>502137349.76423556</c:v>
                </c:pt>
                <c:pt idx="8">
                  <c:v>480988665.4662478</c:v>
                </c:pt>
                <c:pt idx="9">
                  <c:v>460296279.39238155</c:v>
                </c:pt>
                <c:pt idx="10">
                  <c:v>438031125.20239156</c:v>
                </c:pt>
                <c:pt idx="11">
                  <c:v>414003985.12234366</c:v>
                </c:pt>
                <c:pt idx="12">
                  <c:v>378844095.64776516</c:v>
                </c:pt>
                <c:pt idx="13">
                  <c:v>351945413.90923274</c:v>
                </c:pt>
                <c:pt idx="14">
                  <c:v>323929709.71699923</c:v>
                </c:pt>
              </c:numCache>
            </c:numRef>
          </c:val>
          <c:extLst>
            <c:ext xmlns:c16="http://schemas.microsoft.com/office/drawing/2014/chart" uri="{C3380CC4-5D6E-409C-BE32-E72D297353CC}">
              <c16:uniqueId val="{00000000-7993-4470-B1DC-36955F187029}"/>
            </c:ext>
          </c:extLst>
        </c:ser>
        <c:ser>
          <c:idx val="1"/>
          <c:order val="1"/>
          <c:tx>
            <c:strRef>
              <c:f>Tables_and_charts_Bo!$F$119</c:f>
              <c:strCache>
                <c:ptCount val="1"/>
                <c:pt idx="0">
                  <c:v>Water - excl. VDP</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Tables_and_charts_Bo!$G$110:$U$110</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Tables_and_charts_Bo!$G$119:$U$119</c:f>
              <c:numCache>
                <c:formatCode>_(#,##0,,_);\(#,##0,,\);_("-"_)</c:formatCode>
                <c:ptCount val="15"/>
                <c:pt idx="0">
                  <c:v>149667118.89957023</c:v>
                </c:pt>
                <c:pt idx="1">
                  <c:v>154280572.27789515</c:v>
                </c:pt>
                <c:pt idx="2">
                  <c:v>163655114.91037238</c:v>
                </c:pt>
                <c:pt idx="3">
                  <c:v>183454959.95801044</c:v>
                </c:pt>
                <c:pt idx="4">
                  <c:v>179372849.3393071</c:v>
                </c:pt>
                <c:pt idx="5">
                  <c:v>176558006.81671467</c:v>
                </c:pt>
                <c:pt idx="6">
                  <c:v>178763408.63729739</c:v>
                </c:pt>
                <c:pt idx="7">
                  <c:v>180885065.07300833</c:v>
                </c:pt>
                <c:pt idx="8">
                  <c:v>180556781.14028662</c:v>
                </c:pt>
                <c:pt idx="9">
                  <c:v>180417034.65586883</c:v>
                </c:pt>
                <c:pt idx="10">
                  <c:v>180487286.56317094</c:v>
                </c:pt>
                <c:pt idx="11">
                  <c:v>180384370.31767827</c:v>
                </c:pt>
                <c:pt idx="12">
                  <c:v>180326289.3851397</c:v>
                </c:pt>
                <c:pt idx="13">
                  <c:v>180033219.44253317</c:v>
                </c:pt>
                <c:pt idx="14">
                  <c:v>179561609.42226616</c:v>
                </c:pt>
              </c:numCache>
            </c:numRef>
          </c:val>
          <c:extLst>
            <c:ext xmlns:c16="http://schemas.microsoft.com/office/drawing/2014/chart" uri="{C3380CC4-5D6E-409C-BE32-E72D297353CC}">
              <c16:uniqueId val="{00000001-7993-4470-B1DC-36955F187029}"/>
            </c:ext>
          </c:extLst>
        </c:ser>
        <c:ser>
          <c:idx val="2"/>
          <c:order val="2"/>
          <c:tx>
            <c:strRef>
              <c:f>Tables_and_charts_Bo!$F$120</c:f>
              <c:strCache>
                <c:ptCount val="1"/>
                <c:pt idx="0">
                  <c:v>Sewerage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Tables_and_charts_Bo!$G$110:$U$110</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Tables_and_charts_Bo!$G$120:$U$120</c:f>
              <c:numCache>
                <c:formatCode>_(#,##0,,_);\(#,##0,,\);_("-"_)</c:formatCode>
                <c:ptCount val="15"/>
                <c:pt idx="0">
                  <c:v>217561165.5771656</c:v>
                </c:pt>
                <c:pt idx="1">
                  <c:v>212453467.53068978</c:v>
                </c:pt>
                <c:pt idx="2">
                  <c:v>214771608.93568364</c:v>
                </c:pt>
                <c:pt idx="3">
                  <c:v>222465397.94730482</c:v>
                </c:pt>
                <c:pt idx="4">
                  <c:v>217515254.52538475</c:v>
                </c:pt>
                <c:pt idx="5">
                  <c:v>213102432.41188625</c:v>
                </c:pt>
                <c:pt idx="6">
                  <c:v>214791829.31762379</c:v>
                </c:pt>
                <c:pt idx="7">
                  <c:v>222381644.48244631</c:v>
                </c:pt>
                <c:pt idx="8">
                  <c:v>227064472.45520699</c:v>
                </c:pt>
                <c:pt idx="9">
                  <c:v>228133735.86513364</c:v>
                </c:pt>
                <c:pt idx="10">
                  <c:v>227639899.50537902</c:v>
                </c:pt>
                <c:pt idx="11">
                  <c:v>227184196.59283412</c:v>
                </c:pt>
                <c:pt idx="12">
                  <c:v>226317500.52218115</c:v>
                </c:pt>
                <c:pt idx="13">
                  <c:v>227588134.15654159</c:v>
                </c:pt>
                <c:pt idx="14">
                  <c:v>225976960.01784468</c:v>
                </c:pt>
              </c:numCache>
            </c:numRef>
          </c:val>
          <c:extLst>
            <c:ext xmlns:c16="http://schemas.microsoft.com/office/drawing/2014/chart" uri="{C3380CC4-5D6E-409C-BE32-E72D297353CC}">
              <c16:uniqueId val="{00000002-7993-4470-B1DC-36955F187029}"/>
            </c:ext>
          </c:extLst>
        </c:ser>
        <c:ser>
          <c:idx val="3"/>
          <c:order val="3"/>
          <c:tx>
            <c:strRef>
              <c:f>Tables_and_charts_Bo!$F$121</c:f>
              <c:strCache>
                <c:ptCount val="1"/>
                <c:pt idx="0">
                  <c:v>Waterways and Drainage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Tables_and_charts_Bo!$G$110:$U$110</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Tables_and_charts_Bo!$G$121:$U$121</c:f>
              <c:numCache>
                <c:formatCode>_(#,##0,,_);\(#,##0,,\);_("-"_)</c:formatCode>
                <c:ptCount val="15"/>
                <c:pt idx="0">
                  <c:v>176098574.62444776</c:v>
                </c:pt>
                <c:pt idx="1">
                  <c:v>180116953.19217902</c:v>
                </c:pt>
                <c:pt idx="2">
                  <c:v>185760935.99359769</c:v>
                </c:pt>
                <c:pt idx="3">
                  <c:v>205905041.79666767</c:v>
                </c:pt>
                <c:pt idx="4">
                  <c:v>201323387.76150224</c:v>
                </c:pt>
                <c:pt idx="5">
                  <c:v>200492768.36295453</c:v>
                </c:pt>
                <c:pt idx="6">
                  <c:v>202458889.15959388</c:v>
                </c:pt>
                <c:pt idx="7">
                  <c:v>203741534.75940463</c:v>
                </c:pt>
                <c:pt idx="8">
                  <c:v>202915430.26415393</c:v>
                </c:pt>
                <c:pt idx="9">
                  <c:v>202878599.63662565</c:v>
                </c:pt>
                <c:pt idx="10">
                  <c:v>202874257.23192775</c:v>
                </c:pt>
                <c:pt idx="11">
                  <c:v>202619995.06745514</c:v>
                </c:pt>
                <c:pt idx="12">
                  <c:v>202457069.67832106</c:v>
                </c:pt>
                <c:pt idx="13">
                  <c:v>202372434.60619172</c:v>
                </c:pt>
                <c:pt idx="14">
                  <c:v>202094552.43443736</c:v>
                </c:pt>
              </c:numCache>
            </c:numRef>
          </c:val>
          <c:extLst>
            <c:ext xmlns:c16="http://schemas.microsoft.com/office/drawing/2014/chart" uri="{C3380CC4-5D6E-409C-BE32-E72D297353CC}">
              <c16:uniqueId val="{00000003-7993-4470-B1DC-36955F187029}"/>
            </c:ext>
          </c:extLst>
        </c:ser>
        <c:ser>
          <c:idx val="4"/>
          <c:order val="4"/>
          <c:tx>
            <c:strRef>
              <c:f>Tables_and_charts_Bo!$F$122</c:f>
              <c:strCache>
                <c:ptCount val="1"/>
                <c:pt idx="0">
                  <c:v>Recycled Water</c:v>
                </c:pt>
              </c:strCache>
            </c:strRef>
          </c:tx>
          <c:spPr>
            <a:solidFill>
              <a:schemeClr val="accent5"/>
            </a:solidFill>
            <a:ln>
              <a:noFill/>
            </a:ln>
            <a:effectLst/>
          </c:spPr>
          <c:invertIfNegative val="0"/>
          <c:cat>
            <c:strRef>
              <c:f>Tables_and_charts_Bo!$G$110:$U$110</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Tables_and_charts_Bo!$G$122:$U$122</c:f>
              <c:numCache>
                <c:formatCode>_(#,##0,,_);\(#,##0,,\);_("-"_)</c:formatCode>
                <c:ptCount val="15"/>
                <c:pt idx="0">
                  <c:v>4477688.0800897507</c:v>
                </c:pt>
                <c:pt idx="1">
                  <c:v>3155930.4383511264</c:v>
                </c:pt>
                <c:pt idx="2">
                  <c:v>3368817.4559265603</c:v>
                </c:pt>
                <c:pt idx="3">
                  <c:v>4108487.5635354859</c:v>
                </c:pt>
                <c:pt idx="4">
                  <c:v>4017068.3906019358</c:v>
                </c:pt>
                <c:pt idx="5">
                  <c:v>3944649.8812245773</c:v>
                </c:pt>
                <c:pt idx="6">
                  <c:v>3972436.286750772</c:v>
                </c:pt>
                <c:pt idx="7">
                  <c:v>3981799.6002476239</c:v>
                </c:pt>
                <c:pt idx="8">
                  <c:v>3952637.4341722312</c:v>
                </c:pt>
                <c:pt idx="9">
                  <c:v>3948985.5376972379</c:v>
                </c:pt>
                <c:pt idx="10">
                  <c:v>3946890.1256652251</c:v>
                </c:pt>
                <c:pt idx="11">
                  <c:v>3949517.7063095886</c:v>
                </c:pt>
                <c:pt idx="12">
                  <c:v>3946343.9759801477</c:v>
                </c:pt>
                <c:pt idx="13">
                  <c:v>3954578.1822969317</c:v>
                </c:pt>
                <c:pt idx="14">
                  <c:v>3934494.640073353</c:v>
                </c:pt>
              </c:numCache>
            </c:numRef>
          </c:val>
          <c:extLst>
            <c:ext xmlns:c16="http://schemas.microsoft.com/office/drawing/2014/chart" uri="{C3380CC4-5D6E-409C-BE32-E72D297353CC}">
              <c16:uniqueId val="{00000004-7993-4470-B1DC-36955F187029}"/>
            </c:ext>
          </c:extLst>
        </c:ser>
        <c:ser>
          <c:idx val="5"/>
          <c:order val="5"/>
          <c:tx>
            <c:strRef>
              <c:f>Tables_and_charts_Bo!$F$123</c:f>
              <c:strCache>
                <c:ptCount val="1"/>
                <c:pt idx="0">
                  <c:v>Diversions</c:v>
                </c:pt>
              </c:strCache>
            </c:strRef>
          </c:tx>
          <c:spPr>
            <a:solidFill>
              <a:schemeClr val="accent6"/>
            </a:solidFill>
            <a:ln>
              <a:noFill/>
            </a:ln>
            <a:effectLst/>
          </c:spPr>
          <c:invertIfNegative val="0"/>
          <c:cat>
            <c:strRef>
              <c:f>Tables_and_charts_Bo!$G$110:$U$110</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Tables_and_charts_Bo!$G$123:$U$123</c:f>
              <c:numCache>
                <c:formatCode>_(#,##0,,_);\(#,##0,,\);_("-"_)</c:formatCode>
                <c:ptCount val="15"/>
                <c:pt idx="0">
                  <c:v>1338409.4668179343</c:v>
                </c:pt>
                <c:pt idx="1">
                  <c:v>1338409.4668179343</c:v>
                </c:pt>
                <c:pt idx="2">
                  <c:v>1338409.4668179343</c:v>
                </c:pt>
                <c:pt idx="3">
                  <c:v>1338409.4668179343</c:v>
                </c:pt>
                <c:pt idx="4">
                  <c:v>1308628.1215879058</c:v>
                </c:pt>
                <c:pt idx="5">
                  <c:v>1338409.4668179343</c:v>
                </c:pt>
                <c:pt idx="6">
                  <c:v>1336422.6742166681</c:v>
                </c:pt>
                <c:pt idx="7">
                  <c:v>1334486.5689174789</c:v>
                </c:pt>
                <c:pt idx="8">
                  <c:v>1332674.664098104</c:v>
                </c:pt>
                <c:pt idx="9">
                  <c:v>1330906.9555228851</c:v>
                </c:pt>
                <c:pt idx="10">
                  <c:v>1330906.9555228851</c:v>
                </c:pt>
                <c:pt idx="11">
                  <c:v>1330906.9555228851</c:v>
                </c:pt>
                <c:pt idx="12">
                  <c:v>1330906.9555228851</c:v>
                </c:pt>
                <c:pt idx="13">
                  <c:v>1330906.9555228851</c:v>
                </c:pt>
                <c:pt idx="14">
                  <c:v>1330906.9555228851</c:v>
                </c:pt>
              </c:numCache>
            </c:numRef>
          </c:val>
          <c:extLst>
            <c:ext xmlns:c16="http://schemas.microsoft.com/office/drawing/2014/chart" uri="{C3380CC4-5D6E-409C-BE32-E72D297353CC}">
              <c16:uniqueId val="{00000005-7993-4470-B1DC-36955F187029}"/>
            </c:ext>
          </c:extLst>
        </c:ser>
        <c:ser>
          <c:idx val="6"/>
          <c:order val="6"/>
          <c:tx>
            <c:strRef>
              <c:f>Tables_and_charts_Bo!$F$124</c:f>
              <c:strCache>
                <c:ptCount val="1"/>
                <c:pt idx="0">
                  <c:v>Total</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Tables_and_charts_Bo!$G$110:$U$110</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Tables_and_charts_Bo!$G$124:$U$124</c:f>
              <c:numCache>
                <c:formatCode>_(#,##0,,_);\(#,##0,,\);_("-"_)</c:formatCode>
                <c:ptCount val="15"/>
                <c:pt idx="0">
                  <c:v>1187110355.0823398</c:v>
                </c:pt>
                <c:pt idx="1">
                  <c:v>1166050055.9227738</c:v>
                </c:pt>
                <c:pt idx="2">
                  <c:v>1146797403.3651471</c:v>
                </c:pt>
                <c:pt idx="3">
                  <c:v>1164576417.0766704</c:v>
                </c:pt>
                <c:pt idx="4">
                  <c:v>1133816945.9228714</c:v>
                </c:pt>
                <c:pt idx="5">
                  <c:v>1115092374.1007557</c:v>
                </c:pt>
                <c:pt idx="6">
                  <c:v>1108556769.2167556</c:v>
                </c:pt>
                <c:pt idx="7">
                  <c:v>1114461880.24826</c:v>
                </c:pt>
                <c:pt idx="8">
                  <c:v>1096810661.4241655</c:v>
                </c:pt>
                <c:pt idx="9">
                  <c:v>1077005542.0432298</c:v>
                </c:pt>
                <c:pt idx="10">
                  <c:v>1054310365.5840573</c:v>
                </c:pt>
                <c:pt idx="11">
                  <c:v>1029472971.7621437</c:v>
                </c:pt>
                <c:pt idx="12">
                  <c:v>993222206.16491008</c:v>
                </c:pt>
                <c:pt idx="13">
                  <c:v>967224687.25231898</c:v>
                </c:pt>
                <c:pt idx="14">
                  <c:v>936828233.18714368</c:v>
                </c:pt>
              </c:numCache>
            </c:numRef>
          </c:val>
          <c:extLst>
            <c:ext xmlns:c16="http://schemas.microsoft.com/office/drawing/2014/chart" uri="{C3380CC4-5D6E-409C-BE32-E72D297353CC}">
              <c16:uniqueId val="{00000006-7993-4470-B1DC-36955F187029}"/>
            </c:ext>
          </c:extLst>
        </c:ser>
        <c:dLbls>
          <c:showLegendKey val="0"/>
          <c:showVal val="0"/>
          <c:showCatName val="0"/>
          <c:showSerName val="0"/>
          <c:showPercent val="0"/>
          <c:showBubbleSize val="0"/>
        </c:dLbls>
        <c:gapWidth val="100"/>
        <c:overlap val="100"/>
        <c:axId val="254865168"/>
        <c:axId val="254865648"/>
      </c:barChart>
      <c:catAx>
        <c:axId val="25486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254865648"/>
        <c:crosses val="autoZero"/>
        <c:auto val="1"/>
        <c:lblAlgn val="ctr"/>
        <c:lblOffset val="100"/>
        <c:noMultiLvlLbl val="0"/>
      </c:catAx>
      <c:valAx>
        <c:axId val="254865648"/>
        <c:scaling>
          <c:orientation val="minMax"/>
          <c:max val="1400000000"/>
        </c:scaling>
        <c:delete val="0"/>
        <c:axPos val="l"/>
        <c:majorGridlines>
          <c:spPr>
            <a:ln w="9525" cap="flat" cmpd="sng" algn="ctr">
              <a:solidFill>
                <a:schemeClr val="tx1">
                  <a:lumMod val="15000"/>
                  <a:lumOff val="85000"/>
                </a:schemeClr>
              </a:solidFill>
              <a:round/>
            </a:ln>
            <a:effectLst/>
          </c:spPr>
        </c:majorGridlines>
        <c:numFmt formatCode="_(#,##0,,_);\(#,##0,,\);_(&quot;-&quot;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254865168"/>
        <c:crosses val="autoZero"/>
        <c:crossBetween val="between"/>
      </c:valAx>
      <c:spPr>
        <a:noFill/>
        <a:ln>
          <a:no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75000"/>
              <a:lumOff val="25000"/>
            </a:schemeClr>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993012346792975E-2"/>
          <c:y val="4.2672137171524578E-2"/>
          <c:w val="0.91601041002766714"/>
          <c:h val="0.59606181614752818"/>
        </c:manualLayout>
      </c:layout>
      <c:barChart>
        <c:barDir val="col"/>
        <c:grouping val="clustered"/>
        <c:varyColors val="0"/>
        <c:ser>
          <c:idx val="0"/>
          <c:order val="0"/>
          <c:tx>
            <c:strRef>
              <c:f>Tables_and_charts_Bo!$G$235</c:f>
              <c:strCache>
                <c:ptCount val="1"/>
                <c:pt idx="0">
                  <c:v>Outcome 1: Safe and reliable bulk water supplies for now and  the long term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Tables_and_charts_Bo!$H$234:$L$234</c:f>
              <c:strCache>
                <c:ptCount val="5"/>
                <c:pt idx="0">
                  <c:v>2026-27</c:v>
                </c:pt>
                <c:pt idx="1">
                  <c:v>2027-28</c:v>
                </c:pt>
                <c:pt idx="2">
                  <c:v>2028-29</c:v>
                </c:pt>
                <c:pt idx="3">
                  <c:v>2029-30</c:v>
                </c:pt>
                <c:pt idx="4">
                  <c:v>2030-31</c:v>
                </c:pt>
              </c:strCache>
            </c:strRef>
          </c:cat>
          <c:val>
            <c:numRef>
              <c:f>Tables_and_charts_Bo!$H$235:$L$235</c:f>
              <c:numCache>
                <c:formatCode>_(#,##0,,_);\(#,##0,,\);_("-"_)</c:formatCode>
                <c:ptCount val="5"/>
                <c:pt idx="0">
                  <c:v>694839062.69400394</c:v>
                </c:pt>
                <c:pt idx="1">
                  <c:v>683730597.51354337</c:v>
                </c:pt>
                <c:pt idx="2">
                  <c:v>680348762.7214129</c:v>
                </c:pt>
                <c:pt idx="3">
                  <c:v>658623999.76725531</c:v>
                </c:pt>
                <c:pt idx="4">
                  <c:v>637794289.46185887</c:v>
                </c:pt>
              </c:numCache>
            </c:numRef>
          </c:val>
          <c:extLst>
            <c:ext xmlns:c16="http://schemas.microsoft.com/office/drawing/2014/chart" uri="{C3380CC4-5D6E-409C-BE32-E72D297353CC}">
              <c16:uniqueId val="{00000000-09DC-49FF-8CA7-DFE46B19A2C7}"/>
            </c:ext>
          </c:extLst>
        </c:ser>
        <c:ser>
          <c:idx val="1"/>
          <c:order val="1"/>
          <c:tx>
            <c:strRef>
              <c:f>Tables_and_charts_Bo!$G$236</c:f>
              <c:strCache>
                <c:ptCount val="1"/>
                <c:pt idx="0">
                  <c:v>Outcome 2: Environmentally sustainable and reliable bulk sewerage services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Tables_and_charts_Bo!$H$234:$L$234</c:f>
              <c:strCache>
                <c:ptCount val="5"/>
                <c:pt idx="0">
                  <c:v>2026-27</c:v>
                </c:pt>
                <c:pt idx="1">
                  <c:v>2027-28</c:v>
                </c:pt>
                <c:pt idx="2">
                  <c:v>2028-29</c:v>
                </c:pt>
                <c:pt idx="3">
                  <c:v>2029-30</c:v>
                </c:pt>
                <c:pt idx="4">
                  <c:v>2030-31</c:v>
                </c:pt>
              </c:strCache>
            </c:strRef>
          </c:cat>
          <c:val>
            <c:numRef>
              <c:f>Tables_and_charts_Bo!$H$236:$L$236</c:f>
              <c:numCache>
                <c:formatCode>_(#,##0,,_);\(#,##0,,\);_("-"_)</c:formatCode>
                <c:ptCount val="5"/>
                <c:pt idx="0">
                  <c:v>215420596.63119462</c:v>
                </c:pt>
                <c:pt idx="1">
                  <c:v>216110211.10657284</c:v>
                </c:pt>
                <c:pt idx="2">
                  <c:v>223273283.06951737</c:v>
                </c:pt>
                <c:pt idx="3">
                  <c:v>227650105.48818365</c:v>
                </c:pt>
                <c:pt idx="4">
                  <c:v>228718139.25452286</c:v>
                </c:pt>
              </c:numCache>
            </c:numRef>
          </c:val>
          <c:extLst>
            <c:ext xmlns:c16="http://schemas.microsoft.com/office/drawing/2014/chart" uri="{C3380CC4-5D6E-409C-BE32-E72D297353CC}">
              <c16:uniqueId val="{00000001-09DC-49FF-8CA7-DFE46B19A2C7}"/>
            </c:ext>
          </c:extLst>
        </c:ser>
        <c:ser>
          <c:idx val="2"/>
          <c:order val="2"/>
          <c:tx>
            <c:strRef>
              <c:f>Tables_and_charts_Bo!$G$237</c:f>
              <c:strCache>
                <c:ptCount val="1"/>
                <c:pt idx="0">
                  <c:v>Outcome 3: Healthy, resilient waterways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Tables_and_charts_Bo!$H$234:$L$234</c:f>
              <c:strCache>
                <c:ptCount val="5"/>
                <c:pt idx="0">
                  <c:v>2026-27</c:v>
                </c:pt>
                <c:pt idx="1">
                  <c:v>2027-28</c:v>
                </c:pt>
                <c:pt idx="2">
                  <c:v>2028-29</c:v>
                </c:pt>
                <c:pt idx="3">
                  <c:v>2029-30</c:v>
                </c:pt>
                <c:pt idx="4">
                  <c:v>2030-31</c:v>
                </c:pt>
              </c:strCache>
            </c:strRef>
          </c:cat>
          <c:val>
            <c:numRef>
              <c:f>Tables_and_charts_Bo!$H$237:$L$237</c:f>
              <c:numCache>
                <c:formatCode>_(#,##0,,_);\(#,##0,,\);_("-"_)</c:formatCode>
                <c:ptCount val="5"/>
                <c:pt idx="0">
                  <c:v>119360942.02296636</c:v>
                </c:pt>
                <c:pt idx="1">
                  <c:v>120516515.82712416</c:v>
                </c:pt>
                <c:pt idx="2">
                  <c:v>121519998.47342518</c:v>
                </c:pt>
                <c:pt idx="3">
                  <c:v>121044884.9767835</c:v>
                </c:pt>
                <c:pt idx="4">
                  <c:v>121166572.17242505</c:v>
                </c:pt>
              </c:numCache>
            </c:numRef>
          </c:val>
          <c:extLst>
            <c:ext xmlns:c16="http://schemas.microsoft.com/office/drawing/2014/chart" uri="{C3380CC4-5D6E-409C-BE32-E72D297353CC}">
              <c16:uniqueId val="{00000002-09DC-49FF-8CA7-DFE46B19A2C7}"/>
            </c:ext>
          </c:extLst>
        </c:ser>
        <c:ser>
          <c:idx val="3"/>
          <c:order val="3"/>
          <c:tx>
            <c:strRef>
              <c:f>Tables_and_charts_Bo!$G$238</c:f>
              <c:strCache>
                <c:ptCount val="1"/>
                <c:pt idx="0">
                  <c:v>Outcome 4: Urban drainage and flood resilience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Tables_and_charts_Bo!$H$234:$L$234</c:f>
              <c:strCache>
                <c:ptCount val="5"/>
                <c:pt idx="0">
                  <c:v>2026-27</c:v>
                </c:pt>
                <c:pt idx="1">
                  <c:v>2027-28</c:v>
                </c:pt>
                <c:pt idx="2">
                  <c:v>2028-29</c:v>
                </c:pt>
                <c:pt idx="3">
                  <c:v>2029-30</c:v>
                </c:pt>
                <c:pt idx="4">
                  <c:v>2030-31</c:v>
                </c:pt>
              </c:strCache>
            </c:strRef>
          </c:cat>
          <c:val>
            <c:numRef>
              <c:f>Tables_and_charts_Bo!$H$238:$L$238</c:f>
              <c:numCache>
                <c:formatCode>_(#,##0,,_);\(#,##0,,\);_("-"_)</c:formatCode>
                <c:ptCount val="5"/>
                <c:pt idx="0">
                  <c:v>81665036.127088636</c:v>
                </c:pt>
                <c:pt idx="1">
                  <c:v>81958770.673199803</c:v>
                </c:pt>
                <c:pt idx="2">
                  <c:v>82009808.175798655</c:v>
                </c:pt>
                <c:pt idx="3">
                  <c:v>81516264.562876746</c:v>
                </c:pt>
                <c:pt idx="4">
                  <c:v>81357278.630160108</c:v>
                </c:pt>
              </c:numCache>
            </c:numRef>
          </c:val>
          <c:extLst>
            <c:ext xmlns:c16="http://schemas.microsoft.com/office/drawing/2014/chart" uri="{C3380CC4-5D6E-409C-BE32-E72D297353CC}">
              <c16:uniqueId val="{00000003-09DC-49FF-8CA7-DFE46B19A2C7}"/>
            </c:ext>
          </c:extLst>
        </c:ser>
        <c:ser>
          <c:idx val="4"/>
          <c:order val="4"/>
          <c:tx>
            <c:strRef>
              <c:f>Tables_and_charts_Bo!$G$239</c:f>
              <c:strCache>
                <c:ptCount val="1"/>
                <c:pt idx="0">
                  <c:v>Outcome 5: A valued partner in water cycle services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Tables_and_charts_Bo!$H$234:$L$234</c:f>
              <c:strCache>
                <c:ptCount val="5"/>
                <c:pt idx="0">
                  <c:v>2026-27</c:v>
                </c:pt>
                <c:pt idx="1">
                  <c:v>2027-28</c:v>
                </c:pt>
                <c:pt idx="2">
                  <c:v>2028-29</c:v>
                </c:pt>
                <c:pt idx="3">
                  <c:v>2029-30</c:v>
                </c:pt>
                <c:pt idx="4">
                  <c:v>2030-31</c:v>
                </c:pt>
              </c:strCache>
            </c:strRef>
          </c:cat>
          <c:val>
            <c:numRef>
              <c:f>Tables_and_charts_Bo!$H$239:$L$239</c:f>
              <c:numCache>
                <c:formatCode>_(#,##0,,_);\(#,##0,,\);_("-"_)</c:formatCode>
                <c:ptCount val="5"/>
                <c:pt idx="0">
                  <c:v>3806736.6255021836</c:v>
                </c:pt>
                <c:pt idx="1">
                  <c:v>6240674.096315328</c:v>
                </c:pt>
                <c:pt idx="2">
                  <c:v>7310027.8081057202</c:v>
                </c:pt>
                <c:pt idx="3">
                  <c:v>7975406.6290664189</c:v>
                </c:pt>
                <c:pt idx="4">
                  <c:v>7969262.5242629256</c:v>
                </c:pt>
              </c:numCache>
            </c:numRef>
          </c:val>
          <c:extLst>
            <c:ext xmlns:c16="http://schemas.microsoft.com/office/drawing/2014/chart" uri="{C3380CC4-5D6E-409C-BE32-E72D297353CC}">
              <c16:uniqueId val="{00000004-09DC-49FF-8CA7-DFE46B19A2C7}"/>
            </c:ext>
          </c:extLst>
        </c:ser>
        <c:dLbls>
          <c:showLegendKey val="0"/>
          <c:showVal val="0"/>
          <c:showCatName val="0"/>
          <c:showSerName val="0"/>
          <c:showPercent val="0"/>
          <c:showBubbleSize val="0"/>
        </c:dLbls>
        <c:gapWidth val="219"/>
        <c:overlap val="-27"/>
        <c:axId val="1426592688"/>
        <c:axId val="1426570608"/>
      </c:barChart>
      <c:catAx>
        <c:axId val="142659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570608"/>
        <c:crosses val="autoZero"/>
        <c:auto val="1"/>
        <c:lblAlgn val="ctr"/>
        <c:lblOffset val="100"/>
        <c:noMultiLvlLbl val="0"/>
      </c:catAx>
      <c:valAx>
        <c:axId val="1426570608"/>
        <c:scaling>
          <c:orientation val="minMax"/>
        </c:scaling>
        <c:delete val="0"/>
        <c:axPos val="l"/>
        <c:majorGridlines>
          <c:spPr>
            <a:ln w="9525" cap="flat" cmpd="sng" algn="ctr">
              <a:solidFill>
                <a:schemeClr val="tx1">
                  <a:lumMod val="15000"/>
                  <a:lumOff val="85000"/>
                </a:schemeClr>
              </a:solidFill>
              <a:round/>
            </a:ln>
            <a:effectLst/>
          </c:spPr>
        </c:majorGridlines>
        <c:numFmt formatCode="_(#,##0,,_);\(#,##0,,\);_(&quot;-&quot;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592688"/>
        <c:crosses val="autoZero"/>
        <c:crossBetween val="between"/>
      </c:valAx>
      <c:spPr>
        <a:noFill/>
        <a:ln>
          <a:noFill/>
        </a:ln>
        <a:effectLst/>
      </c:spPr>
    </c:plotArea>
    <c:legend>
      <c:legendPos val="b"/>
      <c:layout>
        <c:manualLayout>
          <c:xMode val="edge"/>
          <c:yMode val="edge"/>
          <c:x val="3.3439411851133671E-4"/>
          <c:y val="0.73574991306159276"/>
          <c:w val="0.99351342785016761"/>
          <c:h val="0.233328237426690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9D1-4F69-8F5E-7C4B06EEF01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9D1-4F69-8F5E-7C4B06EEF01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9D1-4F69-8F5E-7C4B06EEF01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9D1-4F69-8F5E-7C4B06EEF01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9D1-4F69-8F5E-7C4B06EEF01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9D1-4F69-8F5E-7C4B06EEF012}"/>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9D1-4F69-8F5E-7C4B06EEF012}"/>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9D1-4F69-8F5E-7C4B06EEF012}"/>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9D1-4F69-8F5E-7C4B06EEF012}"/>
              </c:ext>
            </c:extLst>
          </c:dPt>
          <c:dLbls>
            <c:dLbl>
              <c:idx val="0"/>
              <c:layout>
                <c:manualLayout>
                  <c:x val="2.2158209616662161E-3"/>
                  <c:y val="5.2770448548812663E-3"/>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D1-4F69-8F5E-7C4B06EEF012}"/>
                </c:ext>
              </c:extLst>
            </c:dLbl>
            <c:dLbl>
              <c:idx val="1"/>
              <c:spPr>
                <a:noFill/>
                <a:ln>
                  <a:noFill/>
                </a:ln>
                <a:effectLst/>
              </c:spPr>
              <c:txPr>
                <a:bodyPr rot="0" spcFirstLastPara="1" vertOverflow="ellipsis" vert="horz" wrap="square" anchor="ctr" anchorCtr="1"/>
                <a:lstStyle/>
                <a:p>
                  <a:pPr>
                    <a:defRPr sz="8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69D1-4F69-8F5E-7C4B06EEF012}"/>
                </c:ext>
              </c:extLst>
            </c:dLbl>
            <c:dLbl>
              <c:idx val="2"/>
              <c:spPr>
                <a:noFill/>
                <a:ln>
                  <a:noFill/>
                </a:ln>
                <a:effectLst/>
              </c:spPr>
              <c:txPr>
                <a:bodyPr rot="0" spcFirstLastPara="1" vertOverflow="ellipsis" vert="horz" wrap="square" anchor="ctr" anchorCtr="1"/>
                <a:lstStyle/>
                <a:p>
                  <a:pPr>
                    <a:defRPr sz="8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69D1-4F69-8F5E-7C4B06EEF012}"/>
                </c:ext>
              </c:extLst>
            </c:dLbl>
            <c:dLbl>
              <c:idx val="3"/>
              <c:spPr>
                <a:noFill/>
                <a:ln>
                  <a:noFill/>
                </a:ln>
                <a:effectLst/>
              </c:spPr>
              <c:txPr>
                <a:bodyPr rot="0" spcFirstLastPara="1" vertOverflow="ellipsis" vert="horz" wrap="square" anchor="ctr" anchorCtr="1"/>
                <a:lstStyle/>
                <a:p>
                  <a:pPr>
                    <a:defRPr sz="8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69D1-4F69-8F5E-7C4B06EEF012}"/>
                </c:ext>
              </c:extLst>
            </c:dLbl>
            <c:dLbl>
              <c:idx val="4"/>
              <c:spPr>
                <a:noFill/>
                <a:ln>
                  <a:noFill/>
                </a:ln>
                <a:effectLst/>
              </c:spPr>
              <c:txPr>
                <a:bodyPr rot="0" spcFirstLastPara="1" vertOverflow="ellipsis" vert="horz" wrap="square" anchor="ctr" anchorCtr="1"/>
                <a:lstStyle/>
                <a:p>
                  <a:pPr>
                    <a:defRPr sz="8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69D1-4F69-8F5E-7C4B06EEF012}"/>
                </c:ext>
              </c:extLst>
            </c:dLbl>
            <c:dLbl>
              <c:idx val="5"/>
              <c:spPr>
                <a:noFill/>
                <a:ln>
                  <a:noFill/>
                </a:ln>
                <a:effectLst/>
              </c:spPr>
              <c:txPr>
                <a:bodyPr rot="0" spcFirstLastPara="1" vertOverflow="ellipsis" vert="horz" wrap="square" anchor="ctr" anchorCtr="1"/>
                <a:lstStyle/>
                <a:p>
                  <a:pPr>
                    <a:defRPr sz="8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69D1-4F69-8F5E-7C4B06EEF012}"/>
                </c:ext>
              </c:extLst>
            </c:dLbl>
            <c:dLbl>
              <c:idx val="6"/>
              <c:spPr>
                <a:noFill/>
                <a:ln>
                  <a:noFill/>
                </a:ln>
                <a:effectLst/>
              </c:spPr>
              <c:txPr>
                <a:bodyPr rot="0" spcFirstLastPara="1" vertOverflow="ellipsis" vert="horz" wrap="square" anchor="ctr" anchorCtr="1"/>
                <a:lstStyle/>
                <a:p>
                  <a:pPr>
                    <a:defRPr sz="8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69D1-4F69-8F5E-7C4B06EEF012}"/>
                </c:ext>
              </c:extLst>
            </c:dLbl>
            <c:dLbl>
              <c:idx val="7"/>
              <c:layout>
                <c:manualLayout>
                  <c:x val="-8.6243244800161295E-2"/>
                  <c:y val="7.0065184466181901E-2"/>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0841335162322814"/>
                      <c:h val="9.5430393198724761E-2"/>
                    </c:manualLayout>
                  </c15:layout>
                </c:ext>
                <c:ext xmlns:c16="http://schemas.microsoft.com/office/drawing/2014/chart" uri="{C3380CC4-5D6E-409C-BE32-E72D297353CC}">
                  <c16:uniqueId val="{0000000F-69D1-4F69-8F5E-7C4B06EEF012}"/>
                </c:ext>
              </c:extLst>
            </c:dLbl>
            <c:dLbl>
              <c:idx val="8"/>
              <c:layout>
                <c:manualLayout>
                  <c:x val="-6.8587105624142705E-2"/>
                  <c:y val="-1.3877787807814457E-17"/>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1785550983081847"/>
                      <c:h val="0.13676956161563755"/>
                    </c:manualLayout>
                  </c15:layout>
                </c:ext>
                <c:ext xmlns:c16="http://schemas.microsoft.com/office/drawing/2014/chart" uri="{C3380CC4-5D6E-409C-BE32-E72D297353CC}">
                  <c16:uniqueId val="{00000011-69D1-4F69-8F5E-7C4B06EEF01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'[Opex BST FINAL PS26 Submission Version 20250808 Base year justification.xlsx]Tables_and_charts_Bo'!$J$272:$J$280</c:f>
              <c:strCache>
                <c:ptCount val="9"/>
                <c:pt idx="0">
                  <c:v>Energy</c:v>
                </c:pt>
                <c:pt idx="1">
                  <c:v>External services</c:v>
                </c:pt>
                <c:pt idx="2">
                  <c:v>Other</c:v>
                </c:pt>
                <c:pt idx="3">
                  <c:v>Grants</c:v>
                </c:pt>
                <c:pt idx="4">
                  <c:v>IT</c:v>
                </c:pt>
                <c:pt idx="5">
                  <c:v>Labour</c:v>
                </c:pt>
                <c:pt idx="6">
                  <c:v>Maintenance</c:v>
                </c:pt>
                <c:pt idx="7">
                  <c:v>Materials</c:v>
                </c:pt>
                <c:pt idx="8">
                  <c:v>Rental &amp; Insurance</c:v>
                </c:pt>
              </c:strCache>
            </c:strRef>
          </c:cat>
          <c:val>
            <c:numRef>
              <c:f>'[Opex BST FINAL PS26 Submission Version 20250808 Base year justification.xlsx]Tables_and_charts_Bo'!$K$272:$K$280</c:f>
              <c:numCache>
                <c:formatCode>_("$"#,##0.0,,"m"_);\("$"#,##0.0,,"m"\);_("-"_);_)@_)</c:formatCode>
                <c:ptCount val="9"/>
                <c:pt idx="0">
                  <c:v>40190582.769650623</c:v>
                </c:pt>
                <c:pt idx="1">
                  <c:v>81618376.643755406</c:v>
                </c:pt>
                <c:pt idx="2">
                  <c:v>11598983.396703055</c:v>
                </c:pt>
                <c:pt idx="3">
                  <c:v>15925403.977641923</c:v>
                </c:pt>
                <c:pt idx="4">
                  <c:v>53367469.500109196</c:v>
                </c:pt>
                <c:pt idx="5">
                  <c:v>205360118.20460704</c:v>
                </c:pt>
                <c:pt idx="6">
                  <c:v>122804134.38419221</c:v>
                </c:pt>
                <c:pt idx="7">
                  <c:v>18809621.490262005</c:v>
                </c:pt>
                <c:pt idx="8">
                  <c:v>18269357.902838424</c:v>
                </c:pt>
              </c:numCache>
            </c:numRef>
          </c:val>
          <c:extLst>
            <c:ext xmlns:c16="http://schemas.microsoft.com/office/drawing/2014/chart" uri="{C3380CC4-5D6E-409C-BE32-E72D297353CC}">
              <c16:uniqueId val="{00000012-69D1-4F69-8F5E-7C4B06EEF012}"/>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19498035633315"/>
          <c:y val="4.2652190771616909E-2"/>
          <c:w val="0.84668606209847985"/>
          <c:h val="0.62661716529326805"/>
        </c:manualLayout>
      </c:layout>
      <c:barChart>
        <c:barDir val="col"/>
        <c:grouping val="stacked"/>
        <c:varyColors val="0"/>
        <c:ser>
          <c:idx val="0"/>
          <c:order val="0"/>
          <c:tx>
            <c:strRef>
              <c:f>'PS_Doc (CapEx)'!$AX$397</c:f>
              <c:strCache>
                <c:ptCount val="1"/>
                <c:pt idx="0">
                  <c:v>Water</c:v>
                </c:pt>
              </c:strCache>
            </c:strRef>
          </c:tx>
          <c:spPr>
            <a:solidFill>
              <a:schemeClr val="accent1"/>
            </a:solidFill>
            <a:ln>
              <a:noFill/>
            </a:ln>
            <a:effectLst/>
          </c:spPr>
          <c:invertIfNegative val="0"/>
          <c:cat>
            <c:strRef>
              <c:f>'PS_Doc (CapEx)'!$AY$396:$BC$396</c:f>
              <c:strCache>
                <c:ptCount val="5"/>
                <c:pt idx="0">
                  <c:v>2021-22</c:v>
                </c:pt>
                <c:pt idx="1">
                  <c:v>2022-23</c:v>
                </c:pt>
                <c:pt idx="2">
                  <c:v>2023-24</c:v>
                </c:pt>
                <c:pt idx="3">
                  <c:v>2024-25</c:v>
                </c:pt>
                <c:pt idx="4">
                  <c:v>2025-26</c:v>
                </c:pt>
              </c:strCache>
            </c:strRef>
          </c:cat>
          <c:val>
            <c:numRef>
              <c:f>'PS_Doc (CapEx)'!$AY$397:$BC$397</c:f>
              <c:numCache>
                <c:formatCode>_("$"#,##0,,"m"_);\("$"#,##0.00,,"m"\);_("-"_)</c:formatCode>
                <c:ptCount val="5"/>
                <c:pt idx="0">
                  <c:v>160581060.18646657</c:v>
                </c:pt>
                <c:pt idx="1">
                  <c:v>381086059.13727564</c:v>
                </c:pt>
                <c:pt idx="2">
                  <c:v>634081682.71826172</c:v>
                </c:pt>
                <c:pt idx="3">
                  <c:v>847898937.06459808</c:v>
                </c:pt>
                <c:pt idx="4">
                  <c:v>1043559121.3811241</c:v>
                </c:pt>
              </c:numCache>
            </c:numRef>
          </c:val>
          <c:extLst>
            <c:ext xmlns:c16="http://schemas.microsoft.com/office/drawing/2014/chart" uri="{C3380CC4-5D6E-409C-BE32-E72D297353CC}">
              <c16:uniqueId val="{00000000-F4AD-40F8-9BC5-8256A0547546}"/>
            </c:ext>
          </c:extLst>
        </c:ser>
        <c:ser>
          <c:idx val="1"/>
          <c:order val="1"/>
          <c:tx>
            <c:strRef>
              <c:f>'PS_Doc (CapEx)'!$AX$398</c:f>
              <c:strCache>
                <c:ptCount val="1"/>
                <c:pt idx="0">
                  <c:v>Sewerage</c:v>
                </c:pt>
              </c:strCache>
            </c:strRef>
          </c:tx>
          <c:spPr>
            <a:solidFill>
              <a:schemeClr val="accent2"/>
            </a:solidFill>
            <a:ln>
              <a:noFill/>
            </a:ln>
            <a:effectLst/>
          </c:spPr>
          <c:invertIfNegative val="0"/>
          <c:cat>
            <c:strRef>
              <c:f>'PS_Doc (CapEx)'!$AY$396:$BC$396</c:f>
              <c:strCache>
                <c:ptCount val="5"/>
                <c:pt idx="0">
                  <c:v>2021-22</c:v>
                </c:pt>
                <c:pt idx="1">
                  <c:v>2022-23</c:v>
                </c:pt>
                <c:pt idx="2">
                  <c:v>2023-24</c:v>
                </c:pt>
                <c:pt idx="3">
                  <c:v>2024-25</c:v>
                </c:pt>
                <c:pt idx="4">
                  <c:v>2025-26</c:v>
                </c:pt>
              </c:strCache>
            </c:strRef>
          </c:cat>
          <c:val>
            <c:numRef>
              <c:f>'PS_Doc (CapEx)'!$AY$398:$BC$398</c:f>
              <c:numCache>
                <c:formatCode>_("$"#,##0,,"m"_);\("$"#,##0.00,,"m"\);_("-"_)</c:formatCode>
                <c:ptCount val="5"/>
                <c:pt idx="0">
                  <c:v>309110934.04552609</c:v>
                </c:pt>
                <c:pt idx="1">
                  <c:v>659848945.22628689</c:v>
                </c:pt>
                <c:pt idx="2">
                  <c:v>1088102277.6437812</c:v>
                </c:pt>
                <c:pt idx="3">
                  <c:v>1505062119.6446259</c:v>
                </c:pt>
                <c:pt idx="4">
                  <c:v>1938996708.4556339</c:v>
                </c:pt>
              </c:numCache>
            </c:numRef>
          </c:val>
          <c:extLst>
            <c:ext xmlns:c16="http://schemas.microsoft.com/office/drawing/2014/chart" uri="{C3380CC4-5D6E-409C-BE32-E72D297353CC}">
              <c16:uniqueId val="{00000001-F4AD-40F8-9BC5-8256A0547546}"/>
            </c:ext>
          </c:extLst>
        </c:ser>
        <c:ser>
          <c:idx val="2"/>
          <c:order val="2"/>
          <c:tx>
            <c:strRef>
              <c:f>'PS_Doc (CapEx)'!$AX$399</c:f>
              <c:strCache>
                <c:ptCount val="1"/>
                <c:pt idx="0">
                  <c:v>Waterways &amp; Drainage</c:v>
                </c:pt>
              </c:strCache>
            </c:strRef>
          </c:tx>
          <c:spPr>
            <a:solidFill>
              <a:schemeClr val="accent3"/>
            </a:solidFill>
            <a:ln>
              <a:noFill/>
            </a:ln>
            <a:effectLst/>
          </c:spPr>
          <c:invertIfNegative val="0"/>
          <c:cat>
            <c:strRef>
              <c:f>'PS_Doc (CapEx)'!$AY$396:$BC$396</c:f>
              <c:strCache>
                <c:ptCount val="5"/>
                <c:pt idx="0">
                  <c:v>2021-22</c:v>
                </c:pt>
                <c:pt idx="1">
                  <c:v>2022-23</c:v>
                </c:pt>
                <c:pt idx="2">
                  <c:v>2023-24</c:v>
                </c:pt>
                <c:pt idx="3">
                  <c:v>2024-25</c:v>
                </c:pt>
                <c:pt idx="4">
                  <c:v>2025-26</c:v>
                </c:pt>
              </c:strCache>
            </c:strRef>
          </c:cat>
          <c:val>
            <c:numRef>
              <c:f>'PS_Doc (CapEx)'!$AY$399:$BC$399</c:f>
              <c:numCache>
                <c:formatCode>_("$"#,##0,,"m"_);\("$"#,##0.00,,"m"\);_("-"_)</c:formatCode>
                <c:ptCount val="5"/>
                <c:pt idx="0">
                  <c:v>256731974.0760878</c:v>
                </c:pt>
                <c:pt idx="1">
                  <c:v>531760123.37684309</c:v>
                </c:pt>
                <c:pt idx="2">
                  <c:v>771170304.55627096</c:v>
                </c:pt>
                <c:pt idx="3">
                  <c:v>1132437501.737473</c:v>
                </c:pt>
                <c:pt idx="4">
                  <c:v>1595908249.033627</c:v>
                </c:pt>
              </c:numCache>
            </c:numRef>
          </c:val>
          <c:extLst>
            <c:ext xmlns:c16="http://schemas.microsoft.com/office/drawing/2014/chart" uri="{C3380CC4-5D6E-409C-BE32-E72D297353CC}">
              <c16:uniqueId val="{00000002-F4AD-40F8-9BC5-8256A0547546}"/>
            </c:ext>
          </c:extLst>
        </c:ser>
        <c:ser>
          <c:idx val="3"/>
          <c:order val="3"/>
          <c:tx>
            <c:strRef>
              <c:f>'PS_Doc (CapEx)'!$AX$400</c:f>
              <c:strCache>
                <c:ptCount val="1"/>
                <c:pt idx="0">
                  <c:v>Recycled Water</c:v>
                </c:pt>
              </c:strCache>
            </c:strRef>
          </c:tx>
          <c:spPr>
            <a:solidFill>
              <a:schemeClr val="accent4"/>
            </a:solidFill>
            <a:ln>
              <a:noFill/>
            </a:ln>
            <a:effectLst/>
          </c:spPr>
          <c:invertIfNegative val="0"/>
          <c:cat>
            <c:strRef>
              <c:f>'PS_Doc (CapEx)'!$AY$396:$BC$396</c:f>
              <c:strCache>
                <c:ptCount val="5"/>
                <c:pt idx="0">
                  <c:v>2021-22</c:v>
                </c:pt>
                <c:pt idx="1">
                  <c:v>2022-23</c:v>
                </c:pt>
                <c:pt idx="2">
                  <c:v>2023-24</c:v>
                </c:pt>
                <c:pt idx="3">
                  <c:v>2024-25</c:v>
                </c:pt>
                <c:pt idx="4">
                  <c:v>2025-26</c:v>
                </c:pt>
              </c:strCache>
            </c:strRef>
          </c:cat>
          <c:val>
            <c:numRef>
              <c:f>'PS_Doc (CapEx)'!$AY$400:$BC$400</c:f>
              <c:numCache>
                <c:formatCode>_("$"#,##0,,"m"_);\("$"#,##0.00,,"m"\);_("-"_)</c:formatCode>
                <c:ptCount val="5"/>
                <c:pt idx="0">
                  <c:v>127233.09171601017</c:v>
                </c:pt>
                <c:pt idx="1">
                  <c:v>208153.66634007794</c:v>
                </c:pt>
                <c:pt idx="2">
                  <c:v>319685.01870341727</c:v>
                </c:pt>
                <c:pt idx="3">
                  <c:v>518398.07536377531</c:v>
                </c:pt>
                <c:pt idx="4">
                  <c:v>698763.34167577536</c:v>
                </c:pt>
              </c:numCache>
            </c:numRef>
          </c:val>
          <c:extLst>
            <c:ext xmlns:c16="http://schemas.microsoft.com/office/drawing/2014/chart" uri="{C3380CC4-5D6E-409C-BE32-E72D297353CC}">
              <c16:uniqueId val="{00000003-F4AD-40F8-9BC5-8256A0547546}"/>
            </c:ext>
          </c:extLst>
        </c:ser>
        <c:ser>
          <c:idx val="4"/>
          <c:order val="4"/>
          <c:tx>
            <c:strRef>
              <c:f>'PS_Doc (CapEx)'!$AX$401</c:f>
              <c:strCache>
                <c:ptCount val="1"/>
                <c:pt idx="0">
                  <c:v>Diversion</c:v>
                </c:pt>
              </c:strCache>
            </c:strRef>
          </c:tx>
          <c:spPr>
            <a:solidFill>
              <a:schemeClr val="accent5"/>
            </a:solidFill>
            <a:ln>
              <a:noFill/>
            </a:ln>
            <a:effectLst/>
          </c:spPr>
          <c:invertIfNegative val="0"/>
          <c:cat>
            <c:strRef>
              <c:f>'PS_Doc (CapEx)'!$AY$396:$BC$396</c:f>
              <c:strCache>
                <c:ptCount val="5"/>
                <c:pt idx="0">
                  <c:v>2021-22</c:v>
                </c:pt>
                <c:pt idx="1">
                  <c:v>2022-23</c:v>
                </c:pt>
                <c:pt idx="2">
                  <c:v>2023-24</c:v>
                </c:pt>
                <c:pt idx="3">
                  <c:v>2024-25</c:v>
                </c:pt>
                <c:pt idx="4">
                  <c:v>2025-26</c:v>
                </c:pt>
              </c:strCache>
            </c:strRef>
          </c:cat>
          <c:val>
            <c:numRef>
              <c:f>'PS_Doc (CapEx)'!$AY$401:$BC$401</c:f>
              <c:numCache>
                <c:formatCode>_("$"#,##0,,"m"_);\("$"#,##0.00,,"m"\);_("-"_)</c:formatCode>
                <c:ptCount val="5"/>
                <c:pt idx="0">
                  <c:v>830451.11582697195</c:v>
                </c:pt>
                <c:pt idx="1">
                  <c:v>1706473.7765049378</c:v>
                </c:pt>
                <c:pt idx="2">
                  <c:v>1915925.9720252997</c:v>
                </c:pt>
                <c:pt idx="3">
                  <c:v>2426215.0833571772</c:v>
                </c:pt>
                <c:pt idx="4">
                  <c:v>3516442.8833571775</c:v>
                </c:pt>
              </c:numCache>
            </c:numRef>
          </c:val>
          <c:extLst>
            <c:ext xmlns:c16="http://schemas.microsoft.com/office/drawing/2014/chart" uri="{C3380CC4-5D6E-409C-BE32-E72D297353CC}">
              <c16:uniqueId val="{00000004-F4AD-40F8-9BC5-8256A0547546}"/>
            </c:ext>
          </c:extLst>
        </c:ser>
        <c:ser>
          <c:idx val="5"/>
          <c:order val="5"/>
          <c:tx>
            <c:strRef>
              <c:f>'PS_Doc (CapEx)'!$AX$402</c:f>
              <c:strCache>
                <c:ptCount val="1"/>
                <c:pt idx="0">
                  <c:v>Desal capitalisation</c:v>
                </c:pt>
              </c:strCache>
            </c:strRef>
          </c:tx>
          <c:spPr>
            <a:solidFill>
              <a:schemeClr val="accent6"/>
            </a:solidFill>
            <a:ln>
              <a:noFill/>
            </a:ln>
            <a:effectLst/>
          </c:spPr>
          <c:invertIfNegative val="0"/>
          <c:cat>
            <c:strRef>
              <c:f>'PS_Doc (CapEx)'!$AY$396:$BC$396</c:f>
              <c:strCache>
                <c:ptCount val="5"/>
                <c:pt idx="0">
                  <c:v>2021-22</c:v>
                </c:pt>
                <c:pt idx="1">
                  <c:v>2022-23</c:v>
                </c:pt>
                <c:pt idx="2">
                  <c:v>2023-24</c:v>
                </c:pt>
                <c:pt idx="3">
                  <c:v>2024-25</c:v>
                </c:pt>
                <c:pt idx="4">
                  <c:v>2025-26</c:v>
                </c:pt>
              </c:strCache>
            </c:strRef>
          </c:cat>
          <c:val>
            <c:numRef>
              <c:f>'PS_Doc (CapEx)'!$AY$402:$BC$402</c:f>
              <c:numCache>
                <c:formatCode>_("$"#,##0,,"m"_);\("$"#,##0.00,,"m"\);_("-"_)</c:formatCode>
                <c:ptCount val="5"/>
                <c:pt idx="0">
                  <c:v>24480184.26295248</c:v>
                </c:pt>
                <c:pt idx="1">
                  <c:v>60583935.822382487</c:v>
                </c:pt>
                <c:pt idx="2">
                  <c:v>115088659.03863814</c:v>
                </c:pt>
                <c:pt idx="3">
                  <c:v>181068599.82967511</c:v>
                </c:pt>
                <c:pt idx="4">
                  <c:v>256988842.04518771</c:v>
                </c:pt>
              </c:numCache>
            </c:numRef>
          </c:val>
          <c:extLst>
            <c:ext xmlns:c16="http://schemas.microsoft.com/office/drawing/2014/chart" uri="{C3380CC4-5D6E-409C-BE32-E72D297353CC}">
              <c16:uniqueId val="{00000005-F4AD-40F8-9BC5-8256A0547546}"/>
            </c:ext>
          </c:extLst>
        </c:ser>
        <c:dLbls>
          <c:showLegendKey val="0"/>
          <c:showVal val="0"/>
          <c:showCatName val="0"/>
          <c:showSerName val="0"/>
          <c:showPercent val="0"/>
          <c:showBubbleSize val="0"/>
        </c:dLbls>
        <c:gapWidth val="219"/>
        <c:overlap val="100"/>
        <c:axId val="131487743"/>
        <c:axId val="131485823"/>
      </c:barChart>
      <c:lineChart>
        <c:grouping val="standard"/>
        <c:varyColors val="0"/>
        <c:ser>
          <c:idx val="6"/>
          <c:order val="6"/>
          <c:tx>
            <c:strRef>
              <c:f>'PS_Doc (CapEx)'!$AX$403</c:f>
              <c:strCache>
                <c:ptCount val="1"/>
                <c:pt idx="0">
                  <c:v>Total</c:v>
                </c:pt>
              </c:strCache>
            </c:strRef>
          </c:tx>
          <c:spPr>
            <a:ln w="28575" cap="rnd">
              <a:noFill/>
              <a:round/>
            </a:ln>
            <a:effectLst/>
          </c:spPr>
          <c:marker>
            <c:symbol val="none"/>
          </c:marker>
          <c:dLbls>
            <c:dLbl>
              <c:idx val="0"/>
              <c:layout>
                <c:manualLayout>
                  <c:x val="-5.0373180023367194E-2"/>
                  <c:y val="-5.76290022684737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AD-40F8-9BC5-8256A0547546}"/>
                </c:ext>
              </c:extLst>
            </c:dLbl>
            <c:dLbl>
              <c:idx val="1"/>
              <c:layout>
                <c:manualLayout>
                  <c:x val="-5.8774777995121395E-2"/>
                  <c:y val="-8.4771305486775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AD-40F8-9BC5-8256A0547546}"/>
                </c:ext>
              </c:extLst>
            </c:dLbl>
            <c:dLbl>
              <c:idx val="2"/>
              <c:layout>
                <c:manualLayout>
                  <c:x val="-5.877477799512143E-2"/>
                  <c:y val="-7.70163617101178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AD-40F8-9BC5-8256A054754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'PS_Doc (CapEx)'!$AY$396:$BC$396</c:f>
              <c:strCache>
                <c:ptCount val="5"/>
                <c:pt idx="0">
                  <c:v>2021-22</c:v>
                </c:pt>
                <c:pt idx="1">
                  <c:v>2022-23</c:v>
                </c:pt>
                <c:pt idx="2">
                  <c:v>2023-24</c:v>
                </c:pt>
                <c:pt idx="3">
                  <c:v>2024-25</c:v>
                </c:pt>
                <c:pt idx="4">
                  <c:v>2025-26</c:v>
                </c:pt>
              </c:strCache>
            </c:strRef>
          </c:cat>
          <c:val>
            <c:numRef>
              <c:f>'PS_Doc (CapEx)'!$AY$403:$BC$403</c:f>
              <c:numCache>
                <c:formatCode>_("$"#,##0,,"m"_);\("$"#,##0.00,,"m"\);_("-"_)</c:formatCode>
                <c:ptCount val="5"/>
                <c:pt idx="0">
                  <c:v>751861836.7785759</c:v>
                </c:pt>
                <c:pt idx="1">
                  <c:v>1635193691.0056331</c:v>
                </c:pt>
                <c:pt idx="2">
                  <c:v>2610678534.947681</c:v>
                </c:pt>
                <c:pt idx="3">
                  <c:v>3669411771.4350929</c:v>
                </c:pt>
                <c:pt idx="4">
                  <c:v>4839668127.1406059</c:v>
                </c:pt>
              </c:numCache>
            </c:numRef>
          </c:val>
          <c:smooth val="0"/>
          <c:extLst>
            <c:ext xmlns:c16="http://schemas.microsoft.com/office/drawing/2014/chart" uri="{C3380CC4-5D6E-409C-BE32-E72D297353CC}">
              <c16:uniqueId val="{00000006-F4AD-40F8-9BC5-8256A0547546}"/>
            </c:ext>
          </c:extLst>
        </c:ser>
        <c:ser>
          <c:idx val="7"/>
          <c:order val="7"/>
          <c:tx>
            <c:strRef>
              <c:f>'PS_Doc (CapEx)'!$AX$404</c:f>
              <c:strCache>
                <c:ptCount val="1"/>
                <c:pt idx="0">
                  <c:v>PD21 Cumulative benchmark </c:v>
                </c:pt>
              </c:strCache>
            </c:strRef>
          </c:tx>
          <c:spPr>
            <a:ln w="28575" cap="rnd">
              <a:solidFill>
                <a:schemeClr val="accent2">
                  <a:lumMod val="60000"/>
                </a:schemeClr>
              </a:solidFill>
              <a:round/>
            </a:ln>
            <a:effectLst/>
          </c:spPr>
          <c:marker>
            <c:symbol val="none"/>
          </c:marker>
          <c:dLbls>
            <c:dLbl>
              <c:idx val="0"/>
              <c:layout>
                <c:manualLayout>
                  <c:x val="1.0508617065994116E-2"/>
                  <c:y val="1.1632415664986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AD-40F8-9BC5-8256A0547546}"/>
                </c:ext>
              </c:extLst>
            </c:dLbl>
            <c:dLbl>
              <c:idx val="1"/>
              <c:layout>
                <c:manualLayout>
                  <c:x val="1.2610340479192938E-2"/>
                  <c:y val="2.3264831329972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AD-40F8-9BC5-8256A0547546}"/>
                </c:ext>
              </c:extLst>
            </c:dLbl>
            <c:dLbl>
              <c:idx val="2"/>
              <c:layout>
                <c:manualLayout>
                  <c:x val="1.6813787305590584E-2"/>
                  <c:y val="2.3264831329972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AD-40F8-9BC5-8256A0547546}"/>
                </c:ext>
              </c:extLst>
            </c:dLbl>
            <c:dLbl>
              <c:idx val="3"/>
              <c:layout>
                <c:manualLayout>
                  <c:x val="1.6813787305590432E-2"/>
                  <c:y val="1.5509887553315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AD-40F8-9BC5-8256A0547546}"/>
                </c:ext>
              </c:extLst>
            </c:dLbl>
            <c:dLbl>
              <c:idx val="4"/>
              <c:layout>
                <c:manualLayout>
                  <c:x val="0"/>
                  <c:y val="2.3264831329972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AD-40F8-9BC5-8256A0547546}"/>
                </c:ext>
              </c:extLst>
            </c:dLbl>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'PS_Doc (CapEx)'!$AY$396:$BC$396</c:f>
              <c:strCache>
                <c:ptCount val="5"/>
                <c:pt idx="0">
                  <c:v>2021-22</c:v>
                </c:pt>
                <c:pt idx="1">
                  <c:v>2022-23</c:v>
                </c:pt>
                <c:pt idx="2">
                  <c:v>2023-24</c:v>
                </c:pt>
                <c:pt idx="3">
                  <c:v>2024-25</c:v>
                </c:pt>
                <c:pt idx="4">
                  <c:v>2025-26</c:v>
                </c:pt>
              </c:strCache>
            </c:strRef>
          </c:cat>
          <c:val>
            <c:numRef>
              <c:f>'PS_Doc (CapEx)'!$AY$404:$BC$404</c:f>
              <c:numCache>
                <c:formatCode>_("$"#,##0,,"m"_);\("$"#,##0.00,,"m"\);_("-"_)</c:formatCode>
                <c:ptCount val="5"/>
                <c:pt idx="0">
                  <c:v>927062436.43349528</c:v>
                </c:pt>
                <c:pt idx="1">
                  <c:v>2036573664.5288899</c:v>
                </c:pt>
                <c:pt idx="2">
                  <c:v>2865888393.9487104</c:v>
                </c:pt>
                <c:pt idx="3">
                  <c:v>3697732020.6375594</c:v>
                </c:pt>
                <c:pt idx="4">
                  <c:v>4376587122.7037611</c:v>
                </c:pt>
              </c:numCache>
            </c:numRef>
          </c:val>
          <c:smooth val="0"/>
          <c:extLst>
            <c:ext xmlns:c16="http://schemas.microsoft.com/office/drawing/2014/chart" uri="{C3380CC4-5D6E-409C-BE32-E72D297353CC}">
              <c16:uniqueId val="{00000007-F4AD-40F8-9BC5-8256A0547546}"/>
            </c:ext>
          </c:extLst>
        </c:ser>
        <c:dLbls>
          <c:showLegendKey val="0"/>
          <c:showVal val="0"/>
          <c:showCatName val="0"/>
          <c:showSerName val="0"/>
          <c:showPercent val="0"/>
          <c:showBubbleSize val="0"/>
        </c:dLbls>
        <c:marker val="1"/>
        <c:smooth val="0"/>
        <c:axId val="131487743"/>
        <c:axId val="131485823"/>
      </c:lineChart>
      <c:catAx>
        <c:axId val="131487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485823"/>
        <c:crosses val="autoZero"/>
        <c:auto val="1"/>
        <c:lblAlgn val="ctr"/>
        <c:lblOffset val="100"/>
        <c:noMultiLvlLbl val="0"/>
      </c:catAx>
      <c:valAx>
        <c:axId val="13148582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0,,&quot;m&quot;_);\(&quot;$&quot;#,##0.00,,&quot;m&quot;\);_(&quot;-&quot;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487743"/>
        <c:crosses val="autoZero"/>
        <c:crossBetween val="between"/>
      </c:valAx>
      <c:spPr>
        <a:noFill/>
        <a:ln>
          <a:noFill/>
        </a:ln>
        <a:effectLst/>
      </c:spPr>
    </c:plotArea>
    <c:legend>
      <c:legendPos val="b"/>
      <c:legendEntry>
        <c:idx val="6"/>
        <c:delete val="1"/>
      </c:legendEntry>
      <c:legendEntry>
        <c:idx val="7"/>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4.2705861325972344E-2"/>
          <c:y val="0.76804108288325146"/>
          <c:w val="0.94611412854603749"/>
          <c:h val="0.208694085786775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'PS_Doc (RevRq &amp; Prices)'!$CW$9</c:f>
              <c:strCache>
                <c:ptCount val="1"/>
                <c:pt idx="0">
                  <c:v>Determination</c:v>
                </c:pt>
              </c:strCache>
            </c:strRef>
          </c:tx>
          <c:spPr>
            <a:solidFill>
              <a:schemeClr val="accent1"/>
            </a:solidFill>
            <a:ln>
              <a:noFill/>
            </a:ln>
            <a:effectLst/>
          </c:spPr>
          <c:invertIfNegative val="0"/>
          <c:cat>
            <c:multiLvlStrRef>
              <c:f>'PS_Doc (RevRq &amp; Prices)'!$CX$6:$DL$8</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(RevRq &amp; Prices)'!$CX$9:$DL$9</c:f>
              <c:numCache>
                <c:formatCode>_(#,##0.0,,_);\(#,##0.0,,\);_("-"_)</c:formatCode>
                <c:ptCount val="15"/>
                <c:pt idx="0">
                  <c:v>1858566478.9427161</c:v>
                </c:pt>
                <c:pt idx="1">
                  <c:v>1893049360.0804243</c:v>
                </c:pt>
                <c:pt idx="2">
                  <c:v>1925145146.714148</c:v>
                </c:pt>
                <c:pt idx="3">
                  <c:v>1940832909.6597855</c:v>
                </c:pt>
                <c:pt idx="4">
                  <c:v>1958433520.3749018</c:v>
                </c:pt>
              </c:numCache>
            </c:numRef>
          </c:val>
          <c:extLst>
            <c:ext xmlns:c16="http://schemas.microsoft.com/office/drawing/2014/chart" uri="{C3380CC4-5D6E-409C-BE32-E72D297353CC}">
              <c16:uniqueId val="{00000000-BC8E-4288-A469-62C795CA9C7B}"/>
            </c:ext>
          </c:extLst>
        </c:ser>
        <c:ser>
          <c:idx val="1"/>
          <c:order val="1"/>
          <c:tx>
            <c:strRef>
              <c:f>'PS_Doc (RevRq &amp; Prices)'!$CW$10</c:f>
              <c:strCache>
                <c:ptCount val="1"/>
                <c:pt idx="0">
                  <c:v>Water</c:v>
                </c:pt>
              </c:strCache>
            </c:strRef>
          </c:tx>
          <c:spPr>
            <a:solidFill>
              <a:schemeClr val="accent2"/>
            </a:solidFill>
            <a:ln>
              <a:noFill/>
            </a:ln>
            <a:effectLst/>
          </c:spPr>
          <c:invertIfNegative val="0"/>
          <c:dLbls>
            <c:numFmt formatCode="_(#,##0,,_)&quot;&quot;;\(#,##0,,\)&quot;&quot;;_(&quot;-&quot;_)"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'PS_Doc (RevRq &amp; Prices)'!$CX$6:$DL$8</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(RevRq &amp; Prices)'!$CX$10:$DL$10</c:f>
              <c:numCache>
                <c:formatCode>General</c:formatCode>
                <c:ptCount val="15"/>
                <c:pt idx="5" formatCode="_(#,##0.0,,_);\(#,##0.0,,\);_(&quot;-&quot;_)">
                  <c:v>991266470.09724772</c:v>
                </c:pt>
                <c:pt idx="6" formatCode="_(#,##0.0,,_);\(#,##0.0,,\);_(&quot;-&quot;_)">
                  <c:v>1002880120.8163638</c:v>
                </c:pt>
                <c:pt idx="7" formatCode="_(#,##0.0,,_);\(#,##0.0,,\);_(&quot;-&quot;_)">
                  <c:v>1022968545.8268554</c:v>
                </c:pt>
                <c:pt idx="8" formatCode="_(#,##0.0,,_);\(#,##0.0,,\);_(&quot;-&quot;_)">
                  <c:v>1015558211.0136878</c:v>
                </c:pt>
                <c:pt idx="9" formatCode="_(#,##0.0,,_);\(#,##0.0,,\);_(&quot;-&quot;_)">
                  <c:v>1033058714.6131309</c:v>
                </c:pt>
                <c:pt idx="10" formatCode="_(#,##0.0,,_);\(#,##0.0,,\);_(&quot;-&quot;_)">
                  <c:v>1059383511.3149977</c:v>
                </c:pt>
                <c:pt idx="11" formatCode="_(#,##0.0,,_);\(#,##0.0,,\);_(&quot;-&quot;_)">
                  <c:v>1088621211.1601794</c:v>
                </c:pt>
                <c:pt idx="12" formatCode="_(#,##0.0,,_);\(#,##0.0,,\);_(&quot;-&quot;_)">
                  <c:v>1094883123.1745319</c:v>
                </c:pt>
                <c:pt idx="13" formatCode="_(#,##0.0,,_);\(#,##0.0,,\);_(&quot;-&quot;_)">
                  <c:v>1111414379.5770464</c:v>
                </c:pt>
                <c:pt idx="14" formatCode="_(#,##0.0,,_);\(#,##0.0,,\);_(&quot;-&quot;_)">
                  <c:v>1129965366.3141747</c:v>
                </c:pt>
              </c:numCache>
            </c:numRef>
          </c:val>
          <c:extLst>
            <c:ext xmlns:c16="http://schemas.microsoft.com/office/drawing/2014/chart" uri="{C3380CC4-5D6E-409C-BE32-E72D297353CC}">
              <c16:uniqueId val="{00000001-BC8E-4288-A469-62C795CA9C7B}"/>
            </c:ext>
          </c:extLst>
        </c:ser>
        <c:ser>
          <c:idx val="2"/>
          <c:order val="2"/>
          <c:tx>
            <c:strRef>
              <c:f>'PS_Doc (RevRq &amp; Prices)'!$CW$11</c:f>
              <c:strCache>
                <c:ptCount val="1"/>
                <c:pt idx="0">
                  <c:v>Sewerage</c:v>
                </c:pt>
              </c:strCache>
            </c:strRef>
          </c:tx>
          <c:spPr>
            <a:solidFill>
              <a:schemeClr val="accent3"/>
            </a:solidFill>
            <a:ln>
              <a:noFill/>
            </a:ln>
            <a:effectLst/>
          </c:spPr>
          <c:invertIfNegative val="0"/>
          <c:dLbls>
            <c:numFmt formatCode="_(#,##0,,_)&quot;&quot;;\(#,##0,,\)&quot;&quot;;_(&quot;-&quot;_)"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'PS_Doc (RevRq &amp; Prices)'!$CX$6:$DL$8</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(RevRq &amp; Prices)'!$CX$11:$DL$11</c:f>
              <c:numCache>
                <c:formatCode>General</c:formatCode>
                <c:ptCount val="15"/>
                <c:pt idx="5" formatCode="_(#,##0.0,,_);\(#,##0.0,,\);_(&quot;-&quot;_)">
                  <c:v>594707328.37292206</c:v>
                </c:pt>
                <c:pt idx="6" formatCode="_(#,##0.0,,_);\(#,##0.0,,\);_(&quot;-&quot;_)">
                  <c:v>621435690.55507457</c:v>
                </c:pt>
                <c:pt idx="7" formatCode="_(#,##0.0,,_);\(#,##0.0,,\);_(&quot;-&quot;_)">
                  <c:v>654289034.81428814</c:v>
                </c:pt>
                <c:pt idx="8" formatCode="_(#,##0.0,,_);\(#,##0.0,,\);_(&quot;-&quot;_)">
                  <c:v>690920498.62688744</c:v>
                </c:pt>
                <c:pt idx="9" formatCode="_(#,##0.0,,_);\(#,##0.0,,\);_(&quot;-&quot;_)">
                  <c:v>712128569.00154197</c:v>
                </c:pt>
                <c:pt idx="10" formatCode="_(#,##0.0,,_);\(#,##0.0,,\);_(&quot;-&quot;_)">
                  <c:v>742096991.54546237</c:v>
                </c:pt>
                <c:pt idx="11" formatCode="_(#,##0.0,,_);\(#,##0.0,,\);_(&quot;-&quot;_)">
                  <c:v>779685953.36954677</c:v>
                </c:pt>
                <c:pt idx="12" formatCode="_(#,##0.0,,_);\(#,##0.0,,\);_(&quot;-&quot;_)">
                  <c:v>788414222.08046389</c:v>
                </c:pt>
                <c:pt idx="13" formatCode="_(#,##0.0,,_);\(#,##0.0,,\);_(&quot;-&quot;_)">
                  <c:v>801379231.255247</c:v>
                </c:pt>
                <c:pt idx="14" formatCode="_(#,##0.0,,_);\(#,##0.0,,\);_(&quot;-&quot;_)">
                  <c:v>821546187.66360056</c:v>
                </c:pt>
              </c:numCache>
            </c:numRef>
          </c:val>
          <c:extLst>
            <c:ext xmlns:c16="http://schemas.microsoft.com/office/drawing/2014/chart" uri="{C3380CC4-5D6E-409C-BE32-E72D297353CC}">
              <c16:uniqueId val="{00000002-BC8E-4288-A469-62C795CA9C7B}"/>
            </c:ext>
          </c:extLst>
        </c:ser>
        <c:ser>
          <c:idx val="3"/>
          <c:order val="3"/>
          <c:tx>
            <c:strRef>
              <c:f>'PS_Doc (RevRq &amp; Prices)'!$CW$12</c:f>
              <c:strCache>
                <c:ptCount val="1"/>
                <c:pt idx="0">
                  <c:v>Waterways and Drainage</c:v>
                </c:pt>
              </c:strCache>
            </c:strRef>
          </c:tx>
          <c:spPr>
            <a:solidFill>
              <a:schemeClr val="accent4"/>
            </a:solidFill>
            <a:ln>
              <a:noFill/>
            </a:ln>
            <a:effectLst/>
          </c:spPr>
          <c:invertIfNegative val="0"/>
          <c:dLbls>
            <c:numFmt formatCode="_(#,##0,,_)&quot;&quot;;\(#,##0,,\)&quot;&quot;;_(&quot;-&quot;_)"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'PS_Doc (RevRq &amp; Prices)'!$CX$6:$DL$8</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(RevRq &amp; Prices)'!$CX$12:$DL$12</c:f>
              <c:numCache>
                <c:formatCode>General</c:formatCode>
                <c:ptCount val="15"/>
                <c:pt idx="5" formatCode="_(#,##0.0,,_);\(#,##0.0,,\);_(&quot;-&quot;_)">
                  <c:v>333985028.00593185</c:v>
                </c:pt>
                <c:pt idx="6" formatCode="_(#,##0.0,,_);\(#,##0.0,,\);_(&quot;-&quot;_)">
                  <c:v>348888744.58632374</c:v>
                </c:pt>
                <c:pt idx="7" formatCode="_(#,##0.0,,_);\(#,##0.0,,\);_(&quot;-&quot;_)">
                  <c:v>359016692.38483709</c:v>
                </c:pt>
                <c:pt idx="8" formatCode="_(#,##0.0,,_);\(#,##0.0,,\);_(&quot;-&quot;_)">
                  <c:v>349242652.00172555</c:v>
                </c:pt>
                <c:pt idx="9" formatCode="_(#,##0.0,,_);\(#,##0.0,,\);_(&quot;-&quot;_)">
                  <c:v>351613570.03502345</c:v>
                </c:pt>
                <c:pt idx="10" formatCode="_(#,##0.0,,_);\(#,##0.0,,\);_(&quot;-&quot;_)">
                  <c:v>361963976.26873738</c:v>
                </c:pt>
                <c:pt idx="11" formatCode="_(#,##0.0,,_);\(#,##0.0,,\);_(&quot;-&quot;_)">
                  <c:v>373994414.71287239</c:v>
                </c:pt>
                <c:pt idx="12" formatCode="_(#,##0.0,,_);\(#,##0.0,,\);_(&quot;-&quot;_)">
                  <c:v>379800019.14985722</c:v>
                </c:pt>
                <c:pt idx="13" formatCode="_(#,##0.0,,_);\(#,##0.0,,\);_(&quot;-&quot;_)">
                  <c:v>386264234.4838708</c:v>
                </c:pt>
                <c:pt idx="14" formatCode="_(#,##0.0,,_);\(#,##0.0,,\);_(&quot;-&quot;_)">
                  <c:v>393610737.63748449</c:v>
                </c:pt>
              </c:numCache>
            </c:numRef>
          </c:val>
          <c:extLst>
            <c:ext xmlns:c16="http://schemas.microsoft.com/office/drawing/2014/chart" uri="{C3380CC4-5D6E-409C-BE32-E72D297353CC}">
              <c16:uniqueId val="{00000003-BC8E-4288-A469-62C795CA9C7B}"/>
            </c:ext>
          </c:extLst>
        </c:ser>
        <c:ser>
          <c:idx val="4"/>
          <c:order val="4"/>
          <c:tx>
            <c:strRef>
              <c:f>'PS_Doc (RevRq &amp; Prices)'!$CW$13</c:f>
              <c:strCache>
                <c:ptCount val="1"/>
                <c:pt idx="0">
                  <c:v>Recycled Water</c:v>
                </c:pt>
              </c:strCache>
            </c:strRef>
          </c:tx>
          <c:spPr>
            <a:solidFill>
              <a:schemeClr val="accent5"/>
            </a:solidFill>
            <a:ln>
              <a:noFill/>
            </a:ln>
            <a:effectLst/>
          </c:spPr>
          <c:invertIfNegative val="0"/>
          <c:cat>
            <c:multiLvlStrRef>
              <c:f>'PS_Doc (RevRq &amp; Prices)'!$CX$6:$DL$8</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(RevRq &amp; Prices)'!$CX$13:$DL$13</c:f>
              <c:numCache>
                <c:formatCode>General</c:formatCode>
                <c:ptCount val="15"/>
                <c:pt idx="5" formatCode="_(#,##0.0,,_);\(#,##0.0,,\);_(&quot;-&quot;_)">
                  <c:v>8113922.6513565285</c:v>
                </c:pt>
                <c:pt idx="6" formatCode="_(#,##0.0,,_);\(#,##0.0,,\);_(&quot;-&quot;_)">
                  <c:v>8230263.0212258771</c:v>
                </c:pt>
                <c:pt idx="7" formatCode="_(#,##0.0,,_);\(#,##0.0,,\);_(&quot;-&quot;_)">
                  <c:v>8424880.5457756557</c:v>
                </c:pt>
                <c:pt idx="8" formatCode="_(#,##0.0,,_);\(#,##0.0,,\);_(&quot;-&quot;_)">
                  <c:v>8647308.6536526363</c:v>
                </c:pt>
                <c:pt idx="9" formatCode="_(#,##0.0,,_);\(#,##0.0,,\);_(&quot;-&quot;_)">
                  <c:v>8928681.9065347072</c:v>
                </c:pt>
                <c:pt idx="10" formatCode="_(#,##0.0,,_);\(#,##0.0,,\);_(&quot;-&quot;_)">
                  <c:v>9178513.8637039345</c:v>
                </c:pt>
                <c:pt idx="11" formatCode="_(#,##0.0,,_);\(#,##0.0,,\);_(&quot;-&quot;_)">
                  <c:v>9672773.0026391316</c:v>
                </c:pt>
                <c:pt idx="12" formatCode="_(#,##0.0,,_);\(#,##0.0,,\);_(&quot;-&quot;_)">
                  <c:v>10573752.316568814</c:v>
                </c:pt>
                <c:pt idx="13" formatCode="_(#,##0.0,,_);\(#,##0.0,,\);_(&quot;-&quot;_)">
                  <c:v>11590828.693593642</c:v>
                </c:pt>
                <c:pt idx="14" formatCode="_(#,##0.0,,_);\(#,##0.0,,\);_(&quot;-&quot;_)">
                  <c:v>12793792.417353597</c:v>
                </c:pt>
              </c:numCache>
            </c:numRef>
          </c:val>
          <c:extLst>
            <c:ext xmlns:c16="http://schemas.microsoft.com/office/drawing/2014/chart" uri="{C3380CC4-5D6E-409C-BE32-E72D297353CC}">
              <c16:uniqueId val="{00000004-BC8E-4288-A469-62C795CA9C7B}"/>
            </c:ext>
          </c:extLst>
        </c:ser>
        <c:ser>
          <c:idx val="5"/>
          <c:order val="5"/>
          <c:tx>
            <c:strRef>
              <c:f>'PS_Doc (RevRq &amp; Prices)'!$CW$14</c:f>
              <c:strCache>
                <c:ptCount val="1"/>
                <c:pt idx="0">
                  <c:v>Diversions</c:v>
                </c:pt>
              </c:strCache>
            </c:strRef>
          </c:tx>
          <c:spPr>
            <a:solidFill>
              <a:schemeClr val="accent6"/>
            </a:solidFill>
            <a:ln>
              <a:noFill/>
            </a:ln>
            <a:effectLst/>
          </c:spPr>
          <c:invertIfNegative val="0"/>
          <c:cat>
            <c:multiLvlStrRef>
              <c:f>'PS_Doc (RevRq &amp; Prices)'!$CX$6:$DL$8</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(RevRq &amp; Prices)'!$CX$14:$DL$14</c:f>
              <c:numCache>
                <c:formatCode>General</c:formatCode>
                <c:ptCount val="15"/>
                <c:pt idx="5" formatCode="_(#,##0.0,,_);\(#,##0.0,,\);_(&quot;-&quot;_)">
                  <c:v>1570553.034025636</c:v>
                </c:pt>
                <c:pt idx="6" formatCode="_(#,##0.0,,_);\(#,##0.0,,\);_(&quot;-&quot;_)">
                  <c:v>1593893.6440106693</c:v>
                </c:pt>
                <c:pt idx="7" formatCode="_(#,##0.0,,_);\(#,##0.0,,\);_(&quot;-&quot;_)">
                  <c:v>1617412.8757896917</c:v>
                </c:pt>
                <c:pt idx="8" formatCode="_(#,##0.0,,_);\(#,##0.0,,\);_(&quot;-&quot;_)">
                  <c:v>1639859.9419039381</c:v>
                </c:pt>
                <c:pt idx="9" formatCode="_(#,##0.0,,_);\(#,##0.0,,\);_(&quot;-&quot;_)">
                  <c:v>1665042.1771598542</c:v>
                </c:pt>
                <c:pt idx="10" formatCode="_(#,##0.0,,_);\(#,##0.0,,\);_(&quot;-&quot;_)">
                  <c:v>1692954.2007947615</c:v>
                </c:pt>
                <c:pt idx="11" formatCode="_(#,##0.0,,_);\(#,##0.0,,\);_(&quot;-&quot;_)">
                  <c:v>1717667.9159964654</c:v>
                </c:pt>
                <c:pt idx="12" formatCode="_(#,##0.0,,_);\(#,##0.0,,\);_(&quot;-&quot;_)">
                  <c:v>1732440.2997227686</c:v>
                </c:pt>
                <c:pt idx="13" formatCode="_(#,##0.0,,_);\(#,##0.0,,\);_(&quot;-&quot;_)">
                  <c:v>1746605.4427358177</c:v>
                </c:pt>
                <c:pt idx="14" formatCode="_(#,##0.0,,_);\(#,##0.0,,\);_(&quot;-&quot;_)">
                  <c:v>1756219.4388474433</c:v>
                </c:pt>
              </c:numCache>
            </c:numRef>
          </c:val>
          <c:extLst>
            <c:ext xmlns:c16="http://schemas.microsoft.com/office/drawing/2014/chart" uri="{C3380CC4-5D6E-409C-BE32-E72D297353CC}">
              <c16:uniqueId val="{00000005-BC8E-4288-A469-62C795CA9C7B}"/>
            </c:ext>
          </c:extLst>
        </c:ser>
        <c:dLbls>
          <c:showLegendKey val="0"/>
          <c:showVal val="0"/>
          <c:showCatName val="0"/>
          <c:showSerName val="0"/>
          <c:showPercent val="0"/>
          <c:showBubbleSize val="0"/>
        </c:dLbls>
        <c:gapWidth val="100"/>
        <c:overlap val="100"/>
        <c:axId val="1922625152"/>
        <c:axId val="1922618432"/>
      </c:barChart>
      <c:lineChart>
        <c:grouping val="standard"/>
        <c:varyColors val="0"/>
        <c:ser>
          <c:idx val="6"/>
          <c:order val="6"/>
          <c:tx>
            <c:strRef>
              <c:f>'PS_Doc (RevRq &amp; Prices)'!$CW$15</c:f>
              <c:strCache>
                <c:ptCount val="1"/>
                <c:pt idx="0">
                  <c:v>Total</c:v>
                </c:pt>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'PS_Doc (RevRq &amp; Prices)'!$CX$6:$DL$8</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(RevRq &amp; Prices)'!$CX$15:$DL$15</c:f>
              <c:numCache>
                <c:formatCode>_(#,##0,,_);\(#,##0,,\);_("-"_)</c:formatCode>
                <c:ptCount val="15"/>
                <c:pt idx="0">
                  <c:v>1858566478.9427161</c:v>
                </c:pt>
                <c:pt idx="1">
                  <c:v>1893049360.0804243</c:v>
                </c:pt>
                <c:pt idx="2">
                  <c:v>1925145146.714148</c:v>
                </c:pt>
                <c:pt idx="3">
                  <c:v>1940832909.6597855</c:v>
                </c:pt>
                <c:pt idx="4">
                  <c:v>1958433520.3749018</c:v>
                </c:pt>
                <c:pt idx="5">
                  <c:v>1929643302.1614838</c:v>
                </c:pt>
                <c:pt idx="6">
                  <c:v>1983028712.622999</c:v>
                </c:pt>
                <c:pt idx="7">
                  <c:v>2046316566.447546</c:v>
                </c:pt>
                <c:pt idx="8">
                  <c:v>2066008530.2378576</c:v>
                </c:pt>
                <c:pt idx="9">
                  <c:v>2107394577.7333908</c:v>
                </c:pt>
                <c:pt idx="10">
                  <c:v>2174315947.193696</c:v>
                </c:pt>
                <c:pt idx="11">
                  <c:v>2253692020.1612344</c:v>
                </c:pt>
                <c:pt idx="12">
                  <c:v>2275403557.0211444</c:v>
                </c:pt>
                <c:pt idx="13">
                  <c:v>2312395279.4524937</c:v>
                </c:pt>
                <c:pt idx="14">
                  <c:v>2359672303.4714608</c:v>
                </c:pt>
              </c:numCache>
            </c:numRef>
          </c:val>
          <c:smooth val="0"/>
          <c:extLst>
            <c:ext xmlns:c16="http://schemas.microsoft.com/office/drawing/2014/chart" uri="{C3380CC4-5D6E-409C-BE32-E72D297353CC}">
              <c16:uniqueId val="{00000006-BC8E-4288-A469-62C795CA9C7B}"/>
            </c:ext>
          </c:extLst>
        </c:ser>
        <c:dLbls>
          <c:showLegendKey val="0"/>
          <c:showVal val="0"/>
          <c:showCatName val="0"/>
          <c:showSerName val="0"/>
          <c:showPercent val="0"/>
          <c:showBubbleSize val="0"/>
        </c:dLbls>
        <c:marker val="1"/>
        <c:smooth val="0"/>
        <c:axId val="1922625152"/>
        <c:axId val="1922618432"/>
      </c:lineChart>
      <c:catAx>
        <c:axId val="192262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618432"/>
        <c:crosses val="autoZero"/>
        <c:auto val="1"/>
        <c:lblAlgn val="ctr"/>
        <c:lblOffset val="100"/>
        <c:noMultiLvlLbl val="0"/>
      </c:catAx>
      <c:valAx>
        <c:axId val="1922618432"/>
        <c:scaling>
          <c:orientation val="minMax"/>
        </c:scaling>
        <c:delete val="0"/>
        <c:axPos val="l"/>
        <c:majorGridlines>
          <c:spPr>
            <a:ln w="9525" cap="flat" cmpd="sng" algn="ctr">
              <a:solidFill>
                <a:schemeClr val="tx1">
                  <a:lumMod val="15000"/>
                  <a:lumOff val="85000"/>
                </a:schemeClr>
              </a:solidFill>
              <a:round/>
            </a:ln>
            <a:effectLst/>
          </c:spPr>
        </c:majorGridlines>
        <c:numFmt formatCode="_(#,##0.0,,_);\(#,##0.0,,\);_(&quot;-&quot;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625152"/>
        <c:crosses val="autoZero"/>
        <c:crossBetween val="between"/>
      </c:valAx>
      <c:spPr>
        <a:noFill/>
        <a:ln>
          <a:no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'[25-08-11 PS26 Waterways and drainage demand forecast - post FY.xlsx]Population data'!$D$30</c:f>
              <c:strCache>
                <c:ptCount val="1"/>
                <c:pt idx="0">
                  <c:v>Actual</c:v>
                </c:pt>
              </c:strCache>
            </c:strRef>
          </c:tx>
          <c:spPr>
            <a:ln w="28575" cap="rnd">
              <a:solidFill>
                <a:schemeClr val="accent1"/>
              </a:solidFill>
              <a:round/>
            </a:ln>
            <a:effectLst/>
          </c:spPr>
          <c:marker>
            <c:symbol val="none"/>
          </c:marker>
          <c:cat>
            <c:strRef>
              <c:f>'[25-08-11 PS26 Waterways and drainage demand forecast - post FY.xlsx]Population data'!$J$4:$AA$4</c:f>
              <c:strCache>
                <c:ptCount val="18"/>
                <c:pt idx="0">
                  <c:v>2018-19</c:v>
                </c:pt>
                <c:pt idx="1">
                  <c:v>2019-20</c:v>
                </c:pt>
                <c:pt idx="2">
                  <c:v>2020-21</c:v>
                </c:pt>
                <c:pt idx="3">
                  <c:v>2021-22</c:v>
                </c:pt>
                <c:pt idx="4">
                  <c:v>2022-23</c:v>
                </c:pt>
                <c:pt idx="5">
                  <c:v>2023-24</c:v>
                </c:pt>
                <c:pt idx="6">
                  <c:v>2024-25</c:v>
                </c:pt>
                <c:pt idx="7">
                  <c:v>2025-26</c:v>
                </c:pt>
                <c:pt idx="8">
                  <c:v>2026-27</c:v>
                </c:pt>
                <c:pt idx="9">
                  <c:v>2027-28</c:v>
                </c:pt>
                <c:pt idx="10">
                  <c:v>2028-29</c:v>
                </c:pt>
                <c:pt idx="11">
                  <c:v>2029-30</c:v>
                </c:pt>
                <c:pt idx="12">
                  <c:v>2030-31</c:v>
                </c:pt>
                <c:pt idx="13">
                  <c:v>2031-32</c:v>
                </c:pt>
                <c:pt idx="14">
                  <c:v>2032-33</c:v>
                </c:pt>
                <c:pt idx="15">
                  <c:v>2033-34</c:v>
                </c:pt>
                <c:pt idx="16">
                  <c:v>2034-35</c:v>
                </c:pt>
                <c:pt idx="17">
                  <c:v>2035-36</c:v>
                </c:pt>
              </c:strCache>
            </c:strRef>
          </c:cat>
          <c:val>
            <c:numRef>
              <c:f>'[25-08-11 PS26 Waterways and drainage demand forecast - post FY.xlsx]Population data'!$J$30:$AA$30</c:f>
              <c:numCache>
                <c:formatCode>_-* #,##0_-;\-* #,##0_-;_-* "-"??_-;_-@_-</c:formatCode>
                <c:ptCount val="18"/>
                <c:pt idx="0">
                  <c:v>5006457</c:v>
                </c:pt>
                <c:pt idx="1">
                  <c:v>5061107</c:v>
                </c:pt>
                <c:pt idx="2">
                  <c:v>4975319</c:v>
                </c:pt>
                <c:pt idx="3">
                  <c:v>5039661</c:v>
                </c:pt>
                <c:pt idx="4">
                  <c:v>5208068</c:v>
                </c:pt>
                <c:pt idx="5">
                  <c:v>5350705</c:v>
                </c:pt>
              </c:numCache>
            </c:numRef>
          </c:val>
          <c:smooth val="0"/>
          <c:extLst>
            <c:ext xmlns:c16="http://schemas.microsoft.com/office/drawing/2014/chart" uri="{C3380CC4-5D6E-409C-BE32-E72D297353CC}">
              <c16:uniqueId val="{00000000-512A-4393-8AA3-83250A9A8561}"/>
            </c:ext>
          </c:extLst>
        </c:ser>
        <c:ser>
          <c:idx val="5"/>
          <c:order val="1"/>
          <c:tx>
            <c:v>Adopted forecast</c:v>
          </c:tx>
          <c:spPr>
            <a:ln w="28575" cap="rnd">
              <a:solidFill>
                <a:schemeClr val="accent6"/>
              </a:solidFill>
              <a:round/>
            </a:ln>
            <a:effectLst/>
          </c:spPr>
          <c:marker>
            <c:symbol val="none"/>
          </c:marker>
          <c:cat>
            <c:strRef>
              <c:f>'[25-08-11 PS26 Waterways and drainage demand forecast - post FY.xlsx]Population data'!$J$4:$AA$4</c:f>
              <c:strCache>
                <c:ptCount val="18"/>
                <c:pt idx="0">
                  <c:v>2018-19</c:v>
                </c:pt>
                <c:pt idx="1">
                  <c:v>2019-20</c:v>
                </c:pt>
                <c:pt idx="2">
                  <c:v>2020-21</c:v>
                </c:pt>
                <c:pt idx="3">
                  <c:v>2021-22</c:v>
                </c:pt>
                <c:pt idx="4">
                  <c:v>2022-23</c:v>
                </c:pt>
                <c:pt idx="5">
                  <c:v>2023-24</c:v>
                </c:pt>
                <c:pt idx="6">
                  <c:v>2024-25</c:v>
                </c:pt>
                <c:pt idx="7">
                  <c:v>2025-26</c:v>
                </c:pt>
                <c:pt idx="8">
                  <c:v>2026-27</c:v>
                </c:pt>
                <c:pt idx="9">
                  <c:v>2027-28</c:v>
                </c:pt>
                <c:pt idx="10">
                  <c:v>2028-29</c:v>
                </c:pt>
                <c:pt idx="11">
                  <c:v>2029-30</c:v>
                </c:pt>
                <c:pt idx="12">
                  <c:v>2030-31</c:v>
                </c:pt>
                <c:pt idx="13">
                  <c:v>2031-32</c:v>
                </c:pt>
                <c:pt idx="14">
                  <c:v>2032-33</c:v>
                </c:pt>
                <c:pt idx="15">
                  <c:v>2033-34</c:v>
                </c:pt>
                <c:pt idx="16">
                  <c:v>2034-35</c:v>
                </c:pt>
                <c:pt idx="17">
                  <c:v>2035-36</c:v>
                </c:pt>
              </c:strCache>
            </c:strRef>
          </c:cat>
          <c:val>
            <c:numRef>
              <c:f>'[25-08-11 PS26 Waterways and drainage demand forecast - post FY.xlsx]Population data'!$J$31:$AA$31</c:f>
              <c:numCache>
                <c:formatCode>General</c:formatCode>
                <c:ptCount val="18"/>
                <c:pt idx="2" formatCode="_-* #,##0_-;\-* #,##0_-;_-* &quot;-&quot;??_-;_-@_-">
                  <c:v>4975319</c:v>
                </c:pt>
                <c:pt idx="3" formatCode="_-* #,##0_-;\-* #,##0_-;_-* &quot;-&quot;??_-;_-@_-">
                  <c:v>5085616.5924601499</c:v>
                </c:pt>
                <c:pt idx="4" formatCode="_-* #,##0_-;\-* #,##0_-;_-* &quot;-&quot;??_-;_-@_-">
                  <c:v>5198359.3666066406</c:v>
                </c:pt>
                <c:pt idx="5" formatCode="_-* #,##0_-;\-* #,##0_-;_-* &quot;-&quot;??_-;_-@_-">
                  <c:v>5313601.5295472238</c:v>
                </c:pt>
                <c:pt idx="6" formatCode="_-* #,##0_-;\-* #,##0_-;_-* &quot;-&quot;??_-;_-@_-">
                  <c:v>5431398.4901042506</c:v>
                </c:pt>
                <c:pt idx="7" formatCode="_-* #,##0_-;\-* #,##0_-;_-* &quot;-&quot;??_-;_-@_-">
                  <c:v>5551806.8854554202</c:v>
                </c:pt>
                <c:pt idx="8" formatCode="_-* #,##0_-;\-* #,##0_-;_-* &quot;-&quot;??_-;_-@_-">
                  <c:v>5658145.0592268463</c:v>
                </c:pt>
                <c:pt idx="9" formatCode="_-* #,##0_-;\-* #,##0_-;_-* &quot;-&quot;??_-;_-@_-">
                  <c:v>5766520.0126331458</c:v>
                </c:pt>
                <c:pt idx="10" formatCode="_-* #,##0_-;\-* #,##0_-;_-* &quot;-&quot;??_-;_-@_-">
                  <c:v>5876970.7577349339</c:v>
                </c:pt>
                <c:pt idx="11" formatCode="_-* #,##0_-;\-* #,##0_-;_-* &quot;-&quot;??_-;_-@_-">
                  <c:v>5989537.0538218599</c:v>
                </c:pt>
                <c:pt idx="12" formatCode="_-* #,##0_-;\-* #,##0_-;_-* &quot;-&quot;??_-;_-@_-">
                  <c:v>6104259.4217248727</c:v>
                </c:pt>
                <c:pt idx="13" formatCode="_-* #,##0_-;\-* #,##0_-;_-* &quot;-&quot;??_-;_-@_-">
                  <c:v>6214143.536045745</c:v>
                </c:pt>
                <c:pt idx="14" formatCode="_-* #,##0_-;\-* #,##0_-;_-* &quot;-&quot;??_-;_-@_-">
                  <c:v>6326005.69843861</c:v>
                </c:pt>
                <c:pt idx="15" formatCode="_-* #,##0_-;\-* #,##0_-;_-* &quot;-&quot;??_-;_-@_-">
                  <c:v>6439881.5161811821</c:v>
                </c:pt>
                <c:pt idx="16" formatCode="_-* #,##0_-;\-* #,##0_-;_-* &quot;-&quot;??_-;_-@_-">
                  <c:v>6555807.2375256019</c:v>
                </c:pt>
                <c:pt idx="17" formatCode="_-* #,##0_-;\-* #,##0_-;_-* &quot;-&quot;??_-;_-@_-">
                  <c:v>6673819.7632367583</c:v>
                </c:pt>
              </c:numCache>
            </c:numRef>
          </c:val>
          <c:smooth val="0"/>
          <c:extLst>
            <c:ext xmlns:c16="http://schemas.microsoft.com/office/drawing/2014/chart" uri="{C3380CC4-5D6E-409C-BE32-E72D297353CC}">
              <c16:uniqueId val="{00000001-512A-4393-8AA3-83250A9A8561}"/>
            </c:ext>
          </c:extLst>
        </c:ser>
        <c:dLbls>
          <c:showLegendKey val="0"/>
          <c:showVal val="0"/>
          <c:showCatName val="0"/>
          <c:showSerName val="0"/>
          <c:showPercent val="0"/>
          <c:showBubbleSize val="0"/>
        </c:dLbls>
        <c:smooth val="0"/>
        <c:axId val="457815535"/>
        <c:axId val="792480815"/>
      </c:lineChart>
      <c:catAx>
        <c:axId val="4578155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480815"/>
        <c:crosses val="autoZero"/>
        <c:auto val="1"/>
        <c:lblAlgn val="ctr"/>
        <c:lblOffset val="100"/>
        <c:noMultiLvlLbl val="0"/>
      </c:catAx>
      <c:valAx>
        <c:axId val="792480815"/>
        <c:scaling>
          <c:orientation val="minMax"/>
          <c:min val="45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815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'[25-08-11 PS26 Waterways and drainage demand forecast - post FY.xlsx]WWD forecasts'!$D$7</c:f>
              <c:strCache>
                <c:ptCount val="1"/>
                <c:pt idx="0">
                  <c:v>Actual - end year</c:v>
                </c:pt>
              </c:strCache>
            </c:strRef>
          </c:tx>
          <c:spPr>
            <a:ln w="28575" cap="rnd">
              <a:solidFill>
                <a:schemeClr val="accent1"/>
              </a:solidFill>
              <a:round/>
            </a:ln>
            <a:effectLst/>
          </c:spPr>
          <c:marker>
            <c:symbol val="none"/>
          </c:marker>
          <c:cat>
            <c:strRef>
              <c:f>'[25-08-11 PS26 Waterways and drainage demand forecast - post FY.xlsx]WWD forecasts'!$G$4:$AA$4</c:f>
              <c:strCache>
                <c:ptCount val="21"/>
                <c:pt idx="0">
                  <c:v>2015-16</c:v>
                </c:pt>
                <c:pt idx="1">
                  <c:v>2016-17</c:v>
                </c:pt>
                <c:pt idx="2">
                  <c:v>2017-18</c:v>
                </c:pt>
                <c:pt idx="3">
                  <c:v>2018-19</c:v>
                </c:pt>
                <c:pt idx="4">
                  <c:v>2019-20</c:v>
                </c:pt>
                <c:pt idx="5">
                  <c:v>2020-21</c:v>
                </c:pt>
                <c:pt idx="6">
                  <c:v>2021-22</c:v>
                </c:pt>
                <c:pt idx="7">
                  <c:v>2022-23</c:v>
                </c:pt>
                <c:pt idx="8">
                  <c:v>2023-24</c:v>
                </c:pt>
                <c:pt idx="9">
                  <c:v>2024-25</c:v>
                </c:pt>
                <c:pt idx="10">
                  <c:v>2025-26</c:v>
                </c:pt>
                <c:pt idx="11">
                  <c:v>2026-27</c:v>
                </c:pt>
                <c:pt idx="12">
                  <c:v>2027-28</c:v>
                </c:pt>
                <c:pt idx="13">
                  <c:v>2028-29</c:v>
                </c:pt>
                <c:pt idx="14">
                  <c:v>2029-30</c:v>
                </c:pt>
                <c:pt idx="15">
                  <c:v>2030-31</c:v>
                </c:pt>
                <c:pt idx="16">
                  <c:v>2031-32</c:v>
                </c:pt>
                <c:pt idx="17">
                  <c:v>2032-33</c:v>
                </c:pt>
                <c:pt idx="18">
                  <c:v>2033-34</c:v>
                </c:pt>
                <c:pt idx="19">
                  <c:v>2034-35</c:v>
                </c:pt>
                <c:pt idx="20">
                  <c:v>2035-36</c:v>
                </c:pt>
              </c:strCache>
            </c:strRef>
          </c:cat>
          <c:val>
            <c:numRef>
              <c:f>'[25-08-11 PS26 Waterways and drainage demand forecast - post FY.xlsx]WWD forecasts'!$G$7:$AA$7</c:f>
              <c:numCache>
                <c:formatCode>_-* #,##0_-;\-* #,##0_-;_-* "-"??_-;_-@_-</c:formatCode>
                <c:ptCount val="21"/>
                <c:pt idx="0">
                  <c:v>1749385</c:v>
                </c:pt>
                <c:pt idx="1">
                  <c:v>1805375</c:v>
                </c:pt>
                <c:pt idx="2">
                  <c:v>1859323</c:v>
                </c:pt>
                <c:pt idx="3">
                  <c:v>1901687</c:v>
                </c:pt>
                <c:pt idx="4">
                  <c:v>1947344</c:v>
                </c:pt>
                <c:pt idx="5">
                  <c:v>1995200</c:v>
                </c:pt>
                <c:pt idx="6">
                  <c:v>2032242</c:v>
                </c:pt>
                <c:pt idx="7">
                  <c:v>2065029</c:v>
                </c:pt>
                <c:pt idx="8">
                  <c:v>2095210.2206954637</c:v>
                </c:pt>
                <c:pt idx="9">
                  <c:v>2132001.0762070147</c:v>
                </c:pt>
              </c:numCache>
            </c:numRef>
          </c:val>
          <c:smooth val="0"/>
          <c:extLst>
            <c:ext xmlns:c16="http://schemas.microsoft.com/office/drawing/2014/chart" uri="{C3380CC4-5D6E-409C-BE32-E72D297353CC}">
              <c16:uniqueId val="{00000000-A5FB-4C26-A5D0-FD73130BBC72}"/>
            </c:ext>
          </c:extLst>
        </c:ser>
        <c:ser>
          <c:idx val="2"/>
          <c:order val="1"/>
          <c:tx>
            <c:v>Adopted forecast - end year</c:v>
          </c:tx>
          <c:spPr>
            <a:ln w="28575" cap="rnd">
              <a:solidFill>
                <a:schemeClr val="accent3"/>
              </a:solidFill>
              <a:round/>
            </a:ln>
            <a:effectLst/>
          </c:spPr>
          <c:marker>
            <c:symbol val="none"/>
          </c:marker>
          <c:cat>
            <c:strRef>
              <c:f>'[25-08-11 PS26 Waterways and drainage demand forecast - post FY.xlsx]WWD forecasts'!$G$4:$AA$4</c:f>
              <c:strCache>
                <c:ptCount val="21"/>
                <c:pt idx="0">
                  <c:v>2015-16</c:v>
                </c:pt>
                <c:pt idx="1">
                  <c:v>2016-17</c:v>
                </c:pt>
                <c:pt idx="2">
                  <c:v>2017-18</c:v>
                </c:pt>
                <c:pt idx="3">
                  <c:v>2018-19</c:v>
                </c:pt>
                <c:pt idx="4">
                  <c:v>2019-20</c:v>
                </c:pt>
                <c:pt idx="5">
                  <c:v>2020-21</c:v>
                </c:pt>
                <c:pt idx="6">
                  <c:v>2021-22</c:v>
                </c:pt>
                <c:pt idx="7">
                  <c:v>2022-23</c:v>
                </c:pt>
                <c:pt idx="8">
                  <c:v>2023-24</c:v>
                </c:pt>
                <c:pt idx="9">
                  <c:v>2024-25</c:v>
                </c:pt>
                <c:pt idx="10">
                  <c:v>2025-26</c:v>
                </c:pt>
                <c:pt idx="11">
                  <c:v>2026-27</c:v>
                </c:pt>
                <c:pt idx="12">
                  <c:v>2027-28</c:v>
                </c:pt>
                <c:pt idx="13">
                  <c:v>2028-29</c:v>
                </c:pt>
                <c:pt idx="14">
                  <c:v>2029-30</c:v>
                </c:pt>
                <c:pt idx="15">
                  <c:v>2030-31</c:v>
                </c:pt>
                <c:pt idx="16">
                  <c:v>2031-32</c:v>
                </c:pt>
                <c:pt idx="17">
                  <c:v>2032-33</c:v>
                </c:pt>
                <c:pt idx="18">
                  <c:v>2033-34</c:v>
                </c:pt>
                <c:pt idx="19">
                  <c:v>2034-35</c:v>
                </c:pt>
                <c:pt idx="20">
                  <c:v>2035-36</c:v>
                </c:pt>
              </c:strCache>
            </c:strRef>
          </c:cat>
          <c:val>
            <c:numRef>
              <c:f>'[25-08-11 PS26 Waterways and drainage demand forecast - post FY.xlsx]WWD forecasts'!$G$9:$AA$9</c:f>
              <c:numCache>
                <c:formatCode>General</c:formatCode>
                <c:ptCount val="21"/>
                <c:pt idx="9" formatCode="_-* #,##0_-;\-* #,##0_-;_-* &quot;-&quot;??_-;_-@_-">
                  <c:v>2132001.0762070147</c:v>
                </c:pt>
                <c:pt idx="10" formatCode="_-* #,##0_-;\-* #,##0_-;_-* &quot;-&quot;??_-;_-@_-">
                  <c:v>2174981.031234907</c:v>
                </c:pt>
                <c:pt idx="11" formatCode="_-* #,##0_-;\-* #,##0_-;_-* &quot;-&quot;??_-;_-@_-">
                  <c:v>2218627.2775592832</c:v>
                </c:pt>
                <c:pt idx="12" formatCode="_-* #,##0_-;\-* #,##0_-;_-* &quot;-&quot;??_-;_-@_-">
                  <c:v>2263149.3912088685</c:v>
                </c:pt>
                <c:pt idx="13" formatCode="_-* #,##0_-;\-* #,##0_-;_-* &quot;-&quot;??_-;_-@_-">
                  <c:v>2308564.9485765025</c:v>
                </c:pt>
                <c:pt idx="14" formatCode="_-* #,##0_-;\-* #,##0_-;_-* &quot;-&quot;??_-;_-@_-">
                  <c:v>2354891.8787677884</c:v>
                </c:pt>
                <c:pt idx="15" formatCode="_-* #,##0_-;\-* #,##0_-;_-* &quot;-&quot;??_-;_-@_-">
                  <c:v>2402148.4706791295</c:v>
                </c:pt>
                <c:pt idx="16" formatCode="_-* #,##0_-;\-* #,##0_-;_-* &quot;-&quot;??_-;_-@_-">
                  <c:v>2447912.9165147035</c:v>
                </c:pt>
                <c:pt idx="17" formatCode="_-* #,##0_-;\-* #,##0_-;_-* &quot;-&quot;??_-;_-@_-">
                  <c:v>2494549.2420563828</c:v>
                </c:pt>
                <c:pt idx="18" formatCode="_-* #,##0_-;\-* #,##0_-;_-* &quot;-&quot;??_-;_-@_-">
                  <c:v>2542074.0578892631</c:v>
                </c:pt>
                <c:pt idx="19" formatCode="_-* #,##0_-;\-* #,##0_-;_-* &quot;-&quot;??_-;_-@_-">
                  <c:v>2590504.2910544099</c:v>
                </c:pt>
                <c:pt idx="20" formatCode="_-* #,##0_-;\-* #,##0_-;_-* &quot;-&quot;??_-;_-@_-">
                  <c:v>2639857.1910778075</c:v>
                </c:pt>
              </c:numCache>
            </c:numRef>
          </c:val>
          <c:smooth val="0"/>
          <c:extLst>
            <c:ext xmlns:c16="http://schemas.microsoft.com/office/drawing/2014/chart" uri="{C3380CC4-5D6E-409C-BE32-E72D297353CC}">
              <c16:uniqueId val="{00000001-A5FB-4C26-A5D0-FD73130BBC72}"/>
            </c:ext>
          </c:extLst>
        </c:ser>
        <c:ser>
          <c:idx val="3"/>
          <c:order val="2"/>
          <c:tx>
            <c:strRef>
              <c:f>'[25-08-11 PS26 Waterways and drainage demand forecast - post FY.xlsx]WWD forecasts'!$D$12</c:f>
              <c:strCache>
                <c:ptCount val="1"/>
                <c:pt idx="0">
                  <c:v>VIF2023 - end year</c:v>
                </c:pt>
              </c:strCache>
            </c:strRef>
          </c:tx>
          <c:spPr>
            <a:ln w="28575" cap="rnd">
              <a:solidFill>
                <a:schemeClr val="accent4"/>
              </a:solidFill>
              <a:round/>
            </a:ln>
            <a:effectLst/>
          </c:spPr>
          <c:marker>
            <c:symbol val="none"/>
          </c:marker>
          <c:cat>
            <c:strRef>
              <c:f>'[25-08-11 PS26 Waterways and drainage demand forecast - post FY.xlsx]WWD forecasts'!$G$4:$AA$4</c:f>
              <c:strCache>
                <c:ptCount val="21"/>
                <c:pt idx="0">
                  <c:v>2015-16</c:v>
                </c:pt>
                <c:pt idx="1">
                  <c:v>2016-17</c:v>
                </c:pt>
                <c:pt idx="2">
                  <c:v>2017-18</c:v>
                </c:pt>
                <c:pt idx="3">
                  <c:v>2018-19</c:v>
                </c:pt>
                <c:pt idx="4">
                  <c:v>2019-20</c:v>
                </c:pt>
                <c:pt idx="5">
                  <c:v>2020-21</c:v>
                </c:pt>
                <c:pt idx="6">
                  <c:v>2021-22</c:v>
                </c:pt>
                <c:pt idx="7">
                  <c:v>2022-23</c:v>
                </c:pt>
                <c:pt idx="8">
                  <c:v>2023-24</c:v>
                </c:pt>
                <c:pt idx="9">
                  <c:v>2024-25</c:v>
                </c:pt>
                <c:pt idx="10">
                  <c:v>2025-26</c:v>
                </c:pt>
                <c:pt idx="11">
                  <c:v>2026-27</c:v>
                </c:pt>
                <c:pt idx="12">
                  <c:v>2027-28</c:v>
                </c:pt>
                <c:pt idx="13">
                  <c:v>2028-29</c:v>
                </c:pt>
                <c:pt idx="14">
                  <c:v>2029-30</c:v>
                </c:pt>
                <c:pt idx="15">
                  <c:v>2030-31</c:v>
                </c:pt>
                <c:pt idx="16">
                  <c:v>2031-32</c:v>
                </c:pt>
                <c:pt idx="17">
                  <c:v>2032-33</c:v>
                </c:pt>
                <c:pt idx="18">
                  <c:v>2033-34</c:v>
                </c:pt>
                <c:pt idx="19">
                  <c:v>2034-35</c:v>
                </c:pt>
                <c:pt idx="20">
                  <c:v>2035-36</c:v>
                </c:pt>
              </c:strCache>
            </c:strRef>
          </c:cat>
          <c:val>
            <c:numRef>
              <c:f>'[25-08-11 PS26 Waterways and drainage demand forecast - post FY.xlsx]WWD forecasts'!$G$12:$AA$12</c:f>
              <c:numCache>
                <c:formatCode>General</c:formatCode>
                <c:ptCount val="21"/>
                <c:pt idx="9" formatCode="_-* #,##0_-;\-* #,##0_-;_-* &quot;-&quot;??_-;_-@_-">
                  <c:v>2132001.0762070147</c:v>
                </c:pt>
                <c:pt idx="10" formatCode="_-* #,##0_-;\-* #,##0_-;_-* &quot;-&quot;??_-;_-@_-">
                  <c:v>2175168.2441788907</c:v>
                </c:pt>
                <c:pt idx="11" formatCode="_-* #,##0_-;\-* #,##0_-;_-* &quot;-&quot;??_-;_-@_-">
                  <c:v>2215674.5740363812</c:v>
                </c:pt>
                <c:pt idx="12" formatCode="_-* #,##0_-;\-* #,##0_-;_-* &quot;-&quot;??_-;_-@_-">
                  <c:v>2256935.2192269107</c:v>
                </c:pt>
                <c:pt idx="13" formatCode="_-* #,##0_-;\-* #,##0_-;_-* &quot;-&quot;??_-;_-@_-">
                  <c:v>2298964.2267308813</c:v>
                </c:pt>
                <c:pt idx="14" formatCode="_-* #,##0_-;\-* #,##0_-;_-* &quot;-&quot;??_-;_-@_-">
                  <c:v>2341775.9051138032</c:v>
                </c:pt>
                <c:pt idx="15" formatCode="_-* #,##0_-;\-* #,##0_-;_-* &quot;-&quot;??_-;_-@_-">
                  <c:v>2385384.829397575</c:v>
                </c:pt>
                <c:pt idx="16" formatCode="_-* #,##0_-;\-* #,##0_-;_-* &quot;-&quot;??_-;_-@_-">
                  <c:v>2428106.8373853252</c:v>
                </c:pt>
                <c:pt idx="17" formatCode="_-* #,##0_-;\-* #,##0_-;_-* &quot;-&quot;??_-;_-@_-">
                  <c:v>2471593.9923397251</c:v>
                </c:pt>
                <c:pt idx="18" formatCode="_-* #,##0_-;\-* #,##0_-;_-* &quot;-&quot;??_-;_-@_-">
                  <c:v>2515859.9979677899</c:v>
                </c:pt>
                <c:pt idx="19" formatCode="_-* #,##0_-;\-* #,##0_-;_-* &quot;-&quot;??_-;_-@_-">
                  <c:v>2560918.8034085818</c:v>
                </c:pt>
                <c:pt idx="20" formatCode="_-* #,##0_-;\-* #,##0_-;_-* &quot;-&quot;??_-;_-@_-">
                  <c:v>2606784.6076288735</c:v>
                </c:pt>
              </c:numCache>
            </c:numRef>
          </c:val>
          <c:smooth val="0"/>
          <c:extLst>
            <c:ext xmlns:c16="http://schemas.microsoft.com/office/drawing/2014/chart" uri="{C3380CC4-5D6E-409C-BE32-E72D297353CC}">
              <c16:uniqueId val="{00000002-A5FB-4C26-A5D0-FD73130BBC72}"/>
            </c:ext>
          </c:extLst>
        </c:ser>
        <c:ser>
          <c:idx val="4"/>
          <c:order val="3"/>
          <c:tx>
            <c:strRef>
              <c:f>'[25-08-11 PS26 Waterways and drainage demand forecast - post FY.xlsx]WWD forecasts'!$D$14</c:f>
              <c:strCache>
                <c:ptCount val="1"/>
                <c:pt idx="0">
                  <c:v>Statewide Housing Targets - end year</c:v>
                </c:pt>
              </c:strCache>
            </c:strRef>
          </c:tx>
          <c:spPr>
            <a:ln w="28575" cap="rnd">
              <a:solidFill>
                <a:schemeClr val="accent5"/>
              </a:solidFill>
              <a:round/>
            </a:ln>
            <a:effectLst/>
          </c:spPr>
          <c:marker>
            <c:symbol val="none"/>
          </c:marker>
          <c:cat>
            <c:strRef>
              <c:f>'[25-08-11 PS26 Waterways and drainage demand forecast - post FY.xlsx]WWD forecasts'!$G$4:$AA$4</c:f>
              <c:strCache>
                <c:ptCount val="21"/>
                <c:pt idx="0">
                  <c:v>2015-16</c:v>
                </c:pt>
                <c:pt idx="1">
                  <c:v>2016-17</c:v>
                </c:pt>
                <c:pt idx="2">
                  <c:v>2017-18</c:v>
                </c:pt>
                <c:pt idx="3">
                  <c:v>2018-19</c:v>
                </c:pt>
                <c:pt idx="4">
                  <c:v>2019-20</c:v>
                </c:pt>
                <c:pt idx="5">
                  <c:v>2020-21</c:v>
                </c:pt>
                <c:pt idx="6">
                  <c:v>2021-22</c:v>
                </c:pt>
                <c:pt idx="7">
                  <c:v>2022-23</c:v>
                </c:pt>
                <c:pt idx="8">
                  <c:v>2023-24</c:v>
                </c:pt>
                <c:pt idx="9">
                  <c:v>2024-25</c:v>
                </c:pt>
                <c:pt idx="10">
                  <c:v>2025-26</c:v>
                </c:pt>
                <c:pt idx="11">
                  <c:v>2026-27</c:v>
                </c:pt>
                <c:pt idx="12">
                  <c:v>2027-28</c:v>
                </c:pt>
                <c:pt idx="13">
                  <c:v>2028-29</c:v>
                </c:pt>
                <c:pt idx="14">
                  <c:v>2029-30</c:v>
                </c:pt>
                <c:pt idx="15">
                  <c:v>2030-31</c:v>
                </c:pt>
                <c:pt idx="16">
                  <c:v>2031-32</c:v>
                </c:pt>
                <c:pt idx="17">
                  <c:v>2032-33</c:v>
                </c:pt>
                <c:pt idx="18">
                  <c:v>2033-34</c:v>
                </c:pt>
                <c:pt idx="19">
                  <c:v>2034-35</c:v>
                </c:pt>
                <c:pt idx="20">
                  <c:v>2035-36</c:v>
                </c:pt>
              </c:strCache>
            </c:strRef>
          </c:cat>
          <c:val>
            <c:numRef>
              <c:f>'[25-08-11 PS26 Waterways and drainage demand forecast - post FY.xlsx]WWD forecasts'!$G$14:$AA$14</c:f>
              <c:numCache>
                <c:formatCode>General</c:formatCode>
                <c:ptCount val="21"/>
                <c:pt idx="9" formatCode="_-* #,##0_-;\-* #,##0_-;_-* &quot;-&quot;??_-;_-@_-">
                  <c:v>2132001.0762070147</c:v>
                </c:pt>
                <c:pt idx="10" formatCode="_-* #,##0_-;\-* #,##0_-;_-* &quot;-&quot;??_-;_-@_-">
                  <c:v>2178484.6721292818</c:v>
                </c:pt>
                <c:pt idx="11" formatCode="_-* #,##0_-;\-* #,##0_-;_-* &quot;-&quot;??_-;_-@_-">
                  <c:v>2225981.7406590343</c:v>
                </c:pt>
                <c:pt idx="12" formatCode="_-* #,##0_-;\-* #,##0_-;_-* &quot;-&quot;??_-;_-@_-">
                  <c:v>2274514.3783381968</c:v>
                </c:pt>
                <c:pt idx="13" formatCode="_-* #,##0_-;\-* #,##0_-;_-* &quot;-&quot;??_-;_-@_-">
                  <c:v>2324105.1634752085</c:v>
                </c:pt>
                <c:pt idx="14" formatCode="_-* #,##0_-;\-* #,##0_-;_-* &quot;-&quot;??_-;_-@_-">
                  <c:v>2374777.1666488815</c:v>
                </c:pt>
                <c:pt idx="15" formatCode="_-* #,##0_-;\-* #,##0_-;_-* &quot;-&quot;??_-;_-@_-">
                  <c:v>2426553.9614412752</c:v>
                </c:pt>
                <c:pt idx="16" formatCode="_-* #,##0_-;\-* #,##0_-;_-* &quot;-&quot;??_-;_-@_-">
                  <c:v>2479459.6354045752</c:v>
                </c:pt>
                <c:pt idx="17" formatCode="_-* #,##0_-;\-* #,##0_-;_-* &quot;-&quot;??_-;_-@_-">
                  <c:v>2533518.8012670819</c:v>
                </c:pt>
                <c:pt idx="18" formatCode="_-* #,##0_-;\-* #,##0_-;_-* &quot;-&quot;??_-;_-@_-">
                  <c:v>2588756.6083835219</c:v>
                </c:pt>
                <c:pt idx="19" formatCode="_-* #,##0_-;\-* #,##0_-;_-* &quot;-&quot;??_-;_-@_-">
                  <c:v>2645198.7544350065</c:v>
                </c:pt>
                <c:pt idx="20" formatCode="_-* #,##0_-;\-* #,##0_-;_-* &quot;-&quot;??_-;_-@_-">
                  <c:v>2702871.497384083</c:v>
                </c:pt>
              </c:numCache>
            </c:numRef>
          </c:val>
          <c:smooth val="0"/>
          <c:extLst>
            <c:ext xmlns:c16="http://schemas.microsoft.com/office/drawing/2014/chart" uri="{C3380CC4-5D6E-409C-BE32-E72D297353CC}">
              <c16:uniqueId val="{00000003-A5FB-4C26-A5D0-FD73130BBC72}"/>
            </c:ext>
          </c:extLst>
        </c:ser>
        <c:dLbls>
          <c:showLegendKey val="0"/>
          <c:showVal val="0"/>
          <c:showCatName val="0"/>
          <c:showSerName val="0"/>
          <c:showPercent val="0"/>
          <c:showBubbleSize val="0"/>
        </c:dLbls>
        <c:smooth val="0"/>
        <c:axId val="799699663"/>
        <c:axId val="799700623"/>
      </c:lineChart>
      <c:catAx>
        <c:axId val="79969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700623"/>
        <c:crosses val="autoZero"/>
        <c:auto val="1"/>
        <c:lblAlgn val="ctr"/>
        <c:lblOffset val="100"/>
        <c:noMultiLvlLbl val="0"/>
      </c:catAx>
      <c:valAx>
        <c:axId val="799700623"/>
        <c:scaling>
          <c:orientation val="minMax"/>
          <c:max val="2800000"/>
          <c:min val="17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 residential</a:t>
                </a:r>
                <a:r>
                  <a:rPr lang="en-AU" baseline="0"/>
                  <a:t> customers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699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'[25-08-11 PS26 Waterways and drainage demand forecast - post FY.xlsx]WWD forecasts'!$D$31</c:f>
              <c:strCache>
                <c:ptCount val="1"/>
                <c:pt idx="0">
                  <c:v>Actual</c:v>
                </c:pt>
              </c:strCache>
            </c:strRef>
          </c:tx>
          <c:spPr>
            <a:solidFill>
              <a:schemeClr val="accent1"/>
            </a:solidFill>
            <a:ln>
              <a:noFill/>
            </a:ln>
            <a:effectLst/>
          </c:spPr>
          <c:invertIfNegative val="0"/>
          <c:cat>
            <c:strRef>
              <c:f>'[25-08-11 PS26 Waterways and drainage demand forecast - post FY.xlsx]WWD forecasts'!$H$4:$AA$4</c:f>
              <c:strCache>
                <c:ptCount val="20"/>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pt idx="17">
                  <c:v>2033-34</c:v>
                </c:pt>
                <c:pt idx="18">
                  <c:v>2034-35</c:v>
                </c:pt>
                <c:pt idx="19">
                  <c:v>2035-36</c:v>
                </c:pt>
              </c:strCache>
            </c:strRef>
          </c:cat>
          <c:val>
            <c:numRef>
              <c:f>'[25-08-11 PS26 Waterways and drainage demand forecast - post FY.xlsx]WWD forecasts'!$H$31:$AA$31</c:f>
              <c:numCache>
                <c:formatCode>_-* #,##0_-;\-* #,##0_-;_-* "-"??_-;_-@_-</c:formatCode>
                <c:ptCount val="20"/>
                <c:pt idx="0">
                  <c:v>45685.5</c:v>
                </c:pt>
                <c:pt idx="1">
                  <c:v>54969</c:v>
                </c:pt>
                <c:pt idx="2">
                  <c:v>48156</c:v>
                </c:pt>
                <c:pt idx="3">
                  <c:v>44010.5</c:v>
                </c:pt>
                <c:pt idx="4">
                  <c:v>46756.5</c:v>
                </c:pt>
                <c:pt idx="5">
                  <c:v>42449</c:v>
                </c:pt>
                <c:pt idx="6">
                  <c:v>34914.5</c:v>
                </c:pt>
                <c:pt idx="7">
                  <c:v>31484.11034773197</c:v>
                </c:pt>
                <c:pt idx="8">
                  <c:v>33486.038103507366</c:v>
                </c:pt>
              </c:numCache>
            </c:numRef>
          </c:val>
          <c:extLst>
            <c:ext xmlns:c16="http://schemas.microsoft.com/office/drawing/2014/chart" uri="{C3380CC4-5D6E-409C-BE32-E72D297353CC}">
              <c16:uniqueId val="{00000000-F8F7-4434-9D50-CB49EB60AEC5}"/>
            </c:ext>
          </c:extLst>
        </c:ser>
        <c:ser>
          <c:idx val="1"/>
          <c:order val="1"/>
          <c:tx>
            <c:strRef>
              <c:f>'[25-08-11 PS26 Waterways and drainage demand forecast - post FY.xlsx]WWD forecasts'!$D$32</c:f>
              <c:strCache>
                <c:ptCount val="1"/>
                <c:pt idx="0">
                  <c:v>2021 Determination forecast</c:v>
                </c:pt>
              </c:strCache>
            </c:strRef>
          </c:tx>
          <c:spPr>
            <a:solidFill>
              <a:schemeClr val="accent2"/>
            </a:solidFill>
            <a:ln>
              <a:noFill/>
            </a:ln>
            <a:effectLst/>
          </c:spPr>
          <c:invertIfNegative val="0"/>
          <c:cat>
            <c:strRef>
              <c:f>'[25-08-11 PS26 Waterways and drainage demand forecast - post FY.xlsx]WWD forecasts'!$H$4:$AA$4</c:f>
              <c:strCache>
                <c:ptCount val="20"/>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pt idx="17">
                  <c:v>2033-34</c:v>
                </c:pt>
                <c:pt idx="18">
                  <c:v>2034-35</c:v>
                </c:pt>
                <c:pt idx="19">
                  <c:v>2035-36</c:v>
                </c:pt>
              </c:strCache>
            </c:strRef>
          </c:cat>
          <c:val>
            <c:numRef>
              <c:f>'[25-08-11 PS26 Waterways and drainage demand forecast - post FY.xlsx]WWD forecasts'!$H$32:$AA$32</c:f>
              <c:numCache>
                <c:formatCode>General</c:formatCode>
                <c:ptCount val="20"/>
                <c:pt idx="4" formatCode="_-* #,##0_-;\-* #,##0_-;_-* &quot;-&quot;??_-;_-@_-">
                  <c:v>38635.333827878814</c:v>
                </c:pt>
                <c:pt idx="5" formatCode="_-* #,##0_-;\-* #,##0_-;_-* &quot;-&quot;??_-;_-@_-">
                  <c:v>55296.166172121651</c:v>
                </c:pt>
                <c:pt idx="6" formatCode="_-* #,##0_-;\-* #,##0_-;_-* &quot;-&quot;??_-;_-@_-">
                  <c:v>47908.000000000466</c:v>
                </c:pt>
                <c:pt idx="7" formatCode="_-* #,##0_-;\-* #,##0_-;_-* &quot;-&quot;??_-;_-@_-">
                  <c:v>25116.999999999534</c:v>
                </c:pt>
                <c:pt idx="8" formatCode="_-* #,##0_-;\-* #,##0_-;_-* &quot;-&quot;??_-;_-@_-">
                  <c:v>42113.999999999534</c:v>
                </c:pt>
                <c:pt idx="9" formatCode="_-* #,##0_-;\-* #,##0_-;_-* &quot;-&quot;??_-;_-@_-">
                  <c:v>43349</c:v>
                </c:pt>
                <c:pt idx="10" formatCode="_-* #,##0_-;\-* #,##0_-;_-* &quot;-&quot;??_-;_-@_-">
                  <c:v>44342.999999999069</c:v>
                </c:pt>
                <c:pt idx="11" formatCode="_-* #,##0_-;\-* #,##0_-;_-* &quot;-&quot;??_-;_-@_-">
                  <c:v>45220.000000000931</c:v>
                </c:pt>
                <c:pt idx="12" formatCode="_-* #,##0_-;\-* #,##0_-;_-* &quot;-&quot;??_-;_-@_-">
                  <c:v>46173.999999999534</c:v>
                </c:pt>
                <c:pt idx="13" formatCode="_-* #,##0_-;\-* #,##0_-;_-* &quot;-&quot;??_-;_-@_-">
                  <c:v>46892.000000000466</c:v>
                </c:pt>
                <c:pt idx="14" formatCode="_-* #,##0_-;\-* #,##0_-;_-* &quot;-&quot;??_-;_-@_-">
                  <c:v>47009.999999999534</c:v>
                </c:pt>
              </c:numCache>
            </c:numRef>
          </c:val>
          <c:extLst>
            <c:ext xmlns:c16="http://schemas.microsoft.com/office/drawing/2014/chart" uri="{C3380CC4-5D6E-409C-BE32-E72D297353CC}">
              <c16:uniqueId val="{00000001-F8F7-4434-9D50-CB49EB60AEC5}"/>
            </c:ext>
          </c:extLst>
        </c:ser>
        <c:ser>
          <c:idx val="2"/>
          <c:order val="2"/>
          <c:tx>
            <c:v>Adopted forecast</c:v>
          </c:tx>
          <c:spPr>
            <a:solidFill>
              <a:schemeClr val="accent3"/>
            </a:solidFill>
            <a:ln>
              <a:noFill/>
            </a:ln>
            <a:effectLst/>
          </c:spPr>
          <c:invertIfNegative val="0"/>
          <c:cat>
            <c:strRef>
              <c:f>'[25-08-11 PS26 Waterways and drainage demand forecast - post FY.xlsx]WWD forecasts'!$H$4:$AA$4</c:f>
              <c:strCache>
                <c:ptCount val="20"/>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pt idx="17">
                  <c:v>2033-34</c:v>
                </c:pt>
                <c:pt idx="18">
                  <c:v>2034-35</c:v>
                </c:pt>
                <c:pt idx="19">
                  <c:v>2035-36</c:v>
                </c:pt>
              </c:strCache>
            </c:strRef>
          </c:cat>
          <c:val>
            <c:numRef>
              <c:f>'[25-08-11 PS26 Waterways and drainage demand forecast - post FY.xlsx]WWD forecasts'!$H$33:$AA$33</c:f>
              <c:numCache>
                <c:formatCode>General</c:formatCode>
                <c:ptCount val="20"/>
                <c:pt idx="9" formatCode="_-* #,##0_-;\-* #,##0_-;_-* &quot;-&quot;??_-;_-@_-">
                  <c:v>39885.405269721523</c:v>
                </c:pt>
                <c:pt idx="10" formatCode="_-* #,##0_-;\-* #,##0_-;_-* &quot;-&quot;??_-;_-@_-">
                  <c:v>43313.100676134229</c:v>
                </c:pt>
                <c:pt idx="11" formatCode="_-* #,##0_-;\-* #,##0_-;_-* &quot;-&quot;??_-;_-@_-">
                  <c:v>44084.179986980744</c:v>
                </c:pt>
                <c:pt idx="12" formatCode="_-* #,##0_-;\-* #,##0_-;_-* &quot;-&quot;??_-;_-@_-">
                  <c:v>44968.835508609656</c:v>
                </c:pt>
                <c:pt idx="13" formatCode="_-* #,##0_-;\-* #,##0_-;_-* &quot;-&quot;??_-;_-@_-">
                  <c:v>45871.243779459968</c:v>
                </c:pt>
                <c:pt idx="14" formatCode="_-* #,##0_-;\-* #,##0_-;_-* &quot;-&quot;??_-;_-@_-">
                  <c:v>46791.761051313486</c:v>
                </c:pt>
                <c:pt idx="15" formatCode="_-* #,##0_-;\-* #,##0_-;_-* &quot;-&quot;??_-;_-@_-">
                  <c:v>46510.518873457331</c:v>
                </c:pt>
                <c:pt idx="16" formatCode="_-* #,##0_-;\-* #,##0_-;_-* &quot;-&quot;??_-;_-@_-">
                  <c:v>46200.385688627139</c:v>
                </c:pt>
                <c:pt idx="17" formatCode="_-* #,##0_-;\-* #,##0_-;_-* &quot;-&quot;??_-;_-@_-">
                  <c:v>47080.570687279571</c:v>
                </c:pt>
                <c:pt idx="18" formatCode="_-* #,##0_-;\-* #,##0_-;_-* &quot;-&quot;??_-;_-@_-">
                  <c:v>47977.524499013554</c:v>
                </c:pt>
                <c:pt idx="19" formatCode="_-* #,##0_-;\-* #,##0_-;_-* &quot;-&quot;??_-;_-@_-">
                  <c:v>48891.566594271921</c:v>
                </c:pt>
              </c:numCache>
            </c:numRef>
          </c:val>
          <c:extLst>
            <c:ext xmlns:c16="http://schemas.microsoft.com/office/drawing/2014/chart" uri="{C3380CC4-5D6E-409C-BE32-E72D297353CC}">
              <c16:uniqueId val="{00000002-F8F7-4434-9D50-CB49EB60AEC5}"/>
            </c:ext>
          </c:extLst>
        </c:ser>
        <c:ser>
          <c:idx val="3"/>
          <c:order val="3"/>
          <c:tx>
            <c:strRef>
              <c:f>'[25-08-11 PS26 Waterways and drainage demand forecast - post FY.xlsx]WWD forecasts'!$D$34</c:f>
              <c:strCache>
                <c:ptCount val="1"/>
                <c:pt idx="0">
                  <c:v>VIF2023</c:v>
                </c:pt>
              </c:strCache>
            </c:strRef>
          </c:tx>
          <c:spPr>
            <a:solidFill>
              <a:schemeClr val="accent4"/>
            </a:solidFill>
            <a:ln>
              <a:noFill/>
            </a:ln>
            <a:effectLst/>
          </c:spPr>
          <c:invertIfNegative val="0"/>
          <c:cat>
            <c:strRef>
              <c:f>'[25-08-11 PS26 Waterways and drainage demand forecast - post FY.xlsx]WWD forecasts'!$H$4:$AA$4</c:f>
              <c:strCache>
                <c:ptCount val="20"/>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pt idx="17">
                  <c:v>2033-34</c:v>
                </c:pt>
                <c:pt idx="18">
                  <c:v>2034-35</c:v>
                </c:pt>
                <c:pt idx="19">
                  <c:v>2035-36</c:v>
                </c:pt>
              </c:strCache>
            </c:strRef>
          </c:cat>
          <c:val>
            <c:numRef>
              <c:f>'[25-08-11 PS26 Waterways and drainage demand forecast - post FY.xlsx]WWD forecasts'!$H$34:$AA$34</c:f>
              <c:numCache>
                <c:formatCode>General</c:formatCode>
                <c:ptCount val="20"/>
                <c:pt idx="9" formatCode="_-* #,##0_-;\-* #,##0_-;_-* &quot;-&quot;??_-;_-@_-">
                  <c:v>39979.011741713155</c:v>
                </c:pt>
                <c:pt idx="10" formatCode="_-* #,##0_-;\-* #,##0_-;_-* &quot;-&quot;??_-;_-@_-">
                  <c:v>41836.748914683238</c:v>
                </c:pt>
                <c:pt idx="11" formatCode="_-* #,##0_-;\-* #,##0_-;_-* &quot;-&quot;??_-;_-@_-">
                  <c:v>40883.487524010241</c:v>
                </c:pt>
                <c:pt idx="12" formatCode="_-* #,##0_-;\-* #,##0_-;_-* &quot;-&quot;??_-;_-@_-">
                  <c:v>41644.826347250026</c:v>
                </c:pt>
                <c:pt idx="13" formatCode="_-* #,##0_-;\-* #,##0_-;_-* &quot;-&quot;??_-;_-@_-">
                  <c:v>42420.342943446245</c:v>
                </c:pt>
                <c:pt idx="14" formatCode="_-* #,##0_-;\-* #,##0_-;_-* &quot;-&quot;??_-;_-@_-">
                  <c:v>43210.30133334687</c:v>
                </c:pt>
                <c:pt idx="15" formatCode="_-* #,##0_-;\-* #,##0_-;_-* &quot;-&quot;??_-;_-@_-">
                  <c:v>43165.466135761235</c:v>
                </c:pt>
                <c:pt idx="16" formatCode="_-* #,##0_-;\-* #,##0_-;_-* &quot;-&quot;??_-;_-@_-">
                  <c:v>43104.581471074838</c:v>
                </c:pt>
                <c:pt idx="17" formatCode="_-* #,##0_-;\-* #,##0_-;_-* &quot;-&quot;??_-;_-@_-">
                  <c:v>43876.58029123256</c:v>
                </c:pt>
                <c:pt idx="18" formatCode="_-* #,##0_-;\-* #,##0_-;_-* &quot;-&quot;??_-;_-@_-">
                  <c:v>44662.405534428079</c:v>
                </c:pt>
                <c:pt idx="19" formatCode="_-* #,##0_-;\-* #,##0_-;_-* &quot;-&quot;??_-;_-@_-">
                  <c:v>45462.304830541834</c:v>
                </c:pt>
              </c:numCache>
            </c:numRef>
          </c:val>
          <c:extLst>
            <c:ext xmlns:c16="http://schemas.microsoft.com/office/drawing/2014/chart" uri="{C3380CC4-5D6E-409C-BE32-E72D297353CC}">
              <c16:uniqueId val="{00000003-F8F7-4434-9D50-CB49EB60AEC5}"/>
            </c:ext>
          </c:extLst>
        </c:ser>
        <c:ser>
          <c:idx val="4"/>
          <c:order val="4"/>
          <c:tx>
            <c:strRef>
              <c:f>'[25-08-11 PS26 Waterways and drainage demand forecast - post FY.xlsx]WWD forecasts'!$D$35</c:f>
              <c:strCache>
                <c:ptCount val="1"/>
                <c:pt idx="0">
                  <c:v>Statewide Housing Targets</c:v>
                </c:pt>
              </c:strCache>
            </c:strRef>
          </c:tx>
          <c:spPr>
            <a:solidFill>
              <a:schemeClr val="accent5"/>
            </a:solidFill>
            <a:ln>
              <a:noFill/>
            </a:ln>
            <a:effectLst/>
          </c:spPr>
          <c:invertIfNegative val="0"/>
          <c:cat>
            <c:strRef>
              <c:f>'[25-08-11 PS26 Waterways and drainage demand forecast - post FY.xlsx]WWD forecasts'!$H$4:$AA$4</c:f>
              <c:strCache>
                <c:ptCount val="20"/>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pt idx="17">
                  <c:v>2033-34</c:v>
                </c:pt>
                <c:pt idx="18">
                  <c:v>2034-35</c:v>
                </c:pt>
                <c:pt idx="19">
                  <c:v>2035-36</c:v>
                </c:pt>
              </c:strCache>
            </c:strRef>
          </c:cat>
          <c:val>
            <c:numRef>
              <c:f>'[25-08-11 PS26 Waterways and drainage demand forecast - post FY.xlsx]WWD forecasts'!$H$35:$AA$35</c:f>
              <c:numCache>
                <c:formatCode>General</c:formatCode>
                <c:ptCount val="20"/>
                <c:pt idx="9" formatCode="_-* #,##0_-;\-* #,##0_-;_-* &quot;-&quot;??_-;_-@_-">
                  <c:v>41637.225716908928</c:v>
                </c:pt>
                <c:pt idx="10" formatCode="_-* #,##0_-;\-* #,##0_-;_-* &quot;-&quot;??_-;_-@_-">
                  <c:v>46990.332226010039</c:v>
                </c:pt>
                <c:pt idx="11" formatCode="_-* #,##0_-;\-* #,##0_-;_-* &quot;-&quot;??_-;_-@_-">
                  <c:v>48014.853104457259</c:v>
                </c:pt>
                <c:pt idx="12" formatCode="_-* #,##0_-;\-* #,##0_-;_-* &quot;-&quot;??_-;_-@_-">
                  <c:v>49061.711408087052</c:v>
                </c:pt>
                <c:pt idx="13" formatCode="_-* #,##0_-;\-* #,##0_-;_-* &quot;-&quot;??_-;_-@_-">
                  <c:v>50131.394155342132</c:v>
                </c:pt>
                <c:pt idx="14" formatCode="_-* #,##0_-;\-* #,##0_-;_-* &quot;-&quot;??_-;_-@_-">
                  <c:v>51224.398983033374</c:v>
                </c:pt>
                <c:pt idx="15" formatCode="_-* #,##0_-;\-* #,##0_-;_-* &quot;-&quot;??_-;_-@_-">
                  <c:v>52341.234377847053</c:v>
                </c:pt>
                <c:pt idx="16" formatCode="_-* #,##0_-;\-* #,##0_-;_-* &quot;-&quot;??_-;_-@_-">
                  <c:v>53482.41991290357</c:v>
                </c:pt>
                <c:pt idx="17" formatCode="_-* #,##0_-;\-* #,##0_-;_-* &quot;-&quot;??_-;_-@_-">
                  <c:v>54648.486489472911</c:v>
                </c:pt>
                <c:pt idx="18" formatCode="_-* #,##0_-;\-* #,##0_-;_-* &quot;-&quot;??_-;_-@_-">
                  <c:v>55839.976583962329</c:v>
                </c:pt>
                <c:pt idx="19" formatCode="_-* #,##0_-;\-* #,##0_-;_-* &quot;-&quot;??_-;_-@_-">
                  <c:v>57057.444500280544</c:v>
                </c:pt>
              </c:numCache>
            </c:numRef>
          </c:val>
          <c:extLst>
            <c:ext xmlns:c16="http://schemas.microsoft.com/office/drawing/2014/chart" uri="{C3380CC4-5D6E-409C-BE32-E72D297353CC}">
              <c16:uniqueId val="{00000004-F8F7-4434-9D50-CB49EB60AEC5}"/>
            </c:ext>
          </c:extLst>
        </c:ser>
        <c:dLbls>
          <c:showLegendKey val="0"/>
          <c:showVal val="0"/>
          <c:showCatName val="0"/>
          <c:showSerName val="0"/>
          <c:showPercent val="0"/>
          <c:showBubbleSize val="0"/>
        </c:dLbls>
        <c:gapWidth val="219"/>
        <c:overlap val="-27"/>
        <c:axId val="1329874175"/>
        <c:axId val="1329874655"/>
      </c:barChart>
      <c:catAx>
        <c:axId val="13298741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9874655"/>
        <c:crosses val="autoZero"/>
        <c:auto val="1"/>
        <c:lblAlgn val="ctr"/>
        <c:lblOffset val="100"/>
        <c:noMultiLvlLbl val="0"/>
      </c:catAx>
      <c:valAx>
        <c:axId val="1329874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New</a:t>
                </a:r>
                <a:r>
                  <a:rPr lang="en-AU" baseline="0"/>
                  <a:t> residential customers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9874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98809527815031E-2"/>
          <c:y val="0.13865034538880236"/>
          <c:w val="0.93781665664661262"/>
          <c:h val="0.47791912472539672"/>
        </c:manualLayout>
      </c:layout>
      <c:barChart>
        <c:barDir val="col"/>
        <c:grouping val="stacked"/>
        <c:varyColors val="0"/>
        <c:ser>
          <c:idx val="0"/>
          <c:order val="0"/>
          <c:tx>
            <c:strRef>
              <c:f>'PS_Doc (Demands)'!$B$8</c:f>
              <c:strCache>
                <c:ptCount val="1"/>
                <c:pt idx="0">
                  <c:v>Residential</c:v>
                </c:pt>
              </c:strCache>
            </c:strRef>
          </c:tx>
          <c:spPr>
            <a:solidFill>
              <a:schemeClr val="accent1"/>
            </a:solidFill>
            <a:ln>
              <a:noFill/>
            </a:ln>
            <a:effectLst/>
          </c:spPr>
          <c:invertIfNegative val="0"/>
          <c:cat>
            <c:multiLvlStrRef>
              <c:f>'PS_Doc (Demands)'!$C$6:$Q$7</c:f>
              <c:multiLvlStrCache>
                <c:ptCount val="15"/>
                <c:lvl>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lvl>
                <c:lvl>
                  <c:pt idx="0">
                    <c:v>2016-21 regulatory period (actuals)</c:v>
                  </c:pt>
                  <c:pt idx="5">
                    <c:v>2021-26 regulatory period (actuals)</c:v>
                  </c:pt>
                  <c:pt idx="10">
                    <c:v>2026-31 regulatory period</c:v>
                  </c:pt>
                </c:lvl>
              </c:multiLvlStrCache>
            </c:multiLvlStrRef>
          </c:cat>
          <c:val>
            <c:numRef>
              <c:f>'PS_Doc (Demands)'!$C$8:$Q$8</c:f>
              <c:numCache>
                <c:formatCode>_-* #,##0_-;\-* #,##0_-;_-* "-"??_-;_-@_-</c:formatCode>
                <c:ptCount val="15"/>
                <c:pt idx="0">
                  <c:v>1805375</c:v>
                </c:pt>
                <c:pt idx="1">
                  <c:v>1859323</c:v>
                </c:pt>
                <c:pt idx="2">
                  <c:v>1901687</c:v>
                </c:pt>
                <c:pt idx="3">
                  <c:v>1947344</c:v>
                </c:pt>
                <c:pt idx="4">
                  <c:v>1995200</c:v>
                </c:pt>
                <c:pt idx="5">
                  <c:v>2032242</c:v>
                </c:pt>
                <c:pt idx="6">
                  <c:v>2065029</c:v>
                </c:pt>
                <c:pt idx="7">
                  <c:v>2095210.2206954637</c:v>
                </c:pt>
                <c:pt idx="8">
                  <c:v>2132001.0762070147</c:v>
                </c:pt>
                <c:pt idx="9">
                  <c:v>2174981.031234907</c:v>
                </c:pt>
                <c:pt idx="10">
                  <c:v>2196804.1543970951</c:v>
                </c:pt>
                <c:pt idx="11">
                  <c:v>2240888.3343840758</c:v>
                </c:pt>
                <c:pt idx="12">
                  <c:v>2285857.1698926855</c:v>
                </c:pt>
                <c:pt idx="13">
                  <c:v>2331728.4136721455</c:v>
                </c:pt>
                <c:pt idx="14">
                  <c:v>2378520.1747234589</c:v>
                </c:pt>
              </c:numCache>
            </c:numRef>
          </c:val>
          <c:extLst>
            <c:ext xmlns:c16="http://schemas.microsoft.com/office/drawing/2014/chart" uri="{C3380CC4-5D6E-409C-BE32-E72D297353CC}">
              <c16:uniqueId val="{00000000-BE98-4668-AB93-BC7BD5E04FB8}"/>
            </c:ext>
          </c:extLst>
        </c:ser>
        <c:ser>
          <c:idx val="1"/>
          <c:order val="1"/>
          <c:tx>
            <c:strRef>
              <c:f>'PS_Doc (Demands)'!$B$9</c:f>
              <c:strCache>
                <c:ptCount val="1"/>
                <c:pt idx="0">
                  <c:v>Non- Residential</c:v>
                </c:pt>
              </c:strCache>
            </c:strRef>
          </c:tx>
          <c:spPr>
            <a:solidFill>
              <a:schemeClr val="accent2"/>
            </a:solidFill>
            <a:ln>
              <a:noFill/>
            </a:ln>
            <a:effectLst/>
          </c:spPr>
          <c:invertIfNegative val="0"/>
          <c:cat>
            <c:multiLvlStrRef>
              <c:f>'PS_Doc (Demands)'!$C$6:$Q$7</c:f>
              <c:multiLvlStrCache>
                <c:ptCount val="15"/>
                <c:lvl>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lvl>
                <c:lvl>
                  <c:pt idx="0">
                    <c:v>2016-21 regulatory period (actuals)</c:v>
                  </c:pt>
                  <c:pt idx="5">
                    <c:v>2021-26 regulatory period (actuals)</c:v>
                  </c:pt>
                  <c:pt idx="10">
                    <c:v>2026-31 regulatory period</c:v>
                  </c:pt>
                </c:lvl>
              </c:multiLvlStrCache>
            </c:multiLvlStrRef>
          </c:cat>
          <c:val>
            <c:numRef>
              <c:f>'PS_Doc (Demands)'!$C$9:$Q$9</c:f>
              <c:numCache>
                <c:formatCode>_-* #,##0_-;\-* #,##0_-;_-* "-"??_-;_-@_-</c:formatCode>
                <c:ptCount val="15"/>
                <c:pt idx="0">
                  <c:v>145342</c:v>
                </c:pt>
                <c:pt idx="1">
                  <c:v>153481</c:v>
                </c:pt>
                <c:pt idx="2">
                  <c:v>155329</c:v>
                </c:pt>
                <c:pt idx="3">
                  <c:v>158619</c:v>
                </c:pt>
                <c:pt idx="4">
                  <c:v>158511</c:v>
                </c:pt>
                <c:pt idx="5">
                  <c:v>159890</c:v>
                </c:pt>
                <c:pt idx="6">
                  <c:v>164263</c:v>
                </c:pt>
                <c:pt idx="7">
                  <c:v>166015.13414339858</c:v>
                </c:pt>
                <c:pt idx="8">
                  <c:v>168802.72650834435</c:v>
                </c:pt>
                <c:pt idx="9">
                  <c:v>171525.10171720554</c:v>
                </c:pt>
                <c:pt idx="10">
                  <c:v>172901.92785644083</c:v>
                </c:pt>
                <c:pt idx="11">
                  <c:v>175677.68360779906</c:v>
                </c:pt>
                <c:pt idx="12">
                  <c:v>178498.0011525781</c:v>
                </c:pt>
                <c:pt idx="13">
                  <c:v>181363.59588276874</c:v>
                </c:pt>
                <c:pt idx="14">
                  <c:v>184275.19467521601</c:v>
                </c:pt>
              </c:numCache>
            </c:numRef>
          </c:val>
          <c:extLst>
            <c:ext xmlns:c16="http://schemas.microsoft.com/office/drawing/2014/chart" uri="{C3380CC4-5D6E-409C-BE32-E72D297353CC}">
              <c16:uniqueId val="{00000001-BE98-4668-AB93-BC7BD5E04FB8}"/>
            </c:ext>
          </c:extLst>
        </c:ser>
        <c:ser>
          <c:idx val="2"/>
          <c:order val="2"/>
          <c:tx>
            <c:strRef>
              <c:f>'PS_Doc (Demands)'!$B$10</c:f>
              <c:strCache>
                <c:ptCount val="1"/>
                <c:pt idx="0">
                  <c:v>Rural</c:v>
                </c:pt>
              </c:strCache>
            </c:strRef>
          </c:tx>
          <c:spPr>
            <a:solidFill>
              <a:schemeClr val="accent3"/>
            </a:solidFill>
            <a:ln>
              <a:noFill/>
            </a:ln>
            <a:effectLst/>
          </c:spPr>
          <c:invertIfNegative val="0"/>
          <c:cat>
            <c:multiLvlStrRef>
              <c:f>'PS_Doc (Demands)'!$C$6:$Q$7</c:f>
              <c:multiLvlStrCache>
                <c:ptCount val="15"/>
                <c:lvl>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lvl>
                <c:lvl>
                  <c:pt idx="0">
                    <c:v>2016-21 regulatory period (actuals)</c:v>
                  </c:pt>
                  <c:pt idx="5">
                    <c:v>2021-26 regulatory period (actuals)</c:v>
                  </c:pt>
                  <c:pt idx="10">
                    <c:v>2026-31 regulatory period</c:v>
                  </c:pt>
                </c:lvl>
              </c:multiLvlStrCache>
            </c:multiLvlStrRef>
          </c:cat>
          <c:val>
            <c:numRef>
              <c:f>'PS_Doc (Demands)'!$C$10:$Q$10</c:f>
              <c:numCache>
                <c:formatCode>_-* #,##0_-;\-* #,##0_-;_-* "-"??_-;_-@_-</c:formatCode>
                <c:ptCount val="15"/>
                <c:pt idx="0">
                  <c:v>104309</c:v>
                </c:pt>
                <c:pt idx="1">
                  <c:v>107278</c:v>
                </c:pt>
                <c:pt idx="2">
                  <c:v>109905</c:v>
                </c:pt>
                <c:pt idx="3">
                  <c:v>111042</c:v>
                </c:pt>
                <c:pt idx="4">
                  <c:v>114639</c:v>
                </c:pt>
                <c:pt idx="5">
                  <c:v>116572</c:v>
                </c:pt>
                <c:pt idx="6">
                  <c:v>118571</c:v>
                </c:pt>
                <c:pt idx="7">
                  <c:v>119750.64516113768</c:v>
                </c:pt>
                <c:pt idx="8">
                  <c:v>121238.19728464109</c:v>
                </c:pt>
                <c:pt idx="9">
                  <c:v>123682.29186090981</c:v>
                </c:pt>
                <c:pt idx="10">
                  <c:v>125125.67984036857</c:v>
                </c:pt>
                <c:pt idx="11">
                  <c:v>127636.62874768706</c:v>
                </c:pt>
                <c:pt idx="12">
                  <c:v>130197.9659080261</c:v>
                </c:pt>
                <c:pt idx="13">
                  <c:v>132810.70248335521</c:v>
                </c:pt>
                <c:pt idx="14">
                  <c:v>135475.86992705049</c:v>
                </c:pt>
              </c:numCache>
            </c:numRef>
          </c:val>
          <c:extLst>
            <c:ext xmlns:c16="http://schemas.microsoft.com/office/drawing/2014/chart" uri="{C3380CC4-5D6E-409C-BE32-E72D297353CC}">
              <c16:uniqueId val="{00000002-BE98-4668-AB93-BC7BD5E04FB8}"/>
            </c:ext>
          </c:extLst>
        </c:ser>
        <c:ser>
          <c:idx val="3"/>
          <c:order val="3"/>
          <c:tx>
            <c:strRef>
              <c:f>'PS_Doc (Demands)'!$B$11</c:f>
              <c:strCache>
                <c:ptCount val="1"/>
                <c:pt idx="0">
                  <c:v>Total</c:v>
                </c:pt>
              </c:strCache>
            </c:strRef>
          </c:tx>
          <c:spPr>
            <a:solidFill>
              <a:sysClr val="window" lastClr="FFFFFF"/>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'PS_Doc (Demands)'!$C$6:$Q$7</c:f>
              <c:multiLvlStrCache>
                <c:ptCount val="15"/>
                <c:lvl>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lvl>
                <c:lvl>
                  <c:pt idx="0">
                    <c:v>2016-21 regulatory period (actuals)</c:v>
                  </c:pt>
                  <c:pt idx="5">
                    <c:v>2021-26 regulatory period (actuals)</c:v>
                  </c:pt>
                  <c:pt idx="10">
                    <c:v>2026-31 regulatory period</c:v>
                  </c:pt>
                </c:lvl>
              </c:multiLvlStrCache>
            </c:multiLvlStrRef>
          </c:cat>
          <c:val>
            <c:numRef>
              <c:f>'PS_Doc (Demands)'!$C$11:$Q$11</c:f>
              <c:numCache>
                <c:formatCode>_-* #,##0_-;\-* #,##0_-;_-* "-"??_-;_-@_-</c:formatCode>
                <c:ptCount val="15"/>
                <c:pt idx="0">
                  <c:v>2055026</c:v>
                </c:pt>
                <c:pt idx="1">
                  <c:v>2120082</c:v>
                </c:pt>
                <c:pt idx="2">
                  <c:v>2166921</c:v>
                </c:pt>
                <c:pt idx="3">
                  <c:v>2217005</c:v>
                </c:pt>
                <c:pt idx="4">
                  <c:v>2268350</c:v>
                </c:pt>
                <c:pt idx="5">
                  <c:v>2308704</c:v>
                </c:pt>
                <c:pt idx="6">
                  <c:v>2347863</c:v>
                </c:pt>
                <c:pt idx="7">
                  <c:v>2380976</c:v>
                </c:pt>
                <c:pt idx="8">
                  <c:v>2422042.0000000005</c:v>
                </c:pt>
                <c:pt idx="9">
                  <c:v>2470188.4248130224</c:v>
                </c:pt>
                <c:pt idx="10">
                  <c:v>2494831.7620939044</c:v>
                </c:pt>
                <c:pt idx="11">
                  <c:v>2544202.646739562</c:v>
                </c:pt>
                <c:pt idx="12">
                  <c:v>2594553.1369532901</c:v>
                </c:pt>
                <c:pt idx="13">
                  <c:v>2645902.7120382693</c:v>
                </c:pt>
                <c:pt idx="14">
                  <c:v>2698271.2393257255</c:v>
                </c:pt>
              </c:numCache>
            </c:numRef>
          </c:val>
          <c:extLst>
            <c:ext xmlns:c16="http://schemas.microsoft.com/office/drawing/2014/chart" uri="{C3380CC4-5D6E-409C-BE32-E72D297353CC}">
              <c16:uniqueId val="{00000003-BE98-4668-AB93-BC7BD5E04FB8}"/>
            </c:ext>
          </c:extLst>
        </c:ser>
        <c:dLbls>
          <c:showLegendKey val="0"/>
          <c:showVal val="0"/>
          <c:showCatName val="0"/>
          <c:showSerName val="0"/>
          <c:showPercent val="0"/>
          <c:showBubbleSize val="0"/>
        </c:dLbls>
        <c:gapWidth val="150"/>
        <c:overlap val="100"/>
        <c:axId val="1116246880"/>
        <c:axId val="1116268480"/>
      </c:barChart>
      <c:lineChart>
        <c:grouping val="standard"/>
        <c:varyColors val="0"/>
        <c:ser>
          <c:idx val="4"/>
          <c:order val="4"/>
          <c:tx>
            <c:strRef>
              <c:f>'PS_Doc (Demands)'!$B$12</c:f>
              <c:strCache>
                <c:ptCount val="1"/>
                <c:pt idx="0">
                  <c:v>PD21</c:v>
                </c:pt>
              </c:strCache>
            </c:strRef>
          </c:tx>
          <c:spPr>
            <a:ln w="28575" cap="rnd">
              <a:solidFill>
                <a:schemeClr val="tx2"/>
              </a:solidFill>
              <a:round/>
            </a:ln>
            <a:effectLst/>
          </c:spPr>
          <c:marker>
            <c:symbol val="circle"/>
            <c:size val="5"/>
            <c:spPr>
              <a:solidFill>
                <a:schemeClr val="accent5"/>
              </a:solidFill>
              <a:ln w="9525">
                <a:solidFill>
                  <a:schemeClr val="tx2"/>
                </a:solidFill>
              </a:ln>
              <a:effectLst/>
            </c:spPr>
          </c:marker>
          <c:cat>
            <c:multiLvlStrRef>
              <c:f>'PS_Doc (Demands)'!$C$6:$Q$7</c:f>
              <c:multiLvlStrCache>
                <c:ptCount val="15"/>
                <c:lvl>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lvl>
                <c:lvl>
                  <c:pt idx="0">
                    <c:v>2016-21 regulatory period (actuals)</c:v>
                  </c:pt>
                  <c:pt idx="5">
                    <c:v>2021-26 regulatory period (actuals)</c:v>
                  </c:pt>
                  <c:pt idx="10">
                    <c:v>2026-31 regulatory period</c:v>
                  </c:pt>
                </c:lvl>
              </c:multiLvlStrCache>
            </c:multiLvlStrRef>
          </c:cat>
          <c:val>
            <c:numRef>
              <c:f>'PS_Doc (Demands)'!$C$12:$Q$12</c:f>
              <c:numCache>
                <c:formatCode>General</c:formatCode>
                <c:ptCount val="15"/>
                <c:pt idx="5" formatCode="_-* #,##0_-;\-* #,##0_-;_-* &quot;-&quot;??_-;_-@_-">
                  <c:v>2297917.5301155988</c:v>
                </c:pt>
                <c:pt idx="6" formatCode="_-* #,##0_-;\-* #,##0_-;_-* &quot;-&quot;??_-;_-@_-">
                  <c:v>2351309.8574076067</c:v>
                </c:pt>
                <c:pt idx="7" formatCode="_-* #,##0_-;\-* #,##0_-;_-* &quot;-&quot;??_-;_-@_-">
                  <c:v>2379890.1595758051</c:v>
                </c:pt>
                <c:pt idx="8" formatCode="_-* #,##0_-;\-* #,##0_-;_-* &quot;-&quot;??_-;_-@_-">
                  <c:v>2427812.2103159954</c:v>
                </c:pt>
                <c:pt idx="9" formatCode="_-* #,##0_-;\-* #,##0_-;_-* &quot;-&quot;??_-;_-@_-">
                  <c:v>2477138.5264073783</c:v>
                </c:pt>
              </c:numCache>
            </c:numRef>
          </c:val>
          <c:smooth val="0"/>
          <c:extLst>
            <c:ext xmlns:c16="http://schemas.microsoft.com/office/drawing/2014/chart" uri="{C3380CC4-5D6E-409C-BE32-E72D297353CC}">
              <c16:uniqueId val="{00000004-BE98-4668-AB93-BC7BD5E04FB8}"/>
            </c:ext>
          </c:extLst>
        </c:ser>
        <c:ser>
          <c:idx val="5"/>
          <c:order val="5"/>
          <c:tx>
            <c:strRef>
              <c:f>'PS_Doc (Demands)'!$B$13</c:f>
              <c:strCache>
                <c:ptCount val="1"/>
                <c:pt idx="0">
                  <c:v>PD16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'PS_Doc (Demands)'!$C$6:$Q$7</c:f>
              <c:multiLvlStrCache>
                <c:ptCount val="15"/>
                <c:lvl>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lvl>
                <c:lvl>
                  <c:pt idx="0">
                    <c:v>2016-21 regulatory period (actuals)</c:v>
                  </c:pt>
                  <c:pt idx="5">
                    <c:v>2021-26 regulatory period (actuals)</c:v>
                  </c:pt>
                  <c:pt idx="10">
                    <c:v>2026-31 regulatory period</c:v>
                  </c:pt>
                </c:lvl>
              </c:multiLvlStrCache>
            </c:multiLvlStrRef>
          </c:cat>
          <c:val>
            <c:numRef>
              <c:f>'PS_Doc (Demands)'!$C$13:$Q$13</c:f>
              <c:numCache>
                <c:formatCode>_-* #,##0_-;\-* #,##0_-;_-* "-"??_-;_-@_-</c:formatCode>
                <c:ptCount val="15"/>
                <c:pt idx="0">
                  <c:v>2031030.3491100001</c:v>
                </c:pt>
                <c:pt idx="1">
                  <c:v>2086724.1373939803</c:v>
                </c:pt>
                <c:pt idx="2">
                  <c:v>2139159.3798670718</c:v>
                </c:pt>
                <c:pt idx="3">
                  <c:v>2181218.414704679</c:v>
                </c:pt>
                <c:pt idx="4">
                  <c:v>2224118.8021693607</c:v>
                </c:pt>
              </c:numCache>
            </c:numRef>
          </c:val>
          <c:smooth val="0"/>
          <c:extLst>
            <c:ext xmlns:c16="http://schemas.microsoft.com/office/drawing/2014/chart" uri="{C3380CC4-5D6E-409C-BE32-E72D297353CC}">
              <c16:uniqueId val="{00000005-BE98-4668-AB93-BC7BD5E04FB8}"/>
            </c:ext>
          </c:extLst>
        </c:ser>
        <c:dLbls>
          <c:showLegendKey val="0"/>
          <c:showVal val="0"/>
          <c:showCatName val="0"/>
          <c:showSerName val="0"/>
          <c:showPercent val="0"/>
          <c:showBubbleSize val="0"/>
        </c:dLbls>
        <c:marker val="1"/>
        <c:smooth val="0"/>
        <c:axId val="1116246880"/>
        <c:axId val="1116268480"/>
      </c:lineChart>
      <c:catAx>
        <c:axId val="111624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6268480"/>
        <c:crosses val="autoZero"/>
        <c:auto val="1"/>
        <c:lblAlgn val="ctr"/>
        <c:lblOffset val="100"/>
        <c:noMultiLvlLbl val="0"/>
      </c:catAx>
      <c:valAx>
        <c:axId val="1116268480"/>
        <c:scaling>
          <c:orientation val="minMax"/>
          <c:max val="2800000"/>
          <c:min val="1000000"/>
        </c:scaling>
        <c:delete val="0"/>
        <c:axPos val="l"/>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6246880"/>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672933813952736E-2"/>
          <c:y val="5.6603560496722334E-2"/>
          <c:w val="0.75787104340166134"/>
          <c:h val="0.58961034915145993"/>
        </c:manualLayout>
      </c:layout>
      <c:barChart>
        <c:barDir val="col"/>
        <c:grouping val="stacked"/>
        <c:varyColors val="0"/>
        <c:ser>
          <c:idx val="0"/>
          <c:order val="0"/>
          <c:tx>
            <c:strRef>
              <c:f>'PS_Doc (CapEx)'!$A$401</c:f>
              <c:strCache>
                <c:ptCount val="1"/>
                <c:pt idx="0">
                  <c:v>Water</c:v>
                </c:pt>
              </c:strCache>
            </c:strRef>
          </c:tx>
          <c:spPr>
            <a:solidFill>
              <a:schemeClr val="accent1"/>
            </a:solidFill>
            <a:ln>
              <a:noFill/>
            </a:ln>
            <a:effectLst/>
          </c:spPr>
          <c:invertIfNegative val="0"/>
          <c:cat>
            <c:multiLvlStrRef>
              <c:f>'PS_Doc (CapEx)'!$B$399:$P$400</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(CapEx)'!$B$401:$P$401</c:f>
              <c:numCache>
                <c:formatCode>_(#,##0.0,,""_);\(#,##0.000,,""\);_("-"_)</c:formatCode>
                <c:ptCount val="15"/>
                <c:pt idx="0">
                  <c:v>160581060.18646657</c:v>
                </c:pt>
                <c:pt idx="1">
                  <c:v>220504998.95080906</c:v>
                </c:pt>
                <c:pt idx="2">
                  <c:v>252995623.58098614</c:v>
                </c:pt>
                <c:pt idx="3">
                  <c:v>213817254.34633636</c:v>
                </c:pt>
                <c:pt idx="4">
                  <c:v>195660184.31652603</c:v>
                </c:pt>
                <c:pt idx="5">
                  <c:v>238354096.65567735</c:v>
                </c:pt>
                <c:pt idx="6">
                  <c:v>427946774.08903337</c:v>
                </c:pt>
                <c:pt idx="7">
                  <c:v>544921210.23433983</c:v>
                </c:pt>
                <c:pt idx="8">
                  <c:v>508333851.09977704</c:v>
                </c:pt>
                <c:pt idx="9">
                  <c:v>553514774.34246683</c:v>
                </c:pt>
                <c:pt idx="10">
                  <c:v>557295774.19724083</c:v>
                </c:pt>
                <c:pt idx="11">
                  <c:v>765990408.97459781</c:v>
                </c:pt>
                <c:pt idx="12">
                  <c:v>839713022.73238742</c:v>
                </c:pt>
                <c:pt idx="13">
                  <c:v>873451831.30946898</c:v>
                </c:pt>
                <c:pt idx="14">
                  <c:v>735741527.32830644</c:v>
                </c:pt>
              </c:numCache>
            </c:numRef>
          </c:val>
          <c:extLst>
            <c:ext xmlns:c16="http://schemas.microsoft.com/office/drawing/2014/chart" uri="{C3380CC4-5D6E-409C-BE32-E72D297353CC}">
              <c16:uniqueId val="{00000000-DFB8-4F1A-B077-DE1AC483E22B}"/>
            </c:ext>
          </c:extLst>
        </c:ser>
        <c:ser>
          <c:idx val="1"/>
          <c:order val="1"/>
          <c:tx>
            <c:strRef>
              <c:f>'PS_Doc (CapEx)'!$A$402</c:f>
              <c:strCache>
                <c:ptCount val="1"/>
                <c:pt idx="0">
                  <c:v>Sewerage</c:v>
                </c:pt>
              </c:strCache>
            </c:strRef>
          </c:tx>
          <c:spPr>
            <a:solidFill>
              <a:schemeClr val="accent2"/>
            </a:solidFill>
            <a:ln>
              <a:noFill/>
            </a:ln>
            <a:effectLst/>
          </c:spPr>
          <c:invertIfNegative val="0"/>
          <c:cat>
            <c:multiLvlStrRef>
              <c:f>'PS_Doc (CapEx)'!$B$399:$P$400</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(CapEx)'!$B$402:$P$402</c:f>
              <c:numCache>
                <c:formatCode>_(#,##0.0,,""_);\(#,##0.000,,""\);_("-"_)</c:formatCode>
                <c:ptCount val="15"/>
                <c:pt idx="0">
                  <c:v>309110934.04552609</c:v>
                </c:pt>
                <c:pt idx="1">
                  <c:v>350738011.18076074</c:v>
                </c:pt>
                <c:pt idx="2">
                  <c:v>428253332.41749424</c:v>
                </c:pt>
                <c:pt idx="3">
                  <c:v>416959842.00084472</c:v>
                </c:pt>
                <c:pt idx="4">
                  <c:v>433934588.81100798</c:v>
                </c:pt>
                <c:pt idx="5">
                  <c:v>551518072.50819623</c:v>
                </c:pt>
                <c:pt idx="6">
                  <c:v>493926853.39452839</c:v>
                </c:pt>
                <c:pt idx="7">
                  <c:v>548940118.45555687</c:v>
                </c:pt>
                <c:pt idx="8">
                  <c:v>612733412.21888089</c:v>
                </c:pt>
                <c:pt idx="9">
                  <c:v>530491665.60593569</c:v>
                </c:pt>
                <c:pt idx="10">
                  <c:v>636152829.48604155</c:v>
                </c:pt>
                <c:pt idx="11">
                  <c:v>494319357.2293272</c:v>
                </c:pt>
                <c:pt idx="12">
                  <c:v>226216209.08625147</c:v>
                </c:pt>
                <c:pt idx="13">
                  <c:v>429920372.76851231</c:v>
                </c:pt>
                <c:pt idx="14">
                  <c:v>660688271.96773446</c:v>
                </c:pt>
              </c:numCache>
            </c:numRef>
          </c:val>
          <c:extLst>
            <c:ext xmlns:c16="http://schemas.microsoft.com/office/drawing/2014/chart" uri="{C3380CC4-5D6E-409C-BE32-E72D297353CC}">
              <c16:uniqueId val="{00000001-DFB8-4F1A-B077-DE1AC483E22B}"/>
            </c:ext>
          </c:extLst>
        </c:ser>
        <c:ser>
          <c:idx val="2"/>
          <c:order val="2"/>
          <c:tx>
            <c:strRef>
              <c:f>'PS_Doc (CapEx)'!$A$403</c:f>
              <c:strCache>
                <c:ptCount val="1"/>
                <c:pt idx="0">
                  <c:v>Waterways &amp; Drainage</c:v>
                </c:pt>
              </c:strCache>
            </c:strRef>
          </c:tx>
          <c:spPr>
            <a:solidFill>
              <a:schemeClr val="accent3"/>
            </a:solidFill>
            <a:ln>
              <a:noFill/>
            </a:ln>
            <a:effectLst/>
          </c:spPr>
          <c:invertIfNegative val="0"/>
          <c:cat>
            <c:multiLvlStrRef>
              <c:f>'PS_Doc (CapEx)'!$B$399:$P$400</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(CapEx)'!$B$403:$P$403</c:f>
              <c:numCache>
                <c:formatCode>_(#,##0.0,,""_);\(#,##0.000,,""\);_("-"_)</c:formatCode>
                <c:ptCount val="15"/>
                <c:pt idx="0">
                  <c:v>256731974.0760878</c:v>
                </c:pt>
                <c:pt idx="1">
                  <c:v>275028149.30075526</c:v>
                </c:pt>
                <c:pt idx="2">
                  <c:v>239410181.17942783</c:v>
                </c:pt>
                <c:pt idx="3">
                  <c:v>361267197.18120217</c:v>
                </c:pt>
                <c:pt idx="4">
                  <c:v>463470747.29615402</c:v>
                </c:pt>
                <c:pt idx="5">
                  <c:v>555679325.38182425</c:v>
                </c:pt>
                <c:pt idx="6">
                  <c:v>533337334.56168997</c:v>
                </c:pt>
                <c:pt idx="7">
                  <c:v>378271186.4596138</c:v>
                </c:pt>
                <c:pt idx="8">
                  <c:v>384023276.05403137</c:v>
                </c:pt>
                <c:pt idx="9">
                  <c:v>353147950.33900708</c:v>
                </c:pt>
                <c:pt idx="10">
                  <c:v>449877631.70151472</c:v>
                </c:pt>
                <c:pt idx="11">
                  <c:v>425590184.79164869</c:v>
                </c:pt>
                <c:pt idx="12">
                  <c:v>427569084.29741752</c:v>
                </c:pt>
                <c:pt idx="13">
                  <c:v>416604258.90024233</c:v>
                </c:pt>
                <c:pt idx="14">
                  <c:v>415761996.08318597</c:v>
                </c:pt>
              </c:numCache>
            </c:numRef>
          </c:val>
          <c:extLst>
            <c:ext xmlns:c16="http://schemas.microsoft.com/office/drawing/2014/chart" uri="{C3380CC4-5D6E-409C-BE32-E72D297353CC}">
              <c16:uniqueId val="{00000002-DFB8-4F1A-B077-DE1AC483E22B}"/>
            </c:ext>
          </c:extLst>
        </c:ser>
        <c:ser>
          <c:idx val="3"/>
          <c:order val="3"/>
          <c:tx>
            <c:strRef>
              <c:f>'PS_Doc (CapEx)'!$A$404</c:f>
              <c:strCache>
                <c:ptCount val="1"/>
                <c:pt idx="0">
                  <c:v>Recycled Water</c:v>
                </c:pt>
              </c:strCache>
            </c:strRef>
          </c:tx>
          <c:spPr>
            <a:solidFill>
              <a:schemeClr val="accent4"/>
            </a:solidFill>
            <a:ln>
              <a:noFill/>
            </a:ln>
            <a:effectLst/>
          </c:spPr>
          <c:invertIfNegative val="0"/>
          <c:cat>
            <c:multiLvlStrRef>
              <c:f>'PS_Doc (CapEx)'!$B$399:$P$400</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(CapEx)'!$B$404:$P$404</c:f>
              <c:numCache>
                <c:formatCode>_(#,##0.0,,""_);\(#,##0.000,,""\);_("-"_)</c:formatCode>
                <c:ptCount val="15"/>
                <c:pt idx="0">
                  <c:v>127233.09171601017</c:v>
                </c:pt>
                <c:pt idx="1">
                  <c:v>80920.574624067769</c:v>
                </c:pt>
                <c:pt idx="2">
                  <c:v>111531.35236333935</c:v>
                </c:pt>
                <c:pt idx="3">
                  <c:v>198713.05666035804</c:v>
                </c:pt>
                <c:pt idx="4">
                  <c:v>180365.26631200002</c:v>
                </c:pt>
                <c:pt idx="5">
                  <c:v>1290082.1579531557</c:v>
                </c:pt>
                <c:pt idx="6">
                  <c:v>2250458.6598816542</c:v>
                </c:pt>
                <c:pt idx="7">
                  <c:v>4945421.232756529</c:v>
                </c:pt>
                <c:pt idx="8">
                  <c:v>4796207.8474367671</c:v>
                </c:pt>
                <c:pt idx="9">
                  <c:v>4662562.4939347701</c:v>
                </c:pt>
                <c:pt idx="10">
                  <c:v>2812365.0217485554</c:v>
                </c:pt>
                <c:pt idx="11">
                  <c:v>12852377.748895284</c:v>
                </c:pt>
                <c:pt idx="12">
                  <c:v>20763473.246376336</c:v>
                </c:pt>
                <c:pt idx="13">
                  <c:v>16250643.162416067</c:v>
                </c:pt>
                <c:pt idx="14">
                  <c:v>27109203.137127034</c:v>
                </c:pt>
              </c:numCache>
            </c:numRef>
          </c:val>
          <c:extLst>
            <c:ext xmlns:c16="http://schemas.microsoft.com/office/drawing/2014/chart" uri="{C3380CC4-5D6E-409C-BE32-E72D297353CC}">
              <c16:uniqueId val="{00000003-DFB8-4F1A-B077-DE1AC483E22B}"/>
            </c:ext>
          </c:extLst>
        </c:ser>
        <c:ser>
          <c:idx val="4"/>
          <c:order val="4"/>
          <c:tx>
            <c:strRef>
              <c:f>'PS_Doc (CapEx)'!$A$405</c:f>
              <c:strCache>
                <c:ptCount val="1"/>
                <c:pt idx="0">
                  <c:v>Diversion</c:v>
                </c:pt>
              </c:strCache>
            </c:strRef>
          </c:tx>
          <c:spPr>
            <a:solidFill>
              <a:schemeClr val="accent5"/>
            </a:solidFill>
            <a:ln>
              <a:noFill/>
            </a:ln>
            <a:effectLst/>
          </c:spPr>
          <c:invertIfNegative val="0"/>
          <c:cat>
            <c:multiLvlStrRef>
              <c:f>'PS_Doc (CapEx)'!$B$399:$P$400</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(CapEx)'!$B$405:$P$405</c:f>
              <c:numCache>
                <c:formatCode>_(#,##0.0,,""_);\(#,##0.000,,""\);_("-"_)</c:formatCode>
                <c:ptCount val="15"/>
                <c:pt idx="0">
                  <c:v>830451.11582697195</c:v>
                </c:pt>
                <c:pt idx="1">
                  <c:v>876022.66067796585</c:v>
                </c:pt>
                <c:pt idx="2">
                  <c:v>209452.19552036194</c:v>
                </c:pt>
                <c:pt idx="3">
                  <c:v>510289.11133187765</c:v>
                </c:pt>
                <c:pt idx="4">
                  <c:v>1090227.8</c:v>
                </c:pt>
                <c:pt idx="5">
                  <c:v>390243.90243902442</c:v>
                </c:pt>
                <c:pt idx="6">
                  <c:v>380725.75847709703</c:v>
                </c:pt>
                <c:pt idx="7">
                  <c:v>371439.76436789957</c:v>
                </c:pt>
                <c:pt idx="8">
                  <c:v>362380.25791990204</c:v>
                </c:pt>
                <c:pt idx="9">
                  <c:v>353541.71504380694</c:v>
                </c:pt>
                <c:pt idx="10">
                  <c:v>344918.74638420192</c:v>
                </c:pt>
                <c:pt idx="11">
                  <c:v>336506.09403336776</c:v>
                </c:pt>
                <c:pt idx="12">
                  <c:v>328298.6283252369</c:v>
                </c:pt>
                <c:pt idx="13">
                  <c:v>320291.34470754821</c:v>
                </c:pt>
                <c:pt idx="14">
                  <c:v>156239.68034514546</c:v>
                </c:pt>
              </c:numCache>
            </c:numRef>
          </c:val>
          <c:extLst>
            <c:ext xmlns:c16="http://schemas.microsoft.com/office/drawing/2014/chart" uri="{C3380CC4-5D6E-409C-BE32-E72D297353CC}">
              <c16:uniqueId val="{00000004-DFB8-4F1A-B077-DE1AC483E22B}"/>
            </c:ext>
          </c:extLst>
        </c:ser>
        <c:ser>
          <c:idx val="7"/>
          <c:order val="5"/>
          <c:tx>
            <c:strRef>
              <c:f>'PS_Doc (CapEx)'!$A$408</c:f>
              <c:strCache>
                <c:ptCount val="1"/>
                <c:pt idx="0">
                  <c:v>Desal Capitalisation</c:v>
                </c:pt>
              </c:strCache>
            </c:strRef>
          </c:tx>
          <c:spPr>
            <a:solidFill>
              <a:schemeClr val="accent3">
                <a:lumMod val="50000"/>
              </a:schemeClr>
            </a:solidFill>
            <a:ln>
              <a:noFill/>
            </a:ln>
            <a:effectLst/>
          </c:spPr>
          <c:invertIfNegative val="0"/>
          <c:cat>
            <c:multiLvlStrRef>
              <c:f>'PS_Doc (CapEx)'!$B$399:$P$400</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(CapEx)'!$B$408:$P$408</c:f>
              <c:numCache>
                <c:formatCode>_(#,##0.0,,""_);\(#,##0.000,,""\);_("-"_)</c:formatCode>
                <c:ptCount val="15"/>
                <c:pt idx="0">
                  <c:v>24480184.26295248</c:v>
                </c:pt>
                <c:pt idx="1">
                  <c:v>36103751.559430011</c:v>
                </c:pt>
                <c:pt idx="2">
                  <c:v>54504723.216255657</c:v>
                </c:pt>
                <c:pt idx="3">
                  <c:v>65979940.791036978</c:v>
                </c:pt>
                <c:pt idx="4">
                  <c:v>75920242.215512589</c:v>
                </c:pt>
                <c:pt idx="5">
                  <c:v>80635863.641761839</c:v>
                </c:pt>
                <c:pt idx="6">
                  <c:v>112322103.93019819</c:v>
                </c:pt>
                <c:pt idx="7">
                  <c:v>129966823.78290576</c:v>
                </c:pt>
                <c:pt idx="8">
                  <c:v>140298605.12110415</c:v>
                </c:pt>
                <c:pt idx="9">
                  <c:v>157916557.40021756</c:v>
                </c:pt>
                <c:pt idx="10">
                  <c:v>175948327.53327149</c:v>
                </c:pt>
                <c:pt idx="11">
                  <c:v>195497514.41483352</c:v>
                </c:pt>
                <c:pt idx="12">
                  <c:v>215222562.14434147</c:v>
                </c:pt>
                <c:pt idx="13">
                  <c:v>234927079.98494795</c:v>
                </c:pt>
                <c:pt idx="14">
                  <c:v>255514067.39517921</c:v>
                </c:pt>
              </c:numCache>
            </c:numRef>
          </c:val>
          <c:extLst>
            <c:ext xmlns:c16="http://schemas.microsoft.com/office/drawing/2014/chart" uri="{C3380CC4-5D6E-409C-BE32-E72D297353CC}">
              <c16:uniqueId val="{00000005-DFB8-4F1A-B077-DE1AC483E22B}"/>
            </c:ext>
          </c:extLst>
        </c:ser>
        <c:ser>
          <c:idx val="9"/>
          <c:order val="6"/>
          <c:tx>
            <c:strRef>
              <c:f>'PS_Doc (CapEx)'!$A$410</c:f>
              <c:strCache>
                <c:ptCount val="1"/>
                <c:pt idx="0">
                  <c:v>Total inc Desal Capitalisation</c:v>
                </c:pt>
              </c:strCache>
            </c:strRef>
          </c:tx>
          <c:spPr>
            <a:noFill/>
            <a:ln>
              <a:noFill/>
            </a:ln>
            <a:effectLst/>
          </c:spPr>
          <c:invertIfNegative val="0"/>
          <c:dLbls>
            <c:numFmt formatCode="_(#,##0,,_)&quot;&quot;;\(#,##0,,\)&quot;&quot;;_(&quot;-&quot;_)"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'PS_Doc (CapEx)'!$B$399:$P$400</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(CapEx)'!$B$410:$P$410</c:f>
              <c:numCache>
                <c:formatCode>_(#,##0.0,,""_);\(#,##0.000,,""\);_("-"_)</c:formatCode>
                <c:ptCount val="15"/>
                <c:pt idx="0">
                  <c:v>751861836.7785759</c:v>
                </c:pt>
                <c:pt idx="1">
                  <c:v>883331854.2270571</c:v>
                </c:pt>
                <c:pt idx="2">
                  <c:v>975484843.9420476</c:v>
                </c:pt>
                <c:pt idx="3">
                  <c:v>1058733236.4874125</c:v>
                </c:pt>
                <c:pt idx="4">
                  <c:v>1170256355.7055123</c:v>
                </c:pt>
                <c:pt idx="5">
                  <c:v>1427867684.2478518</c:v>
                </c:pt>
                <c:pt idx="6">
                  <c:v>1570164250.3938088</c:v>
                </c:pt>
                <c:pt idx="7">
                  <c:v>1607416199.9295406</c:v>
                </c:pt>
                <c:pt idx="8">
                  <c:v>1650547732.5991499</c:v>
                </c:pt>
                <c:pt idx="9">
                  <c:v>1600087051.8966057</c:v>
                </c:pt>
                <c:pt idx="10">
                  <c:v>1822431846.6862013</c:v>
                </c:pt>
                <c:pt idx="11">
                  <c:v>1894586349.253336</c:v>
                </c:pt>
                <c:pt idx="12">
                  <c:v>1729812650.1350994</c:v>
                </c:pt>
                <c:pt idx="13">
                  <c:v>1971474477.470295</c:v>
                </c:pt>
                <c:pt idx="14">
                  <c:v>2094971305.5918782</c:v>
                </c:pt>
              </c:numCache>
            </c:numRef>
          </c:val>
          <c:extLst>
            <c:ext xmlns:c16="http://schemas.microsoft.com/office/drawing/2014/chart" uri="{C3380CC4-5D6E-409C-BE32-E72D297353CC}">
              <c16:uniqueId val="{00000006-DFB8-4F1A-B077-DE1AC483E22B}"/>
            </c:ext>
          </c:extLst>
        </c:ser>
        <c:dLbls>
          <c:showLegendKey val="0"/>
          <c:showVal val="0"/>
          <c:showCatName val="0"/>
          <c:showSerName val="0"/>
          <c:showPercent val="0"/>
          <c:showBubbleSize val="0"/>
        </c:dLbls>
        <c:gapWidth val="55"/>
        <c:overlap val="100"/>
        <c:axId val="81144640"/>
        <c:axId val="81128320"/>
      </c:barChart>
      <c:catAx>
        <c:axId val="8114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28320"/>
        <c:crosses val="autoZero"/>
        <c:auto val="1"/>
        <c:lblAlgn val="ctr"/>
        <c:lblOffset val="100"/>
        <c:noMultiLvlLbl val="0"/>
      </c:catAx>
      <c:valAx>
        <c:axId val="81128320"/>
        <c:scaling>
          <c:orientation val="minMax"/>
          <c:max val="2300000000"/>
          <c:min val="0"/>
        </c:scaling>
        <c:delete val="0"/>
        <c:axPos val="l"/>
        <c:numFmt formatCode="_(#,##0,,_)&quot;&quot;;\(#,##0,,\)&quot;&quot;;_(&quot;-&quot;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44640"/>
        <c:crosses val="autoZero"/>
        <c:crossBetween val="between"/>
      </c:valAx>
      <c:spPr>
        <a:noFill/>
        <a:ln>
          <a:noFill/>
        </a:ln>
        <a:effectLst/>
      </c:spPr>
    </c:plotArea>
    <c:legend>
      <c:legendPos val="r"/>
      <c:legendEntry>
        <c:idx val="0"/>
        <c:delete val="1"/>
      </c:legendEntry>
      <c:layout>
        <c:manualLayout>
          <c:xMode val="edge"/>
          <c:yMode val="edge"/>
          <c:x val="0.83219505077308042"/>
          <c:y val="0.25149981647780212"/>
          <c:w val="0.15956884764833359"/>
          <c:h val="0.49700003487752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163668199676825E-2"/>
          <c:y val="5.5780933062880324E-2"/>
          <c:w val="0.76100443690249087"/>
          <c:h val="0.59984028365622655"/>
        </c:manualLayout>
      </c:layout>
      <c:barChart>
        <c:barDir val="col"/>
        <c:grouping val="stacked"/>
        <c:varyColors val="0"/>
        <c:ser>
          <c:idx val="0"/>
          <c:order val="0"/>
          <c:tx>
            <c:strRef>
              <c:f>'PS_Doc (CapEx)'!$A$338</c:f>
              <c:strCache>
                <c:ptCount val="1"/>
                <c:pt idx="0">
                  <c:v>Renewals</c:v>
                </c:pt>
              </c:strCache>
            </c:strRef>
          </c:tx>
          <c:spPr>
            <a:solidFill>
              <a:schemeClr val="accent1"/>
            </a:solidFill>
            <a:ln>
              <a:noFill/>
            </a:ln>
            <a:effectLst/>
          </c:spPr>
          <c:invertIfNegative val="0"/>
          <c:cat>
            <c:multiLvlStrRef>
              <c:f>'PS_Doc (CapEx)'!$B$336:$P$337</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(CapEx)'!$B$338:$P$338</c:f>
              <c:numCache>
                <c:formatCode>_(#,##0.0,,""_);\(#,##0.000,,""\);_("-"_)</c:formatCode>
                <c:ptCount val="15"/>
                <c:pt idx="0">
                  <c:v>250427286.95966923</c:v>
                </c:pt>
                <c:pt idx="1">
                  <c:v>301946262.83457631</c:v>
                </c:pt>
                <c:pt idx="2">
                  <c:v>290420697.35981899</c:v>
                </c:pt>
                <c:pt idx="3">
                  <c:v>298891072.07934165</c:v>
                </c:pt>
                <c:pt idx="4">
                  <c:v>234087547.75000003</c:v>
                </c:pt>
                <c:pt idx="5">
                  <c:v>389019696.806117</c:v>
                </c:pt>
                <c:pt idx="6">
                  <c:v>469615630.14807302</c:v>
                </c:pt>
                <c:pt idx="7">
                  <c:v>367013742.22584075</c:v>
                </c:pt>
                <c:pt idx="8">
                  <c:v>482906935.39057583</c:v>
                </c:pt>
                <c:pt idx="9">
                  <c:v>507181413.81319499</c:v>
                </c:pt>
                <c:pt idx="10">
                  <c:v>459047875.56285197</c:v>
                </c:pt>
                <c:pt idx="11">
                  <c:v>527530260.46321708</c:v>
                </c:pt>
                <c:pt idx="12">
                  <c:v>614266899.55382836</c:v>
                </c:pt>
                <c:pt idx="13">
                  <c:v>638277041.42287219</c:v>
                </c:pt>
                <c:pt idx="14">
                  <c:v>629968319.1581676</c:v>
                </c:pt>
              </c:numCache>
            </c:numRef>
          </c:val>
          <c:extLst>
            <c:ext xmlns:c16="http://schemas.microsoft.com/office/drawing/2014/chart" uri="{C3380CC4-5D6E-409C-BE32-E72D297353CC}">
              <c16:uniqueId val="{00000000-A5A1-4FF9-8741-78FC9AAB9019}"/>
            </c:ext>
          </c:extLst>
        </c:ser>
        <c:ser>
          <c:idx val="1"/>
          <c:order val="1"/>
          <c:tx>
            <c:strRef>
              <c:f>'PS_Doc (CapEx)'!$A$339</c:f>
              <c:strCache>
                <c:ptCount val="1"/>
                <c:pt idx="0">
                  <c:v>Growth</c:v>
                </c:pt>
              </c:strCache>
            </c:strRef>
          </c:tx>
          <c:spPr>
            <a:solidFill>
              <a:schemeClr val="accent2"/>
            </a:solidFill>
            <a:ln>
              <a:noFill/>
            </a:ln>
            <a:effectLst/>
          </c:spPr>
          <c:invertIfNegative val="0"/>
          <c:cat>
            <c:multiLvlStrRef>
              <c:f>'PS_Doc (CapEx)'!$B$336:$P$337</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(CapEx)'!$B$339:$P$339</c:f>
              <c:numCache>
                <c:formatCode>_(#,##0.0,,""_);\(#,##0.000,,""\);_("-"_)</c:formatCode>
                <c:ptCount val="15"/>
                <c:pt idx="0">
                  <c:v>275462077.04300249</c:v>
                </c:pt>
                <c:pt idx="1">
                  <c:v>361664702.23271179</c:v>
                </c:pt>
                <c:pt idx="2">
                  <c:v>460581088.56228513</c:v>
                </c:pt>
                <c:pt idx="3">
                  <c:v>486523297.66730946</c:v>
                </c:pt>
                <c:pt idx="4">
                  <c:v>532829196.9200002</c:v>
                </c:pt>
                <c:pt idx="5">
                  <c:v>593401085.99024391</c:v>
                </c:pt>
                <c:pt idx="6">
                  <c:v>567805012.73051763</c:v>
                </c:pt>
                <c:pt idx="7">
                  <c:v>707490893.56219447</c:v>
                </c:pt>
                <c:pt idx="8">
                  <c:v>672109473.01940989</c:v>
                </c:pt>
                <c:pt idx="9">
                  <c:v>659165148.84985781</c:v>
                </c:pt>
                <c:pt idx="10">
                  <c:v>526662014.29443568</c:v>
                </c:pt>
                <c:pt idx="11">
                  <c:v>553405556.75689137</c:v>
                </c:pt>
                <c:pt idx="12">
                  <c:v>659788392.8787843</c:v>
                </c:pt>
                <c:pt idx="13">
                  <c:v>933662603.81888986</c:v>
                </c:pt>
                <c:pt idx="14">
                  <c:v>1061176216.2616074</c:v>
                </c:pt>
              </c:numCache>
            </c:numRef>
          </c:val>
          <c:extLst>
            <c:ext xmlns:c16="http://schemas.microsoft.com/office/drawing/2014/chart" uri="{C3380CC4-5D6E-409C-BE32-E72D297353CC}">
              <c16:uniqueId val="{00000001-A5A1-4FF9-8741-78FC9AAB9019}"/>
            </c:ext>
          </c:extLst>
        </c:ser>
        <c:ser>
          <c:idx val="2"/>
          <c:order val="2"/>
          <c:tx>
            <c:strRef>
              <c:f>'PS_Doc (CapEx)'!$A$340</c:f>
              <c:strCache>
                <c:ptCount val="1"/>
                <c:pt idx="0">
                  <c:v>Improvements / Compliance</c:v>
                </c:pt>
              </c:strCache>
            </c:strRef>
          </c:tx>
          <c:spPr>
            <a:solidFill>
              <a:schemeClr val="accent3"/>
            </a:solidFill>
            <a:ln>
              <a:noFill/>
            </a:ln>
            <a:effectLst/>
          </c:spPr>
          <c:invertIfNegative val="0"/>
          <c:cat>
            <c:multiLvlStrRef>
              <c:f>'PS_Doc (CapEx)'!$B$336:$P$337</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(CapEx)'!$B$340:$P$340</c:f>
              <c:numCache>
                <c:formatCode>_(#,##0.0,,""_);\(#,##0.000,,""\);_("-"_)</c:formatCode>
                <c:ptCount val="15"/>
                <c:pt idx="0">
                  <c:v>201492288.51295164</c:v>
                </c:pt>
                <c:pt idx="1">
                  <c:v>183617137.60033894</c:v>
                </c:pt>
                <c:pt idx="2">
                  <c:v>169978334.80368781</c:v>
                </c:pt>
                <c:pt idx="3">
                  <c:v>207338925.94972438</c:v>
                </c:pt>
                <c:pt idx="4">
                  <c:v>327419368.82000017</c:v>
                </c:pt>
                <c:pt idx="5">
                  <c:v>364811037.80972904</c:v>
                </c:pt>
                <c:pt idx="6">
                  <c:v>420421503.58501983</c:v>
                </c:pt>
                <c:pt idx="7">
                  <c:v>402944740.35859936</c:v>
                </c:pt>
                <c:pt idx="8">
                  <c:v>355232719.0680604</c:v>
                </c:pt>
                <c:pt idx="9">
                  <c:v>275823931.83333552</c:v>
                </c:pt>
                <c:pt idx="10">
                  <c:v>660773629.29564226</c:v>
                </c:pt>
                <c:pt idx="11">
                  <c:v>618153017.61839366</c:v>
                </c:pt>
                <c:pt idx="12">
                  <c:v>240534795.55814546</c:v>
                </c:pt>
                <c:pt idx="13">
                  <c:v>164607752.24358469</c:v>
                </c:pt>
                <c:pt idx="14">
                  <c:v>148312702.77692413</c:v>
                </c:pt>
              </c:numCache>
            </c:numRef>
          </c:val>
          <c:extLst>
            <c:ext xmlns:c16="http://schemas.microsoft.com/office/drawing/2014/chart" uri="{C3380CC4-5D6E-409C-BE32-E72D297353CC}">
              <c16:uniqueId val="{00000002-A5A1-4FF9-8741-78FC9AAB9019}"/>
            </c:ext>
          </c:extLst>
        </c:ser>
        <c:ser>
          <c:idx val="5"/>
          <c:order val="3"/>
          <c:tx>
            <c:strRef>
              <c:f>'PS_Doc (CapEx)'!$A$343</c:f>
              <c:strCache>
                <c:ptCount val="1"/>
                <c:pt idx="0">
                  <c:v>Desal Capitalisation</c:v>
                </c:pt>
              </c:strCache>
            </c:strRef>
          </c:tx>
          <c:spPr>
            <a:solidFill>
              <a:schemeClr val="accent3">
                <a:lumMod val="50000"/>
              </a:schemeClr>
            </a:solidFill>
            <a:ln>
              <a:noFill/>
            </a:ln>
            <a:effectLst/>
          </c:spPr>
          <c:invertIfNegative val="0"/>
          <c:cat>
            <c:multiLvlStrRef>
              <c:f>'PS_Doc (CapEx)'!$B$336:$P$337</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(CapEx)'!$B$343:$P$343</c:f>
              <c:numCache>
                <c:formatCode>_(#,##0,,""_);\(#,##0.00,,""\);_("-"_)</c:formatCode>
                <c:ptCount val="15"/>
                <c:pt idx="0">
                  <c:v>24480184.26295248</c:v>
                </c:pt>
                <c:pt idx="1">
                  <c:v>36103751.559430011</c:v>
                </c:pt>
                <c:pt idx="2">
                  <c:v>54504723.216255657</c:v>
                </c:pt>
                <c:pt idx="3">
                  <c:v>65979940.791036978</c:v>
                </c:pt>
                <c:pt idx="4">
                  <c:v>75920242.215512589</c:v>
                </c:pt>
                <c:pt idx="5">
                  <c:v>80635863.641761839</c:v>
                </c:pt>
                <c:pt idx="6">
                  <c:v>112322103.93019819</c:v>
                </c:pt>
                <c:pt idx="7">
                  <c:v>129966823.78290576</c:v>
                </c:pt>
                <c:pt idx="8">
                  <c:v>140298605.12110415</c:v>
                </c:pt>
                <c:pt idx="9">
                  <c:v>157916557.40021756</c:v>
                </c:pt>
                <c:pt idx="10">
                  <c:v>175948327.53327149</c:v>
                </c:pt>
                <c:pt idx="11">
                  <c:v>195497514.41483352</c:v>
                </c:pt>
                <c:pt idx="12">
                  <c:v>215222562.14434147</c:v>
                </c:pt>
                <c:pt idx="13">
                  <c:v>234927079.98494795</c:v>
                </c:pt>
                <c:pt idx="14">
                  <c:v>255514067.39517921</c:v>
                </c:pt>
              </c:numCache>
            </c:numRef>
          </c:val>
          <c:extLst>
            <c:ext xmlns:c16="http://schemas.microsoft.com/office/drawing/2014/chart" uri="{C3380CC4-5D6E-409C-BE32-E72D297353CC}">
              <c16:uniqueId val="{00000003-A5A1-4FF9-8741-78FC9AAB9019}"/>
            </c:ext>
          </c:extLst>
        </c:ser>
        <c:ser>
          <c:idx val="6"/>
          <c:order val="4"/>
          <c:tx>
            <c:strRef>
              <c:f>'PS_Doc (CapEx)'!$A$345</c:f>
              <c:strCache>
                <c:ptCount val="1"/>
                <c:pt idx="0">
                  <c:v>Total </c:v>
                </c:pt>
              </c:strCache>
            </c:strRef>
          </c:tx>
          <c:spPr>
            <a:solidFill>
              <a:sysClr val="window" lastClr="FFFFFF"/>
            </a:solidFill>
            <a:ln>
              <a:noFill/>
            </a:ln>
            <a:effectLst/>
          </c:spPr>
          <c:invertIfNegative val="0"/>
          <c:dLbls>
            <c:numFmt formatCode="_(#,##0,,_)&quot;&quot;;\(#,##0,,\)&quot;&quot;;_(&quot;-&quot;_)"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'PS_Doc (CapEx)'!$B$336:$P$337</c:f>
              <c:multiLvlStrCache>
                <c:ptCount val="15"/>
                <c:lvl>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lvl>
                <c:lvl>
                  <c:pt idx="0">
                    <c:v>2021-26 regulatory period (actuals)</c:v>
                  </c:pt>
                  <c:pt idx="5">
                    <c:v>2026-31 regulatory period</c:v>
                  </c:pt>
                  <c:pt idx="10">
                    <c:v>2031-2036 regulatory period</c:v>
                  </c:pt>
                </c:lvl>
              </c:multiLvlStrCache>
            </c:multiLvlStrRef>
          </c:cat>
          <c:val>
            <c:numRef>
              <c:f>'PS_Doc (CapEx)'!$B$345:$P$345</c:f>
              <c:numCache>
                <c:formatCode>_(#,##0.0,,""_);\(#,##0.000,,""\);_("-"_)</c:formatCode>
                <c:ptCount val="15"/>
                <c:pt idx="0">
                  <c:v>751861836.77857578</c:v>
                </c:pt>
                <c:pt idx="1">
                  <c:v>883331854.2270571</c:v>
                </c:pt>
                <c:pt idx="2">
                  <c:v>975484843.9420476</c:v>
                </c:pt>
                <c:pt idx="3">
                  <c:v>1058733236.4874126</c:v>
                </c:pt>
                <c:pt idx="4">
                  <c:v>1170256355.7055128</c:v>
                </c:pt>
                <c:pt idx="5">
                  <c:v>1427867684.2478518</c:v>
                </c:pt>
                <c:pt idx="6">
                  <c:v>1570164250.3938086</c:v>
                </c:pt>
                <c:pt idx="7">
                  <c:v>1607416199.9295404</c:v>
                </c:pt>
                <c:pt idx="8">
                  <c:v>1650547732.5991504</c:v>
                </c:pt>
                <c:pt idx="9">
                  <c:v>1600087051.896606</c:v>
                </c:pt>
                <c:pt idx="10">
                  <c:v>1822431846.6862013</c:v>
                </c:pt>
                <c:pt idx="11">
                  <c:v>1894586349.2533357</c:v>
                </c:pt>
                <c:pt idx="12">
                  <c:v>1729812650.1350996</c:v>
                </c:pt>
                <c:pt idx="13">
                  <c:v>1971474477.4702947</c:v>
                </c:pt>
                <c:pt idx="14">
                  <c:v>2094971305.5918784</c:v>
                </c:pt>
              </c:numCache>
            </c:numRef>
          </c:val>
          <c:extLst>
            <c:ext xmlns:c16="http://schemas.microsoft.com/office/drawing/2014/chart" uri="{C3380CC4-5D6E-409C-BE32-E72D297353CC}">
              <c16:uniqueId val="{00000004-A5A1-4FF9-8741-78FC9AAB9019}"/>
            </c:ext>
          </c:extLst>
        </c:ser>
        <c:dLbls>
          <c:showLegendKey val="0"/>
          <c:showVal val="0"/>
          <c:showCatName val="0"/>
          <c:showSerName val="0"/>
          <c:showPercent val="0"/>
          <c:showBubbleSize val="0"/>
        </c:dLbls>
        <c:gapWidth val="55"/>
        <c:overlap val="100"/>
        <c:axId val="591594080"/>
        <c:axId val="591587360"/>
      </c:barChart>
      <c:catAx>
        <c:axId val="591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587360"/>
        <c:crosses val="autoZero"/>
        <c:auto val="1"/>
        <c:lblAlgn val="ctr"/>
        <c:lblOffset val="100"/>
        <c:noMultiLvlLbl val="0"/>
      </c:catAx>
      <c:valAx>
        <c:axId val="591587360"/>
        <c:scaling>
          <c:orientation val="minMax"/>
          <c:max val="2500000000"/>
        </c:scaling>
        <c:delete val="0"/>
        <c:axPos val="l"/>
        <c:numFmt formatCode="_(#,##0,,_)&quot;&quot;;\(#,##0,,\)&quot;&quot;;_(&quot;-&quot;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594080"/>
        <c:crosses val="autoZero"/>
        <c:crossBetween val="between"/>
      </c:valAx>
      <c:spPr>
        <a:noFill/>
        <a:ln>
          <a:noFill/>
        </a:ln>
        <a:effectLst/>
      </c:spPr>
    </c:plotArea>
    <c:legend>
      <c:legendPos val="r"/>
      <c:legendEntry>
        <c:idx val="0"/>
        <c:delete val="1"/>
      </c:legendEntry>
      <c:layout>
        <c:manualLayout>
          <c:xMode val="edge"/>
          <c:yMode val="edge"/>
          <c:x val="0.83577689027718483"/>
          <c:y val="0.1771749373113351"/>
          <c:w val="0.15598700814422906"/>
          <c:h val="0.402242417466579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42687507413314"/>
          <c:y val="3.8222153437623453E-2"/>
          <c:w val="0.8711848122619501"/>
          <c:h val="0.68654803507109852"/>
        </c:manualLayout>
      </c:layout>
      <c:barChart>
        <c:barDir val="col"/>
        <c:grouping val="stacked"/>
        <c:varyColors val="0"/>
        <c:ser>
          <c:idx val="0"/>
          <c:order val="0"/>
          <c:tx>
            <c:strRef>
              <c:f>'[Copy of Program Summaries Data V2 - 31 July 2025 UPDATED GROSS.xlsx]Mapping to Outcomes'!$T$90</c:f>
              <c:strCache>
                <c:ptCount val="1"/>
                <c:pt idx="0">
                  <c:v>Renewals</c:v>
                </c:pt>
              </c:strCache>
            </c:strRef>
          </c:tx>
          <c:spPr>
            <a:solidFill>
              <a:schemeClr val="accent1"/>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Outcomes'!$U$90:$X$90</c:f>
              <c:numCache>
                <c:formatCode>General</c:formatCode>
                <c:ptCount val="4"/>
                <c:pt idx="0" formatCode="&quot;$&quot;#,##0,,&quot;m&quot;;\-&quot;$&quot;#,##0,,&quot;m&quot;;&quot;$&quot;0">
                  <c:v>825627695.39183986</c:v>
                </c:pt>
              </c:numCache>
            </c:numRef>
          </c:val>
          <c:extLst>
            <c:ext xmlns:c16="http://schemas.microsoft.com/office/drawing/2014/chart" uri="{C3380CC4-5D6E-409C-BE32-E72D297353CC}">
              <c16:uniqueId val="{00000000-DAB4-4BFF-9EAC-C76E943C5B34}"/>
            </c:ext>
          </c:extLst>
        </c:ser>
        <c:ser>
          <c:idx val="1"/>
          <c:order val="1"/>
          <c:tx>
            <c:strRef>
              <c:f>'[Copy of Program Summaries Data V2 - 31 July 2025 UPDATED GROSS.xlsx]Mapping to Outcomes'!$T$91</c:f>
              <c:strCache>
                <c:ptCount val="1"/>
                <c:pt idx="0">
                  <c:v>Growth</c:v>
                </c:pt>
              </c:strCache>
            </c:strRef>
          </c:tx>
          <c:spPr>
            <a:solidFill>
              <a:schemeClr val="accent2"/>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Outcomes'!$U$91:$X$91</c:f>
              <c:numCache>
                <c:formatCode>General</c:formatCode>
                <c:ptCount val="4"/>
                <c:pt idx="0" formatCode="&quot;$&quot;#,##0,,&quot;m&quot;;\-&quot;$&quot;#,##0,,&quot;m&quot;;&quot;$&quot;0">
                  <c:v>827532275.23658276</c:v>
                </c:pt>
              </c:numCache>
            </c:numRef>
          </c:val>
          <c:extLst>
            <c:ext xmlns:c16="http://schemas.microsoft.com/office/drawing/2014/chart" uri="{C3380CC4-5D6E-409C-BE32-E72D297353CC}">
              <c16:uniqueId val="{00000001-DAB4-4BFF-9EAC-C76E943C5B34}"/>
            </c:ext>
          </c:extLst>
        </c:ser>
        <c:ser>
          <c:idx val="2"/>
          <c:order val="2"/>
          <c:tx>
            <c:strRef>
              <c:f>'[Copy of Program Summaries Data V2 - 31 July 2025 UPDATED GROSS.xlsx]Mapping to Outcomes'!$T$92</c:f>
              <c:strCache>
                <c:ptCount val="1"/>
                <c:pt idx="0">
                  <c:v>Improvements/Compliance</c:v>
                </c:pt>
              </c:strCache>
            </c:strRef>
          </c:tx>
          <c:spPr>
            <a:solidFill>
              <a:schemeClr val="accent3"/>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Outcomes'!$U$92:$X$92</c:f>
              <c:numCache>
                <c:formatCode>General</c:formatCode>
                <c:ptCount val="4"/>
                <c:pt idx="0" formatCode="&quot;$&quot;#,##0,,&quot;m&quot;;\-&quot;$&quot;#,##0,,&quot;m&quot;;&quot;$&quot;0">
                  <c:v>637855468.1848346</c:v>
                </c:pt>
              </c:numCache>
            </c:numRef>
          </c:val>
          <c:extLst>
            <c:ext xmlns:c16="http://schemas.microsoft.com/office/drawing/2014/chart" uri="{C3380CC4-5D6E-409C-BE32-E72D297353CC}">
              <c16:uniqueId val="{00000002-DAB4-4BFF-9EAC-C76E943C5B34}"/>
            </c:ext>
          </c:extLst>
        </c:ser>
        <c:ser>
          <c:idx val="16"/>
          <c:order val="3"/>
          <c:tx>
            <c:strRef>
              <c:f>'[Copy of Program Summaries Data V2 - 31 July 2025 UPDATED GROSS.xlsx]Mapping to Outcomes'!$T$93</c:f>
              <c:strCache>
                <c:ptCount val="1"/>
                <c:pt idx="0">
                  <c:v>Capitalised Desalination Costs</c:v>
                </c:pt>
              </c:strCache>
            </c:strRef>
          </c:tx>
          <c:spPr>
            <a:solidFill>
              <a:schemeClr val="tx1">
                <a:lumMod val="50000"/>
                <a:lumOff val="50000"/>
              </a:schemeClr>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Outcomes'!$U$93:$X$93</c:f>
              <c:numCache>
                <c:formatCode>General</c:formatCode>
                <c:ptCount val="4"/>
                <c:pt idx="0" formatCode="&quot;$&quot;#,##0,,&quot;m&quot;;\-&quot;$&quot;#,##0,,&quot;m&quot;;&quot;$&quot;0">
                  <c:v>621139953.87618744</c:v>
                </c:pt>
              </c:numCache>
            </c:numRef>
          </c:val>
          <c:extLst>
            <c:ext xmlns:c16="http://schemas.microsoft.com/office/drawing/2014/chart" uri="{C3380CC4-5D6E-409C-BE32-E72D297353CC}">
              <c16:uniqueId val="{00000003-DAB4-4BFF-9EAC-C76E943C5B34}"/>
            </c:ext>
          </c:extLst>
        </c:ser>
        <c:ser>
          <c:idx val="3"/>
          <c:order val="4"/>
          <c:tx>
            <c:strRef>
              <c:f>'[Copy of Program Summaries Data V2 - 31 July 2025 UPDATED GROSS.xlsx]Mapping to Outcomes'!$T$94</c:f>
              <c:strCache>
                <c:ptCount val="1"/>
                <c:pt idx="0">
                  <c:v>Total</c:v>
                </c:pt>
              </c:strCache>
            </c:strRef>
          </c:tx>
          <c:spPr>
            <a:no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Outcomes'!$U$94:$X$94</c:f>
              <c:numCache>
                <c:formatCode>General</c:formatCode>
                <c:ptCount val="4"/>
                <c:pt idx="0" formatCode="&quot;$&quot;#,##0,,&quot;m&quot;;\-&quot;$&quot;#,##0,,&quot;m&quot;;&quot;$&quot;0">
                  <c:v>2912155392.6894445</c:v>
                </c:pt>
              </c:numCache>
            </c:numRef>
          </c:val>
          <c:extLst>
            <c:ext xmlns:c16="http://schemas.microsoft.com/office/drawing/2014/chart" uri="{C3380CC4-5D6E-409C-BE32-E72D297353CC}">
              <c16:uniqueId val="{00000004-DAB4-4BFF-9EAC-C76E943C5B34}"/>
            </c:ext>
          </c:extLst>
        </c:ser>
        <c:ser>
          <c:idx val="4"/>
          <c:order val="5"/>
          <c:tx>
            <c:strRef>
              <c:f>'[Copy of Program Summaries Data V2 - 31 July 2025 UPDATED GROSS.xlsx]Mapping to Outcomes'!$T$95</c:f>
              <c:strCache>
                <c:ptCount val="1"/>
                <c:pt idx="0">
                  <c:v>Renewals</c:v>
                </c:pt>
              </c:strCache>
            </c:strRef>
          </c:tx>
          <c:spPr>
            <a:solidFill>
              <a:schemeClr val="accent1"/>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Outcomes'!$U$95:$X$95</c:f>
              <c:numCache>
                <c:formatCode>"$"#,##0,,"m";\-"$"#,##0,,"m";"$"0</c:formatCode>
                <c:ptCount val="4"/>
                <c:pt idx="1">
                  <c:v>1142573505.1764169</c:v>
                </c:pt>
              </c:numCache>
            </c:numRef>
          </c:val>
          <c:extLst>
            <c:ext xmlns:c16="http://schemas.microsoft.com/office/drawing/2014/chart" uri="{C3380CC4-5D6E-409C-BE32-E72D297353CC}">
              <c16:uniqueId val="{00000005-DAB4-4BFF-9EAC-C76E943C5B34}"/>
            </c:ext>
          </c:extLst>
        </c:ser>
        <c:ser>
          <c:idx val="5"/>
          <c:order val="6"/>
          <c:tx>
            <c:strRef>
              <c:f>'[Copy of Program Summaries Data V2 - 31 July 2025 UPDATED GROSS.xlsx]Mapping to Outcomes'!$T$96</c:f>
              <c:strCache>
                <c:ptCount val="1"/>
                <c:pt idx="0">
                  <c:v>Growth</c:v>
                </c:pt>
              </c:strCache>
            </c:strRef>
          </c:tx>
          <c:spPr>
            <a:solidFill>
              <a:schemeClr val="accent2"/>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Outcomes'!$U$96:$X$96</c:f>
              <c:numCache>
                <c:formatCode>"$"#,##0,,"m";\-"$"#,##0,,"m";"$"0</c:formatCode>
                <c:ptCount val="4"/>
                <c:pt idx="1">
                  <c:v>918526591.00822735</c:v>
                </c:pt>
              </c:numCache>
            </c:numRef>
          </c:val>
          <c:extLst>
            <c:ext xmlns:c16="http://schemas.microsoft.com/office/drawing/2014/chart" uri="{C3380CC4-5D6E-409C-BE32-E72D297353CC}">
              <c16:uniqueId val="{00000006-DAB4-4BFF-9EAC-C76E943C5B34}"/>
            </c:ext>
          </c:extLst>
        </c:ser>
        <c:ser>
          <c:idx val="6"/>
          <c:order val="7"/>
          <c:tx>
            <c:strRef>
              <c:f>'[Copy of Program Summaries Data V2 - 31 July 2025 UPDATED GROSS.xlsx]Mapping to Outcomes'!$T$97</c:f>
              <c:strCache>
                <c:ptCount val="1"/>
                <c:pt idx="0">
                  <c:v>Improvements/Compliance</c:v>
                </c:pt>
              </c:strCache>
            </c:strRef>
          </c:tx>
          <c:spPr>
            <a:solidFill>
              <a:schemeClr val="accent3"/>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Outcomes'!$U$97:$X$97</c:f>
              <c:numCache>
                <c:formatCode>"$"#,##0,,"m";\-"$"#,##0,,"m";"$"0</c:formatCode>
                <c:ptCount val="4"/>
                <c:pt idx="1">
                  <c:v>676510025.99845397</c:v>
                </c:pt>
              </c:numCache>
            </c:numRef>
          </c:val>
          <c:extLst>
            <c:ext xmlns:c16="http://schemas.microsoft.com/office/drawing/2014/chart" uri="{C3380CC4-5D6E-409C-BE32-E72D297353CC}">
              <c16:uniqueId val="{00000007-DAB4-4BFF-9EAC-C76E943C5B34}"/>
            </c:ext>
          </c:extLst>
        </c:ser>
        <c:ser>
          <c:idx val="7"/>
          <c:order val="8"/>
          <c:tx>
            <c:strRef>
              <c:f>'[Copy of Program Summaries Data V2 - 31 July 2025 UPDATED GROSS.xlsx]Mapping to Outcomes'!$T$98</c:f>
              <c:strCache>
                <c:ptCount val="1"/>
                <c:pt idx="0">
                  <c:v>Total</c:v>
                </c:pt>
              </c:strCache>
            </c:strRef>
          </c:tx>
          <c:spPr>
            <a:no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Outcomes'!$U$98:$X$98</c:f>
              <c:numCache>
                <c:formatCode>"$"#,##0,,"m";\-"$"#,##0,,"m";"$"0</c:formatCode>
                <c:ptCount val="4"/>
                <c:pt idx="1">
                  <c:v>2737610122.1830983</c:v>
                </c:pt>
              </c:numCache>
            </c:numRef>
          </c:val>
          <c:extLst>
            <c:ext xmlns:c16="http://schemas.microsoft.com/office/drawing/2014/chart" uri="{C3380CC4-5D6E-409C-BE32-E72D297353CC}">
              <c16:uniqueId val="{00000008-DAB4-4BFF-9EAC-C76E943C5B34}"/>
            </c:ext>
          </c:extLst>
        </c:ser>
        <c:ser>
          <c:idx val="8"/>
          <c:order val="9"/>
          <c:tx>
            <c:strRef>
              <c:f>'[Copy of Program Summaries Data V2 - 31 July 2025 UPDATED GROSS.xlsx]Mapping to Outcomes'!$T$99</c:f>
              <c:strCache>
                <c:ptCount val="1"/>
                <c:pt idx="0">
                  <c:v>Renewals</c:v>
                </c:pt>
              </c:strCache>
            </c:strRef>
          </c:tx>
          <c:spPr>
            <a:solidFill>
              <a:schemeClr val="tx2"/>
            </a:solidFill>
            <a:ln>
              <a:noFill/>
            </a:ln>
            <a:effectLst/>
          </c:spPr>
          <c:invertIfNegative val="0"/>
          <c:dLbls>
            <c:dLbl>
              <c:idx val="2"/>
              <c:layout>
                <c:manualLayout>
                  <c:x val="8.507989209379524E-2"/>
                  <c:y val="-3.17820658342793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AB4-4BFF-9EAC-C76E943C5B34}"/>
                </c:ext>
              </c:extLst>
            </c:dLbl>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Outcomes'!$U$99:$X$99</c:f>
              <c:numCache>
                <c:formatCode>General</c:formatCode>
                <c:ptCount val="4"/>
                <c:pt idx="2" formatCode="&quot;$&quot;#,##0,,&quot;m&quot;;\-&quot;$&quot;#,##0,,&quot;m&quot;;&quot;$&quot;0">
                  <c:v>94933041.763895601</c:v>
                </c:pt>
              </c:numCache>
            </c:numRef>
          </c:val>
          <c:extLst>
            <c:ext xmlns:c16="http://schemas.microsoft.com/office/drawing/2014/chart" uri="{C3380CC4-5D6E-409C-BE32-E72D297353CC}">
              <c16:uniqueId val="{00000009-DAB4-4BFF-9EAC-C76E943C5B34}"/>
            </c:ext>
          </c:extLst>
        </c:ser>
        <c:ser>
          <c:idx val="9"/>
          <c:order val="10"/>
          <c:tx>
            <c:strRef>
              <c:f>'[Copy of Program Summaries Data V2 - 31 July 2025 UPDATED GROSS.xlsx]Mapping to Outcomes'!$T$100</c:f>
              <c:strCache>
                <c:ptCount val="1"/>
                <c:pt idx="0">
                  <c:v>Growth</c:v>
                </c:pt>
              </c:strCache>
            </c:strRef>
          </c:tx>
          <c:spPr>
            <a:solidFill>
              <a:schemeClr val="accent2"/>
            </a:solidFill>
            <a:ln>
              <a:noFill/>
            </a:ln>
            <a:effectLst/>
          </c:spPr>
          <c:invertIfNegative val="0"/>
          <c:dLbls>
            <c:dLbl>
              <c:idx val="2"/>
              <c:layout>
                <c:manualLayout>
                  <c:x val="-0.10863344391441507"/>
                  <c:y val="-2.96803652968038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B4-4BFF-9EAC-C76E943C5B34}"/>
                </c:ext>
              </c:extLst>
            </c:dLbl>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Outcomes'!$U$100:$X$100</c:f>
              <c:numCache>
                <c:formatCode>General</c:formatCode>
                <c:ptCount val="4"/>
                <c:pt idx="2" formatCode="&quot;$&quot;#,##0,,&quot;m&quot;;\-&quot;$&quot;#,##0,,&quot;m&quot;;&quot;$&quot;0">
                  <c:v>3606567.4205906349</c:v>
                </c:pt>
              </c:numCache>
            </c:numRef>
          </c:val>
          <c:extLst>
            <c:ext xmlns:c16="http://schemas.microsoft.com/office/drawing/2014/chart" uri="{C3380CC4-5D6E-409C-BE32-E72D297353CC}">
              <c16:uniqueId val="{0000000B-DAB4-4BFF-9EAC-C76E943C5B34}"/>
            </c:ext>
          </c:extLst>
        </c:ser>
        <c:ser>
          <c:idx val="10"/>
          <c:order val="11"/>
          <c:tx>
            <c:strRef>
              <c:f>'[Copy of Program Summaries Data V2 - 31 July 2025 UPDATED GROSS.xlsx]Mapping to Outcomes'!$T$101</c:f>
              <c:strCache>
                <c:ptCount val="1"/>
                <c:pt idx="0">
                  <c:v>Improvements/Compliance</c:v>
                </c:pt>
              </c:strCache>
            </c:strRef>
          </c:tx>
          <c:spPr>
            <a:solidFill>
              <a:schemeClr val="accent3"/>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Outcomes'!$U$101:$X$101</c:f>
              <c:numCache>
                <c:formatCode>General</c:formatCode>
                <c:ptCount val="4"/>
                <c:pt idx="2" formatCode="&quot;$&quot;#,##0,,&quot;m&quot;;\-&quot;$&quot;#,##0,,&quot;m&quot;;&quot;$&quot;0">
                  <c:v>279278587.06916326</c:v>
                </c:pt>
              </c:numCache>
            </c:numRef>
          </c:val>
          <c:extLst>
            <c:ext xmlns:c16="http://schemas.microsoft.com/office/drawing/2014/chart" uri="{C3380CC4-5D6E-409C-BE32-E72D297353CC}">
              <c16:uniqueId val="{0000000C-DAB4-4BFF-9EAC-C76E943C5B34}"/>
            </c:ext>
          </c:extLst>
        </c:ser>
        <c:ser>
          <c:idx val="17"/>
          <c:order val="12"/>
          <c:tx>
            <c:strRef>
              <c:f>'[Copy of Program Summaries Data V2 - 31 July 2025 UPDATED GROSS.xlsx]Mapping to Outcomes'!$T$102</c:f>
              <c:strCache>
                <c:ptCount val="1"/>
              </c:strCache>
            </c:strRef>
          </c:tx>
          <c:spPr>
            <a:solidFill>
              <a:schemeClr val="accent6">
                <a:lumMod val="80000"/>
                <a:lumOff val="20000"/>
              </a:schemeClr>
            </a:solidFill>
            <a:ln>
              <a:noFill/>
            </a:ln>
            <a:effectLst/>
          </c:spPr>
          <c:invertIfNegative val="0"/>
          <c:dLbls>
            <c:dLbl>
              <c:idx val="2"/>
              <c:layout>
                <c:manualLayout>
                  <c:x val="0.10673999788568643"/>
                  <c:y val="3.2890034371380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AB4-4BFF-9EAC-C76E943C5B3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Outcomes'!$U$102:$X$102</c:f>
              <c:numCache>
                <c:formatCode>General</c:formatCode>
                <c:ptCount val="4"/>
              </c:numCache>
            </c:numRef>
          </c:val>
          <c:extLst>
            <c:ext xmlns:c16="http://schemas.microsoft.com/office/drawing/2014/chart" uri="{C3380CC4-5D6E-409C-BE32-E72D297353CC}">
              <c16:uniqueId val="{0000000E-DAB4-4BFF-9EAC-C76E943C5B34}"/>
            </c:ext>
          </c:extLst>
        </c:ser>
        <c:ser>
          <c:idx val="11"/>
          <c:order val="13"/>
          <c:tx>
            <c:strRef>
              <c:f>'[Copy of Program Summaries Data V2 - 31 July 2025 UPDATED GROSS.xlsx]Mapping to Outcomes'!$T$103</c:f>
              <c:strCache>
                <c:ptCount val="1"/>
                <c:pt idx="0">
                  <c:v>Total</c:v>
                </c:pt>
              </c:strCache>
            </c:strRef>
          </c:tx>
          <c:spPr>
            <a:no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Outcomes'!$U$103:$X$103</c:f>
              <c:numCache>
                <c:formatCode>General</c:formatCode>
                <c:ptCount val="4"/>
                <c:pt idx="2" formatCode="&quot;$&quot;#,##0,,&quot;m&quot;;\-&quot;$&quot;#,##0,,&quot;m&quot;;&quot;$&quot;0">
                  <c:v>377818196.25364947</c:v>
                </c:pt>
              </c:numCache>
            </c:numRef>
          </c:val>
          <c:extLst>
            <c:ext xmlns:c16="http://schemas.microsoft.com/office/drawing/2014/chart" uri="{C3380CC4-5D6E-409C-BE32-E72D297353CC}">
              <c16:uniqueId val="{0000000F-DAB4-4BFF-9EAC-C76E943C5B34}"/>
            </c:ext>
          </c:extLst>
        </c:ser>
        <c:ser>
          <c:idx val="12"/>
          <c:order val="14"/>
          <c:tx>
            <c:strRef>
              <c:f>'[Copy of Program Summaries Data V2 - 31 July 2025 UPDATED GROSS.xlsx]Mapping to Outcomes'!$T$104</c:f>
              <c:strCache>
                <c:ptCount val="1"/>
                <c:pt idx="0">
                  <c:v>Renewals</c:v>
                </c:pt>
              </c:strCache>
            </c:strRef>
          </c:tx>
          <c:spPr>
            <a:solidFill>
              <a:schemeClr val="accent1"/>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Outcomes'!$U$104:$X$104</c:f>
              <c:numCache>
                <c:formatCode>General</c:formatCode>
                <c:ptCount val="4"/>
                <c:pt idx="3" formatCode="&quot;$&quot;#,##0,,&quot;m&quot;;\-&quot;$&quot;#,##0,,&quot;m&quot;;&quot;$&quot;0">
                  <c:v>152603176.05164954</c:v>
                </c:pt>
              </c:numCache>
            </c:numRef>
          </c:val>
          <c:extLst>
            <c:ext xmlns:c16="http://schemas.microsoft.com/office/drawing/2014/chart" uri="{C3380CC4-5D6E-409C-BE32-E72D297353CC}">
              <c16:uniqueId val="{00000010-DAB4-4BFF-9EAC-C76E943C5B34}"/>
            </c:ext>
          </c:extLst>
        </c:ser>
        <c:ser>
          <c:idx val="13"/>
          <c:order val="15"/>
          <c:tx>
            <c:strRef>
              <c:f>'[Copy of Program Summaries Data V2 - 31 July 2025 UPDATED GROSS.xlsx]Mapping to Outcomes'!$T$105</c:f>
              <c:strCache>
                <c:ptCount val="1"/>
                <c:pt idx="0">
                  <c:v>Growth</c:v>
                </c:pt>
              </c:strCache>
            </c:strRef>
          </c:tx>
          <c:spPr>
            <a:solidFill>
              <a:schemeClr val="accent2"/>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Outcomes'!$U$105:$X$105</c:f>
              <c:numCache>
                <c:formatCode>General</c:formatCode>
                <c:ptCount val="4"/>
                <c:pt idx="3" formatCode="&quot;$&quot;#,##0,,&quot;m&quot;;\-&quot;$&quot;#,##0,,&quot;m&quot;;&quot;$&quot;0">
                  <c:v>1450306180.4868228</c:v>
                </c:pt>
              </c:numCache>
            </c:numRef>
          </c:val>
          <c:extLst>
            <c:ext xmlns:c16="http://schemas.microsoft.com/office/drawing/2014/chart" uri="{C3380CC4-5D6E-409C-BE32-E72D297353CC}">
              <c16:uniqueId val="{00000011-DAB4-4BFF-9EAC-C76E943C5B34}"/>
            </c:ext>
          </c:extLst>
        </c:ser>
        <c:ser>
          <c:idx val="14"/>
          <c:order val="16"/>
          <c:tx>
            <c:strRef>
              <c:f>'[Copy of Program Summaries Data V2 - 31 July 2025 UPDATED GROSS.xlsx]Mapping to Outcomes'!$T$106</c:f>
              <c:strCache>
                <c:ptCount val="1"/>
                <c:pt idx="0">
                  <c:v>Improvements/Compliance</c:v>
                </c:pt>
              </c:strCache>
            </c:strRef>
          </c:tx>
          <c:spPr>
            <a:solidFill>
              <a:schemeClr val="accent3"/>
            </a:solid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Outcomes'!$U$106:$X$106</c:f>
              <c:numCache>
                <c:formatCode>General</c:formatCode>
                <c:ptCount val="4"/>
                <c:pt idx="3" formatCode="&quot;$&quot;#,##0,,&quot;m&quot;;\-&quot;$&quot;#,##0,,&quot;m&quot;;&quot;$&quot;0">
                  <c:v>225589851.40229234</c:v>
                </c:pt>
              </c:numCache>
            </c:numRef>
          </c:val>
          <c:extLst>
            <c:ext xmlns:c16="http://schemas.microsoft.com/office/drawing/2014/chart" uri="{C3380CC4-5D6E-409C-BE32-E72D297353CC}">
              <c16:uniqueId val="{00000012-DAB4-4BFF-9EAC-C76E943C5B34}"/>
            </c:ext>
          </c:extLst>
        </c:ser>
        <c:ser>
          <c:idx val="15"/>
          <c:order val="17"/>
          <c:tx>
            <c:strRef>
              <c:f>'[Copy of Program Summaries Data V2 - 31 July 2025 UPDATED GROSS.xlsx]Mapping to Outcomes'!$T$107</c:f>
              <c:strCache>
                <c:ptCount val="1"/>
                <c:pt idx="0">
                  <c:v>Total</c:v>
                </c:pt>
              </c:strCache>
            </c:strRef>
          </c:tx>
          <c:spPr>
            <a:noFill/>
            <a:ln>
              <a:noFill/>
            </a:ln>
            <a:effectLst/>
          </c:spPr>
          <c:invertIfNegative val="0"/>
          <c:dLbls>
            <c:numFmt formatCode="_(#,##0,,_);\(#,##0,,\);_(&quot;-&quot;_);_)@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Outcomes'!$U$89:$X$89</c:f>
              <c:strCache>
                <c:ptCount val="4"/>
                <c:pt idx="0">
                  <c:v>Outcome 1 - Water</c:v>
                </c:pt>
                <c:pt idx="1">
                  <c:v>Outcome 2 - Sewerage</c:v>
                </c:pt>
                <c:pt idx="2">
                  <c:v>Outcome 3 - Waterways</c:v>
                </c:pt>
                <c:pt idx="3">
                  <c:v>Outcome 4 - Drainage and Urban Development</c:v>
                </c:pt>
              </c:strCache>
            </c:strRef>
          </c:cat>
          <c:val>
            <c:numRef>
              <c:f>'[Copy of Program Summaries Data V2 - 31 July 2025 UPDATED GROSS.xlsx]Mapping to Outcomes'!$U$107:$X$107</c:f>
              <c:numCache>
                <c:formatCode>General</c:formatCode>
                <c:ptCount val="4"/>
                <c:pt idx="3" formatCode="&quot;$&quot;#,##0,,&quot;m&quot;;\-&quot;$&quot;#,##0,,&quot;m&quot;;&quot;$&quot;0">
                  <c:v>1828499207.9407647</c:v>
                </c:pt>
              </c:numCache>
            </c:numRef>
          </c:val>
          <c:extLst>
            <c:ext xmlns:c16="http://schemas.microsoft.com/office/drawing/2014/chart" uri="{C3380CC4-5D6E-409C-BE32-E72D297353CC}">
              <c16:uniqueId val="{00000013-DAB4-4BFF-9EAC-C76E943C5B34}"/>
            </c:ext>
          </c:extLst>
        </c:ser>
        <c:dLbls>
          <c:dLblPos val="ctr"/>
          <c:showLegendKey val="0"/>
          <c:showVal val="1"/>
          <c:showCatName val="0"/>
          <c:showSerName val="0"/>
          <c:showPercent val="0"/>
          <c:showBubbleSize val="0"/>
        </c:dLbls>
        <c:gapWidth val="150"/>
        <c:overlap val="100"/>
        <c:axId val="186077536"/>
        <c:axId val="186072256"/>
      </c:barChart>
      <c:catAx>
        <c:axId val="18607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72256"/>
        <c:crosses val="autoZero"/>
        <c:auto val="1"/>
        <c:lblAlgn val="ctr"/>
        <c:lblOffset val="100"/>
        <c:noMultiLvlLbl val="0"/>
      </c:catAx>
      <c:valAx>
        <c:axId val="186072256"/>
        <c:scaling>
          <c:orientation val="minMax"/>
          <c:max val="3000000000"/>
          <c:min val="0"/>
        </c:scaling>
        <c:delete val="0"/>
        <c:axPos val="l"/>
        <c:majorGridlines>
          <c:spPr>
            <a:ln w="9525" cap="flat" cmpd="sng" algn="ctr">
              <a:solidFill>
                <a:schemeClr val="tx1">
                  <a:lumMod val="15000"/>
                  <a:lumOff val="85000"/>
                </a:schemeClr>
              </a:solidFill>
              <a:round/>
            </a:ln>
            <a:effectLst/>
          </c:spPr>
        </c:majorGridlines>
        <c:numFmt formatCode="_(#,##0,,_);\(#,##0,,\);_(&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77536"/>
        <c:crosses val="autoZero"/>
        <c:crossBetween val="between"/>
      </c:valAx>
      <c:spPr>
        <a:noFill/>
        <a:ln>
          <a:noFill/>
        </a:ln>
        <a:effectLst/>
      </c:spPr>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ayout>
        <c:manualLayout>
          <c:xMode val="edge"/>
          <c:yMode val="edge"/>
          <c:x val="5.2075037621749865E-2"/>
          <c:y val="0.91904403550010294"/>
          <c:w val="0.9"/>
          <c:h val="8.09559644998972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'[Copy of Program Summaries Data V2 - 31 July 2025 UPDATED GROSS.xlsx]Mapping to Outcomes'!$F$148</c:f>
              <c:strCache>
                <c:ptCount val="1"/>
                <c:pt idx="0">
                  <c:v>Outcome 1 - Water</c:v>
                </c:pt>
              </c:strCache>
            </c:strRef>
          </c:tx>
          <c:spPr>
            <a:solidFill>
              <a:srgbClr val="00428B"/>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Outcomes'!$G$146:$K$147</c:f>
              <c:strCache>
                <c:ptCount val="5"/>
                <c:pt idx="0">
                  <c:v>2027</c:v>
                </c:pt>
                <c:pt idx="1">
                  <c:v>2028</c:v>
                </c:pt>
                <c:pt idx="2">
                  <c:v>2029</c:v>
                </c:pt>
                <c:pt idx="3">
                  <c:v>2030</c:v>
                </c:pt>
                <c:pt idx="4">
                  <c:v>2031</c:v>
                </c:pt>
              </c:strCache>
            </c:strRef>
          </c:cat>
          <c:val>
            <c:numRef>
              <c:f>'[Copy of Program Summaries Data V2 - 31 July 2025 UPDATED GROSS.xlsx]Mapping to Outcomes'!$G$148:$K$148</c:f>
              <c:numCache>
                <c:formatCode>#,##0,,;\-#,##0,;</c:formatCode>
                <c:ptCount val="5"/>
                <c:pt idx="0">
                  <c:v>320280042.45539236</c:v>
                </c:pt>
                <c:pt idx="1">
                  <c:v>542519336.67911315</c:v>
                </c:pt>
                <c:pt idx="2">
                  <c:v>679833455.25000215</c:v>
                </c:pt>
                <c:pt idx="3">
                  <c:v>653428664.06831789</c:v>
                </c:pt>
                <c:pt idx="4">
                  <c:v>716093894.23661911</c:v>
                </c:pt>
              </c:numCache>
            </c:numRef>
          </c:val>
          <c:extLst>
            <c:ext xmlns:c16="http://schemas.microsoft.com/office/drawing/2014/chart" uri="{C3380CC4-5D6E-409C-BE32-E72D297353CC}">
              <c16:uniqueId val="{00000000-20C4-41BB-92C9-2E103FD04743}"/>
            </c:ext>
          </c:extLst>
        </c:ser>
        <c:ser>
          <c:idx val="1"/>
          <c:order val="1"/>
          <c:tx>
            <c:strRef>
              <c:f>'[Copy of Program Summaries Data V2 - 31 July 2025 UPDATED GROSS.xlsx]Mapping to Outcomes'!$F$149</c:f>
              <c:strCache>
                <c:ptCount val="1"/>
                <c:pt idx="0">
                  <c:v>Outcome 2 - Sewerage</c:v>
                </c:pt>
              </c:strCache>
            </c:strRef>
          </c:tx>
          <c:spPr>
            <a:solidFill>
              <a:srgbClr val="0092D7"/>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Outcomes'!$G$146:$K$147</c:f>
              <c:strCache>
                <c:ptCount val="5"/>
                <c:pt idx="0">
                  <c:v>2027</c:v>
                </c:pt>
                <c:pt idx="1">
                  <c:v>2028</c:v>
                </c:pt>
                <c:pt idx="2">
                  <c:v>2029</c:v>
                </c:pt>
                <c:pt idx="3">
                  <c:v>2030</c:v>
                </c:pt>
                <c:pt idx="4">
                  <c:v>2031</c:v>
                </c:pt>
              </c:strCache>
            </c:strRef>
          </c:cat>
          <c:val>
            <c:numRef>
              <c:f>'[Copy of Program Summaries Data V2 - 31 July 2025 UPDATED GROSS.xlsx]Mapping to Outcomes'!$G$149:$K$149</c:f>
              <c:numCache>
                <c:formatCode>#,##0,,;\-#,##0,;</c:formatCode>
                <c:ptCount val="5"/>
                <c:pt idx="0">
                  <c:v>551518072.50819623</c:v>
                </c:pt>
                <c:pt idx="1">
                  <c:v>493926853.39452833</c:v>
                </c:pt>
                <c:pt idx="2">
                  <c:v>548940118.45555687</c:v>
                </c:pt>
                <c:pt idx="3">
                  <c:v>612733412.21888077</c:v>
                </c:pt>
                <c:pt idx="4">
                  <c:v>530491665.60593569</c:v>
                </c:pt>
              </c:numCache>
            </c:numRef>
          </c:val>
          <c:extLst>
            <c:ext xmlns:c16="http://schemas.microsoft.com/office/drawing/2014/chart" uri="{C3380CC4-5D6E-409C-BE32-E72D297353CC}">
              <c16:uniqueId val="{00000001-20C4-41BB-92C9-2E103FD04743}"/>
            </c:ext>
          </c:extLst>
        </c:ser>
        <c:ser>
          <c:idx val="2"/>
          <c:order val="2"/>
          <c:tx>
            <c:strRef>
              <c:f>'[Copy of Program Summaries Data V2 - 31 July 2025 UPDATED GROSS.xlsx]Mapping to Outcomes'!$F$150</c:f>
              <c:strCache>
                <c:ptCount val="1"/>
                <c:pt idx="0">
                  <c:v>Outcome 3 - Waterways</c:v>
                </c:pt>
              </c:strCache>
            </c:strRef>
          </c:tx>
          <c:spPr>
            <a:solidFill>
              <a:srgbClr val="46C2D7"/>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Outcomes'!$G$146:$K$147</c:f>
              <c:strCache>
                <c:ptCount val="5"/>
                <c:pt idx="0">
                  <c:v>2027</c:v>
                </c:pt>
                <c:pt idx="1">
                  <c:v>2028</c:v>
                </c:pt>
                <c:pt idx="2">
                  <c:v>2029</c:v>
                </c:pt>
                <c:pt idx="3">
                  <c:v>2030</c:v>
                </c:pt>
                <c:pt idx="4">
                  <c:v>2031</c:v>
                </c:pt>
              </c:strCache>
            </c:strRef>
          </c:cat>
          <c:val>
            <c:numRef>
              <c:f>'[Copy of Program Summaries Data V2 - 31 July 2025 UPDATED GROSS.xlsx]Mapping to Outcomes'!$G$150:$K$150</c:f>
              <c:numCache>
                <c:formatCode>#,##0,,;\-#,##0,;</c:formatCode>
                <c:ptCount val="5"/>
                <c:pt idx="0">
                  <c:v>130660027.92504497</c:v>
                </c:pt>
                <c:pt idx="1">
                  <c:v>109972573.55508308</c:v>
                </c:pt>
                <c:pt idx="2">
                  <c:v>47424373.139597736</c:v>
                </c:pt>
                <c:pt idx="3">
                  <c:v>51740693.739563368</c:v>
                </c:pt>
                <c:pt idx="4">
                  <c:v>38020527.894360378</c:v>
                </c:pt>
              </c:numCache>
            </c:numRef>
          </c:val>
          <c:extLst>
            <c:ext xmlns:c16="http://schemas.microsoft.com/office/drawing/2014/chart" uri="{C3380CC4-5D6E-409C-BE32-E72D297353CC}">
              <c16:uniqueId val="{00000002-20C4-41BB-92C9-2E103FD04743}"/>
            </c:ext>
          </c:extLst>
        </c:ser>
        <c:ser>
          <c:idx val="3"/>
          <c:order val="3"/>
          <c:tx>
            <c:strRef>
              <c:f>'[Copy of Program Summaries Data V2 - 31 July 2025 UPDATED GROSS.xlsx]Mapping to Outcomes'!$F$151</c:f>
              <c:strCache>
                <c:ptCount val="1"/>
                <c:pt idx="0">
                  <c:v>Outcome 4 - Drainage and Urban Development</c:v>
                </c:pt>
              </c:strCache>
            </c:strRef>
          </c:tx>
          <c:spPr>
            <a:solidFill>
              <a:srgbClr val="75BB19"/>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Outcomes'!$G$146:$K$147</c:f>
              <c:strCache>
                <c:ptCount val="5"/>
                <c:pt idx="0">
                  <c:v>2027</c:v>
                </c:pt>
                <c:pt idx="1">
                  <c:v>2028</c:v>
                </c:pt>
                <c:pt idx="2">
                  <c:v>2029</c:v>
                </c:pt>
                <c:pt idx="3">
                  <c:v>2030</c:v>
                </c:pt>
                <c:pt idx="4">
                  <c:v>2031</c:v>
                </c:pt>
              </c:strCache>
            </c:strRef>
          </c:cat>
          <c:val>
            <c:numRef>
              <c:f>'[Copy of Program Summaries Data V2 - 31 July 2025 UPDATED GROSS.xlsx]Mapping to Outcomes'!$G$151:$K$151</c:f>
              <c:numCache>
                <c:formatCode>#,##0,,;\-#,##0,;</c:formatCode>
                <c:ptCount val="5"/>
                <c:pt idx="0">
                  <c:v>425409541.3592186</c:v>
                </c:pt>
                <c:pt idx="1">
                  <c:v>423745486.76508415</c:v>
                </c:pt>
                <c:pt idx="2">
                  <c:v>331218253.08438396</c:v>
                </c:pt>
                <c:pt idx="3">
                  <c:v>332644962.57238781</c:v>
                </c:pt>
                <c:pt idx="4">
                  <c:v>315480964.15969056</c:v>
                </c:pt>
              </c:numCache>
            </c:numRef>
          </c:val>
          <c:extLst>
            <c:ext xmlns:c16="http://schemas.microsoft.com/office/drawing/2014/chart" uri="{C3380CC4-5D6E-409C-BE32-E72D297353CC}">
              <c16:uniqueId val="{00000003-20C4-41BB-92C9-2E103FD04743}"/>
            </c:ext>
          </c:extLst>
        </c:ser>
        <c:ser>
          <c:idx val="4"/>
          <c:order val="4"/>
          <c:tx>
            <c:strRef>
              <c:f>'[Copy of Program Summaries Data V2 - 31 July 2025 UPDATED GROSS.xlsx]Mapping to Outcomes'!$F$152</c:f>
              <c:strCache>
                <c:ptCount val="1"/>
                <c:pt idx="0">
                  <c:v>Total</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Program Summaries Data V2 - 31 July 2025 UPDATED GROSS.xlsx]Mapping to Outcomes'!$G$146:$K$147</c:f>
              <c:strCache>
                <c:ptCount val="5"/>
                <c:pt idx="0">
                  <c:v>2027</c:v>
                </c:pt>
                <c:pt idx="1">
                  <c:v>2028</c:v>
                </c:pt>
                <c:pt idx="2">
                  <c:v>2029</c:v>
                </c:pt>
                <c:pt idx="3">
                  <c:v>2030</c:v>
                </c:pt>
                <c:pt idx="4">
                  <c:v>2031</c:v>
                </c:pt>
              </c:strCache>
            </c:strRef>
          </c:cat>
          <c:val>
            <c:numRef>
              <c:f>'[Copy of Program Summaries Data V2 - 31 July 2025 UPDATED GROSS.xlsx]Mapping to Outcomes'!$G$152:$K$152</c:f>
              <c:numCache>
                <c:formatCode>#,##0,,;\-#,##0,;</c:formatCode>
                <c:ptCount val="5"/>
                <c:pt idx="0">
                  <c:v>1427867684.2478523</c:v>
                </c:pt>
                <c:pt idx="1">
                  <c:v>1570164250.3938088</c:v>
                </c:pt>
                <c:pt idx="2">
                  <c:v>1607416199.9295406</c:v>
                </c:pt>
                <c:pt idx="3">
                  <c:v>1650547732.5991497</c:v>
                </c:pt>
                <c:pt idx="4">
                  <c:v>1600087051.8966057</c:v>
                </c:pt>
              </c:numCache>
            </c:numRef>
          </c:val>
          <c:extLst>
            <c:ext xmlns:c16="http://schemas.microsoft.com/office/drawing/2014/chart" uri="{C3380CC4-5D6E-409C-BE32-E72D297353CC}">
              <c16:uniqueId val="{00000004-20C4-41BB-92C9-2E103FD04743}"/>
            </c:ext>
          </c:extLst>
        </c:ser>
        <c:dLbls>
          <c:dLblPos val="ctr"/>
          <c:showLegendKey val="0"/>
          <c:showVal val="1"/>
          <c:showCatName val="0"/>
          <c:showSerName val="0"/>
          <c:showPercent val="0"/>
          <c:showBubbleSize val="0"/>
        </c:dLbls>
        <c:gapWidth val="150"/>
        <c:overlap val="100"/>
        <c:axId val="10903855"/>
        <c:axId val="10900015"/>
      </c:barChart>
      <c:catAx>
        <c:axId val="10903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900015"/>
        <c:crosses val="autoZero"/>
        <c:auto val="1"/>
        <c:lblAlgn val="ctr"/>
        <c:lblOffset val="100"/>
        <c:noMultiLvlLbl val="0"/>
      </c:catAx>
      <c:valAx>
        <c:axId val="10900015"/>
        <c:scaling>
          <c:orientation val="minMax"/>
          <c:max val="18000000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10903855"/>
        <c:crosses val="autoZero"/>
        <c:crossBetween val="between"/>
      </c:valAx>
      <c:spPr>
        <a:noFill/>
        <a:ln>
          <a:noFill/>
        </a:ln>
        <a:effectLst/>
      </c:spPr>
    </c:plotArea>
    <c:legend>
      <c:legendPos val="b"/>
      <c:legendEntry>
        <c:idx val="4"/>
        <c:delete val="1"/>
      </c:legendEntry>
      <c:layout>
        <c:manualLayout>
          <c:xMode val="edge"/>
          <c:yMode val="edge"/>
          <c:x val="1.5101476602621186E-2"/>
          <c:y val="0.872243699998422"/>
          <c:w val="0.95942145019795333"/>
          <c:h val="0.107716219841257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mn-lt"/>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10814615758295E-2"/>
          <c:y val="5.4106534964407045E-2"/>
          <c:w val="0.89444392208959467"/>
          <c:h val="0.7701275395853957"/>
        </c:manualLayout>
      </c:layout>
      <c:barChart>
        <c:barDir val="col"/>
        <c:grouping val="stacked"/>
        <c:varyColors val="0"/>
        <c:ser>
          <c:idx val="4"/>
          <c:order val="0"/>
          <c:tx>
            <c:strRef>
              <c:f>'[Copy of Program Summaries Data V2 - 31 July 2025 UPDATED GROSS.xlsx]Mapping to Outcomes'!$AC$11</c:f>
              <c:strCache>
                <c:ptCount val="1"/>
                <c:pt idx="0">
                  <c:v>Water Production and Storage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Outcomes'!$AD$8:$AH$8</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Outcomes'!$AD$11:$AH$11</c:f>
              <c:numCache>
                <c:formatCode>#,##0,,;\-#,##0,;</c:formatCode>
                <c:ptCount val="5"/>
                <c:pt idx="0">
                  <c:v>67252835.102439046</c:v>
                </c:pt>
                <c:pt idx="1">
                  <c:v>133629923.46079716</c:v>
                </c:pt>
                <c:pt idx="2">
                  <c:v>98162939.653040498</c:v>
                </c:pt>
                <c:pt idx="3">
                  <c:v>145585746.38769525</c:v>
                </c:pt>
                <c:pt idx="4">
                  <c:v>194139609.99524236</c:v>
                </c:pt>
              </c:numCache>
            </c:numRef>
          </c:val>
          <c:extLst>
            <c:ext xmlns:c16="http://schemas.microsoft.com/office/drawing/2014/chart" uri="{C3380CC4-5D6E-409C-BE32-E72D297353CC}">
              <c16:uniqueId val="{00000000-460D-4B50-8F8C-BB748C3B24A0}"/>
            </c:ext>
          </c:extLst>
        </c:ser>
        <c:ser>
          <c:idx val="1"/>
          <c:order val="1"/>
          <c:tx>
            <c:strRef>
              <c:f>'[Copy of Program Summaries Data V2 - 31 July 2025 UPDATED GROSS.xlsx]Mapping to Outcomes'!$AC$9</c:f>
              <c:strCache>
                <c:ptCount val="1"/>
                <c:pt idx="0">
                  <c:v>Water Quality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Outcomes'!$AD$8:$AH$8</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Outcomes'!$AD$9:$AH$9</c:f>
              <c:numCache>
                <c:formatCode>#,##0,,;\-#,##0,;</c:formatCode>
                <c:ptCount val="5"/>
                <c:pt idx="0">
                  <c:v>59888984.975609794</c:v>
                </c:pt>
                <c:pt idx="1">
                  <c:v>133235171.94051157</c:v>
                </c:pt>
                <c:pt idx="2">
                  <c:v>152530291.71834433</c:v>
                </c:pt>
                <c:pt idx="3">
                  <c:v>110674813.27458343</c:v>
                </c:pt>
                <c:pt idx="4">
                  <c:v>85369706.220558777</c:v>
                </c:pt>
              </c:numCache>
            </c:numRef>
          </c:val>
          <c:extLst>
            <c:ext xmlns:c16="http://schemas.microsoft.com/office/drawing/2014/chart" uri="{C3380CC4-5D6E-409C-BE32-E72D297353CC}">
              <c16:uniqueId val="{00000001-460D-4B50-8F8C-BB748C3B24A0}"/>
            </c:ext>
          </c:extLst>
        </c:ser>
        <c:ser>
          <c:idx val="2"/>
          <c:order val="2"/>
          <c:tx>
            <c:strRef>
              <c:f>'[Copy of Program Summaries Data V2 - 31 July 2025 UPDATED GROSS.xlsx]Mapping to Outcomes'!$AC$10</c:f>
              <c:strCache>
                <c:ptCount val="1"/>
                <c:pt idx="0">
                  <c:v>Water Transfer</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Outcomes'!$AD$8:$AH$8</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Outcomes'!$AD$10:$AH$10</c:f>
              <c:numCache>
                <c:formatCode>#,##0,,;\-#,##0,;</c:formatCode>
                <c:ptCount val="5"/>
                <c:pt idx="0">
                  <c:v>50840140.390243903</c:v>
                </c:pt>
                <c:pt idx="1">
                  <c:v>96857709.458655566</c:v>
                </c:pt>
                <c:pt idx="2">
                  <c:v>209644023.66303462</c:v>
                </c:pt>
                <c:pt idx="3">
                  <c:v>165880281.87850279</c:v>
                </c:pt>
                <c:pt idx="4">
                  <c:v>228948321.61258265</c:v>
                </c:pt>
              </c:numCache>
            </c:numRef>
          </c:val>
          <c:extLst>
            <c:ext xmlns:c16="http://schemas.microsoft.com/office/drawing/2014/chart" uri="{C3380CC4-5D6E-409C-BE32-E72D297353CC}">
              <c16:uniqueId val="{00000002-460D-4B50-8F8C-BB748C3B24A0}"/>
            </c:ext>
          </c:extLst>
        </c:ser>
        <c:ser>
          <c:idx val="0"/>
          <c:order val="3"/>
          <c:tx>
            <c:strRef>
              <c:f>'[Copy of Program Summaries Data V2 - 31 July 2025 UPDATED GROSS.xlsx]Mapping to Outcomes'!$AC$12</c:f>
              <c:strCache>
                <c:ptCount val="1"/>
                <c:pt idx="0">
                  <c:v>Manufactured and New Water Sources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Outcomes'!$AD$8:$AH$8</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Outcomes'!$AD$12:$AH$12</c:f>
              <c:numCache>
                <c:formatCode>#,##0,,;\-#,##0,;</c:formatCode>
                <c:ptCount val="5"/>
                <c:pt idx="0">
                  <c:v>41951219.512195125</c:v>
                </c:pt>
                <c:pt idx="1">
                  <c:v>44735276.621058896</c:v>
                </c:pt>
                <c:pt idx="2">
                  <c:v>70573555.229900926</c:v>
                </c:pt>
                <c:pt idx="3">
                  <c:v>74287952.873579904</c:v>
                </c:pt>
                <c:pt idx="4">
                  <c:v>34470317.216771178</c:v>
                </c:pt>
              </c:numCache>
            </c:numRef>
          </c:val>
          <c:extLst>
            <c:ext xmlns:c16="http://schemas.microsoft.com/office/drawing/2014/chart" uri="{C3380CC4-5D6E-409C-BE32-E72D297353CC}">
              <c16:uniqueId val="{00000003-460D-4B50-8F8C-BB748C3B24A0}"/>
            </c:ext>
          </c:extLst>
        </c:ser>
        <c:ser>
          <c:idx val="5"/>
          <c:order val="4"/>
          <c:tx>
            <c:strRef>
              <c:f>'[Copy of Program Summaries Data V2 - 31 July 2025 UPDATED GROSS.xlsx]Mapping to Outcomes'!$AC$13</c:f>
              <c:strCache>
                <c:ptCount val="1"/>
                <c:pt idx="0">
                  <c:v>Capitalised Desalination Costs</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Outcomes'!$AD$8:$AH$8</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Outcomes'!$AD$13:$AH$13</c:f>
              <c:numCache>
                <c:formatCode>#,##0,,;\-#,##0,;</c:formatCode>
                <c:ptCount val="5"/>
                <c:pt idx="0">
                  <c:v>80635863.641761839</c:v>
                </c:pt>
                <c:pt idx="1">
                  <c:v>112322103.93019819</c:v>
                </c:pt>
                <c:pt idx="2">
                  <c:v>129966823.78290576</c:v>
                </c:pt>
                <c:pt idx="3">
                  <c:v>140298605.12110415</c:v>
                </c:pt>
                <c:pt idx="4">
                  <c:v>157916557.40021756</c:v>
                </c:pt>
              </c:numCache>
            </c:numRef>
          </c:val>
          <c:extLst>
            <c:ext xmlns:c16="http://schemas.microsoft.com/office/drawing/2014/chart" uri="{C3380CC4-5D6E-409C-BE32-E72D297353CC}">
              <c16:uniqueId val="{00000004-460D-4B50-8F8C-BB748C3B24A0}"/>
            </c:ext>
          </c:extLst>
        </c:ser>
        <c:ser>
          <c:idx val="6"/>
          <c:order val="5"/>
          <c:tx>
            <c:strRef>
              <c:f>'[Copy of Program Summaries Data V2 - 31 July 2025 UPDATED GROSS.xlsx]Mapping to Outcomes'!$AC$14</c:f>
              <c:strCache>
                <c:ptCount val="1"/>
                <c:pt idx="0">
                  <c:v>Total Outcome 1 excluding corporate / It</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Outcomes'!$AD$8:$AH$8</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Outcomes'!$AD$14:$AH$14</c:f>
              <c:numCache>
                <c:formatCode>#,##0,,;\-#,##0,;</c:formatCode>
                <c:ptCount val="5"/>
                <c:pt idx="0">
                  <c:v>300569043.62224972</c:v>
                </c:pt>
                <c:pt idx="1">
                  <c:v>520780185.41122133</c:v>
                </c:pt>
                <c:pt idx="2">
                  <c:v>660877634.04722619</c:v>
                </c:pt>
                <c:pt idx="3">
                  <c:v>636727399.53546548</c:v>
                </c:pt>
                <c:pt idx="4">
                  <c:v>700844512.44537246</c:v>
                </c:pt>
              </c:numCache>
            </c:numRef>
          </c:val>
          <c:extLst>
            <c:ext xmlns:c16="http://schemas.microsoft.com/office/drawing/2014/chart" uri="{C3380CC4-5D6E-409C-BE32-E72D297353CC}">
              <c16:uniqueId val="{00000005-460D-4B50-8F8C-BB748C3B24A0}"/>
            </c:ext>
          </c:extLst>
        </c:ser>
        <c:dLbls>
          <c:dLblPos val="ctr"/>
          <c:showLegendKey val="0"/>
          <c:showVal val="1"/>
          <c:showCatName val="0"/>
          <c:showSerName val="0"/>
          <c:showPercent val="0"/>
          <c:showBubbleSize val="0"/>
        </c:dLbls>
        <c:gapWidth val="40"/>
        <c:overlap val="100"/>
        <c:axId val="1284659872"/>
        <c:axId val="1284663712"/>
      </c:barChart>
      <c:catAx>
        <c:axId val="128465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Verdana" panose="020B0604030504040204" pitchFamily="34" charset="0"/>
                <a:cs typeface="+mn-cs"/>
              </a:defRPr>
            </a:pPr>
            <a:endParaRPr lang="en-US"/>
          </a:p>
        </c:txPr>
        <c:crossAx val="1284663712"/>
        <c:crosses val="autoZero"/>
        <c:auto val="1"/>
        <c:lblAlgn val="ctr"/>
        <c:lblOffset val="100"/>
        <c:noMultiLvlLbl val="0"/>
      </c:catAx>
      <c:valAx>
        <c:axId val="1284663712"/>
        <c:scaling>
          <c:orientation val="minMax"/>
          <c:max val="7500000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Verdana" panose="020B0604030504040204" pitchFamily="34" charset="0"/>
                <a:cs typeface="+mn-cs"/>
              </a:defRPr>
            </a:pPr>
            <a:endParaRPr lang="en-US"/>
          </a:p>
        </c:txPr>
        <c:crossAx val="1284659872"/>
        <c:crosses val="autoZero"/>
        <c:crossBetween val="between"/>
      </c:valAx>
      <c:spPr>
        <a:noFill/>
        <a:ln>
          <a:noFill/>
        </a:ln>
        <a:effectLst/>
      </c:spPr>
    </c:plotArea>
    <c:legend>
      <c:legendPos val="b"/>
      <c:legendEntry>
        <c:idx val="5"/>
        <c:delete val="1"/>
      </c:legendEntry>
      <c:layout>
        <c:manualLayout>
          <c:xMode val="edge"/>
          <c:yMode val="edge"/>
          <c:x val="8.5452812404345505E-2"/>
          <c:y val="0.88854323313581995"/>
          <c:w val="0.90190001453154467"/>
          <c:h val="0.111456766864180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lumMod val="75000"/>
              <a:lumOff val="25000"/>
            </a:schemeClr>
          </a:solidFill>
          <a:latin typeface="+mn-lt"/>
          <a:ea typeface="Verdana" panose="020B060403050404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10814615758295E-2"/>
          <c:y val="5.4106534964407045E-2"/>
          <c:w val="0.89444392208959467"/>
          <c:h val="0.82275637187739892"/>
        </c:manualLayout>
      </c:layout>
      <c:barChart>
        <c:barDir val="col"/>
        <c:grouping val="stacked"/>
        <c:varyColors val="0"/>
        <c:ser>
          <c:idx val="1"/>
          <c:order val="0"/>
          <c:tx>
            <c:strRef>
              <c:f>'[Copy of Program Summaries Data V2 - 31 July 2025 UPDATED GROSS.xlsx]Mapping to Outcomes'!$AC$44</c:f>
              <c:strCache>
                <c:ptCount val="1"/>
                <c:pt idx="0">
                  <c:v>Renewals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Outcomes'!$AD$43:$AH$43</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Outcomes'!$AD$44:$AH$44</c:f>
              <c:numCache>
                <c:formatCode>#,##0,,;\-#,##0,;</c:formatCode>
                <c:ptCount val="5"/>
                <c:pt idx="0">
                  <c:v>61809266.107317068</c:v>
                </c:pt>
                <c:pt idx="1">
                  <c:v>123473095.69637124</c:v>
                </c:pt>
                <c:pt idx="2">
                  <c:v>137307491.70074725</c:v>
                </c:pt>
                <c:pt idx="3">
                  <c:v>212344530.01476067</c:v>
                </c:pt>
                <c:pt idx="4">
                  <c:v>254755570.01623431</c:v>
                </c:pt>
              </c:numCache>
            </c:numRef>
          </c:val>
          <c:extLst>
            <c:ext xmlns:c16="http://schemas.microsoft.com/office/drawing/2014/chart" uri="{C3380CC4-5D6E-409C-BE32-E72D297353CC}">
              <c16:uniqueId val="{00000000-C2E5-4673-8559-962788FE51BE}"/>
            </c:ext>
          </c:extLst>
        </c:ser>
        <c:ser>
          <c:idx val="0"/>
          <c:order val="1"/>
          <c:tx>
            <c:strRef>
              <c:f>'[Copy of Program Summaries Data V2 - 31 July 2025 UPDATED GROSS.xlsx]Mapping to Outcomes'!$AC$45</c:f>
              <c:strCache>
                <c:ptCount val="1"/>
                <c:pt idx="0">
                  <c:v>Growth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Outcomes'!$AD$43:$AH$43</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Outcomes'!$AD$45:$AH$45</c:f>
              <c:numCache>
                <c:formatCode>#,##0,,;\-#,##0,;</c:formatCode>
                <c:ptCount val="5"/>
                <c:pt idx="0">
                  <c:v>59772510.253658541</c:v>
                </c:pt>
                <c:pt idx="1">
                  <c:v>104224478.95300418</c:v>
                </c:pt>
                <c:pt idx="2">
                  <c:v>227999407.43285796</c:v>
                </c:pt>
                <c:pt idx="3">
                  <c:v>184212478.99620673</c:v>
                </c:pt>
                <c:pt idx="4">
                  <c:v>251323399.60085535</c:v>
                </c:pt>
              </c:numCache>
            </c:numRef>
          </c:val>
          <c:extLst>
            <c:ext xmlns:c16="http://schemas.microsoft.com/office/drawing/2014/chart" uri="{C3380CC4-5D6E-409C-BE32-E72D297353CC}">
              <c16:uniqueId val="{00000001-C2E5-4673-8559-962788FE51BE}"/>
            </c:ext>
          </c:extLst>
        </c:ser>
        <c:ser>
          <c:idx val="3"/>
          <c:order val="2"/>
          <c:tx>
            <c:strRef>
              <c:f>'[Copy of Program Summaries Data V2 - 31 July 2025 UPDATED GROSS.xlsx]Mapping to Outcomes'!$AC$46</c:f>
              <c:strCache>
                <c:ptCount val="1"/>
                <c:pt idx="0">
                  <c:v>Improvements/Compliance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Outcomes'!$AD$43:$AH$43</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Outcomes'!$AD$46:$AH$46</c:f>
              <c:numCache>
                <c:formatCode>#,##0,,;\-#,##0,;</c:formatCode>
                <c:ptCount val="5"/>
                <c:pt idx="0">
                  <c:v>98351403.619512215</c:v>
                </c:pt>
                <c:pt idx="1">
                  <c:v>180760506.8316479</c:v>
                </c:pt>
                <c:pt idx="2">
                  <c:v>165603911.13071495</c:v>
                </c:pt>
                <c:pt idx="3">
                  <c:v>99871785.403394014</c:v>
                </c:pt>
                <c:pt idx="4">
                  <c:v>36848985.428065285</c:v>
                </c:pt>
              </c:numCache>
            </c:numRef>
          </c:val>
          <c:extLst>
            <c:ext xmlns:c16="http://schemas.microsoft.com/office/drawing/2014/chart" uri="{C3380CC4-5D6E-409C-BE32-E72D297353CC}">
              <c16:uniqueId val="{00000002-C2E5-4673-8559-962788FE51BE}"/>
            </c:ext>
          </c:extLst>
        </c:ser>
        <c:ser>
          <c:idx val="6"/>
          <c:order val="3"/>
          <c:tx>
            <c:strRef>
              <c:f>'[Copy of Program Summaries Data V2 - 31 July 2025 UPDATED GROSS.xlsx]Mapping to Outcomes'!$AC$47</c:f>
              <c:strCache>
                <c:ptCount val="1"/>
                <c:pt idx="0">
                  <c:v>Total Outcome 1 excluding capitalised desalination and corporate/iT</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GROSS.xlsx]Mapping to Outcomes'!$AD$43:$AH$43</c:f>
              <c:numCache>
                <c:formatCode>General</c:formatCode>
                <c:ptCount val="5"/>
                <c:pt idx="0">
                  <c:v>2027</c:v>
                </c:pt>
                <c:pt idx="1">
                  <c:v>2028</c:v>
                </c:pt>
                <c:pt idx="2">
                  <c:v>2029</c:v>
                </c:pt>
                <c:pt idx="3">
                  <c:v>2030</c:v>
                </c:pt>
                <c:pt idx="4">
                  <c:v>2031</c:v>
                </c:pt>
              </c:numCache>
            </c:numRef>
          </c:cat>
          <c:val>
            <c:numRef>
              <c:f>'[Copy of Program Summaries Data V2 - 31 July 2025 UPDATED GROSS.xlsx]Mapping to Outcomes'!$AD$47:$AH$47</c:f>
              <c:numCache>
                <c:formatCode>#,##0,,;\-#,##0,;</c:formatCode>
                <c:ptCount val="5"/>
                <c:pt idx="0">
                  <c:v>219933179.98048782</c:v>
                </c:pt>
                <c:pt idx="1">
                  <c:v>408458081.48102331</c:v>
                </c:pt>
                <c:pt idx="2">
                  <c:v>530910810.26432019</c:v>
                </c:pt>
                <c:pt idx="3">
                  <c:v>496428794.41436136</c:v>
                </c:pt>
                <c:pt idx="4">
                  <c:v>542927955.04515493</c:v>
                </c:pt>
              </c:numCache>
            </c:numRef>
          </c:val>
          <c:extLst>
            <c:ext xmlns:c16="http://schemas.microsoft.com/office/drawing/2014/chart" uri="{C3380CC4-5D6E-409C-BE32-E72D297353CC}">
              <c16:uniqueId val="{00000003-C2E5-4673-8559-962788FE51BE}"/>
            </c:ext>
          </c:extLst>
        </c:ser>
        <c:dLbls>
          <c:dLblPos val="ctr"/>
          <c:showLegendKey val="0"/>
          <c:showVal val="1"/>
          <c:showCatName val="0"/>
          <c:showSerName val="0"/>
          <c:showPercent val="0"/>
          <c:showBubbleSize val="0"/>
        </c:dLbls>
        <c:gapWidth val="40"/>
        <c:overlap val="100"/>
        <c:axId val="1284659872"/>
        <c:axId val="1284663712"/>
      </c:barChart>
      <c:catAx>
        <c:axId val="128465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1284663712"/>
        <c:crosses val="autoZero"/>
        <c:auto val="1"/>
        <c:lblAlgn val="ctr"/>
        <c:lblOffset val="100"/>
        <c:noMultiLvlLbl val="0"/>
      </c:catAx>
      <c:valAx>
        <c:axId val="1284663712"/>
        <c:scaling>
          <c:orientation val="minMax"/>
          <c:max val="7500000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1284659872"/>
        <c:crosses val="autoZero"/>
        <c:crossBetween val="between"/>
      </c:valAx>
      <c:spPr>
        <a:noFill/>
        <a:ln>
          <a:noFill/>
        </a:ln>
        <a:effectLst/>
      </c:spPr>
    </c:plotArea>
    <c:legend>
      <c:legendPos val="b"/>
      <c:legendEntry>
        <c:idx val="3"/>
        <c:delete val="1"/>
      </c:legendEntry>
      <c:layout>
        <c:manualLayout>
          <c:xMode val="edge"/>
          <c:yMode val="edge"/>
          <c:x val="0"/>
          <c:y val="0.93877983487314109"/>
          <c:w val="0.98434494038525322"/>
          <c:h val="4.30820425807276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lumMod val="75000"/>
              <a:lumOff val="25000"/>
            </a:schemeClr>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'[Copy of Program Summaries Data V2 - 31 July 2025 UPDATED GROSS.xlsx]New Water Program Summary Table'!$D$15</c:f>
              <c:strCache>
                <c:ptCount val="1"/>
                <c:pt idx="0">
                  <c:v>Water Augmentation</c:v>
                </c:pt>
              </c:strCache>
            </c:strRef>
          </c:tx>
          <c:spPr>
            <a:solidFill>
              <a:schemeClr val="accent1"/>
            </a:solidFill>
            <a:ln>
              <a:noFill/>
            </a:ln>
            <a:effectLst/>
          </c:spPr>
          <c:invertIfNegative val="0"/>
          <c:dLbls>
            <c:numFmt formatCode="_(* #,##0.0,,_);_(* \(#,##0.00\);_(* &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GROSS.xlsx]New Water Program Summary Table'!$I$14:$M$14</c:f>
              <c:numCache>
                <c:formatCode>General</c:formatCode>
                <c:ptCount val="5"/>
                <c:pt idx="0">
                  <c:v>2027</c:v>
                </c:pt>
                <c:pt idx="1">
                  <c:v>2028</c:v>
                </c:pt>
                <c:pt idx="2">
                  <c:v>2029</c:v>
                </c:pt>
                <c:pt idx="3">
                  <c:v>2030</c:v>
                </c:pt>
                <c:pt idx="4">
                  <c:v>2031</c:v>
                </c:pt>
              </c:numCache>
            </c:numRef>
          </c:cat>
          <c:val>
            <c:numRef>
              <c:f>'[Copy of Program Summaries Data V2 - 31 July 2025 UPDATED GROSS.xlsx]New Water Program Summary Table'!$I$15:$M$15</c:f>
              <c:numCache>
                <c:formatCode>#,##0,,;\-#,##0,;</c:formatCode>
                <c:ptCount val="5"/>
                <c:pt idx="0">
                  <c:v>40975609.756097563</c:v>
                </c:pt>
                <c:pt idx="1">
                  <c:v>42831647.828673415</c:v>
                </c:pt>
                <c:pt idx="2">
                  <c:v>65930558.175302178</c:v>
                </c:pt>
                <c:pt idx="3">
                  <c:v>69758199.649581134</c:v>
                </c:pt>
                <c:pt idx="4">
                  <c:v>30051045.77872359</c:v>
                </c:pt>
              </c:numCache>
            </c:numRef>
          </c:val>
          <c:extLst>
            <c:ext xmlns:c16="http://schemas.microsoft.com/office/drawing/2014/chart" uri="{C3380CC4-5D6E-409C-BE32-E72D297353CC}">
              <c16:uniqueId val="{00000000-3E6B-489B-8944-550E22E82396}"/>
            </c:ext>
          </c:extLst>
        </c:ser>
        <c:ser>
          <c:idx val="1"/>
          <c:order val="1"/>
          <c:tx>
            <c:strRef>
              <c:f>'[Copy of Program Summaries Data V2 - 31 July 2025 UPDATED GROSS.xlsx]New Water Program Summary Table'!$B$16</c:f>
              <c:strCache>
                <c:ptCount val="1"/>
                <c:pt idx="0">
                  <c:v>Recycled Water WTP Class A Plant Renewal</c:v>
                </c:pt>
              </c:strCache>
            </c:strRef>
          </c:tx>
          <c:spPr>
            <a:solidFill>
              <a:schemeClr val="accent2"/>
            </a:solidFill>
            <a:ln>
              <a:noFill/>
            </a:ln>
            <a:effectLst/>
          </c:spPr>
          <c:invertIfNegative val="0"/>
          <c:dLbls>
            <c:dLbl>
              <c:idx val="0"/>
              <c:layout>
                <c:manualLayout>
                  <c:x val="-3.1815298445178391E-4"/>
                  <c:y val="5.10421754910993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6B-489B-8944-550E22E82396}"/>
                </c:ext>
              </c:extLst>
            </c:dLbl>
            <c:dLbl>
              <c:idx val="1"/>
              <c:layout>
                <c:manualLayout>
                  <c:x val="0"/>
                  <c:y val="7.06737814492144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6B-489B-8944-550E22E82396}"/>
                </c:ext>
              </c:extLst>
            </c:dLbl>
            <c:numFmt formatCode="_(* #,##0.0,,_);_(* \(#,##0.00\);_(* &quot;-&quot;??_);_(@_)"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GROSS.xlsx]New Water Program Summary Table'!$I$14:$M$14</c:f>
              <c:numCache>
                <c:formatCode>General</c:formatCode>
                <c:ptCount val="5"/>
                <c:pt idx="0">
                  <c:v>2027</c:v>
                </c:pt>
                <c:pt idx="1">
                  <c:v>2028</c:v>
                </c:pt>
                <c:pt idx="2">
                  <c:v>2029</c:v>
                </c:pt>
                <c:pt idx="3">
                  <c:v>2030</c:v>
                </c:pt>
                <c:pt idx="4">
                  <c:v>2031</c:v>
                </c:pt>
              </c:numCache>
            </c:numRef>
          </c:cat>
          <c:val>
            <c:numRef>
              <c:f>'[Copy of Program Summaries Data V2 - 31 July 2025 UPDATED GROSS.xlsx]New Water Program Summary Table'!$I$16:$M$16</c:f>
              <c:numCache>
                <c:formatCode>#,##0,,;\-#,##0,;</c:formatCode>
                <c:ptCount val="5"/>
                <c:pt idx="0">
                  <c:v>975609.7560975611</c:v>
                </c:pt>
                <c:pt idx="1">
                  <c:v>1903628.792385485</c:v>
                </c:pt>
                <c:pt idx="2">
                  <c:v>4642997.054598745</c:v>
                </c:pt>
                <c:pt idx="3">
                  <c:v>4529753.2239987757</c:v>
                </c:pt>
                <c:pt idx="4">
                  <c:v>4419271.4380475869</c:v>
                </c:pt>
              </c:numCache>
            </c:numRef>
          </c:val>
          <c:extLst>
            <c:ext xmlns:c16="http://schemas.microsoft.com/office/drawing/2014/chart" uri="{C3380CC4-5D6E-409C-BE32-E72D297353CC}">
              <c16:uniqueId val="{00000003-3E6B-489B-8944-550E22E82396}"/>
            </c:ext>
          </c:extLst>
        </c:ser>
        <c:ser>
          <c:idx val="2"/>
          <c:order val="2"/>
          <c:tx>
            <c:strRef>
              <c:f>'[Copy of Program Summaries Data V2 - 31 July 2025 UPDATED GROSS.xlsx]New Water Program Summary Table'!$D$17</c:f>
              <c:strCache>
                <c:ptCount val="1"/>
              </c:strCache>
            </c:strRef>
          </c:tx>
          <c:spPr>
            <a:noFill/>
            <a:ln>
              <a:noFill/>
            </a:ln>
            <a:effectLst/>
          </c:spPr>
          <c:invertIfNegative val="0"/>
          <c:dLbls>
            <c:numFmt formatCode="_(* #,##0.0,,_);_(* \(#,##0.00\);_(* &quot;-&quot;??_);_(@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Program Summaries Data V2 - 31 July 2025 UPDATED GROSS.xlsx]New Water Program Summary Table'!$I$14:$M$14</c:f>
              <c:numCache>
                <c:formatCode>General</c:formatCode>
                <c:ptCount val="5"/>
                <c:pt idx="0">
                  <c:v>2027</c:v>
                </c:pt>
                <c:pt idx="1">
                  <c:v>2028</c:v>
                </c:pt>
                <c:pt idx="2">
                  <c:v>2029</c:v>
                </c:pt>
                <c:pt idx="3">
                  <c:v>2030</c:v>
                </c:pt>
                <c:pt idx="4">
                  <c:v>2031</c:v>
                </c:pt>
              </c:numCache>
            </c:numRef>
          </c:cat>
          <c:val>
            <c:numRef>
              <c:f>'[Copy of Program Summaries Data V2 - 31 July 2025 UPDATED GROSS.xlsx]New Water Program Summary Table'!$I$17:$M$17</c:f>
              <c:numCache>
                <c:formatCode>#,##0,,;\-#,##0,;</c:formatCode>
                <c:ptCount val="5"/>
                <c:pt idx="0">
                  <c:v>41951219.512195125</c:v>
                </c:pt>
                <c:pt idx="1">
                  <c:v>44735276.621058896</c:v>
                </c:pt>
                <c:pt idx="2">
                  <c:v>70573555.229900926</c:v>
                </c:pt>
                <c:pt idx="3">
                  <c:v>74287952.873579904</c:v>
                </c:pt>
                <c:pt idx="4">
                  <c:v>34470317.216771178</c:v>
                </c:pt>
              </c:numCache>
            </c:numRef>
          </c:val>
          <c:extLst>
            <c:ext xmlns:c16="http://schemas.microsoft.com/office/drawing/2014/chart" uri="{C3380CC4-5D6E-409C-BE32-E72D297353CC}">
              <c16:uniqueId val="{00000004-3E6B-489B-8944-550E22E82396}"/>
            </c:ext>
          </c:extLst>
        </c:ser>
        <c:dLbls>
          <c:dLblPos val="ctr"/>
          <c:showLegendKey val="0"/>
          <c:showVal val="1"/>
          <c:showCatName val="0"/>
          <c:showSerName val="0"/>
          <c:showPercent val="0"/>
          <c:showBubbleSize val="0"/>
        </c:dLbls>
        <c:gapWidth val="30"/>
        <c:overlap val="100"/>
        <c:axId val="97396367"/>
        <c:axId val="97387727"/>
      </c:barChart>
      <c:catAx>
        <c:axId val="97396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97387727"/>
        <c:crosses val="autoZero"/>
        <c:auto val="1"/>
        <c:lblAlgn val="ctr"/>
        <c:lblOffset val="100"/>
        <c:noMultiLvlLbl val="0"/>
      </c:catAx>
      <c:valAx>
        <c:axId val="97387727"/>
        <c:scaling>
          <c:orientation val="minMax"/>
          <c:max val="800000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crossAx val="9739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lumMod val="75000"/>
              <a:lumOff val="25000"/>
            </a:schemeClr>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6B8093-4F6C-4F55-8A3B-766E218A428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843C3254-067C-42C9-A0C4-846E908B9C65}">
      <dgm:prSet phldrT="[Text]" custT="1"/>
      <dgm:spPr/>
      <dgm:t>
        <a:bodyPr/>
        <a:lstStyle/>
        <a:p>
          <a:pPr>
            <a:buNone/>
          </a:pPr>
          <a:r>
            <a:rPr lang="en-AU" sz="800" b="1"/>
            <a:t>Metropolitan and regional water corporations</a:t>
          </a:r>
          <a:endParaRPr lang="en-AU" sz="800"/>
        </a:p>
      </dgm:t>
      <dgm:extLst>
        <a:ext uri="{E40237B7-FDA0-4F09-8148-C483321AD2D9}">
          <dgm14:cNvPr xmlns:dgm14="http://schemas.microsoft.com/office/drawing/2010/diagram" id="0" name="" descr="Melbourne Water’s community stakeholder groups&#10;&#10;"/>
        </a:ext>
      </dgm:extLst>
    </dgm:pt>
    <dgm:pt modelId="{7B2EF330-DE57-4CE4-93EE-C65E8A290AC5}" type="parTrans" cxnId="{E75C6339-D13B-410A-801C-B2D6312907F3}">
      <dgm:prSet/>
      <dgm:spPr/>
      <dgm:t>
        <a:bodyPr/>
        <a:lstStyle/>
        <a:p>
          <a:endParaRPr lang="en-AU" sz="2000"/>
        </a:p>
      </dgm:t>
    </dgm:pt>
    <dgm:pt modelId="{24E6B031-4029-43F3-87ED-A513DD9B71B9}" type="sibTrans" cxnId="{E75C6339-D13B-410A-801C-B2D6312907F3}">
      <dgm:prSet/>
      <dgm:spPr/>
      <dgm:t>
        <a:bodyPr/>
        <a:lstStyle/>
        <a:p>
          <a:endParaRPr lang="en-AU" sz="2000"/>
        </a:p>
      </dgm:t>
    </dgm:pt>
    <dgm:pt modelId="{0954D550-87F9-44A4-81E2-724D4B706D68}">
      <dgm:prSet phldrT="[Text]" custT="1"/>
      <dgm:spPr/>
      <dgm:t>
        <a:bodyPr/>
        <a:lstStyle/>
        <a:p>
          <a:pPr marL="0" indent="0">
            <a:buNone/>
          </a:pPr>
          <a:r>
            <a:rPr lang="en-AU" sz="800"/>
            <a:t>We serve the water corporations that provide the water and sewerage service interface to end-use customers. </a:t>
          </a:r>
        </a:p>
      </dgm:t>
    </dgm:pt>
    <dgm:pt modelId="{C151BFAF-B93A-4B53-80BD-A4F42BA3A1E4}" type="parTrans" cxnId="{C10465DA-369D-4477-88BD-AF1A21657F1C}">
      <dgm:prSet/>
      <dgm:spPr/>
      <dgm:t>
        <a:bodyPr/>
        <a:lstStyle/>
        <a:p>
          <a:endParaRPr lang="en-AU" sz="2000"/>
        </a:p>
      </dgm:t>
    </dgm:pt>
    <dgm:pt modelId="{DCFB61FA-43DA-41C4-9427-2D62F732E973}" type="sibTrans" cxnId="{C10465DA-369D-4477-88BD-AF1A21657F1C}">
      <dgm:prSet/>
      <dgm:spPr/>
      <dgm:t>
        <a:bodyPr/>
        <a:lstStyle/>
        <a:p>
          <a:endParaRPr lang="en-AU" sz="2000"/>
        </a:p>
      </dgm:t>
    </dgm:pt>
    <dgm:pt modelId="{68303487-82F0-4B63-B75D-98DCBD9DCC51}">
      <dgm:prSet phldrT="[Text]" custT="1"/>
      <dgm:spPr/>
      <dgm:t>
        <a:bodyPr/>
        <a:lstStyle/>
        <a:p>
          <a:pPr>
            <a:buNone/>
          </a:pPr>
          <a:r>
            <a:rPr lang="en-AU" sz="800" b="1"/>
            <a:t>End-use customers </a:t>
          </a:r>
          <a:endParaRPr lang="en-AU" sz="800"/>
        </a:p>
      </dgm:t>
    </dgm:pt>
    <dgm:pt modelId="{D0243336-394A-490F-8647-476D1641066A}" type="parTrans" cxnId="{761996E0-FCA7-46AA-BB37-B9F39F7B0F3A}">
      <dgm:prSet/>
      <dgm:spPr/>
      <dgm:t>
        <a:bodyPr/>
        <a:lstStyle/>
        <a:p>
          <a:endParaRPr lang="en-AU" sz="2000"/>
        </a:p>
      </dgm:t>
    </dgm:pt>
    <dgm:pt modelId="{4D74DF11-23BF-4F3F-8652-2DE47B8F6234}" type="sibTrans" cxnId="{761996E0-FCA7-46AA-BB37-B9F39F7B0F3A}">
      <dgm:prSet/>
      <dgm:spPr/>
      <dgm:t>
        <a:bodyPr/>
        <a:lstStyle/>
        <a:p>
          <a:endParaRPr lang="en-AU" sz="2000"/>
        </a:p>
      </dgm:t>
    </dgm:pt>
    <dgm:pt modelId="{B5164ADC-5239-4C47-9D1F-4B7A5A998C47}">
      <dgm:prSet phldrT="[Text]" custT="1"/>
      <dgm:spPr/>
      <dgm:t>
        <a:bodyPr/>
        <a:lstStyle/>
        <a:p>
          <a:pPr marL="0" indent="0">
            <a:buNone/>
          </a:pPr>
          <a:r>
            <a:rPr lang="en-AU" sz="800"/>
            <a:t>Directly receive our waterways and drainage services and ultimately receive our water and sewerage services (approximately 50 per cent of bills) and pay for them through their local water corporation.</a:t>
          </a:r>
        </a:p>
      </dgm:t>
    </dgm:pt>
    <dgm:pt modelId="{CF367EB2-4BB7-4946-8F84-1A0C0A3AE82C}" type="parTrans" cxnId="{319F4B19-491A-4677-8B9A-D81C3013EE46}">
      <dgm:prSet/>
      <dgm:spPr/>
      <dgm:t>
        <a:bodyPr/>
        <a:lstStyle/>
        <a:p>
          <a:endParaRPr lang="en-AU" sz="2000"/>
        </a:p>
      </dgm:t>
    </dgm:pt>
    <dgm:pt modelId="{43984BBA-27B2-47A8-9FD6-DD873B15204B}" type="sibTrans" cxnId="{319F4B19-491A-4677-8B9A-D81C3013EE46}">
      <dgm:prSet/>
      <dgm:spPr/>
      <dgm:t>
        <a:bodyPr/>
        <a:lstStyle/>
        <a:p>
          <a:endParaRPr lang="en-AU" sz="2000"/>
        </a:p>
      </dgm:t>
    </dgm:pt>
    <dgm:pt modelId="{D65CFE52-A621-480A-9E30-C71F43B7A126}">
      <dgm:prSet phldrT="[Text]" custT="1"/>
      <dgm:spPr/>
      <dgm:t>
        <a:bodyPr/>
        <a:lstStyle/>
        <a:p>
          <a:pPr>
            <a:buNone/>
          </a:pPr>
          <a:r>
            <a:rPr lang="en-AU" sz="800" b="1"/>
            <a:t>Our partners, local community and representative groups</a:t>
          </a:r>
          <a:endParaRPr lang="en-AU" sz="800"/>
        </a:p>
      </dgm:t>
    </dgm:pt>
    <dgm:pt modelId="{A345D470-B90C-4C94-B8FF-BB0955106171}" type="parTrans" cxnId="{0CDDDE88-5890-4960-AECE-2E87F2EA6312}">
      <dgm:prSet/>
      <dgm:spPr/>
      <dgm:t>
        <a:bodyPr/>
        <a:lstStyle/>
        <a:p>
          <a:endParaRPr lang="en-AU" sz="2000"/>
        </a:p>
      </dgm:t>
    </dgm:pt>
    <dgm:pt modelId="{D4B5D77E-D59D-4AD7-AE27-2533203DC646}" type="sibTrans" cxnId="{0CDDDE88-5890-4960-AECE-2E87F2EA6312}">
      <dgm:prSet/>
      <dgm:spPr/>
      <dgm:t>
        <a:bodyPr/>
        <a:lstStyle/>
        <a:p>
          <a:endParaRPr lang="en-AU" sz="2000"/>
        </a:p>
      </dgm:t>
    </dgm:pt>
    <dgm:pt modelId="{677D64B8-1FFE-4B5D-B877-1DCC5AD5DCB1}">
      <dgm:prSet phldrT="[Text]" custT="1"/>
      <dgm:spPr/>
      <dgm:t>
        <a:bodyPr/>
        <a:lstStyle/>
        <a:p>
          <a:pPr marL="0" indent="0">
            <a:buNone/>
          </a:pPr>
          <a:r>
            <a:rPr lang="en-AU" sz="800"/>
            <a:t>Help us to shape our services, including Traditional Owner partners, those representing the most vulnerable in our community, Local Government Authorities, and community environmental groups.</a:t>
          </a:r>
        </a:p>
      </dgm:t>
    </dgm:pt>
    <dgm:pt modelId="{F1FC7872-1C0A-41C8-A2AA-DADE79930D44}" type="parTrans" cxnId="{6A4C8574-E5BE-4246-877C-46A438E33C4E}">
      <dgm:prSet/>
      <dgm:spPr/>
      <dgm:t>
        <a:bodyPr/>
        <a:lstStyle/>
        <a:p>
          <a:endParaRPr lang="en-AU" sz="2000"/>
        </a:p>
      </dgm:t>
    </dgm:pt>
    <dgm:pt modelId="{2D8EA716-A791-43D3-A8F2-D2BEC113E1BB}" type="sibTrans" cxnId="{6A4C8574-E5BE-4246-877C-46A438E33C4E}">
      <dgm:prSet/>
      <dgm:spPr/>
      <dgm:t>
        <a:bodyPr/>
        <a:lstStyle/>
        <a:p>
          <a:endParaRPr lang="en-AU" sz="2000"/>
        </a:p>
      </dgm:t>
    </dgm:pt>
    <dgm:pt modelId="{7774B454-3E23-42C1-9DB7-C69CBA09EAD7}">
      <dgm:prSet custT="1"/>
      <dgm:spPr/>
      <dgm:t>
        <a:bodyPr/>
        <a:lstStyle/>
        <a:p>
          <a:pPr>
            <a:buNone/>
          </a:pPr>
          <a:r>
            <a:rPr lang="en-AU" sz="800" b="1"/>
            <a:t>Developers and representative groups</a:t>
          </a:r>
          <a:endParaRPr lang="en-AU" sz="800"/>
        </a:p>
      </dgm:t>
    </dgm:pt>
    <dgm:pt modelId="{B268076A-04A3-4975-888A-879ECCED42A8}" type="parTrans" cxnId="{2764F67C-F942-4AA3-90C9-11FE73C39891}">
      <dgm:prSet/>
      <dgm:spPr/>
      <dgm:t>
        <a:bodyPr/>
        <a:lstStyle/>
        <a:p>
          <a:endParaRPr lang="en-AU" sz="2000"/>
        </a:p>
      </dgm:t>
    </dgm:pt>
    <dgm:pt modelId="{8BC07459-AD49-4248-84DE-365F21125DCD}" type="sibTrans" cxnId="{2764F67C-F942-4AA3-90C9-11FE73C39891}">
      <dgm:prSet/>
      <dgm:spPr/>
      <dgm:t>
        <a:bodyPr/>
        <a:lstStyle/>
        <a:p>
          <a:endParaRPr lang="en-AU" sz="2000"/>
        </a:p>
      </dgm:t>
    </dgm:pt>
    <dgm:pt modelId="{2169326A-69F7-4D44-8D9B-B4F3B7B09AE0}">
      <dgm:prSet custT="1"/>
      <dgm:spPr/>
      <dgm:t>
        <a:bodyPr/>
        <a:lstStyle/>
        <a:p>
          <a:pPr>
            <a:buNone/>
          </a:pPr>
          <a:r>
            <a:rPr lang="en-AU" sz="800" b="1"/>
            <a:t>Our direct service customers</a:t>
          </a:r>
          <a:r>
            <a:rPr lang="en-AU" sz="800"/>
            <a:t> </a:t>
          </a:r>
        </a:p>
      </dgm:t>
    </dgm:pt>
    <dgm:pt modelId="{65726512-022C-459C-B597-9A17F847C827}" type="parTrans" cxnId="{7C4664DC-BB59-45F8-BB51-228E8A579906}">
      <dgm:prSet/>
      <dgm:spPr/>
      <dgm:t>
        <a:bodyPr/>
        <a:lstStyle/>
        <a:p>
          <a:endParaRPr lang="en-AU" sz="2000"/>
        </a:p>
      </dgm:t>
    </dgm:pt>
    <dgm:pt modelId="{4F43E54D-2326-4F5A-BA1A-EA0A97C51A80}" type="sibTrans" cxnId="{7C4664DC-BB59-45F8-BB51-228E8A579906}">
      <dgm:prSet/>
      <dgm:spPr/>
      <dgm:t>
        <a:bodyPr/>
        <a:lstStyle/>
        <a:p>
          <a:endParaRPr lang="en-AU" sz="2000"/>
        </a:p>
      </dgm:t>
    </dgm:pt>
    <dgm:pt modelId="{9E1326AA-7729-4C92-8580-0437DEC9F056}">
      <dgm:prSet custT="1"/>
      <dgm:spPr/>
      <dgm:t>
        <a:bodyPr/>
        <a:lstStyle/>
        <a:p>
          <a:pPr>
            <a:buNone/>
          </a:pPr>
          <a:r>
            <a:rPr lang="en-AU" sz="800" b="1"/>
            <a:t>Victorian Government and our regulators</a:t>
          </a:r>
          <a:r>
            <a:rPr lang="en-AU" sz="800"/>
            <a:t> </a:t>
          </a:r>
        </a:p>
      </dgm:t>
    </dgm:pt>
    <dgm:pt modelId="{0A77769C-27F0-4163-8BA2-152106B60355}" type="parTrans" cxnId="{CC384A18-00D6-4CF7-A06E-DF82F0D749DB}">
      <dgm:prSet/>
      <dgm:spPr/>
      <dgm:t>
        <a:bodyPr/>
        <a:lstStyle/>
        <a:p>
          <a:endParaRPr lang="en-AU" sz="2000"/>
        </a:p>
      </dgm:t>
    </dgm:pt>
    <dgm:pt modelId="{538554B2-7814-4739-85A2-09D3E3A56384}" type="sibTrans" cxnId="{CC384A18-00D6-4CF7-A06E-DF82F0D749DB}">
      <dgm:prSet/>
      <dgm:spPr/>
      <dgm:t>
        <a:bodyPr/>
        <a:lstStyle/>
        <a:p>
          <a:endParaRPr lang="en-AU" sz="2000"/>
        </a:p>
      </dgm:t>
    </dgm:pt>
    <dgm:pt modelId="{CE0F7B0A-500D-477C-A2AA-BC80F069A793}">
      <dgm:prSet custT="1"/>
      <dgm:spPr/>
      <dgm:t>
        <a:bodyPr/>
        <a:lstStyle/>
        <a:p>
          <a:pPr marL="0" indent="0">
            <a:buNone/>
          </a:pPr>
          <a:r>
            <a:rPr lang="en-AU" sz="800"/>
            <a:t>Includes licensed diverters and households that receive a direct service from us.</a:t>
          </a:r>
        </a:p>
      </dgm:t>
    </dgm:pt>
    <dgm:pt modelId="{A0244C01-C122-4B02-89A0-3E151DD112FC}" type="parTrans" cxnId="{E15D2F78-0243-41EE-B2E4-D3B9A7D30821}">
      <dgm:prSet/>
      <dgm:spPr/>
      <dgm:t>
        <a:bodyPr/>
        <a:lstStyle/>
        <a:p>
          <a:endParaRPr lang="en-AU" sz="2000"/>
        </a:p>
      </dgm:t>
    </dgm:pt>
    <dgm:pt modelId="{1D83B1CC-09E9-48AE-9496-7FF88E579168}" type="sibTrans" cxnId="{E15D2F78-0243-41EE-B2E4-D3B9A7D30821}">
      <dgm:prSet/>
      <dgm:spPr/>
      <dgm:t>
        <a:bodyPr/>
        <a:lstStyle/>
        <a:p>
          <a:endParaRPr lang="en-AU" sz="2000"/>
        </a:p>
      </dgm:t>
    </dgm:pt>
    <dgm:pt modelId="{7AD1011F-B5EE-4C36-8ED8-23A410B643F0}">
      <dgm:prSet custT="1"/>
      <dgm:spPr/>
      <dgm:t>
        <a:bodyPr/>
        <a:lstStyle/>
        <a:p>
          <a:pPr marL="0" indent="0">
            <a:buNone/>
          </a:pPr>
          <a:r>
            <a:rPr lang="en-AU" sz="800"/>
            <a:t>Make land development applications and construct waterways and drainage works on our behalf in new urban developments. </a:t>
          </a:r>
        </a:p>
      </dgm:t>
    </dgm:pt>
    <dgm:pt modelId="{85F5BB22-55B3-47E2-AAF3-CA02C709F229}" type="parTrans" cxnId="{A669A3D4-0B11-4FE6-9D99-07141800A7D6}">
      <dgm:prSet/>
      <dgm:spPr/>
      <dgm:t>
        <a:bodyPr/>
        <a:lstStyle/>
        <a:p>
          <a:endParaRPr lang="en-AU" sz="2000"/>
        </a:p>
      </dgm:t>
    </dgm:pt>
    <dgm:pt modelId="{F746343F-B641-45C0-90A6-B68E9DEA72BC}" type="sibTrans" cxnId="{A669A3D4-0B11-4FE6-9D99-07141800A7D6}">
      <dgm:prSet/>
      <dgm:spPr/>
      <dgm:t>
        <a:bodyPr/>
        <a:lstStyle/>
        <a:p>
          <a:endParaRPr lang="en-AU" sz="2000"/>
        </a:p>
      </dgm:t>
    </dgm:pt>
    <dgm:pt modelId="{C2B99FF9-BECC-4952-AA04-117DACCD15C3}">
      <dgm:prSet custT="1"/>
      <dgm:spPr/>
      <dgm:t>
        <a:bodyPr/>
        <a:lstStyle/>
        <a:p>
          <a:pPr marL="0" indent="0">
            <a:buNone/>
          </a:pPr>
          <a:r>
            <a:rPr lang="en-AU" sz="800"/>
            <a:t>Set our guiding policy frameworks and obligations based on their complimentary understanding of community expectations.</a:t>
          </a:r>
        </a:p>
      </dgm:t>
    </dgm:pt>
    <dgm:pt modelId="{FB83E1CB-E141-497C-B6D3-02865D2BA7F9}" type="parTrans" cxnId="{270B0AB5-3838-459C-8BE7-AF6890801102}">
      <dgm:prSet/>
      <dgm:spPr/>
      <dgm:t>
        <a:bodyPr/>
        <a:lstStyle/>
        <a:p>
          <a:endParaRPr lang="en-AU" sz="2000"/>
        </a:p>
      </dgm:t>
    </dgm:pt>
    <dgm:pt modelId="{9862B5A5-8EFF-4B26-863C-BDE8CA5F3888}" type="sibTrans" cxnId="{270B0AB5-3838-459C-8BE7-AF6890801102}">
      <dgm:prSet/>
      <dgm:spPr/>
      <dgm:t>
        <a:bodyPr/>
        <a:lstStyle/>
        <a:p>
          <a:endParaRPr lang="en-AU" sz="2000"/>
        </a:p>
      </dgm:t>
    </dgm:pt>
    <dgm:pt modelId="{2B3FA149-58A8-41BF-AC17-B14F723FE657}" type="pres">
      <dgm:prSet presAssocID="{786B8093-4F6C-4F55-8A3B-766E218A428C}" presName="linear" presStyleCnt="0">
        <dgm:presLayoutVars>
          <dgm:dir/>
          <dgm:animLvl val="lvl"/>
          <dgm:resizeHandles val="exact"/>
        </dgm:presLayoutVars>
      </dgm:prSet>
      <dgm:spPr/>
    </dgm:pt>
    <dgm:pt modelId="{5A8B5B2A-1302-4D7E-A22A-B58F8D549C7B}" type="pres">
      <dgm:prSet presAssocID="{843C3254-067C-42C9-A0C4-846E908B9C65}" presName="parentLin" presStyleCnt="0"/>
      <dgm:spPr/>
    </dgm:pt>
    <dgm:pt modelId="{8EBFC610-F6D0-4D21-90B7-4392BD8E7705}" type="pres">
      <dgm:prSet presAssocID="{843C3254-067C-42C9-A0C4-846E908B9C65}" presName="parentLeftMargin" presStyleLbl="node1" presStyleIdx="0" presStyleCnt="6"/>
      <dgm:spPr/>
    </dgm:pt>
    <dgm:pt modelId="{1C00CD29-0442-4EA6-8282-F6CABB26B745}" type="pres">
      <dgm:prSet presAssocID="{843C3254-067C-42C9-A0C4-846E908B9C65}" presName="parentText" presStyleLbl="node1" presStyleIdx="0" presStyleCnt="6">
        <dgm:presLayoutVars>
          <dgm:chMax val="0"/>
          <dgm:bulletEnabled val="1"/>
        </dgm:presLayoutVars>
      </dgm:prSet>
      <dgm:spPr/>
    </dgm:pt>
    <dgm:pt modelId="{2BF6A47F-0636-4E3D-B8D7-BDAADF231304}" type="pres">
      <dgm:prSet presAssocID="{843C3254-067C-42C9-A0C4-846E908B9C65}" presName="negativeSpace" presStyleCnt="0"/>
      <dgm:spPr/>
    </dgm:pt>
    <dgm:pt modelId="{B49028D0-F2C7-4E17-8660-9DA5C2BEB38D}" type="pres">
      <dgm:prSet presAssocID="{843C3254-067C-42C9-A0C4-846E908B9C65}" presName="childText" presStyleLbl="conFgAcc1" presStyleIdx="0" presStyleCnt="6">
        <dgm:presLayoutVars>
          <dgm:bulletEnabled val="1"/>
        </dgm:presLayoutVars>
      </dgm:prSet>
      <dgm:spPr/>
    </dgm:pt>
    <dgm:pt modelId="{D2AD74DD-C670-40FC-A2E7-A88367E08CA7}" type="pres">
      <dgm:prSet presAssocID="{24E6B031-4029-43F3-87ED-A513DD9B71B9}" presName="spaceBetweenRectangles" presStyleCnt="0"/>
      <dgm:spPr/>
    </dgm:pt>
    <dgm:pt modelId="{7A0CA8E3-034C-463E-9132-EAB6DE414F71}" type="pres">
      <dgm:prSet presAssocID="{68303487-82F0-4B63-B75D-98DCBD9DCC51}" presName="parentLin" presStyleCnt="0"/>
      <dgm:spPr/>
    </dgm:pt>
    <dgm:pt modelId="{30E0E99D-ED45-4C09-892E-FC498443B386}" type="pres">
      <dgm:prSet presAssocID="{68303487-82F0-4B63-B75D-98DCBD9DCC51}" presName="parentLeftMargin" presStyleLbl="node1" presStyleIdx="0" presStyleCnt="6"/>
      <dgm:spPr/>
    </dgm:pt>
    <dgm:pt modelId="{06075DFB-9671-4E62-B930-E7DC50B512A0}" type="pres">
      <dgm:prSet presAssocID="{68303487-82F0-4B63-B75D-98DCBD9DCC51}" presName="parentText" presStyleLbl="node1" presStyleIdx="1" presStyleCnt="6">
        <dgm:presLayoutVars>
          <dgm:chMax val="0"/>
          <dgm:bulletEnabled val="1"/>
        </dgm:presLayoutVars>
      </dgm:prSet>
      <dgm:spPr/>
    </dgm:pt>
    <dgm:pt modelId="{3F2F196A-1E9C-4E81-993D-C0C4080EDA70}" type="pres">
      <dgm:prSet presAssocID="{68303487-82F0-4B63-B75D-98DCBD9DCC51}" presName="negativeSpace" presStyleCnt="0"/>
      <dgm:spPr/>
    </dgm:pt>
    <dgm:pt modelId="{9AC5781B-566E-4FDC-928B-3F4ED296B2AF}" type="pres">
      <dgm:prSet presAssocID="{68303487-82F0-4B63-B75D-98DCBD9DCC51}" presName="childText" presStyleLbl="conFgAcc1" presStyleIdx="1" presStyleCnt="6">
        <dgm:presLayoutVars>
          <dgm:bulletEnabled val="1"/>
        </dgm:presLayoutVars>
      </dgm:prSet>
      <dgm:spPr/>
    </dgm:pt>
    <dgm:pt modelId="{A3B315BF-6372-4218-875E-CB3A6B86E188}" type="pres">
      <dgm:prSet presAssocID="{4D74DF11-23BF-4F3F-8652-2DE47B8F6234}" presName="spaceBetweenRectangles" presStyleCnt="0"/>
      <dgm:spPr/>
    </dgm:pt>
    <dgm:pt modelId="{BF58AA86-D19D-4D9B-BDB6-D1DB7BB9120E}" type="pres">
      <dgm:prSet presAssocID="{D65CFE52-A621-480A-9E30-C71F43B7A126}" presName="parentLin" presStyleCnt="0"/>
      <dgm:spPr/>
    </dgm:pt>
    <dgm:pt modelId="{2403FB75-BE3C-4597-B6AA-E668C8E10AAB}" type="pres">
      <dgm:prSet presAssocID="{D65CFE52-A621-480A-9E30-C71F43B7A126}" presName="parentLeftMargin" presStyleLbl="node1" presStyleIdx="1" presStyleCnt="6"/>
      <dgm:spPr/>
    </dgm:pt>
    <dgm:pt modelId="{94D2EFD7-F49F-44FC-96A9-47E059E485E0}" type="pres">
      <dgm:prSet presAssocID="{D65CFE52-A621-480A-9E30-C71F43B7A126}" presName="parentText" presStyleLbl="node1" presStyleIdx="2" presStyleCnt="6">
        <dgm:presLayoutVars>
          <dgm:chMax val="0"/>
          <dgm:bulletEnabled val="1"/>
        </dgm:presLayoutVars>
      </dgm:prSet>
      <dgm:spPr/>
    </dgm:pt>
    <dgm:pt modelId="{41125F4F-0A5C-4CD1-B25E-15BF006B533F}" type="pres">
      <dgm:prSet presAssocID="{D65CFE52-A621-480A-9E30-C71F43B7A126}" presName="negativeSpace" presStyleCnt="0"/>
      <dgm:spPr/>
    </dgm:pt>
    <dgm:pt modelId="{493202AE-4014-4C80-88BD-5479F82B89B6}" type="pres">
      <dgm:prSet presAssocID="{D65CFE52-A621-480A-9E30-C71F43B7A126}" presName="childText" presStyleLbl="conFgAcc1" presStyleIdx="2" presStyleCnt="6">
        <dgm:presLayoutVars>
          <dgm:bulletEnabled val="1"/>
        </dgm:presLayoutVars>
      </dgm:prSet>
      <dgm:spPr/>
    </dgm:pt>
    <dgm:pt modelId="{D150AB99-2C4E-4A38-891C-A422F5045B91}" type="pres">
      <dgm:prSet presAssocID="{D4B5D77E-D59D-4AD7-AE27-2533203DC646}" presName="spaceBetweenRectangles" presStyleCnt="0"/>
      <dgm:spPr/>
    </dgm:pt>
    <dgm:pt modelId="{97186BBD-510D-41D9-9C1C-0C1A3C124E1D}" type="pres">
      <dgm:prSet presAssocID="{2169326A-69F7-4D44-8D9B-B4F3B7B09AE0}" presName="parentLin" presStyleCnt="0"/>
      <dgm:spPr/>
    </dgm:pt>
    <dgm:pt modelId="{9135ED0A-A98A-4166-AAF6-34AD5958878C}" type="pres">
      <dgm:prSet presAssocID="{2169326A-69F7-4D44-8D9B-B4F3B7B09AE0}" presName="parentLeftMargin" presStyleLbl="node1" presStyleIdx="2" presStyleCnt="6"/>
      <dgm:spPr/>
    </dgm:pt>
    <dgm:pt modelId="{52052CEA-D581-4A72-899B-F92FAE4F324E}" type="pres">
      <dgm:prSet presAssocID="{2169326A-69F7-4D44-8D9B-B4F3B7B09AE0}" presName="parentText" presStyleLbl="node1" presStyleIdx="3" presStyleCnt="6">
        <dgm:presLayoutVars>
          <dgm:chMax val="0"/>
          <dgm:bulletEnabled val="1"/>
        </dgm:presLayoutVars>
      </dgm:prSet>
      <dgm:spPr/>
    </dgm:pt>
    <dgm:pt modelId="{1E581546-B318-4976-96E0-E86389995634}" type="pres">
      <dgm:prSet presAssocID="{2169326A-69F7-4D44-8D9B-B4F3B7B09AE0}" presName="negativeSpace" presStyleCnt="0"/>
      <dgm:spPr/>
    </dgm:pt>
    <dgm:pt modelId="{730B0746-4090-4E69-8786-466B84832EE8}" type="pres">
      <dgm:prSet presAssocID="{2169326A-69F7-4D44-8D9B-B4F3B7B09AE0}" presName="childText" presStyleLbl="conFgAcc1" presStyleIdx="3" presStyleCnt="6">
        <dgm:presLayoutVars>
          <dgm:bulletEnabled val="1"/>
        </dgm:presLayoutVars>
      </dgm:prSet>
      <dgm:spPr/>
    </dgm:pt>
    <dgm:pt modelId="{AB918A99-F88F-47BE-976C-9C6C1B093FEE}" type="pres">
      <dgm:prSet presAssocID="{4F43E54D-2326-4F5A-BA1A-EA0A97C51A80}" presName="spaceBetweenRectangles" presStyleCnt="0"/>
      <dgm:spPr/>
    </dgm:pt>
    <dgm:pt modelId="{262ACEB9-1376-48D0-8354-F1A4A8A2C830}" type="pres">
      <dgm:prSet presAssocID="{7774B454-3E23-42C1-9DB7-C69CBA09EAD7}" presName="parentLin" presStyleCnt="0"/>
      <dgm:spPr/>
    </dgm:pt>
    <dgm:pt modelId="{A84D85D9-9C90-4B9B-A672-59F5F1AB3E96}" type="pres">
      <dgm:prSet presAssocID="{7774B454-3E23-42C1-9DB7-C69CBA09EAD7}" presName="parentLeftMargin" presStyleLbl="node1" presStyleIdx="3" presStyleCnt="6"/>
      <dgm:spPr/>
    </dgm:pt>
    <dgm:pt modelId="{6991A456-569F-4C29-AEB9-C1EA271864CF}" type="pres">
      <dgm:prSet presAssocID="{7774B454-3E23-42C1-9DB7-C69CBA09EAD7}" presName="parentText" presStyleLbl="node1" presStyleIdx="4" presStyleCnt="6">
        <dgm:presLayoutVars>
          <dgm:chMax val="0"/>
          <dgm:bulletEnabled val="1"/>
        </dgm:presLayoutVars>
      </dgm:prSet>
      <dgm:spPr/>
    </dgm:pt>
    <dgm:pt modelId="{32240957-2F08-4031-BDFA-FADCDF1A6752}" type="pres">
      <dgm:prSet presAssocID="{7774B454-3E23-42C1-9DB7-C69CBA09EAD7}" presName="negativeSpace" presStyleCnt="0"/>
      <dgm:spPr/>
    </dgm:pt>
    <dgm:pt modelId="{8C2192E9-49EC-42DC-AA1E-CDB772AF7071}" type="pres">
      <dgm:prSet presAssocID="{7774B454-3E23-42C1-9DB7-C69CBA09EAD7}" presName="childText" presStyleLbl="conFgAcc1" presStyleIdx="4" presStyleCnt="6">
        <dgm:presLayoutVars>
          <dgm:bulletEnabled val="1"/>
        </dgm:presLayoutVars>
      </dgm:prSet>
      <dgm:spPr/>
    </dgm:pt>
    <dgm:pt modelId="{95967143-C8B2-4774-B9B2-45063E428F77}" type="pres">
      <dgm:prSet presAssocID="{8BC07459-AD49-4248-84DE-365F21125DCD}" presName="spaceBetweenRectangles" presStyleCnt="0"/>
      <dgm:spPr/>
    </dgm:pt>
    <dgm:pt modelId="{711B9979-51A4-4AA3-87A1-7D0307B5EE73}" type="pres">
      <dgm:prSet presAssocID="{9E1326AA-7729-4C92-8580-0437DEC9F056}" presName="parentLin" presStyleCnt="0"/>
      <dgm:spPr/>
    </dgm:pt>
    <dgm:pt modelId="{74625BC6-4AA2-4ABB-A91A-07DE992BCFF4}" type="pres">
      <dgm:prSet presAssocID="{9E1326AA-7729-4C92-8580-0437DEC9F056}" presName="parentLeftMargin" presStyleLbl="node1" presStyleIdx="4" presStyleCnt="6"/>
      <dgm:spPr/>
    </dgm:pt>
    <dgm:pt modelId="{F1DEC2EE-1407-468E-BEB2-3EA411993CCA}" type="pres">
      <dgm:prSet presAssocID="{9E1326AA-7729-4C92-8580-0437DEC9F056}" presName="parentText" presStyleLbl="node1" presStyleIdx="5" presStyleCnt="6">
        <dgm:presLayoutVars>
          <dgm:chMax val="0"/>
          <dgm:bulletEnabled val="1"/>
        </dgm:presLayoutVars>
      </dgm:prSet>
      <dgm:spPr/>
    </dgm:pt>
    <dgm:pt modelId="{B86D3A6C-B9B8-401E-B78B-47C3BC460551}" type="pres">
      <dgm:prSet presAssocID="{9E1326AA-7729-4C92-8580-0437DEC9F056}" presName="negativeSpace" presStyleCnt="0"/>
      <dgm:spPr/>
    </dgm:pt>
    <dgm:pt modelId="{EBC0ABD7-FB1E-455A-BB23-074909AE418A}" type="pres">
      <dgm:prSet presAssocID="{9E1326AA-7729-4C92-8580-0437DEC9F056}" presName="childText" presStyleLbl="conFgAcc1" presStyleIdx="5" presStyleCnt="6">
        <dgm:presLayoutVars>
          <dgm:bulletEnabled val="1"/>
        </dgm:presLayoutVars>
      </dgm:prSet>
      <dgm:spPr/>
    </dgm:pt>
  </dgm:ptLst>
  <dgm:cxnLst>
    <dgm:cxn modelId="{F526E80A-B696-49B5-A36F-BE58D8303D80}" type="presOf" srcId="{C2B99FF9-BECC-4952-AA04-117DACCD15C3}" destId="{EBC0ABD7-FB1E-455A-BB23-074909AE418A}" srcOrd="0" destOrd="0" presId="urn:microsoft.com/office/officeart/2005/8/layout/list1"/>
    <dgm:cxn modelId="{610A9F0B-29FC-4A81-AE08-111C7A87507E}" type="presOf" srcId="{2169326A-69F7-4D44-8D9B-B4F3B7B09AE0}" destId="{9135ED0A-A98A-4166-AAF6-34AD5958878C}" srcOrd="0" destOrd="0" presId="urn:microsoft.com/office/officeart/2005/8/layout/list1"/>
    <dgm:cxn modelId="{22CD2818-C898-4AF4-94C9-D9234B2ED690}" type="presOf" srcId="{843C3254-067C-42C9-A0C4-846E908B9C65}" destId="{1C00CD29-0442-4EA6-8282-F6CABB26B745}" srcOrd="1" destOrd="0" presId="urn:microsoft.com/office/officeart/2005/8/layout/list1"/>
    <dgm:cxn modelId="{CC384A18-00D6-4CF7-A06E-DF82F0D749DB}" srcId="{786B8093-4F6C-4F55-8A3B-766E218A428C}" destId="{9E1326AA-7729-4C92-8580-0437DEC9F056}" srcOrd="5" destOrd="0" parTransId="{0A77769C-27F0-4163-8BA2-152106B60355}" sibTransId="{538554B2-7814-4739-85A2-09D3E3A56384}"/>
    <dgm:cxn modelId="{319F4B19-491A-4677-8B9A-D81C3013EE46}" srcId="{68303487-82F0-4B63-B75D-98DCBD9DCC51}" destId="{B5164ADC-5239-4C47-9D1F-4B7A5A998C47}" srcOrd="0" destOrd="0" parTransId="{CF367EB2-4BB7-4946-8F84-1A0C0A3AE82C}" sibTransId="{43984BBA-27B2-47A8-9FD6-DD873B15204B}"/>
    <dgm:cxn modelId="{E75C6339-D13B-410A-801C-B2D6312907F3}" srcId="{786B8093-4F6C-4F55-8A3B-766E218A428C}" destId="{843C3254-067C-42C9-A0C4-846E908B9C65}" srcOrd="0" destOrd="0" parTransId="{7B2EF330-DE57-4CE4-93EE-C65E8A290AC5}" sibTransId="{24E6B031-4029-43F3-87ED-A513DD9B71B9}"/>
    <dgm:cxn modelId="{FEA04A5E-AE26-46ED-9D4A-A05F027B3F6C}" type="presOf" srcId="{7AD1011F-B5EE-4C36-8ED8-23A410B643F0}" destId="{8C2192E9-49EC-42DC-AA1E-CDB772AF7071}" srcOrd="0" destOrd="0" presId="urn:microsoft.com/office/officeart/2005/8/layout/list1"/>
    <dgm:cxn modelId="{1C6A8663-08D3-4508-9D13-66F3C370447E}" type="presOf" srcId="{9E1326AA-7729-4C92-8580-0437DEC9F056}" destId="{74625BC6-4AA2-4ABB-A91A-07DE992BCFF4}" srcOrd="0" destOrd="0" presId="urn:microsoft.com/office/officeart/2005/8/layout/list1"/>
    <dgm:cxn modelId="{2A789F64-FDA8-453D-B4BA-66871E1D7DD0}" type="presOf" srcId="{B5164ADC-5239-4C47-9D1F-4B7A5A998C47}" destId="{9AC5781B-566E-4FDC-928B-3F4ED296B2AF}" srcOrd="0" destOrd="0" presId="urn:microsoft.com/office/officeart/2005/8/layout/list1"/>
    <dgm:cxn modelId="{7927FF64-C721-43E8-8566-91A7BC851B01}" type="presOf" srcId="{D65CFE52-A621-480A-9E30-C71F43B7A126}" destId="{2403FB75-BE3C-4597-B6AA-E668C8E10AAB}" srcOrd="0" destOrd="0" presId="urn:microsoft.com/office/officeart/2005/8/layout/list1"/>
    <dgm:cxn modelId="{A932A969-58FF-4CE0-B7E0-2AE137AFA3EB}" type="presOf" srcId="{68303487-82F0-4B63-B75D-98DCBD9DCC51}" destId="{30E0E99D-ED45-4C09-892E-FC498443B386}" srcOrd="0" destOrd="0" presId="urn:microsoft.com/office/officeart/2005/8/layout/list1"/>
    <dgm:cxn modelId="{10B0614D-E61F-40CE-A1EB-474D216D0B82}" type="presOf" srcId="{786B8093-4F6C-4F55-8A3B-766E218A428C}" destId="{2B3FA149-58A8-41BF-AC17-B14F723FE657}" srcOrd="0" destOrd="0" presId="urn:microsoft.com/office/officeart/2005/8/layout/list1"/>
    <dgm:cxn modelId="{6A4C8574-E5BE-4246-877C-46A438E33C4E}" srcId="{D65CFE52-A621-480A-9E30-C71F43B7A126}" destId="{677D64B8-1FFE-4B5D-B877-1DCC5AD5DCB1}" srcOrd="0" destOrd="0" parTransId="{F1FC7872-1C0A-41C8-A2AA-DADE79930D44}" sibTransId="{2D8EA716-A791-43D3-A8F2-D2BEC113E1BB}"/>
    <dgm:cxn modelId="{F7C3FD56-18FD-43CD-892E-666018A1E0A3}" type="presOf" srcId="{2169326A-69F7-4D44-8D9B-B4F3B7B09AE0}" destId="{52052CEA-D581-4A72-899B-F92FAE4F324E}" srcOrd="1" destOrd="0" presId="urn:microsoft.com/office/officeart/2005/8/layout/list1"/>
    <dgm:cxn modelId="{F025D577-06EB-4346-AD6D-D830BDC6863B}" type="presOf" srcId="{677D64B8-1FFE-4B5D-B877-1DCC5AD5DCB1}" destId="{493202AE-4014-4C80-88BD-5479F82B89B6}" srcOrd="0" destOrd="0" presId="urn:microsoft.com/office/officeart/2005/8/layout/list1"/>
    <dgm:cxn modelId="{E15D2F78-0243-41EE-B2E4-D3B9A7D30821}" srcId="{2169326A-69F7-4D44-8D9B-B4F3B7B09AE0}" destId="{CE0F7B0A-500D-477C-A2AA-BC80F069A793}" srcOrd="0" destOrd="0" parTransId="{A0244C01-C122-4B02-89A0-3E151DD112FC}" sibTransId="{1D83B1CC-09E9-48AE-9496-7FF88E579168}"/>
    <dgm:cxn modelId="{AC4F7E78-C86E-45A4-A2AC-E6FB1D3A766C}" type="presOf" srcId="{7774B454-3E23-42C1-9DB7-C69CBA09EAD7}" destId="{6991A456-569F-4C29-AEB9-C1EA271864CF}" srcOrd="1" destOrd="0" presId="urn:microsoft.com/office/officeart/2005/8/layout/list1"/>
    <dgm:cxn modelId="{2764F67C-F942-4AA3-90C9-11FE73C39891}" srcId="{786B8093-4F6C-4F55-8A3B-766E218A428C}" destId="{7774B454-3E23-42C1-9DB7-C69CBA09EAD7}" srcOrd="4" destOrd="0" parTransId="{B268076A-04A3-4975-888A-879ECCED42A8}" sibTransId="{8BC07459-AD49-4248-84DE-365F21125DCD}"/>
    <dgm:cxn modelId="{0A608D81-64C4-4F99-9C85-D3CFD1374444}" type="presOf" srcId="{D65CFE52-A621-480A-9E30-C71F43B7A126}" destId="{94D2EFD7-F49F-44FC-96A9-47E059E485E0}" srcOrd="1" destOrd="0" presId="urn:microsoft.com/office/officeart/2005/8/layout/list1"/>
    <dgm:cxn modelId="{0CDDDE88-5890-4960-AECE-2E87F2EA6312}" srcId="{786B8093-4F6C-4F55-8A3B-766E218A428C}" destId="{D65CFE52-A621-480A-9E30-C71F43B7A126}" srcOrd="2" destOrd="0" parTransId="{A345D470-B90C-4C94-B8FF-BB0955106171}" sibTransId="{D4B5D77E-D59D-4AD7-AE27-2533203DC646}"/>
    <dgm:cxn modelId="{63D2598B-F7FB-4534-ACD3-F495F10F3B19}" type="presOf" srcId="{68303487-82F0-4B63-B75D-98DCBD9DCC51}" destId="{06075DFB-9671-4E62-B930-E7DC50B512A0}" srcOrd="1" destOrd="0" presId="urn:microsoft.com/office/officeart/2005/8/layout/list1"/>
    <dgm:cxn modelId="{A35D2C9A-130D-4D16-97CA-496842721D59}" type="presOf" srcId="{0954D550-87F9-44A4-81E2-724D4B706D68}" destId="{B49028D0-F2C7-4E17-8660-9DA5C2BEB38D}" srcOrd="0" destOrd="0" presId="urn:microsoft.com/office/officeart/2005/8/layout/list1"/>
    <dgm:cxn modelId="{039013AC-693A-489A-A025-E86B886B6644}" type="presOf" srcId="{CE0F7B0A-500D-477C-A2AA-BC80F069A793}" destId="{730B0746-4090-4E69-8786-466B84832EE8}" srcOrd="0" destOrd="0" presId="urn:microsoft.com/office/officeart/2005/8/layout/list1"/>
    <dgm:cxn modelId="{D822A0AF-9E66-4027-BFCE-31D26987475E}" type="presOf" srcId="{9E1326AA-7729-4C92-8580-0437DEC9F056}" destId="{F1DEC2EE-1407-468E-BEB2-3EA411993CCA}" srcOrd="1" destOrd="0" presId="urn:microsoft.com/office/officeart/2005/8/layout/list1"/>
    <dgm:cxn modelId="{270B0AB5-3838-459C-8BE7-AF6890801102}" srcId="{9E1326AA-7729-4C92-8580-0437DEC9F056}" destId="{C2B99FF9-BECC-4952-AA04-117DACCD15C3}" srcOrd="0" destOrd="0" parTransId="{FB83E1CB-E141-497C-B6D3-02865D2BA7F9}" sibTransId="{9862B5A5-8EFF-4B26-863C-BDE8CA5F3888}"/>
    <dgm:cxn modelId="{A669A3D4-0B11-4FE6-9D99-07141800A7D6}" srcId="{7774B454-3E23-42C1-9DB7-C69CBA09EAD7}" destId="{7AD1011F-B5EE-4C36-8ED8-23A410B643F0}" srcOrd="0" destOrd="0" parTransId="{85F5BB22-55B3-47E2-AAF3-CA02C709F229}" sibTransId="{F746343F-B641-45C0-90A6-B68E9DEA72BC}"/>
    <dgm:cxn modelId="{C10465DA-369D-4477-88BD-AF1A21657F1C}" srcId="{843C3254-067C-42C9-A0C4-846E908B9C65}" destId="{0954D550-87F9-44A4-81E2-724D4B706D68}" srcOrd="0" destOrd="0" parTransId="{C151BFAF-B93A-4B53-80BD-A4F42BA3A1E4}" sibTransId="{DCFB61FA-43DA-41C4-9427-2D62F732E973}"/>
    <dgm:cxn modelId="{7C4664DC-BB59-45F8-BB51-228E8A579906}" srcId="{786B8093-4F6C-4F55-8A3B-766E218A428C}" destId="{2169326A-69F7-4D44-8D9B-B4F3B7B09AE0}" srcOrd="3" destOrd="0" parTransId="{65726512-022C-459C-B597-9A17F847C827}" sibTransId="{4F43E54D-2326-4F5A-BA1A-EA0A97C51A80}"/>
    <dgm:cxn modelId="{761996E0-FCA7-46AA-BB37-B9F39F7B0F3A}" srcId="{786B8093-4F6C-4F55-8A3B-766E218A428C}" destId="{68303487-82F0-4B63-B75D-98DCBD9DCC51}" srcOrd="1" destOrd="0" parTransId="{D0243336-394A-490F-8647-476D1641066A}" sibTransId="{4D74DF11-23BF-4F3F-8652-2DE47B8F6234}"/>
    <dgm:cxn modelId="{C52636EA-A0FE-455E-B7E5-4DF95B72C904}" type="presOf" srcId="{7774B454-3E23-42C1-9DB7-C69CBA09EAD7}" destId="{A84D85D9-9C90-4B9B-A672-59F5F1AB3E96}" srcOrd="0" destOrd="0" presId="urn:microsoft.com/office/officeart/2005/8/layout/list1"/>
    <dgm:cxn modelId="{548DD9F6-41DF-4B16-84B4-8CE399A6C585}" type="presOf" srcId="{843C3254-067C-42C9-A0C4-846E908B9C65}" destId="{8EBFC610-F6D0-4D21-90B7-4392BD8E7705}" srcOrd="0" destOrd="0" presId="urn:microsoft.com/office/officeart/2005/8/layout/list1"/>
    <dgm:cxn modelId="{6640FBA5-0DAE-44D5-804F-48DA0849552B}" type="presParOf" srcId="{2B3FA149-58A8-41BF-AC17-B14F723FE657}" destId="{5A8B5B2A-1302-4D7E-A22A-B58F8D549C7B}" srcOrd="0" destOrd="0" presId="urn:microsoft.com/office/officeart/2005/8/layout/list1"/>
    <dgm:cxn modelId="{61A3794D-71C0-4B07-91EA-D00E4A2E6CBE}" type="presParOf" srcId="{5A8B5B2A-1302-4D7E-A22A-B58F8D549C7B}" destId="{8EBFC610-F6D0-4D21-90B7-4392BD8E7705}" srcOrd="0" destOrd="0" presId="urn:microsoft.com/office/officeart/2005/8/layout/list1"/>
    <dgm:cxn modelId="{FFE6855B-2E58-493E-85C5-3EE9CEFC6AE4}" type="presParOf" srcId="{5A8B5B2A-1302-4D7E-A22A-B58F8D549C7B}" destId="{1C00CD29-0442-4EA6-8282-F6CABB26B745}" srcOrd="1" destOrd="0" presId="urn:microsoft.com/office/officeart/2005/8/layout/list1"/>
    <dgm:cxn modelId="{7E44F1C1-4524-4CD4-B111-23239AD54CD4}" type="presParOf" srcId="{2B3FA149-58A8-41BF-AC17-B14F723FE657}" destId="{2BF6A47F-0636-4E3D-B8D7-BDAADF231304}" srcOrd="1" destOrd="0" presId="urn:microsoft.com/office/officeart/2005/8/layout/list1"/>
    <dgm:cxn modelId="{63DB406A-2F20-47F1-B3F1-6BF01BA2C9CF}" type="presParOf" srcId="{2B3FA149-58A8-41BF-AC17-B14F723FE657}" destId="{B49028D0-F2C7-4E17-8660-9DA5C2BEB38D}" srcOrd="2" destOrd="0" presId="urn:microsoft.com/office/officeart/2005/8/layout/list1"/>
    <dgm:cxn modelId="{8D5B9B4F-0E55-46A1-9958-4C74AD01456D}" type="presParOf" srcId="{2B3FA149-58A8-41BF-AC17-B14F723FE657}" destId="{D2AD74DD-C670-40FC-A2E7-A88367E08CA7}" srcOrd="3" destOrd="0" presId="urn:microsoft.com/office/officeart/2005/8/layout/list1"/>
    <dgm:cxn modelId="{98C7E479-1857-474A-8D6C-4E91730E80B7}" type="presParOf" srcId="{2B3FA149-58A8-41BF-AC17-B14F723FE657}" destId="{7A0CA8E3-034C-463E-9132-EAB6DE414F71}" srcOrd="4" destOrd="0" presId="urn:microsoft.com/office/officeart/2005/8/layout/list1"/>
    <dgm:cxn modelId="{7A584982-1F5A-4DFC-80BB-E16AA07940FF}" type="presParOf" srcId="{7A0CA8E3-034C-463E-9132-EAB6DE414F71}" destId="{30E0E99D-ED45-4C09-892E-FC498443B386}" srcOrd="0" destOrd="0" presId="urn:microsoft.com/office/officeart/2005/8/layout/list1"/>
    <dgm:cxn modelId="{7312BFB8-59D2-4161-8874-C3509D72F701}" type="presParOf" srcId="{7A0CA8E3-034C-463E-9132-EAB6DE414F71}" destId="{06075DFB-9671-4E62-B930-E7DC50B512A0}" srcOrd="1" destOrd="0" presId="urn:microsoft.com/office/officeart/2005/8/layout/list1"/>
    <dgm:cxn modelId="{1473CC77-8F23-4442-BD80-450A27A0036F}" type="presParOf" srcId="{2B3FA149-58A8-41BF-AC17-B14F723FE657}" destId="{3F2F196A-1E9C-4E81-993D-C0C4080EDA70}" srcOrd="5" destOrd="0" presId="urn:microsoft.com/office/officeart/2005/8/layout/list1"/>
    <dgm:cxn modelId="{EBC12522-1D0A-464F-8E4F-AD4BB92ADBCB}" type="presParOf" srcId="{2B3FA149-58A8-41BF-AC17-B14F723FE657}" destId="{9AC5781B-566E-4FDC-928B-3F4ED296B2AF}" srcOrd="6" destOrd="0" presId="urn:microsoft.com/office/officeart/2005/8/layout/list1"/>
    <dgm:cxn modelId="{BABA0D02-DF8F-4444-B838-46CF82702A58}" type="presParOf" srcId="{2B3FA149-58A8-41BF-AC17-B14F723FE657}" destId="{A3B315BF-6372-4218-875E-CB3A6B86E188}" srcOrd="7" destOrd="0" presId="urn:microsoft.com/office/officeart/2005/8/layout/list1"/>
    <dgm:cxn modelId="{1082D021-10FD-4670-9690-54F370FBBCB1}" type="presParOf" srcId="{2B3FA149-58A8-41BF-AC17-B14F723FE657}" destId="{BF58AA86-D19D-4D9B-BDB6-D1DB7BB9120E}" srcOrd="8" destOrd="0" presId="urn:microsoft.com/office/officeart/2005/8/layout/list1"/>
    <dgm:cxn modelId="{FFBAC9B1-8AD1-49B8-B443-9692BF07144B}" type="presParOf" srcId="{BF58AA86-D19D-4D9B-BDB6-D1DB7BB9120E}" destId="{2403FB75-BE3C-4597-B6AA-E668C8E10AAB}" srcOrd="0" destOrd="0" presId="urn:microsoft.com/office/officeart/2005/8/layout/list1"/>
    <dgm:cxn modelId="{89A28D9C-476E-4453-80B8-4C1156FD6B23}" type="presParOf" srcId="{BF58AA86-D19D-4D9B-BDB6-D1DB7BB9120E}" destId="{94D2EFD7-F49F-44FC-96A9-47E059E485E0}" srcOrd="1" destOrd="0" presId="urn:microsoft.com/office/officeart/2005/8/layout/list1"/>
    <dgm:cxn modelId="{926C5692-9F77-4F9A-9762-E8B37D4F0302}" type="presParOf" srcId="{2B3FA149-58A8-41BF-AC17-B14F723FE657}" destId="{41125F4F-0A5C-4CD1-B25E-15BF006B533F}" srcOrd="9" destOrd="0" presId="urn:microsoft.com/office/officeart/2005/8/layout/list1"/>
    <dgm:cxn modelId="{E436D9A2-B29B-4088-8F83-47626A455866}" type="presParOf" srcId="{2B3FA149-58A8-41BF-AC17-B14F723FE657}" destId="{493202AE-4014-4C80-88BD-5479F82B89B6}" srcOrd="10" destOrd="0" presId="urn:microsoft.com/office/officeart/2005/8/layout/list1"/>
    <dgm:cxn modelId="{D622FC19-04B5-4410-80B9-8FB42DC74D66}" type="presParOf" srcId="{2B3FA149-58A8-41BF-AC17-B14F723FE657}" destId="{D150AB99-2C4E-4A38-891C-A422F5045B91}" srcOrd="11" destOrd="0" presId="urn:microsoft.com/office/officeart/2005/8/layout/list1"/>
    <dgm:cxn modelId="{10E5AB49-E7FE-4574-BBEB-B5175F6495AE}" type="presParOf" srcId="{2B3FA149-58A8-41BF-AC17-B14F723FE657}" destId="{97186BBD-510D-41D9-9C1C-0C1A3C124E1D}" srcOrd="12" destOrd="0" presId="urn:microsoft.com/office/officeart/2005/8/layout/list1"/>
    <dgm:cxn modelId="{F978355A-CE74-4A5A-93DF-EA61BEC7E5D4}" type="presParOf" srcId="{97186BBD-510D-41D9-9C1C-0C1A3C124E1D}" destId="{9135ED0A-A98A-4166-AAF6-34AD5958878C}" srcOrd="0" destOrd="0" presId="urn:microsoft.com/office/officeart/2005/8/layout/list1"/>
    <dgm:cxn modelId="{830CDCC0-39AC-4C95-8825-4A60C1C5657B}" type="presParOf" srcId="{97186BBD-510D-41D9-9C1C-0C1A3C124E1D}" destId="{52052CEA-D581-4A72-899B-F92FAE4F324E}" srcOrd="1" destOrd="0" presId="urn:microsoft.com/office/officeart/2005/8/layout/list1"/>
    <dgm:cxn modelId="{514D7E4E-BB93-4FA7-87E4-F229F34C200E}" type="presParOf" srcId="{2B3FA149-58A8-41BF-AC17-B14F723FE657}" destId="{1E581546-B318-4976-96E0-E86389995634}" srcOrd="13" destOrd="0" presId="urn:microsoft.com/office/officeart/2005/8/layout/list1"/>
    <dgm:cxn modelId="{CCE46E66-2372-46D5-A5EF-28F37980E271}" type="presParOf" srcId="{2B3FA149-58A8-41BF-AC17-B14F723FE657}" destId="{730B0746-4090-4E69-8786-466B84832EE8}" srcOrd="14" destOrd="0" presId="urn:microsoft.com/office/officeart/2005/8/layout/list1"/>
    <dgm:cxn modelId="{8AF21C86-0149-47BD-9304-696F9D819FDF}" type="presParOf" srcId="{2B3FA149-58A8-41BF-AC17-B14F723FE657}" destId="{AB918A99-F88F-47BE-976C-9C6C1B093FEE}" srcOrd="15" destOrd="0" presId="urn:microsoft.com/office/officeart/2005/8/layout/list1"/>
    <dgm:cxn modelId="{36F126DE-E60F-43AF-970F-31969B6E47B0}" type="presParOf" srcId="{2B3FA149-58A8-41BF-AC17-B14F723FE657}" destId="{262ACEB9-1376-48D0-8354-F1A4A8A2C830}" srcOrd="16" destOrd="0" presId="urn:microsoft.com/office/officeart/2005/8/layout/list1"/>
    <dgm:cxn modelId="{BFEE1317-8252-475E-84F9-ACDF3F632A66}" type="presParOf" srcId="{262ACEB9-1376-48D0-8354-F1A4A8A2C830}" destId="{A84D85D9-9C90-4B9B-A672-59F5F1AB3E96}" srcOrd="0" destOrd="0" presId="urn:microsoft.com/office/officeart/2005/8/layout/list1"/>
    <dgm:cxn modelId="{4ED79F05-52E3-4E61-BE05-D5B07C413A25}" type="presParOf" srcId="{262ACEB9-1376-48D0-8354-F1A4A8A2C830}" destId="{6991A456-569F-4C29-AEB9-C1EA271864CF}" srcOrd="1" destOrd="0" presId="urn:microsoft.com/office/officeart/2005/8/layout/list1"/>
    <dgm:cxn modelId="{52B561EC-0EA8-4EF6-B5E2-853FAA064F17}" type="presParOf" srcId="{2B3FA149-58A8-41BF-AC17-B14F723FE657}" destId="{32240957-2F08-4031-BDFA-FADCDF1A6752}" srcOrd="17" destOrd="0" presId="urn:microsoft.com/office/officeart/2005/8/layout/list1"/>
    <dgm:cxn modelId="{37F94732-3707-44ED-BBB1-24A973FBC84E}" type="presParOf" srcId="{2B3FA149-58A8-41BF-AC17-B14F723FE657}" destId="{8C2192E9-49EC-42DC-AA1E-CDB772AF7071}" srcOrd="18" destOrd="0" presId="urn:microsoft.com/office/officeart/2005/8/layout/list1"/>
    <dgm:cxn modelId="{3C3C3304-0F79-4939-BD45-84AE24BE6CE4}" type="presParOf" srcId="{2B3FA149-58A8-41BF-AC17-B14F723FE657}" destId="{95967143-C8B2-4774-B9B2-45063E428F77}" srcOrd="19" destOrd="0" presId="urn:microsoft.com/office/officeart/2005/8/layout/list1"/>
    <dgm:cxn modelId="{EBE58744-1F03-4E4A-A763-CF51D23FD75B}" type="presParOf" srcId="{2B3FA149-58A8-41BF-AC17-B14F723FE657}" destId="{711B9979-51A4-4AA3-87A1-7D0307B5EE73}" srcOrd="20" destOrd="0" presId="urn:microsoft.com/office/officeart/2005/8/layout/list1"/>
    <dgm:cxn modelId="{46B09602-5180-488E-8ED6-45F67868AAA6}" type="presParOf" srcId="{711B9979-51A4-4AA3-87A1-7D0307B5EE73}" destId="{74625BC6-4AA2-4ABB-A91A-07DE992BCFF4}" srcOrd="0" destOrd="0" presId="urn:microsoft.com/office/officeart/2005/8/layout/list1"/>
    <dgm:cxn modelId="{5E011FC2-3871-458F-9D01-2741A0D639DA}" type="presParOf" srcId="{711B9979-51A4-4AA3-87A1-7D0307B5EE73}" destId="{F1DEC2EE-1407-468E-BEB2-3EA411993CCA}" srcOrd="1" destOrd="0" presId="urn:microsoft.com/office/officeart/2005/8/layout/list1"/>
    <dgm:cxn modelId="{6848C3C5-FC27-495D-80FF-60200E495224}" type="presParOf" srcId="{2B3FA149-58A8-41BF-AC17-B14F723FE657}" destId="{B86D3A6C-B9B8-401E-B78B-47C3BC460551}" srcOrd="21" destOrd="0" presId="urn:microsoft.com/office/officeart/2005/8/layout/list1"/>
    <dgm:cxn modelId="{624B15D0-A7E9-42DD-AD21-422EF15E8E18}" type="presParOf" srcId="{2B3FA149-58A8-41BF-AC17-B14F723FE657}" destId="{EBC0ABD7-FB1E-455A-BB23-074909AE418A}" srcOrd="22"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9028D0-F2C7-4E17-8660-9DA5C2BEB38D}">
      <dsp:nvSpPr>
        <dsp:cNvPr id="0" name=""/>
        <dsp:cNvSpPr/>
      </dsp:nvSpPr>
      <dsp:spPr>
        <a:xfrm>
          <a:off x="0" y="218703"/>
          <a:ext cx="5890260" cy="4299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150" tIns="145796" rIns="457150" bIns="56896" numCol="1" spcCol="1270" anchor="t" anchorCtr="0">
          <a:noAutofit/>
        </a:bodyPr>
        <a:lstStyle/>
        <a:p>
          <a:pPr marL="0" lvl="1" indent="0" algn="l" defTabSz="355600">
            <a:lnSpc>
              <a:spcPct val="90000"/>
            </a:lnSpc>
            <a:spcBef>
              <a:spcPct val="0"/>
            </a:spcBef>
            <a:spcAft>
              <a:spcPct val="15000"/>
            </a:spcAft>
            <a:buNone/>
          </a:pPr>
          <a:r>
            <a:rPr lang="en-AU" sz="800" kern="1200"/>
            <a:t>We serve the water corporations that provide the water and sewerage service interface to end-use customers. </a:t>
          </a:r>
        </a:p>
      </dsp:txBody>
      <dsp:txXfrm>
        <a:off x="0" y="218703"/>
        <a:ext cx="5890260" cy="429975"/>
      </dsp:txXfrm>
    </dsp:sp>
    <dsp:sp modelId="{1C00CD29-0442-4EA6-8282-F6CABB26B745}">
      <dsp:nvSpPr>
        <dsp:cNvPr id="0" name=""/>
        <dsp:cNvSpPr/>
      </dsp:nvSpPr>
      <dsp:spPr>
        <a:xfrm>
          <a:off x="294513" y="115383"/>
          <a:ext cx="4123182" cy="20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846" tIns="0" rIns="155846" bIns="0" numCol="1" spcCol="1270" anchor="ctr" anchorCtr="0">
          <a:noAutofit/>
        </a:bodyPr>
        <a:lstStyle/>
        <a:p>
          <a:pPr marL="0" lvl="0" indent="0" algn="l" defTabSz="355600">
            <a:lnSpc>
              <a:spcPct val="90000"/>
            </a:lnSpc>
            <a:spcBef>
              <a:spcPct val="0"/>
            </a:spcBef>
            <a:spcAft>
              <a:spcPct val="35000"/>
            </a:spcAft>
            <a:buNone/>
          </a:pPr>
          <a:r>
            <a:rPr lang="en-AU" sz="800" b="1" kern="1200"/>
            <a:t>Metropolitan and regional water corporations</a:t>
          </a:r>
          <a:endParaRPr lang="en-AU" sz="800" kern="1200"/>
        </a:p>
      </dsp:txBody>
      <dsp:txXfrm>
        <a:off x="304600" y="125470"/>
        <a:ext cx="4103008" cy="186466"/>
      </dsp:txXfrm>
    </dsp:sp>
    <dsp:sp modelId="{9AC5781B-566E-4FDC-928B-3F4ED296B2AF}">
      <dsp:nvSpPr>
        <dsp:cNvPr id="0" name=""/>
        <dsp:cNvSpPr/>
      </dsp:nvSpPr>
      <dsp:spPr>
        <a:xfrm>
          <a:off x="0" y="789798"/>
          <a:ext cx="5890260" cy="5402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150" tIns="145796" rIns="457150" bIns="56896" numCol="1" spcCol="1270" anchor="t" anchorCtr="0">
          <a:noAutofit/>
        </a:bodyPr>
        <a:lstStyle/>
        <a:p>
          <a:pPr marL="0" lvl="1" indent="0" algn="l" defTabSz="355600">
            <a:lnSpc>
              <a:spcPct val="90000"/>
            </a:lnSpc>
            <a:spcBef>
              <a:spcPct val="0"/>
            </a:spcBef>
            <a:spcAft>
              <a:spcPct val="15000"/>
            </a:spcAft>
            <a:buNone/>
          </a:pPr>
          <a:r>
            <a:rPr lang="en-AU" sz="800" kern="1200"/>
            <a:t>Directly receive our waterways and drainage services and ultimately receive our water and sewerage services (approximately 50 per cent of bills) and pay for them through their local water corporation.</a:t>
          </a:r>
        </a:p>
      </dsp:txBody>
      <dsp:txXfrm>
        <a:off x="0" y="789798"/>
        <a:ext cx="5890260" cy="540225"/>
      </dsp:txXfrm>
    </dsp:sp>
    <dsp:sp modelId="{06075DFB-9671-4E62-B930-E7DC50B512A0}">
      <dsp:nvSpPr>
        <dsp:cNvPr id="0" name=""/>
        <dsp:cNvSpPr/>
      </dsp:nvSpPr>
      <dsp:spPr>
        <a:xfrm>
          <a:off x="294513" y="686478"/>
          <a:ext cx="4123182" cy="20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846" tIns="0" rIns="155846" bIns="0" numCol="1" spcCol="1270" anchor="ctr" anchorCtr="0">
          <a:noAutofit/>
        </a:bodyPr>
        <a:lstStyle/>
        <a:p>
          <a:pPr marL="0" lvl="0" indent="0" algn="l" defTabSz="355600">
            <a:lnSpc>
              <a:spcPct val="90000"/>
            </a:lnSpc>
            <a:spcBef>
              <a:spcPct val="0"/>
            </a:spcBef>
            <a:spcAft>
              <a:spcPct val="35000"/>
            </a:spcAft>
            <a:buNone/>
          </a:pPr>
          <a:r>
            <a:rPr lang="en-AU" sz="800" b="1" kern="1200"/>
            <a:t>End-use customers </a:t>
          </a:r>
          <a:endParaRPr lang="en-AU" sz="800" kern="1200"/>
        </a:p>
      </dsp:txBody>
      <dsp:txXfrm>
        <a:off x="304600" y="696565"/>
        <a:ext cx="4103008" cy="186466"/>
      </dsp:txXfrm>
    </dsp:sp>
    <dsp:sp modelId="{493202AE-4014-4C80-88BD-5479F82B89B6}">
      <dsp:nvSpPr>
        <dsp:cNvPr id="0" name=""/>
        <dsp:cNvSpPr/>
      </dsp:nvSpPr>
      <dsp:spPr>
        <a:xfrm>
          <a:off x="0" y="1471143"/>
          <a:ext cx="5890260" cy="5402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150" tIns="145796" rIns="457150" bIns="56896" numCol="1" spcCol="1270" anchor="t" anchorCtr="0">
          <a:noAutofit/>
        </a:bodyPr>
        <a:lstStyle/>
        <a:p>
          <a:pPr marL="0" lvl="1" indent="0" algn="l" defTabSz="355600">
            <a:lnSpc>
              <a:spcPct val="90000"/>
            </a:lnSpc>
            <a:spcBef>
              <a:spcPct val="0"/>
            </a:spcBef>
            <a:spcAft>
              <a:spcPct val="15000"/>
            </a:spcAft>
            <a:buNone/>
          </a:pPr>
          <a:r>
            <a:rPr lang="en-AU" sz="800" kern="1200"/>
            <a:t>Help us to shape our services, including Traditional Owner partners, those representing the most vulnerable in our community, Local Government Authorities, and community environmental groups.</a:t>
          </a:r>
        </a:p>
      </dsp:txBody>
      <dsp:txXfrm>
        <a:off x="0" y="1471143"/>
        <a:ext cx="5890260" cy="540225"/>
      </dsp:txXfrm>
    </dsp:sp>
    <dsp:sp modelId="{94D2EFD7-F49F-44FC-96A9-47E059E485E0}">
      <dsp:nvSpPr>
        <dsp:cNvPr id="0" name=""/>
        <dsp:cNvSpPr/>
      </dsp:nvSpPr>
      <dsp:spPr>
        <a:xfrm>
          <a:off x="294513" y="1367823"/>
          <a:ext cx="4123182" cy="20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846" tIns="0" rIns="155846" bIns="0" numCol="1" spcCol="1270" anchor="ctr" anchorCtr="0">
          <a:noAutofit/>
        </a:bodyPr>
        <a:lstStyle/>
        <a:p>
          <a:pPr marL="0" lvl="0" indent="0" algn="l" defTabSz="355600">
            <a:lnSpc>
              <a:spcPct val="90000"/>
            </a:lnSpc>
            <a:spcBef>
              <a:spcPct val="0"/>
            </a:spcBef>
            <a:spcAft>
              <a:spcPct val="35000"/>
            </a:spcAft>
            <a:buNone/>
          </a:pPr>
          <a:r>
            <a:rPr lang="en-AU" sz="800" b="1" kern="1200"/>
            <a:t>Our partners, local community and representative groups</a:t>
          </a:r>
          <a:endParaRPr lang="en-AU" sz="800" kern="1200"/>
        </a:p>
      </dsp:txBody>
      <dsp:txXfrm>
        <a:off x="304600" y="1377910"/>
        <a:ext cx="4103008" cy="186466"/>
      </dsp:txXfrm>
    </dsp:sp>
    <dsp:sp modelId="{730B0746-4090-4E69-8786-466B84832EE8}">
      <dsp:nvSpPr>
        <dsp:cNvPr id="0" name=""/>
        <dsp:cNvSpPr/>
      </dsp:nvSpPr>
      <dsp:spPr>
        <a:xfrm>
          <a:off x="0" y="2152488"/>
          <a:ext cx="5890260" cy="31421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150" tIns="145796" rIns="457150" bIns="56896" numCol="1" spcCol="1270" anchor="t" anchorCtr="0">
          <a:noAutofit/>
        </a:bodyPr>
        <a:lstStyle/>
        <a:p>
          <a:pPr marL="0" lvl="1" indent="0" algn="l" defTabSz="355600">
            <a:lnSpc>
              <a:spcPct val="90000"/>
            </a:lnSpc>
            <a:spcBef>
              <a:spcPct val="0"/>
            </a:spcBef>
            <a:spcAft>
              <a:spcPct val="15000"/>
            </a:spcAft>
            <a:buNone/>
          </a:pPr>
          <a:r>
            <a:rPr lang="en-AU" sz="800" kern="1200"/>
            <a:t>Includes licensed diverters and households that receive a direct service from us.</a:t>
          </a:r>
        </a:p>
      </dsp:txBody>
      <dsp:txXfrm>
        <a:off x="0" y="2152488"/>
        <a:ext cx="5890260" cy="314212"/>
      </dsp:txXfrm>
    </dsp:sp>
    <dsp:sp modelId="{52052CEA-D581-4A72-899B-F92FAE4F324E}">
      <dsp:nvSpPr>
        <dsp:cNvPr id="0" name=""/>
        <dsp:cNvSpPr/>
      </dsp:nvSpPr>
      <dsp:spPr>
        <a:xfrm>
          <a:off x="294513" y="2049168"/>
          <a:ext cx="4123182" cy="20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846" tIns="0" rIns="155846" bIns="0" numCol="1" spcCol="1270" anchor="ctr" anchorCtr="0">
          <a:noAutofit/>
        </a:bodyPr>
        <a:lstStyle/>
        <a:p>
          <a:pPr marL="0" lvl="0" indent="0" algn="l" defTabSz="355600">
            <a:lnSpc>
              <a:spcPct val="90000"/>
            </a:lnSpc>
            <a:spcBef>
              <a:spcPct val="0"/>
            </a:spcBef>
            <a:spcAft>
              <a:spcPct val="35000"/>
            </a:spcAft>
            <a:buNone/>
          </a:pPr>
          <a:r>
            <a:rPr lang="en-AU" sz="800" b="1" kern="1200"/>
            <a:t>Our direct service customers</a:t>
          </a:r>
          <a:r>
            <a:rPr lang="en-AU" sz="800" kern="1200"/>
            <a:t> </a:t>
          </a:r>
        </a:p>
      </dsp:txBody>
      <dsp:txXfrm>
        <a:off x="304600" y="2059255"/>
        <a:ext cx="4103008" cy="186466"/>
      </dsp:txXfrm>
    </dsp:sp>
    <dsp:sp modelId="{8C2192E9-49EC-42DC-AA1E-CDB772AF7071}">
      <dsp:nvSpPr>
        <dsp:cNvPr id="0" name=""/>
        <dsp:cNvSpPr/>
      </dsp:nvSpPr>
      <dsp:spPr>
        <a:xfrm>
          <a:off x="0" y="2607821"/>
          <a:ext cx="5890260" cy="4299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150" tIns="145796" rIns="457150" bIns="56896" numCol="1" spcCol="1270" anchor="t" anchorCtr="0">
          <a:noAutofit/>
        </a:bodyPr>
        <a:lstStyle/>
        <a:p>
          <a:pPr marL="0" lvl="1" indent="0" algn="l" defTabSz="355600">
            <a:lnSpc>
              <a:spcPct val="90000"/>
            </a:lnSpc>
            <a:spcBef>
              <a:spcPct val="0"/>
            </a:spcBef>
            <a:spcAft>
              <a:spcPct val="15000"/>
            </a:spcAft>
            <a:buNone/>
          </a:pPr>
          <a:r>
            <a:rPr lang="en-AU" sz="800" kern="1200"/>
            <a:t>Make land development applications and construct waterways and drainage works on our behalf in new urban developments. </a:t>
          </a:r>
        </a:p>
      </dsp:txBody>
      <dsp:txXfrm>
        <a:off x="0" y="2607821"/>
        <a:ext cx="5890260" cy="429975"/>
      </dsp:txXfrm>
    </dsp:sp>
    <dsp:sp modelId="{6991A456-569F-4C29-AEB9-C1EA271864CF}">
      <dsp:nvSpPr>
        <dsp:cNvPr id="0" name=""/>
        <dsp:cNvSpPr/>
      </dsp:nvSpPr>
      <dsp:spPr>
        <a:xfrm>
          <a:off x="294513" y="2504501"/>
          <a:ext cx="4123182" cy="20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846" tIns="0" rIns="155846" bIns="0" numCol="1" spcCol="1270" anchor="ctr" anchorCtr="0">
          <a:noAutofit/>
        </a:bodyPr>
        <a:lstStyle/>
        <a:p>
          <a:pPr marL="0" lvl="0" indent="0" algn="l" defTabSz="355600">
            <a:lnSpc>
              <a:spcPct val="90000"/>
            </a:lnSpc>
            <a:spcBef>
              <a:spcPct val="0"/>
            </a:spcBef>
            <a:spcAft>
              <a:spcPct val="35000"/>
            </a:spcAft>
            <a:buNone/>
          </a:pPr>
          <a:r>
            <a:rPr lang="en-AU" sz="800" b="1" kern="1200"/>
            <a:t>Developers and representative groups</a:t>
          </a:r>
          <a:endParaRPr lang="en-AU" sz="800" kern="1200"/>
        </a:p>
      </dsp:txBody>
      <dsp:txXfrm>
        <a:off x="304600" y="2514588"/>
        <a:ext cx="4103008" cy="186466"/>
      </dsp:txXfrm>
    </dsp:sp>
    <dsp:sp modelId="{EBC0ABD7-FB1E-455A-BB23-074909AE418A}">
      <dsp:nvSpPr>
        <dsp:cNvPr id="0" name=""/>
        <dsp:cNvSpPr/>
      </dsp:nvSpPr>
      <dsp:spPr>
        <a:xfrm>
          <a:off x="0" y="3178916"/>
          <a:ext cx="5890260" cy="4299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150" tIns="145796" rIns="457150" bIns="56896" numCol="1" spcCol="1270" anchor="t" anchorCtr="0">
          <a:noAutofit/>
        </a:bodyPr>
        <a:lstStyle/>
        <a:p>
          <a:pPr marL="0" lvl="1" indent="0" algn="l" defTabSz="355600">
            <a:lnSpc>
              <a:spcPct val="90000"/>
            </a:lnSpc>
            <a:spcBef>
              <a:spcPct val="0"/>
            </a:spcBef>
            <a:spcAft>
              <a:spcPct val="15000"/>
            </a:spcAft>
            <a:buNone/>
          </a:pPr>
          <a:r>
            <a:rPr lang="en-AU" sz="800" kern="1200"/>
            <a:t>Set our guiding policy frameworks and obligations based on their complimentary understanding of community expectations.</a:t>
          </a:r>
        </a:p>
      </dsp:txBody>
      <dsp:txXfrm>
        <a:off x="0" y="3178916"/>
        <a:ext cx="5890260" cy="429975"/>
      </dsp:txXfrm>
    </dsp:sp>
    <dsp:sp modelId="{F1DEC2EE-1407-468E-BEB2-3EA411993CCA}">
      <dsp:nvSpPr>
        <dsp:cNvPr id="0" name=""/>
        <dsp:cNvSpPr/>
      </dsp:nvSpPr>
      <dsp:spPr>
        <a:xfrm>
          <a:off x="294513" y="3075596"/>
          <a:ext cx="4123182" cy="20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846" tIns="0" rIns="155846" bIns="0" numCol="1" spcCol="1270" anchor="ctr" anchorCtr="0">
          <a:noAutofit/>
        </a:bodyPr>
        <a:lstStyle/>
        <a:p>
          <a:pPr marL="0" lvl="0" indent="0" algn="l" defTabSz="355600">
            <a:lnSpc>
              <a:spcPct val="90000"/>
            </a:lnSpc>
            <a:spcBef>
              <a:spcPct val="0"/>
            </a:spcBef>
            <a:spcAft>
              <a:spcPct val="35000"/>
            </a:spcAft>
            <a:buNone/>
          </a:pPr>
          <a:r>
            <a:rPr lang="en-AU" sz="800" b="1" kern="1200"/>
            <a:t>Victorian Government and our regulators</a:t>
          </a:r>
          <a:r>
            <a:rPr lang="en-AU" sz="800" kern="1200"/>
            <a:t> </a:t>
          </a:r>
        </a:p>
      </dsp:txBody>
      <dsp:txXfrm>
        <a:off x="304600" y="3085683"/>
        <a:ext cx="4103008"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3F9C6447521742A1F53AF335D1DBCF" ma:contentTypeVersion="3" ma:contentTypeDescription="Create a new document." ma:contentTypeScope="" ma:versionID="0cb7700b20941b9175d4621bcf650c8d">
  <xsd:schema xmlns:xsd="http://www.w3.org/2001/XMLSchema" xmlns:xs="http://www.w3.org/2001/XMLSchema" xmlns:p="http://schemas.microsoft.com/office/2006/metadata/properties" xmlns:ns2="80e48329-387a-464e-8736-3331dd51c2cd" targetNamespace="http://schemas.microsoft.com/office/2006/metadata/properties" ma:root="true" ma:fieldsID="ee6a2921bf9156cbb2c7d7d8e473e38f" ns2:_="">
    <xsd:import namespace="80e48329-387a-464e-8736-3331dd51c2c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48329-387a-464e-8736-3331dd51c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3BA6D5-011E-49F5-BA99-96870F5EB3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e48329-387a-464e-8736-3331dd51c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EFB653-BFAC-4F15-BA09-4BCE0D9A4CE7}">
  <ds:schemaRefs>
    <ds:schemaRef ds:uri="http://schemas.microsoft.com/sharepoint/v3/contenttype/forms"/>
  </ds:schemaRefs>
</ds:datastoreItem>
</file>

<file path=customXml/itemProps3.xml><?xml version="1.0" encoding="utf-8"?>
<ds:datastoreItem xmlns:ds="http://schemas.openxmlformats.org/officeDocument/2006/customXml" ds:itemID="{C24360A7-B899-4D7C-B1A8-9A6150F8B646}">
  <ds:schemaRefs>
    <ds:schemaRef ds:uri="http://purl.org/dc/terms/"/>
    <ds:schemaRef ds:uri="http://purl.org/dc/elements/1.1/"/>
    <ds:schemaRef ds:uri="http://purl.org/dc/dcmitype/"/>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80e48329-387a-464e-8736-3331dd51c2c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287</Pages>
  <Words>88309</Words>
  <Characters>515528</Characters>
  <Application>Microsoft Office Word</Application>
  <DocSecurity>4</DocSecurity>
  <Lines>4296</Lines>
  <Paragraphs>1205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602632</CharactersWithSpaces>
  <SharedDoc>false</SharedDoc>
  <HLinks>
    <vt:vector size="1518" baseType="variant">
      <vt:variant>
        <vt:i4>1441849</vt:i4>
      </vt:variant>
      <vt:variant>
        <vt:i4>1205</vt:i4>
      </vt:variant>
      <vt:variant>
        <vt:i4>0</vt:i4>
      </vt:variant>
      <vt:variant>
        <vt:i4>5</vt:i4>
      </vt:variant>
      <vt:variant>
        <vt:lpwstr/>
      </vt:variant>
      <vt:variant>
        <vt:lpwstr>_Toc210030805</vt:lpwstr>
      </vt:variant>
      <vt:variant>
        <vt:i4>1441849</vt:i4>
      </vt:variant>
      <vt:variant>
        <vt:i4>1199</vt:i4>
      </vt:variant>
      <vt:variant>
        <vt:i4>0</vt:i4>
      </vt:variant>
      <vt:variant>
        <vt:i4>5</vt:i4>
      </vt:variant>
      <vt:variant>
        <vt:lpwstr/>
      </vt:variant>
      <vt:variant>
        <vt:lpwstr>_Toc210030804</vt:lpwstr>
      </vt:variant>
      <vt:variant>
        <vt:i4>1441849</vt:i4>
      </vt:variant>
      <vt:variant>
        <vt:i4>1193</vt:i4>
      </vt:variant>
      <vt:variant>
        <vt:i4>0</vt:i4>
      </vt:variant>
      <vt:variant>
        <vt:i4>5</vt:i4>
      </vt:variant>
      <vt:variant>
        <vt:lpwstr/>
      </vt:variant>
      <vt:variant>
        <vt:lpwstr>_Toc210030803</vt:lpwstr>
      </vt:variant>
      <vt:variant>
        <vt:i4>1441849</vt:i4>
      </vt:variant>
      <vt:variant>
        <vt:i4>1187</vt:i4>
      </vt:variant>
      <vt:variant>
        <vt:i4>0</vt:i4>
      </vt:variant>
      <vt:variant>
        <vt:i4>5</vt:i4>
      </vt:variant>
      <vt:variant>
        <vt:lpwstr/>
      </vt:variant>
      <vt:variant>
        <vt:lpwstr>_Toc210030802</vt:lpwstr>
      </vt:variant>
      <vt:variant>
        <vt:i4>1441849</vt:i4>
      </vt:variant>
      <vt:variant>
        <vt:i4>1181</vt:i4>
      </vt:variant>
      <vt:variant>
        <vt:i4>0</vt:i4>
      </vt:variant>
      <vt:variant>
        <vt:i4>5</vt:i4>
      </vt:variant>
      <vt:variant>
        <vt:lpwstr/>
      </vt:variant>
      <vt:variant>
        <vt:lpwstr>_Toc210030801</vt:lpwstr>
      </vt:variant>
      <vt:variant>
        <vt:i4>1441849</vt:i4>
      </vt:variant>
      <vt:variant>
        <vt:i4>1175</vt:i4>
      </vt:variant>
      <vt:variant>
        <vt:i4>0</vt:i4>
      </vt:variant>
      <vt:variant>
        <vt:i4>5</vt:i4>
      </vt:variant>
      <vt:variant>
        <vt:lpwstr/>
      </vt:variant>
      <vt:variant>
        <vt:lpwstr>_Toc210030800</vt:lpwstr>
      </vt:variant>
      <vt:variant>
        <vt:i4>2031670</vt:i4>
      </vt:variant>
      <vt:variant>
        <vt:i4>1169</vt:i4>
      </vt:variant>
      <vt:variant>
        <vt:i4>0</vt:i4>
      </vt:variant>
      <vt:variant>
        <vt:i4>5</vt:i4>
      </vt:variant>
      <vt:variant>
        <vt:lpwstr/>
      </vt:variant>
      <vt:variant>
        <vt:lpwstr>_Toc210030799</vt:lpwstr>
      </vt:variant>
      <vt:variant>
        <vt:i4>2031670</vt:i4>
      </vt:variant>
      <vt:variant>
        <vt:i4>1163</vt:i4>
      </vt:variant>
      <vt:variant>
        <vt:i4>0</vt:i4>
      </vt:variant>
      <vt:variant>
        <vt:i4>5</vt:i4>
      </vt:variant>
      <vt:variant>
        <vt:lpwstr/>
      </vt:variant>
      <vt:variant>
        <vt:lpwstr>_Toc210030798</vt:lpwstr>
      </vt:variant>
      <vt:variant>
        <vt:i4>2031670</vt:i4>
      </vt:variant>
      <vt:variant>
        <vt:i4>1157</vt:i4>
      </vt:variant>
      <vt:variant>
        <vt:i4>0</vt:i4>
      </vt:variant>
      <vt:variant>
        <vt:i4>5</vt:i4>
      </vt:variant>
      <vt:variant>
        <vt:lpwstr/>
      </vt:variant>
      <vt:variant>
        <vt:lpwstr>_Toc210030797</vt:lpwstr>
      </vt:variant>
      <vt:variant>
        <vt:i4>2031670</vt:i4>
      </vt:variant>
      <vt:variant>
        <vt:i4>1151</vt:i4>
      </vt:variant>
      <vt:variant>
        <vt:i4>0</vt:i4>
      </vt:variant>
      <vt:variant>
        <vt:i4>5</vt:i4>
      </vt:variant>
      <vt:variant>
        <vt:lpwstr/>
      </vt:variant>
      <vt:variant>
        <vt:lpwstr>_Toc210030796</vt:lpwstr>
      </vt:variant>
      <vt:variant>
        <vt:i4>2031670</vt:i4>
      </vt:variant>
      <vt:variant>
        <vt:i4>1145</vt:i4>
      </vt:variant>
      <vt:variant>
        <vt:i4>0</vt:i4>
      </vt:variant>
      <vt:variant>
        <vt:i4>5</vt:i4>
      </vt:variant>
      <vt:variant>
        <vt:lpwstr/>
      </vt:variant>
      <vt:variant>
        <vt:lpwstr>_Toc210030795</vt:lpwstr>
      </vt:variant>
      <vt:variant>
        <vt:i4>2031670</vt:i4>
      </vt:variant>
      <vt:variant>
        <vt:i4>1139</vt:i4>
      </vt:variant>
      <vt:variant>
        <vt:i4>0</vt:i4>
      </vt:variant>
      <vt:variant>
        <vt:i4>5</vt:i4>
      </vt:variant>
      <vt:variant>
        <vt:lpwstr/>
      </vt:variant>
      <vt:variant>
        <vt:lpwstr>_Toc210030794</vt:lpwstr>
      </vt:variant>
      <vt:variant>
        <vt:i4>2031670</vt:i4>
      </vt:variant>
      <vt:variant>
        <vt:i4>1133</vt:i4>
      </vt:variant>
      <vt:variant>
        <vt:i4>0</vt:i4>
      </vt:variant>
      <vt:variant>
        <vt:i4>5</vt:i4>
      </vt:variant>
      <vt:variant>
        <vt:lpwstr/>
      </vt:variant>
      <vt:variant>
        <vt:lpwstr>_Toc210030793</vt:lpwstr>
      </vt:variant>
      <vt:variant>
        <vt:i4>2031670</vt:i4>
      </vt:variant>
      <vt:variant>
        <vt:i4>1127</vt:i4>
      </vt:variant>
      <vt:variant>
        <vt:i4>0</vt:i4>
      </vt:variant>
      <vt:variant>
        <vt:i4>5</vt:i4>
      </vt:variant>
      <vt:variant>
        <vt:lpwstr/>
      </vt:variant>
      <vt:variant>
        <vt:lpwstr>_Toc210030792</vt:lpwstr>
      </vt:variant>
      <vt:variant>
        <vt:i4>2031670</vt:i4>
      </vt:variant>
      <vt:variant>
        <vt:i4>1121</vt:i4>
      </vt:variant>
      <vt:variant>
        <vt:i4>0</vt:i4>
      </vt:variant>
      <vt:variant>
        <vt:i4>5</vt:i4>
      </vt:variant>
      <vt:variant>
        <vt:lpwstr/>
      </vt:variant>
      <vt:variant>
        <vt:lpwstr>_Toc210030791</vt:lpwstr>
      </vt:variant>
      <vt:variant>
        <vt:i4>2031670</vt:i4>
      </vt:variant>
      <vt:variant>
        <vt:i4>1115</vt:i4>
      </vt:variant>
      <vt:variant>
        <vt:i4>0</vt:i4>
      </vt:variant>
      <vt:variant>
        <vt:i4>5</vt:i4>
      </vt:variant>
      <vt:variant>
        <vt:lpwstr/>
      </vt:variant>
      <vt:variant>
        <vt:lpwstr>_Toc210030790</vt:lpwstr>
      </vt:variant>
      <vt:variant>
        <vt:i4>1966134</vt:i4>
      </vt:variant>
      <vt:variant>
        <vt:i4>1109</vt:i4>
      </vt:variant>
      <vt:variant>
        <vt:i4>0</vt:i4>
      </vt:variant>
      <vt:variant>
        <vt:i4>5</vt:i4>
      </vt:variant>
      <vt:variant>
        <vt:lpwstr/>
      </vt:variant>
      <vt:variant>
        <vt:lpwstr>_Toc210030789</vt:lpwstr>
      </vt:variant>
      <vt:variant>
        <vt:i4>1966134</vt:i4>
      </vt:variant>
      <vt:variant>
        <vt:i4>1103</vt:i4>
      </vt:variant>
      <vt:variant>
        <vt:i4>0</vt:i4>
      </vt:variant>
      <vt:variant>
        <vt:i4>5</vt:i4>
      </vt:variant>
      <vt:variant>
        <vt:lpwstr/>
      </vt:variant>
      <vt:variant>
        <vt:lpwstr>_Toc210030788</vt:lpwstr>
      </vt:variant>
      <vt:variant>
        <vt:i4>1966134</vt:i4>
      </vt:variant>
      <vt:variant>
        <vt:i4>1097</vt:i4>
      </vt:variant>
      <vt:variant>
        <vt:i4>0</vt:i4>
      </vt:variant>
      <vt:variant>
        <vt:i4>5</vt:i4>
      </vt:variant>
      <vt:variant>
        <vt:lpwstr/>
      </vt:variant>
      <vt:variant>
        <vt:lpwstr>_Toc210030787</vt:lpwstr>
      </vt:variant>
      <vt:variant>
        <vt:i4>1966134</vt:i4>
      </vt:variant>
      <vt:variant>
        <vt:i4>1091</vt:i4>
      </vt:variant>
      <vt:variant>
        <vt:i4>0</vt:i4>
      </vt:variant>
      <vt:variant>
        <vt:i4>5</vt:i4>
      </vt:variant>
      <vt:variant>
        <vt:lpwstr/>
      </vt:variant>
      <vt:variant>
        <vt:lpwstr>_Toc210030786</vt:lpwstr>
      </vt:variant>
      <vt:variant>
        <vt:i4>1966134</vt:i4>
      </vt:variant>
      <vt:variant>
        <vt:i4>1085</vt:i4>
      </vt:variant>
      <vt:variant>
        <vt:i4>0</vt:i4>
      </vt:variant>
      <vt:variant>
        <vt:i4>5</vt:i4>
      </vt:variant>
      <vt:variant>
        <vt:lpwstr/>
      </vt:variant>
      <vt:variant>
        <vt:lpwstr>_Toc210030785</vt:lpwstr>
      </vt:variant>
      <vt:variant>
        <vt:i4>1966134</vt:i4>
      </vt:variant>
      <vt:variant>
        <vt:i4>1079</vt:i4>
      </vt:variant>
      <vt:variant>
        <vt:i4>0</vt:i4>
      </vt:variant>
      <vt:variant>
        <vt:i4>5</vt:i4>
      </vt:variant>
      <vt:variant>
        <vt:lpwstr/>
      </vt:variant>
      <vt:variant>
        <vt:lpwstr>_Toc210030784</vt:lpwstr>
      </vt:variant>
      <vt:variant>
        <vt:i4>1966134</vt:i4>
      </vt:variant>
      <vt:variant>
        <vt:i4>1073</vt:i4>
      </vt:variant>
      <vt:variant>
        <vt:i4>0</vt:i4>
      </vt:variant>
      <vt:variant>
        <vt:i4>5</vt:i4>
      </vt:variant>
      <vt:variant>
        <vt:lpwstr/>
      </vt:variant>
      <vt:variant>
        <vt:lpwstr>_Toc210030783</vt:lpwstr>
      </vt:variant>
      <vt:variant>
        <vt:i4>1966134</vt:i4>
      </vt:variant>
      <vt:variant>
        <vt:i4>1067</vt:i4>
      </vt:variant>
      <vt:variant>
        <vt:i4>0</vt:i4>
      </vt:variant>
      <vt:variant>
        <vt:i4>5</vt:i4>
      </vt:variant>
      <vt:variant>
        <vt:lpwstr/>
      </vt:variant>
      <vt:variant>
        <vt:lpwstr>_Toc210030782</vt:lpwstr>
      </vt:variant>
      <vt:variant>
        <vt:i4>1966134</vt:i4>
      </vt:variant>
      <vt:variant>
        <vt:i4>1061</vt:i4>
      </vt:variant>
      <vt:variant>
        <vt:i4>0</vt:i4>
      </vt:variant>
      <vt:variant>
        <vt:i4>5</vt:i4>
      </vt:variant>
      <vt:variant>
        <vt:lpwstr/>
      </vt:variant>
      <vt:variant>
        <vt:lpwstr>_Toc210030781</vt:lpwstr>
      </vt:variant>
      <vt:variant>
        <vt:i4>1966134</vt:i4>
      </vt:variant>
      <vt:variant>
        <vt:i4>1055</vt:i4>
      </vt:variant>
      <vt:variant>
        <vt:i4>0</vt:i4>
      </vt:variant>
      <vt:variant>
        <vt:i4>5</vt:i4>
      </vt:variant>
      <vt:variant>
        <vt:lpwstr/>
      </vt:variant>
      <vt:variant>
        <vt:lpwstr>_Toc210030780</vt:lpwstr>
      </vt:variant>
      <vt:variant>
        <vt:i4>1114166</vt:i4>
      </vt:variant>
      <vt:variant>
        <vt:i4>1049</vt:i4>
      </vt:variant>
      <vt:variant>
        <vt:i4>0</vt:i4>
      </vt:variant>
      <vt:variant>
        <vt:i4>5</vt:i4>
      </vt:variant>
      <vt:variant>
        <vt:lpwstr/>
      </vt:variant>
      <vt:variant>
        <vt:lpwstr>_Toc210030779</vt:lpwstr>
      </vt:variant>
      <vt:variant>
        <vt:i4>1114166</vt:i4>
      </vt:variant>
      <vt:variant>
        <vt:i4>1043</vt:i4>
      </vt:variant>
      <vt:variant>
        <vt:i4>0</vt:i4>
      </vt:variant>
      <vt:variant>
        <vt:i4>5</vt:i4>
      </vt:variant>
      <vt:variant>
        <vt:lpwstr/>
      </vt:variant>
      <vt:variant>
        <vt:lpwstr>_Toc210030778</vt:lpwstr>
      </vt:variant>
      <vt:variant>
        <vt:i4>1114166</vt:i4>
      </vt:variant>
      <vt:variant>
        <vt:i4>1037</vt:i4>
      </vt:variant>
      <vt:variant>
        <vt:i4>0</vt:i4>
      </vt:variant>
      <vt:variant>
        <vt:i4>5</vt:i4>
      </vt:variant>
      <vt:variant>
        <vt:lpwstr/>
      </vt:variant>
      <vt:variant>
        <vt:lpwstr>_Toc210030777</vt:lpwstr>
      </vt:variant>
      <vt:variant>
        <vt:i4>1114166</vt:i4>
      </vt:variant>
      <vt:variant>
        <vt:i4>1031</vt:i4>
      </vt:variant>
      <vt:variant>
        <vt:i4>0</vt:i4>
      </vt:variant>
      <vt:variant>
        <vt:i4>5</vt:i4>
      </vt:variant>
      <vt:variant>
        <vt:lpwstr/>
      </vt:variant>
      <vt:variant>
        <vt:lpwstr>_Toc210030776</vt:lpwstr>
      </vt:variant>
      <vt:variant>
        <vt:i4>1114166</vt:i4>
      </vt:variant>
      <vt:variant>
        <vt:i4>1025</vt:i4>
      </vt:variant>
      <vt:variant>
        <vt:i4>0</vt:i4>
      </vt:variant>
      <vt:variant>
        <vt:i4>5</vt:i4>
      </vt:variant>
      <vt:variant>
        <vt:lpwstr/>
      </vt:variant>
      <vt:variant>
        <vt:lpwstr>_Toc210030775</vt:lpwstr>
      </vt:variant>
      <vt:variant>
        <vt:i4>1114166</vt:i4>
      </vt:variant>
      <vt:variant>
        <vt:i4>1019</vt:i4>
      </vt:variant>
      <vt:variant>
        <vt:i4>0</vt:i4>
      </vt:variant>
      <vt:variant>
        <vt:i4>5</vt:i4>
      </vt:variant>
      <vt:variant>
        <vt:lpwstr/>
      </vt:variant>
      <vt:variant>
        <vt:lpwstr>_Toc210030774</vt:lpwstr>
      </vt:variant>
      <vt:variant>
        <vt:i4>1114166</vt:i4>
      </vt:variant>
      <vt:variant>
        <vt:i4>1013</vt:i4>
      </vt:variant>
      <vt:variant>
        <vt:i4>0</vt:i4>
      </vt:variant>
      <vt:variant>
        <vt:i4>5</vt:i4>
      </vt:variant>
      <vt:variant>
        <vt:lpwstr/>
      </vt:variant>
      <vt:variant>
        <vt:lpwstr>_Toc210030773</vt:lpwstr>
      </vt:variant>
      <vt:variant>
        <vt:i4>1114166</vt:i4>
      </vt:variant>
      <vt:variant>
        <vt:i4>1007</vt:i4>
      </vt:variant>
      <vt:variant>
        <vt:i4>0</vt:i4>
      </vt:variant>
      <vt:variant>
        <vt:i4>5</vt:i4>
      </vt:variant>
      <vt:variant>
        <vt:lpwstr/>
      </vt:variant>
      <vt:variant>
        <vt:lpwstr>_Toc210030772</vt:lpwstr>
      </vt:variant>
      <vt:variant>
        <vt:i4>1114166</vt:i4>
      </vt:variant>
      <vt:variant>
        <vt:i4>1001</vt:i4>
      </vt:variant>
      <vt:variant>
        <vt:i4>0</vt:i4>
      </vt:variant>
      <vt:variant>
        <vt:i4>5</vt:i4>
      </vt:variant>
      <vt:variant>
        <vt:lpwstr/>
      </vt:variant>
      <vt:variant>
        <vt:lpwstr>_Toc210030771</vt:lpwstr>
      </vt:variant>
      <vt:variant>
        <vt:i4>1114166</vt:i4>
      </vt:variant>
      <vt:variant>
        <vt:i4>995</vt:i4>
      </vt:variant>
      <vt:variant>
        <vt:i4>0</vt:i4>
      </vt:variant>
      <vt:variant>
        <vt:i4>5</vt:i4>
      </vt:variant>
      <vt:variant>
        <vt:lpwstr/>
      </vt:variant>
      <vt:variant>
        <vt:lpwstr>_Toc210030770</vt:lpwstr>
      </vt:variant>
      <vt:variant>
        <vt:i4>1048630</vt:i4>
      </vt:variant>
      <vt:variant>
        <vt:i4>989</vt:i4>
      </vt:variant>
      <vt:variant>
        <vt:i4>0</vt:i4>
      </vt:variant>
      <vt:variant>
        <vt:i4>5</vt:i4>
      </vt:variant>
      <vt:variant>
        <vt:lpwstr/>
      </vt:variant>
      <vt:variant>
        <vt:lpwstr>_Toc210030769</vt:lpwstr>
      </vt:variant>
      <vt:variant>
        <vt:i4>1048630</vt:i4>
      </vt:variant>
      <vt:variant>
        <vt:i4>983</vt:i4>
      </vt:variant>
      <vt:variant>
        <vt:i4>0</vt:i4>
      </vt:variant>
      <vt:variant>
        <vt:i4>5</vt:i4>
      </vt:variant>
      <vt:variant>
        <vt:lpwstr/>
      </vt:variant>
      <vt:variant>
        <vt:lpwstr>_Toc210030768</vt:lpwstr>
      </vt:variant>
      <vt:variant>
        <vt:i4>1048630</vt:i4>
      </vt:variant>
      <vt:variant>
        <vt:i4>977</vt:i4>
      </vt:variant>
      <vt:variant>
        <vt:i4>0</vt:i4>
      </vt:variant>
      <vt:variant>
        <vt:i4>5</vt:i4>
      </vt:variant>
      <vt:variant>
        <vt:lpwstr/>
      </vt:variant>
      <vt:variant>
        <vt:lpwstr>_Toc210030767</vt:lpwstr>
      </vt:variant>
      <vt:variant>
        <vt:i4>1048630</vt:i4>
      </vt:variant>
      <vt:variant>
        <vt:i4>971</vt:i4>
      </vt:variant>
      <vt:variant>
        <vt:i4>0</vt:i4>
      </vt:variant>
      <vt:variant>
        <vt:i4>5</vt:i4>
      </vt:variant>
      <vt:variant>
        <vt:lpwstr/>
      </vt:variant>
      <vt:variant>
        <vt:lpwstr>_Toc210030766</vt:lpwstr>
      </vt:variant>
      <vt:variant>
        <vt:i4>1048630</vt:i4>
      </vt:variant>
      <vt:variant>
        <vt:i4>965</vt:i4>
      </vt:variant>
      <vt:variant>
        <vt:i4>0</vt:i4>
      </vt:variant>
      <vt:variant>
        <vt:i4>5</vt:i4>
      </vt:variant>
      <vt:variant>
        <vt:lpwstr/>
      </vt:variant>
      <vt:variant>
        <vt:lpwstr>_Toc210030765</vt:lpwstr>
      </vt:variant>
      <vt:variant>
        <vt:i4>1048630</vt:i4>
      </vt:variant>
      <vt:variant>
        <vt:i4>959</vt:i4>
      </vt:variant>
      <vt:variant>
        <vt:i4>0</vt:i4>
      </vt:variant>
      <vt:variant>
        <vt:i4>5</vt:i4>
      </vt:variant>
      <vt:variant>
        <vt:lpwstr/>
      </vt:variant>
      <vt:variant>
        <vt:lpwstr>_Toc210030764</vt:lpwstr>
      </vt:variant>
      <vt:variant>
        <vt:i4>1048630</vt:i4>
      </vt:variant>
      <vt:variant>
        <vt:i4>953</vt:i4>
      </vt:variant>
      <vt:variant>
        <vt:i4>0</vt:i4>
      </vt:variant>
      <vt:variant>
        <vt:i4>5</vt:i4>
      </vt:variant>
      <vt:variant>
        <vt:lpwstr/>
      </vt:variant>
      <vt:variant>
        <vt:lpwstr>_Toc210030763</vt:lpwstr>
      </vt:variant>
      <vt:variant>
        <vt:i4>1048630</vt:i4>
      </vt:variant>
      <vt:variant>
        <vt:i4>947</vt:i4>
      </vt:variant>
      <vt:variant>
        <vt:i4>0</vt:i4>
      </vt:variant>
      <vt:variant>
        <vt:i4>5</vt:i4>
      </vt:variant>
      <vt:variant>
        <vt:lpwstr/>
      </vt:variant>
      <vt:variant>
        <vt:lpwstr>_Toc210030762</vt:lpwstr>
      </vt:variant>
      <vt:variant>
        <vt:i4>1048630</vt:i4>
      </vt:variant>
      <vt:variant>
        <vt:i4>941</vt:i4>
      </vt:variant>
      <vt:variant>
        <vt:i4>0</vt:i4>
      </vt:variant>
      <vt:variant>
        <vt:i4>5</vt:i4>
      </vt:variant>
      <vt:variant>
        <vt:lpwstr/>
      </vt:variant>
      <vt:variant>
        <vt:lpwstr>_Toc210030761</vt:lpwstr>
      </vt:variant>
      <vt:variant>
        <vt:i4>1048630</vt:i4>
      </vt:variant>
      <vt:variant>
        <vt:i4>935</vt:i4>
      </vt:variant>
      <vt:variant>
        <vt:i4>0</vt:i4>
      </vt:variant>
      <vt:variant>
        <vt:i4>5</vt:i4>
      </vt:variant>
      <vt:variant>
        <vt:lpwstr/>
      </vt:variant>
      <vt:variant>
        <vt:lpwstr>_Toc210030760</vt:lpwstr>
      </vt:variant>
      <vt:variant>
        <vt:i4>1245238</vt:i4>
      </vt:variant>
      <vt:variant>
        <vt:i4>929</vt:i4>
      </vt:variant>
      <vt:variant>
        <vt:i4>0</vt:i4>
      </vt:variant>
      <vt:variant>
        <vt:i4>5</vt:i4>
      </vt:variant>
      <vt:variant>
        <vt:lpwstr/>
      </vt:variant>
      <vt:variant>
        <vt:lpwstr>_Toc210030759</vt:lpwstr>
      </vt:variant>
      <vt:variant>
        <vt:i4>1245238</vt:i4>
      </vt:variant>
      <vt:variant>
        <vt:i4>923</vt:i4>
      </vt:variant>
      <vt:variant>
        <vt:i4>0</vt:i4>
      </vt:variant>
      <vt:variant>
        <vt:i4>5</vt:i4>
      </vt:variant>
      <vt:variant>
        <vt:lpwstr/>
      </vt:variant>
      <vt:variant>
        <vt:lpwstr>_Toc210030758</vt:lpwstr>
      </vt:variant>
      <vt:variant>
        <vt:i4>1245238</vt:i4>
      </vt:variant>
      <vt:variant>
        <vt:i4>917</vt:i4>
      </vt:variant>
      <vt:variant>
        <vt:i4>0</vt:i4>
      </vt:variant>
      <vt:variant>
        <vt:i4>5</vt:i4>
      </vt:variant>
      <vt:variant>
        <vt:lpwstr/>
      </vt:variant>
      <vt:variant>
        <vt:lpwstr>_Toc210030757</vt:lpwstr>
      </vt:variant>
      <vt:variant>
        <vt:i4>1245238</vt:i4>
      </vt:variant>
      <vt:variant>
        <vt:i4>911</vt:i4>
      </vt:variant>
      <vt:variant>
        <vt:i4>0</vt:i4>
      </vt:variant>
      <vt:variant>
        <vt:i4>5</vt:i4>
      </vt:variant>
      <vt:variant>
        <vt:lpwstr/>
      </vt:variant>
      <vt:variant>
        <vt:lpwstr>_Toc210030756</vt:lpwstr>
      </vt:variant>
      <vt:variant>
        <vt:i4>1245238</vt:i4>
      </vt:variant>
      <vt:variant>
        <vt:i4>905</vt:i4>
      </vt:variant>
      <vt:variant>
        <vt:i4>0</vt:i4>
      </vt:variant>
      <vt:variant>
        <vt:i4>5</vt:i4>
      </vt:variant>
      <vt:variant>
        <vt:lpwstr/>
      </vt:variant>
      <vt:variant>
        <vt:lpwstr>_Toc210030755</vt:lpwstr>
      </vt:variant>
      <vt:variant>
        <vt:i4>1245238</vt:i4>
      </vt:variant>
      <vt:variant>
        <vt:i4>899</vt:i4>
      </vt:variant>
      <vt:variant>
        <vt:i4>0</vt:i4>
      </vt:variant>
      <vt:variant>
        <vt:i4>5</vt:i4>
      </vt:variant>
      <vt:variant>
        <vt:lpwstr/>
      </vt:variant>
      <vt:variant>
        <vt:lpwstr>_Toc210030754</vt:lpwstr>
      </vt:variant>
      <vt:variant>
        <vt:i4>1245238</vt:i4>
      </vt:variant>
      <vt:variant>
        <vt:i4>893</vt:i4>
      </vt:variant>
      <vt:variant>
        <vt:i4>0</vt:i4>
      </vt:variant>
      <vt:variant>
        <vt:i4>5</vt:i4>
      </vt:variant>
      <vt:variant>
        <vt:lpwstr/>
      </vt:variant>
      <vt:variant>
        <vt:lpwstr>_Toc210030753</vt:lpwstr>
      </vt:variant>
      <vt:variant>
        <vt:i4>1245238</vt:i4>
      </vt:variant>
      <vt:variant>
        <vt:i4>887</vt:i4>
      </vt:variant>
      <vt:variant>
        <vt:i4>0</vt:i4>
      </vt:variant>
      <vt:variant>
        <vt:i4>5</vt:i4>
      </vt:variant>
      <vt:variant>
        <vt:lpwstr/>
      </vt:variant>
      <vt:variant>
        <vt:lpwstr>_Toc210030752</vt:lpwstr>
      </vt:variant>
      <vt:variant>
        <vt:i4>1245238</vt:i4>
      </vt:variant>
      <vt:variant>
        <vt:i4>881</vt:i4>
      </vt:variant>
      <vt:variant>
        <vt:i4>0</vt:i4>
      </vt:variant>
      <vt:variant>
        <vt:i4>5</vt:i4>
      </vt:variant>
      <vt:variant>
        <vt:lpwstr/>
      </vt:variant>
      <vt:variant>
        <vt:lpwstr>_Toc210030751</vt:lpwstr>
      </vt:variant>
      <vt:variant>
        <vt:i4>1245238</vt:i4>
      </vt:variant>
      <vt:variant>
        <vt:i4>875</vt:i4>
      </vt:variant>
      <vt:variant>
        <vt:i4>0</vt:i4>
      </vt:variant>
      <vt:variant>
        <vt:i4>5</vt:i4>
      </vt:variant>
      <vt:variant>
        <vt:lpwstr/>
      </vt:variant>
      <vt:variant>
        <vt:lpwstr>_Toc210030750</vt:lpwstr>
      </vt:variant>
      <vt:variant>
        <vt:i4>1179702</vt:i4>
      </vt:variant>
      <vt:variant>
        <vt:i4>869</vt:i4>
      </vt:variant>
      <vt:variant>
        <vt:i4>0</vt:i4>
      </vt:variant>
      <vt:variant>
        <vt:i4>5</vt:i4>
      </vt:variant>
      <vt:variant>
        <vt:lpwstr/>
      </vt:variant>
      <vt:variant>
        <vt:lpwstr>_Toc210030749</vt:lpwstr>
      </vt:variant>
      <vt:variant>
        <vt:i4>1179702</vt:i4>
      </vt:variant>
      <vt:variant>
        <vt:i4>863</vt:i4>
      </vt:variant>
      <vt:variant>
        <vt:i4>0</vt:i4>
      </vt:variant>
      <vt:variant>
        <vt:i4>5</vt:i4>
      </vt:variant>
      <vt:variant>
        <vt:lpwstr/>
      </vt:variant>
      <vt:variant>
        <vt:lpwstr>_Toc210030748</vt:lpwstr>
      </vt:variant>
      <vt:variant>
        <vt:i4>1179702</vt:i4>
      </vt:variant>
      <vt:variant>
        <vt:i4>857</vt:i4>
      </vt:variant>
      <vt:variant>
        <vt:i4>0</vt:i4>
      </vt:variant>
      <vt:variant>
        <vt:i4>5</vt:i4>
      </vt:variant>
      <vt:variant>
        <vt:lpwstr/>
      </vt:variant>
      <vt:variant>
        <vt:lpwstr>_Toc210030747</vt:lpwstr>
      </vt:variant>
      <vt:variant>
        <vt:i4>1179702</vt:i4>
      </vt:variant>
      <vt:variant>
        <vt:i4>851</vt:i4>
      </vt:variant>
      <vt:variant>
        <vt:i4>0</vt:i4>
      </vt:variant>
      <vt:variant>
        <vt:i4>5</vt:i4>
      </vt:variant>
      <vt:variant>
        <vt:lpwstr/>
      </vt:variant>
      <vt:variant>
        <vt:lpwstr>_Toc210030746</vt:lpwstr>
      </vt:variant>
      <vt:variant>
        <vt:i4>1179702</vt:i4>
      </vt:variant>
      <vt:variant>
        <vt:i4>845</vt:i4>
      </vt:variant>
      <vt:variant>
        <vt:i4>0</vt:i4>
      </vt:variant>
      <vt:variant>
        <vt:i4>5</vt:i4>
      </vt:variant>
      <vt:variant>
        <vt:lpwstr/>
      </vt:variant>
      <vt:variant>
        <vt:lpwstr>_Toc210030745</vt:lpwstr>
      </vt:variant>
      <vt:variant>
        <vt:i4>1179702</vt:i4>
      </vt:variant>
      <vt:variant>
        <vt:i4>839</vt:i4>
      </vt:variant>
      <vt:variant>
        <vt:i4>0</vt:i4>
      </vt:variant>
      <vt:variant>
        <vt:i4>5</vt:i4>
      </vt:variant>
      <vt:variant>
        <vt:lpwstr/>
      </vt:variant>
      <vt:variant>
        <vt:lpwstr>_Toc210030744</vt:lpwstr>
      </vt:variant>
      <vt:variant>
        <vt:i4>1179702</vt:i4>
      </vt:variant>
      <vt:variant>
        <vt:i4>833</vt:i4>
      </vt:variant>
      <vt:variant>
        <vt:i4>0</vt:i4>
      </vt:variant>
      <vt:variant>
        <vt:i4>5</vt:i4>
      </vt:variant>
      <vt:variant>
        <vt:lpwstr/>
      </vt:variant>
      <vt:variant>
        <vt:lpwstr>_Toc210030743</vt:lpwstr>
      </vt:variant>
      <vt:variant>
        <vt:i4>1179702</vt:i4>
      </vt:variant>
      <vt:variant>
        <vt:i4>827</vt:i4>
      </vt:variant>
      <vt:variant>
        <vt:i4>0</vt:i4>
      </vt:variant>
      <vt:variant>
        <vt:i4>5</vt:i4>
      </vt:variant>
      <vt:variant>
        <vt:lpwstr/>
      </vt:variant>
      <vt:variant>
        <vt:lpwstr>_Toc210030742</vt:lpwstr>
      </vt:variant>
      <vt:variant>
        <vt:i4>1179702</vt:i4>
      </vt:variant>
      <vt:variant>
        <vt:i4>821</vt:i4>
      </vt:variant>
      <vt:variant>
        <vt:i4>0</vt:i4>
      </vt:variant>
      <vt:variant>
        <vt:i4>5</vt:i4>
      </vt:variant>
      <vt:variant>
        <vt:lpwstr/>
      </vt:variant>
      <vt:variant>
        <vt:lpwstr>_Toc210030741</vt:lpwstr>
      </vt:variant>
      <vt:variant>
        <vt:i4>1179702</vt:i4>
      </vt:variant>
      <vt:variant>
        <vt:i4>815</vt:i4>
      </vt:variant>
      <vt:variant>
        <vt:i4>0</vt:i4>
      </vt:variant>
      <vt:variant>
        <vt:i4>5</vt:i4>
      </vt:variant>
      <vt:variant>
        <vt:lpwstr/>
      </vt:variant>
      <vt:variant>
        <vt:lpwstr>_Toc210030740</vt:lpwstr>
      </vt:variant>
      <vt:variant>
        <vt:i4>1376310</vt:i4>
      </vt:variant>
      <vt:variant>
        <vt:i4>809</vt:i4>
      </vt:variant>
      <vt:variant>
        <vt:i4>0</vt:i4>
      </vt:variant>
      <vt:variant>
        <vt:i4>5</vt:i4>
      </vt:variant>
      <vt:variant>
        <vt:lpwstr/>
      </vt:variant>
      <vt:variant>
        <vt:lpwstr>_Toc210030739</vt:lpwstr>
      </vt:variant>
      <vt:variant>
        <vt:i4>1376310</vt:i4>
      </vt:variant>
      <vt:variant>
        <vt:i4>803</vt:i4>
      </vt:variant>
      <vt:variant>
        <vt:i4>0</vt:i4>
      </vt:variant>
      <vt:variant>
        <vt:i4>5</vt:i4>
      </vt:variant>
      <vt:variant>
        <vt:lpwstr/>
      </vt:variant>
      <vt:variant>
        <vt:lpwstr>_Toc210030738</vt:lpwstr>
      </vt:variant>
      <vt:variant>
        <vt:i4>1376310</vt:i4>
      </vt:variant>
      <vt:variant>
        <vt:i4>797</vt:i4>
      </vt:variant>
      <vt:variant>
        <vt:i4>0</vt:i4>
      </vt:variant>
      <vt:variant>
        <vt:i4>5</vt:i4>
      </vt:variant>
      <vt:variant>
        <vt:lpwstr/>
      </vt:variant>
      <vt:variant>
        <vt:lpwstr>_Toc210030737</vt:lpwstr>
      </vt:variant>
      <vt:variant>
        <vt:i4>1376310</vt:i4>
      </vt:variant>
      <vt:variant>
        <vt:i4>791</vt:i4>
      </vt:variant>
      <vt:variant>
        <vt:i4>0</vt:i4>
      </vt:variant>
      <vt:variant>
        <vt:i4>5</vt:i4>
      </vt:variant>
      <vt:variant>
        <vt:lpwstr/>
      </vt:variant>
      <vt:variant>
        <vt:lpwstr>_Toc210030736</vt:lpwstr>
      </vt:variant>
      <vt:variant>
        <vt:i4>1376310</vt:i4>
      </vt:variant>
      <vt:variant>
        <vt:i4>785</vt:i4>
      </vt:variant>
      <vt:variant>
        <vt:i4>0</vt:i4>
      </vt:variant>
      <vt:variant>
        <vt:i4>5</vt:i4>
      </vt:variant>
      <vt:variant>
        <vt:lpwstr/>
      </vt:variant>
      <vt:variant>
        <vt:lpwstr>_Toc210030735</vt:lpwstr>
      </vt:variant>
      <vt:variant>
        <vt:i4>1376310</vt:i4>
      </vt:variant>
      <vt:variant>
        <vt:i4>779</vt:i4>
      </vt:variant>
      <vt:variant>
        <vt:i4>0</vt:i4>
      </vt:variant>
      <vt:variant>
        <vt:i4>5</vt:i4>
      </vt:variant>
      <vt:variant>
        <vt:lpwstr/>
      </vt:variant>
      <vt:variant>
        <vt:lpwstr>_Toc210030734</vt:lpwstr>
      </vt:variant>
      <vt:variant>
        <vt:i4>1376310</vt:i4>
      </vt:variant>
      <vt:variant>
        <vt:i4>773</vt:i4>
      </vt:variant>
      <vt:variant>
        <vt:i4>0</vt:i4>
      </vt:variant>
      <vt:variant>
        <vt:i4>5</vt:i4>
      </vt:variant>
      <vt:variant>
        <vt:lpwstr/>
      </vt:variant>
      <vt:variant>
        <vt:lpwstr>_Toc210030733</vt:lpwstr>
      </vt:variant>
      <vt:variant>
        <vt:i4>1376310</vt:i4>
      </vt:variant>
      <vt:variant>
        <vt:i4>767</vt:i4>
      </vt:variant>
      <vt:variant>
        <vt:i4>0</vt:i4>
      </vt:variant>
      <vt:variant>
        <vt:i4>5</vt:i4>
      </vt:variant>
      <vt:variant>
        <vt:lpwstr/>
      </vt:variant>
      <vt:variant>
        <vt:lpwstr>_Toc210030732</vt:lpwstr>
      </vt:variant>
      <vt:variant>
        <vt:i4>1376310</vt:i4>
      </vt:variant>
      <vt:variant>
        <vt:i4>761</vt:i4>
      </vt:variant>
      <vt:variant>
        <vt:i4>0</vt:i4>
      </vt:variant>
      <vt:variant>
        <vt:i4>5</vt:i4>
      </vt:variant>
      <vt:variant>
        <vt:lpwstr/>
      </vt:variant>
      <vt:variant>
        <vt:lpwstr>_Toc210030731</vt:lpwstr>
      </vt:variant>
      <vt:variant>
        <vt:i4>1376310</vt:i4>
      </vt:variant>
      <vt:variant>
        <vt:i4>755</vt:i4>
      </vt:variant>
      <vt:variant>
        <vt:i4>0</vt:i4>
      </vt:variant>
      <vt:variant>
        <vt:i4>5</vt:i4>
      </vt:variant>
      <vt:variant>
        <vt:lpwstr/>
      </vt:variant>
      <vt:variant>
        <vt:lpwstr>_Toc210030730</vt:lpwstr>
      </vt:variant>
      <vt:variant>
        <vt:i4>1310774</vt:i4>
      </vt:variant>
      <vt:variant>
        <vt:i4>749</vt:i4>
      </vt:variant>
      <vt:variant>
        <vt:i4>0</vt:i4>
      </vt:variant>
      <vt:variant>
        <vt:i4>5</vt:i4>
      </vt:variant>
      <vt:variant>
        <vt:lpwstr/>
      </vt:variant>
      <vt:variant>
        <vt:lpwstr>_Toc210030729</vt:lpwstr>
      </vt:variant>
      <vt:variant>
        <vt:i4>1310774</vt:i4>
      </vt:variant>
      <vt:variant>
        <vt:i4>743</vt:i4>
      </vt:variant>
      <vt:variant>
        <vt:i4>0</vt:i4>
      </vt:variant>
      <vt:variant>
        <vt:i4>5</vt:i4>
      </vt:variant>
      <vt:variant>
        <vt:lpwstr/>
      </vt:variant>
      <vt:variant>
        <vt:lpwstr>_Toc210030728</vt:lpwstr>
      </vt:variant>
      <vt:variant>
        <vt:i4>1310774</vt:i4>
      </vt:variant>
      <vt:variant>
        <vt:i4>737</vt:i4>
      </vt:variant>
      <vt:variant>
        <vt:i4>0</vt:i4>
      </vt:variant>
      <vt:variant>
        <vt:i4>5</vt:i4>
      </vt:variant>
      <vt:variant>
        <vt:lpwstr/>
      </vt:variant>
      <vt:variant>
        <vt:lpwstr>_Toc210030727</vt:lpwstr>
      </vt:variant>
      <vt:variant>
        <vt:i4>1310774</vt:i4>
      </vt:variant>
      <vt:variant>
        <vt:i4>731</vt:i4>
      </vt:variant>
      <vt:variant>
        <vt:i4>0</vt:i4>
      </vt:variant>
      <vt:variant>
        <vt:i4>5</vt:i4>
      </vt:variant>
      <vt:variant>
        <vt:lpwstr/>
      </vt:variant>
      <vt:variant>
        <vt:lpwstr>_Toc210030726</vt:lpwstr>
      </vt:variant>
      <vt:variant>
        <vt:i4>1310774</vt:i4>
      </vt:variant>
      <vt:variant>
        <vt:i4>725</vt:i4>
      </vt:variant>
      <vt:variant>
        <vt:i4>0</vt:i4>
      </vt:variant>
      <vt:variant>
        <vt:i4>5</vt:i4>
      </vt:variant>
      <vt:variant>
        <vt:lpwstr/>
      </vt:variant>
      <vt:variant>
        <vt:lpwstr>_Toc210030725</vt:lpwstr>
      </vt:variant>
      <vt:variant>
        <vt:i4>1310774</vt:i4>
      </vt:variant>
      <vt:variant>
        <vt:i4>719</vt:i4>
      </vt:variant>
      <vt:variant>
        <vt:i4>0</vt:i4>
      </vt:variant>
      <vt:variant>
        <vt:i4>5</vt:i4>
      </vt:variant>
      <vt:variant>
        <vt:lpwstr/>
      </vt:variant>
      <vt:variant>
        <vt:lpwstr>_Toc210030724</vt:lpwstr>
      </vt:variant>
      <vt:variant>
        <vt:i4>1310774</vt:i4>
      </vt:variant>
      <vt:variant>
        <vt:i4>713</vt:i4>
      </vt:variant>
      <vt:variant>
        <vt:i4>0</vt:i4>
      </vt:variant>
      <vt:variant>
        <vt:i4>5</vt:i4>
      </vt:variant>
      <vt:variant>
        <vt:lpwstr/>
      </vt:variant>
      <vt:variant>
        <vt:lpwstr>_Toc210030723</vt:lpwstr>
      </vt:variant>
      <vt:variant>
        <vt:i4>1310774</vt:i4>
      </vt:variant>
      <vt:variant>
        <vt:i4>707</vt:i4>
      </vt:variant>
      <vt:variant>
        <vt:i4>0</vt:i4>
      </vt:variant>
      <vt:variant>
        <vt:i4>5</vt:i4>
      </vt:variant>
      <vt:variant>
        <vt:lpwstr/>
      </vt:variant>
      <vt:variant>
        <vt:lpwstr>_Toc210030722</vt:lpwstr>
      </vt:variant>
      <vt:variant>
        <vt:i4>1310774</vt:i4>
      </vt:variant>
      <vt:variant>
        <vt:i4>701</vt:i4>
      </vt:variant>
      <vt:variant>
        <vt:i4>0</vt:i4>
      </vt:variant>
      <vt:variant>
        <vt:i4>5</vt:i4>
      </vt:variant>
      <vt:variant>
        <vt:lpwstr/>
      </vt:variant>
      <vt:variant>
        <vt:lpwstr>_Toc210030721</vt:lpwstr>
      </vt:variant>
      <vt:variant>
        <vt:i4>1310774</vt:i4>
      </vt:variant>
      <vt:variant>
        <vt:i4>695</vt:i4>
      </vt:variant>
      <vt:variant>
        <vt:i4>0</vt:i4>
      </vt:variant>
      <vt:variant>
        <vt:i4>5</vt:i4>
      </vt:variant>
      <vt:variant>
        <vt:lpwstr/>
      </vt:variant>
      <vt:variant>
        <vt:lpwstr>_Toc210030720</vt:lpwstr>
      </vt:variant>
      <vt:variant>
        <vt:i4>1507382</vt:i4>
      </vt:variant>
      <vt:variant>
        <vt:i4>689</vt:i4>
      </vt:variant>
      <vt:variant>
        <vt:i4>0</vt:i4>
      </vt:variant>
      <vt:variant>
        <vt:i4>5</vt:i4>
      </vt:variant>
      <vt:variant>
        <vt:lpwstr/>
      </vt:variant>
      <vt:variant>
        <vt:lpwstr>_Toc210030719</vt:lpwstr>
      </vt:variant>
      <vt:variant>
        <vt:i4>1507382</vt:i4>
      </vt:variant>
      <vt:variant>
        <vt:i4>683</vt:i4>
      </vt:variant>
      <vt:variant>
        <vt:i4>0</vt:i4>
      </vt:variant>
      <vt:variant>
        <vt:i4>5</vt:i4>
      </vt:variant>
      <vt:variant>
        <vt:lpwstr/>
      </vt:variant>
      <vt:variant>
        <vt:lpwstr>_Toc210030718</vt:lpwstr>
      </vt:variant>
      <vt:variant>
        <vt:i4>1507382</vt:i4>
      </vt:variant>
      <vt:variant>
        <vt:i4>677</vt:i4>
      </vt:variant>
      <vt:variant>
        <vt:i4>0</vt:i4>
      </vt:variant>
      <vt:variant>
        <vt:i4>5</vt:i4>
      </vt:variant>
      <vt:variant>
        <vt:lpwstr/>
      </vt:variant>
      <vt:variant>
        <vt:lpwstr>_Toc210030717</vt:lpwstr>
      </vt:variant>
      <vt:variant>
        <vt:i4>1507382</vt:i4>
      </vt:variant>
      <vt:variant>
        <vt:i4>671</vt:i4>
      </vt:variant>
      <vt:variant>
        <vt:i4>0</vt:i4>
      </vt:variant>
      <vt:variant>
        <vt:i4>5</vt:i4>
      </vt:variant>
      <vt:variant>
        <vt:lpwstr/>
      </vt:variant>
      <vt:variant>
        <vt:lpwstr>_Toc210030716</vt:lpwstr>
      </vt:variant>
      <vt:variant>
        <vt:i4>1507382</vt:i4>
      </vt:variant>
      <vt:variant>
        <vt:i4>665</vt:i4>
      </vt:variant>
      <vt:variant>
        <vt:i4>0</vt:i4>
      </vt:variant>
      <vt:variant>
        <vt:i4>5</vt:i4>
      </vt:variant>
      <vt:variant>
        <vt:lpwstr/>
      </vt:variant>
      <vt:variant>
        <vt:lpwstr>_Toc210030715</vt:lpwstr>
      </vt:variant>
      <vt:variant>
        <vt:i4>1507382</vt:i4>
      </vt:variant>
      <vt:variant>
        <vt:i4>659</vt:i4>
      </vt:variant>
      <vt:variant>
        <vt:i4>0</vt:i4>
      </vt:variant>
      <vt:variant>
        <vt:i4>5</vt:i4>
      </vt:variant>
      <vt:variant>
        <vt:lpwstr/>
      </vt:variant>
      <vt:variant>
        <vt:lpwstr>_Toc210030714</vt:lpwstr>
      </vt:variant>
      <vt:variant>
        <vt:i4>1507382</vt:i4>
      </vt:variant>
      <vt:variant>
        <vt:i4>653</vt:i4>
      </vt:variant>
      <vt:variant>
        <vt:i4>0</vt:i4>
      </vt:variant>
      <vt:variant>
        <vt:i4>5</vt:i4>
      </vt:variant>
      <vt:variant>
        <vt:lpwstr/>
      </vt:variant>
      <vt:variant>
        <vt:lpwstr>_Toc210030713</vt:lpwstr>
      </vt:variant>
      <vt:variant>
        <vt:i4>1507382</vt:i4>
      </vt:variant>
      <vt:variant>
        <vt:i4>647</vt:i4>
      </vt:variant>
      <vt:variant>
        <vt:i4>0</vt:i4>
      </vt:variant>
      <vt:variant>
        <vt:i4>5</vt:i4>
      </vt:variant>
      <vt:variant>
        <vt:lpwstr/>
      </vt:variant>
      <vt:variant>
        <vt:lpwstr>_Toc210030712</vt:lpwstr>
      </vt:variant>
      <vt:variant>
        <vt:i4>1507382</vt:i4>
      </vt:variant>
      <vt:variant>
        <vt:i4>641</vt:i4>
      </vt:variant>
      <vt:variant>
        <vt:i4>0</vt:i4>
      </vt:variant>
      <vt:variant>
        <vt:i4>5</vt:i4>
      </vt:variant>
      <vt:variant>
        <vt:lpwstr/>
      </vt:variant>
      <vt:variant>
        <vt:lpwstr>_Toc210030711</vt:lpwstr>
      </vt:variant>
      <vt:variant>
        <vt:i4>1507382</vt:i4>
      </vt:variant>
      <vt:variant>
        <vt:i4>635</vt:i4>
      </vt:variant>
      <vt:variant>
        <vt:i4>0</vt:i4>
      </vt:variant>
      <vt:variant>
        <vt:i4>5</vt:i4>
      </vt:variant>
      <vt:variant>
        <vt:lpwstr/>
      </vt:variant>
      <vt:variant>
        <vt:lpwstr>_Toc210030710</vt:lpwstr>
      </vt:variant>
      <vt:variant>
        <vt:i4>1441846</vt:i4>
      </vt:variant>
      <vt:variant>
        <vt:i4>629</vt:i4>
      </vt:variant>
      <vt:variant>
        <vt:i4>0</vt:i4>
      </vt:variant>
      <vt:variant>
        <vt:i4>5</vt:i4>
      </vt:variant>
      <vt:variant>
        <vt:lpwstr/>
      </vt:variant>
      <vt:variant>
        <vt:lpwstr>_Toc210030709</vt:lpwstr>
      </vt:variant>
      <vt:variant>
        <vt:i4>1441846</vt:i4>
      </vt:variant>
      <vt:variant>
        <vt:i4>623</vt:i4>
      </vt:variant>
      <vt:variant>
        <vt:i4>0</vt:i4>
      </vt:variant>
      <vt:variant>
        <vt:i4>5</vt:i4>
      </vt:variant>
      <vt:variant>
        <vt:lpwstr/>
      </vt:variant>
      <vt:variant>
        <vt:lpwstr>_Toc210030708</vt:lpwstr>
      </vt:variant>
      <vt:variant>
        <vt:i4>1441846</vt:i4>
      </vt:variant>
      <vt:variant>
        <vt:i4>617</vt:i4>
      </vt:variant>
      <vt:variant>
        <vt:i4>0</vt:i4>
      </vt:variant>
      <vt:variant>
        <vt:i4>5</vt:i4>
      </vt:variant>
      <vt:variant>
        <vt:lpwstr/>
      </vt:variant>
      <vt:variant>
        <vt:lpwstr>_Toc210030707</vt:lpwstr>
      </vt:variant>
      <vt:variant>
        <vt:i4>1441846</vt:i4>
      </vt:variant>
      <vt:variant>
        <vt:i4>611</vt:i4>
      </vt:variant>
      <vt:variant>
        <vt:i4>0</vt:i4>
      </vt:variant>
      <vt:variant>
        <vt:i4>5</vt:i4>
      </vt:variant>
      <vt:variant>
        <vt:lpwstr/>
      </vt:variant>
      <vt:variant>
        <vt:lpwstr>_Toc210030706</vt:lpwstr>
      </vt:variant>
      <vt:variant>
        <vt:i4>1441846</vt:i4>
      </vt:variant>
      <vt:variant>
        <vt:i4>605</vt:i4>
      </vt:variant>
      <vt:variant>
        <vt:i4>0</vt:i4>
      </vt:variant>
      <vt:variant>
        <vt:i4>5</vt:i4>
      </vt:variant>
      <vt:variant>
        <vt:lpwstr/>
      </vt:variant>
      <vt:variant>
        <vt:lpwstr>_Toc210030705</vt:lpwstr>
      </vt:variant>
      <vt:variant>
        <vt:i4>1441846</vt:i4>
      </vt:variant>
      <vt:variant>
        <vt:i4>599</vt:i4>
      </vt:variant>
      <vt:variant>
        <vt:i4>0</vt:i4>
      </vt:variant>
      <vt:variant>
        <vt:i4>5</vt:i4>
      </vt:variant>
      <vt:variant>
        <vt:lpwstr/>
      </vt:variant>
      <vt:variant>
        <vt:lpwstr>_Toc210030704</vt:lpwstr>
      </vt:variant>
      <vt:variant>
        <vt:i4>1441846</vt:i4>
      </vt:variant>
      <vt:variant>
        <vt:i4>593</vt:i4>
      </vt:variant>
      <vt:variant>
        <vt:i4>0</vt:i4>
      </vt:variant>
      <vt:variant>
        <vt:i4>5</vt:i4>
      </vt:variant>
      <vt:variant>
        <vt:lpwstr/>
      </vt:variant>
      <vt:variant>
        <vt:lpwstr>_Toc210030703</vt:lpwstr>
      </vt:variant>
      <vt:variant>
        <vt:i4>1441846</vt:i4>
      </vt:variant>
      <vt:variant>
        <vt:i4>587</vt:i4>
      </vt:variant>
      <vt:variant>
        <vt:i4>0</vt:i4>
      </vt:variant>
      <vt:variant>
        <vt:i4>5</vt:i4>
      </vt:variant>
      <vt:variant>
        <vt:lpwstr/>
      </vt:variant>
      <vt:variant>
        <vt:lpwstr>_Toc210030702</vt:lpwstr>
      </vt:variant>
      <vt:variant>
        <vt:i4>1441846</vt:i4>
      </vt:variant>
      <vt:variant>
        <vt:i4>581</vt:i4>
      </vt:variant>
      <vt:variant>
        <vt:i4>0</vt:i4>
      </vt:variant>
      <vt:variant>
        <vt:i4>5</vt:i4>
      </vt:variant>
      <vt:variant>
        <vt:lpwstr/>
      </vt:variant>
      <vt:variant>
        <vt:lpwstr>_Toc210030701</vt:lpwstr>
      </vt:variant>
      <vt:variant>
        <vt:i4>1441846</vt:i4>
      </vt:variant>
      <vt:variant>
        <vt:i4>575</vt:i4>
      </vt:variant>
      <vt:variant>
        <vt:i4>0</vt:i4>
      </vt:variant>
      <vt:variant>
        <vt:i4>5</vt:i4>
      </vt:variant>
      <vt:variant>
        <vt:lpwstr/>
      </vt:variant>
      <vt:variant>
        <vt:lpwstr>_Toc210030700</vt:lpwstr>
      </vt:variant>
      <vt:variant>
        <vt:i4>2031671</vt:i4>
      </vt:variant>
      <vt:variant>
        <vt:i4>569</vt:i4>
      </vt:variant>
      <vt:variant>
        <vt:i4>0</vt:i4>
      </vt:variant>
      <vt:variant>
        <vt:i4>5</vt:i4>
      </vt:variant>
      <vt:variant>
        <vt:lpwstr/>
      </vt:variant>
      <vt:variant>
        <vt:lpwstr>_Toc210030699</vt:lpwstr>
      </vt:variant>
      <vt:variant>
        <vt:i4>2031671</vt:i4>
      </vt:variant>
      <vt:variant>
        <vt:i4>563</vt:i4>
      </vt:variant>
      <vt:variant>
        <vt:i4>0</vt:i4>
      </vt:variant>
      <vt:variant>
        <vt:i4>5</vt:i4>
      </vt:variant>
      <vt:variant>
        <vt:lpwstr/>
      </vt:variant>
      <vt:variant>
        <vt:lpwstr>_Toc210030698</vt:lpwstr>
      </vt:variant>
      <vt:variant>
        <vt:i4>2031671</vt:i4>
      </vt:variant>
      <vt:variant>
        <vt:i4>557</vt:i4>
      </vt:variant>
      <vt:variant>
        <vt:i4>0</vt:i4>
      </vt:variant>
      <vt:variant>
        <vt:i4>5</vt:i4>
      </vt:variant>
      <vt:variant>
        <vt:lpwstr/>
      </vt:variant>
      <vt:variant>
        <vt:lpwstr>_Toc210030697</vt:lpwstr>
      </vt:variant>
      <vt:variant>
        <vt:i4>2031671</vt:i4>
      </vt:variant>
      <vt:variant>
        <vt:i4>551</vt:i4>
      </vt:variant>
      <vt:variant>
        <vt:i4>0</vt:i4>
      </vt:variant>
      <vt:variant>
        <vt:i4>5</vt:i4>
      </vt:variant>
      <vt:variant>
        <vt:lpwstr/>
      </vt:variant>
      <vt:variant>
        <vt:lpwstr>_Toc210030696</vt:lpwstr>
      </vt:variant>
      <vt:variant>
        <vt:i4>2031671</vt:i4>
      </vt:variant>
      <vt:variant>
        <vt:i4>545</vt:i4>
      </vt:variant>
      <vt:variant>
        <vt:i4>0</vt:i4>
      </vt:variant>
      <vt:variant>
        <vt:i4>5</vt:i4>
      </vt:variant>
      <vt:variant>
        <vt:lpwstr/>
      </vt:variant>
      <vt:variant>
        <vt:lpwstr>_Toc210030695</vt:lpwstr>
      </vt:variant>
      <vt:variant>
        <vt:i4>2031671</vt:i4>
      </vt:variant>
      <vt:variant>
        <vt:i4>539</vt:i4>
      </vt:variant>
      <vt:variant>
        <vt:i4>0</vt:i4>
      </vt:variant>
      <vt:variant>
        <vt:i4>5</vt:i4>
      </vt:variant>
      <vt:variant>
        <vt:lpwstr/>
      </vt:variant>
      <vt:variant>
        <vt:lpwstr>_Toc210030694</vt:lpwstr>
      </vt:variant>
      <vt:variant>
        <vt:i4>2031671</vt:i4>
      </vt:variant>
      <vt:variant>
        <vt:i4>533</vt:i4>
      </vt:variant>
      <vt:variant>
        <vt:i4>0</vt:i4>
      </vt:variant>
      <vt:variant>
        <vt:i4>5</vt:i4>
      </vt:variant>
      <vt:variant>
        <vt:lpwstr/>
      </vt:variant>
      <vt:variant>
        <vt:lpwstr>_Toc210030693</vt:lpwstr>
      </vt:variant>
      <vt:variant>
        <vt:i4>2031671</vt:i4>
      </vt:variant>
      <vt:variant>
        <vt:i4>527</vt:i4>
      </vt:variant>
      <vt:variant>
        <vt:i4>0</vt:i4>
      </vt:variant>
      <vt:variant>
        <vt:i4>5</vt:i4>
      </vt:variant>
      <vt:variant>
        <vt:lpwstr/>
      </vt:variant>
      <vt:variant>
        <vt:lpwstr>_Toc210030692</vt:lpwstr>
      </vt:variant>
      <vt:variant>
        <vt:i4>2031671</vt:i4>
      </vt:variant>
      <vt:variant>
        <vt:i4>521</vt:i4>
      </vt:variant>
      <vt:variant>
        <vt:i4>0</vt:i4>
      </vt:variant>
      <vt:variant>
        <vt:i4>5</vt:i4>
      </vt:variant>
      <vt:variant>
        <vt:lpwstr/>
      </vt:variant>
      <vt:variant>
        <vt:lpwstr>_Toc210030691</vt:lpwstr>
      </vt:variant>
      <vt:variant>
        <vt:i4>2031671</vt:i4>
      </vt:variant>
      <vt:variant>
        <vt:i4>515</vt:i4>
      </vt:variant>
      <vt:variant>
        <vt:i4>0</vt:i4>
      </vt:variant>
      <vt:variant>
        <vt:i4>5</vt:i4>
      </vt:variant>
      <vt:variant>
        <vt:lpwstr/>
      </vt:variant>
      <vt:variant>
        <vt:lpwstr>_Toc210030690</vt:lpwstr>
      </vt:variant>
      <vt:variant>
        <vt:i4>1966135</vt:i4>
      </vt:variant>
      <vt:variant>
        <vt:i4>509</vt:i4>
      </vt:variant>
      <vt:variant>
        <vt:i4>0</vt:i4>
      </vt:variant>
      <vt:variant>
        <vt:i4>5</vt:i4>
      </vt:variant>
      <vt:variant>
        <vt:lpwstr/>
      </vt:variant>
      <vt:variant>
        <vt:lpwstr>_Toc210030689</vt:lpwstr>
      </vt:variant>
      <vt:variant>
        <vt:i4>1966135</vt:i4>
      </vt:variant>
      <vt:variant>
        <vt:i4>503</vt:i4>
      </vt:variant>
      <vt:variant>
        <vt:i4>0</vt:i4>
      </vt:variant>
      <vt:variant>
        <vt:i4>5</vt:i4>
      </vt:variant>
      <vt:variant>
        <vt:lpwstr/>
      </vt:variant>
      <vt:variant>
        <vt:lpwstr>_Toc210030688</vt:lpwstr>
      </vt:variant>
      <vt:variant>
        <vt:i4>1966135</vt:i4>
      </vt:variant>
      <vt:variant>
        <vt:i4>497</vt:i4>
      </vt:variant>
      <vt:variant>
        <vt:i4>0</vt:i4>
      </vt:variant>
      <vt:variant>
        <vt:i4>5</vt:i4>
      </vt:variant>
      <vt:variant>
        <vt:lpwstr/>
      </vt:variant>
      <vt:variant>
        <vt:lpwstr>_Toc210030687</vt:lpwstr>
      </vt:variant>
      <vt:variant>
        <vt:i4>1966135</vt:i4>
      </vt:variant>
      <vt:variant>
        <vt:i4>491</vt:i4>
      </vt:variant>
      <vt:variant>
        <vt:i4>0</vt:i4>
      </vt:variant>
      <vt:variant>
        <vt:i4>5</vt:i4>
      </vt:variant>
      <vt:variant>
        <vt:lpwstr/>
      </vt:variant>
      <vt:variant>
        <vt:lpwstr>_Toc210030686</vt:lpwstr>
      </vt:variant>
      <vt:variant>
        <vt:i4>1966135</vt:i4>
      </vt:variant>
      <vt:variant>
        <vt:i4>485</vt:i4>
      </vt:variant>
      <vt:variant>
        <vt:i4>0</vt:i4>
      </vt:variant>
      <vt:variant>
        <vt:i4>5</vt:i4>
      </vt:variant>
      <vt:variant>
        <vt:lpwstr/>
      </vt:variant>
      <vt:variant>
        <vt:lpwstr>_Toc210030685</vt:lpwstr>
      </vt:variant>
      <vt:variant>
        <vt:i4>1966135</vt:i4>
      </vt:variant>
      <vt:variant>
        <vt:i4>479</vt:i4>
      </vt:variant>
      <vt:variant>
        <vt:i4>0</vt:i4>
      </vt:variant>
      <vt:variant>
        <vt:i4>5</vt:i4>
      </vt:variant>
      <vt:variant>
        <vt:lpwstr/>
      </vt:variant>
      <vt:variant>
        <vt:lpwstr>_Toc210030684</vt:lpwstr>
      </vt:variant>
      <vt:variant>
        <vt:i4>1966135</vt:i4>
      </vt:variant>
      <vt:variant>
        <vt:i4>473</vt:i4>
      </vt:variant>
      <vt:variant>
        <vt:i4>0</vt:i4>
      </vt:variant>
      <vt:variant>
        <vt:i4>5</vt:i4>
      </vt:variant>
      <vt:variant>
        <vt:lpwstr/>
      </vt:variant>
      <vt:variant>
        <vt:lpwstr>_Toc210030683</vt:lpwstr>
      </vt:variant>
      <vt:variant>
        <vt:i4>1966135</vt:i4>
      </vt:variant>
      <vt:variant>
        <vt:i4>467</vt:i4>
      </vt:variant>
      <vt:variant>
        <vt:i4>0</vt:i4>
      </vt:variant>
      <vt:variant>
        <vt:i4>5</vt:i4>
      </vt:variant>
      <vt:variant>
        <vt:lpwstr/>
      </vt:variant>
      <vt:variant>
        <vt:lpwstr>_Toc210030682</vt:lpwstr>
      </vt:variant>
      <vt:variant>
        <vt:i4>1966135</vt:i4>
      </vt:variant>
      <vt:variant>
        <vt:i4>461</vt:i4>
      </vt:variant>
      <vt:variant>
        <vt:i4>0</vt:i4>
      </vt:variant>
      <vt:variant>
        <vt:i4>5</vt:i4>
      </vt:variant>
      <vt:variant>
        <vt:lpwstr/>
      </vt:variant>
      <vt:variant>
        <vt:lpwstr>_Toc210030681</vt:lpwstr>
      </vt:variant>
      <vt:variant>
        <vt:i4>1966135</vt:i4>
      </vt:variant>
      <vt:variant>
        <vt:i4>455</vt:i4>
      </vt:variant>
      <vt:variant>
        <vt:i4>0</vt:i4>
      </vt:variant>
      <vt:variant>
        <vt:i4>5</vt:i4>
      </vt:variant>
      <vt:variant>
        <vt:lpwstr/>
      </vt:variant>
      <vt:variant>
        <vt:lpwstr>_Toc210030680</vt:lpwstr>
      </vt:variant>
      <vt:variant>
        <vt:i4>1114167</vt:i4>
      </vt:variant>
      <vt:variant>
        <vt:i4>449</vt:i4>
      </vt:variant>
      <vt:variant>
        <vt:i4>0</vt:i4>
      </vt:variant>
      <vt:variant>
        <vt:i4>5</vt:i4>
      </vt:variant>
      <vt:variant>
        <vt:lpwstr/>
      </vt:variant>
      <vt:variant>
        <vt:lpwstr>_Toc210030679</vt:lpwstr>
      </vt:variant>
      <vt:variant>
        <vt:i4>1114167</vt:i4>
      </vt:variant>
      <vt:variant>
        <vt:i4>443</vt:i4>
      </vt:variant>
      <vt:variant>
        <vt:i4>0</vt:i4>
      </vt:variant>
      <vt:variant>
        <vt:i4>5</vt:i4>
      </vt:variant>
      <vt:variant>
        <vt:lpwstr/>
      </vt:variant>
      <vt:variant>
        <vt:lpwstr>_Toc210030678</vt:lpwstr>
      </vt:variant>
      <vt:variant>
        <vt:i4>1114167</vt:i4>
      </vt:variant>
      <vt:variant>
        <vt:i4>437</vt:i4>
      </vt:variant>
      <vt:variant>
        <vt:i4>0</vt:i4>
      </vt:variant>
      <vt:variant>
        <vt:i4>5</vt:i4>
      </vt:variant>
      <vt:variant>
        <vt:lpwstr/>
      </vt:variant>
      <vt:variant>
        <vt:lpwstr>_Toc210030677</vt:lpwstr>
      </vt:variant>
      <vt:variant>
        <vt:i4>1114167</vt:i4>
      </vt:variant>
      <vt:variant>
        <vt:i4>431</vt:i4>
      </vt:variant>
      <vt:variant>
        <vt:i4>0</vt:i4>
      </vt:variant>
      <vt:variant>
        <vt:i4>5</vt:i4>
      </vt:variant>
      <vt:variant>
        <vt:lpwstr/>
      </vt:variant>
      <vt:variant>
        <vt:lpwstr>_Toc210030676</vt:lpwstr>
      </vt:variant>
      <vt:variant>
        <vt:i4>1114167</vt:i4>
      </vt:variant>
      <vt:variant>
        <vt:i4>425</vt:i4>
      </vt:variant>
      <vt:variant>
        <vt:i4>0</vt:i4>
      </vt:variant>
      <vt:variant>
        <vt:i4>5</vt:i4>
      </vt:variant>
      <vt:variant>
        <vt:lpwstr/>
      </vt:variant>
      <vt:variant>
        <vt:lpwstr>_Toc210030675</vt:lpwstr>
      </vt:variant>
      <vt:variant>
        <vt:i4>1114167</vt:i4>
      </vt:variant>
      <vt:variant>
        <vt:i4>419</vt:i4>
      </vt:variant>
      <vt:variant>
        <vt:i4>0</vt:i4>
      </vt:variant>
      <vt:variant>
        <vt:i4>5</vt:i4>
      </vt:variant>
      <vt:variant>
        <vt:lpwstr/>
      </vt:variant>
      <vt:variant>
        <vt:lpwstr>_Toc210030674</vt:lpwstr>
      </vt:variant>
      <vt:variant>
        <vt:i4>1114167</vt:i4>
      </vt:variant>
      <vt:variant>
        <vt:i4>413</vt:i4>
      </vt:variant>
      <vt:variant>
        <vt:i4>0</vt:i4>
      </vt:variant>
      <vt:variant>
        <vt:i4>5</vt:i4>
      </vt:variant>
      <vt:variant>
        <vt:lpwstr/>
      </vt:variant>
      <vt:variant>
        <vt:lpwstr>_Toc210030673</vt:lpwstr>
      </vt:variant>
      <vt:variant>
        <vt:i4>1114167</vt:i4>
      </vt:variant>
      <vt:variant>
        <vt:i4>407</vt:i4>
      </vt:variant>
      <vt:variant>
        <vt:i4>0</vt:i4>
      </vt:variant>
      <vt:variant>
        <vt:i4>5</vt:i4>
      </vt:variant>
      <vt:variant>
        <vt:lpwstr/>
      </vt:variant>
      <vt:variant>
        <vt:lpwstr>_Toc210030672</vt:lpwstr>
      </vt:variant>
      <vt:variant>
        <vt:i4>1114167</vt:i4>
      </vt:variant>
      <vt:variant>
        <vt:i4>401</vt:i4>
      </vt:variant>
      <vt:variant>
        <vt:i4>0</vt:i4>
      </vt:variant>
      <vt:variant>
        <vt:i4>5</vt:i4>
      </vt:variant>
      <vt:variant>
        <vt:lpwstr/>
      </vt:variant>
      <vt:variant>
        <vt:lpwstr>_Toc210030671</vt:lpwstr>
      </vt:variant>
      <vt:variant>
        <vt:i4>1114167</vt:i4>
      </vt:variant>
      <vt:variant>
        <vt:i4>395</vt:i4>
      </vt:variant>
      <vt:variant>
        <vt:i4>0</vt:i4>
      </vt:variant>
      <vt:variant>
        <vt:i4>5</vt:i4>
      </vt:variant>
      <vt:variant>
        <vt:lpwstr/>
      </vt:variant>
      <vt:variant>
        <vt:lpwstr>_Toc210030670</vt:lpwstr>
      </vt:variant>
      <vt:variant>
        <vt:i4>1048631</vt:i4>
      </vt:variant>
      <vt:variant>
        <vt:i4>389</vt:i4>
      </vt:variant>
      <vt:variant>
        <vt:i4>0</vt:i4>
      </vt:variant>
      <vt:variant>
        <vt:i4>5</vt:i4>
      </vt:variant>
      <vt:variant>
        <vt:lpwstr/>
      </vt:variant>
      <vt:variant>
        <vt:lpwstr>_Toc210030669</vt:lpwstr>
      </vt:variant>
      <vt:variant>
        <vt:i4>1048631</vt:i4>
      </vt:variant>
      <vt:variant>
        <vt:i4>383</vt:i4>
      </vt:variant>
      <vt:variant>
        <vt:i4>0</vt:i4>
      </vt:variant>
      <vt:variant>
        <vt:i4>5</vt:i4>
      </vt:variant>
      <vt:variant>
        <vt:lpwstr/>
      </vt:variant>
      <vt:variant>
        <vt:lpwstr>_Toc210030668</vt:lpwstr>
      </vt:variant>
      <vt:variant>
        <vt:i4>1048631</vt:i4>
      </vt:variant>
      <vt:variant>
        <vt:i4>377</vt:i4>
      </vt:variant>
      <vt:variant>
        <vt:i4>0</vt:i4>
      </vt:variant>
      <vt:variant>
        <vt:i4>5</vt:i4>
      </vt:variant>
      <vt:variant>
        <vt:lpwstr/>
      </vt:variant>
      <vt:variant>
        <vt:lpwstr>_Toc210030667</vt:lpwstr>
      </vt:variant>
      <vt:variant>
        <vt:i4>1048631</vt:i4>
      </vt:variant>
      <vt:variant>
        <vt:i4>371</vt:i4>
      </vt:variant>
      <vt:variant>
        <vt:i4>0</vt:i4>
      </vt:variant>
      <vt:variant>
        <vt:i4>5</vt:i4>
      </vt:variant>
      <vt:variant>
        <vt:lpwstr/>
      </vt:variant>
      <vt:variant>
        <vt:lpwstr>_Toc210030666</vt:lpwstr>
      </vt:variant>
      <vt:variant>
        <vt:i4>1048631</vt:i4>
      </vt:variant>
      <vt:variant>
        <vt:i4>365</vt:i4>
      </vt:variant>
      <vt:variant>
        <vt:i4>0</vt:i4>
      </vt:variant>
      <vt:variant>
        <vt:i4>5</vt:i4>
      </vt:variant>
      <vt:variant>
        <vt:lpwstr/>
      </vt:variant>
      <vt:variant>
        <vt:lpwstr>_Toc210030665</vt:lpwstr>
      </vt:variant>
      <vt:variant>
        <vt:i4>1048631</vt:i4>
      </vt:variant>
      <vt:variant>
        <vt:i4>359</vt:i4>
      </vt:variant>
      <vt:variant>
        <vt:i4>0</vt:i4>
      </vt:variant>
      <vt:variant>
        <vt:i4>5</vt:i4>
      </vt:variant>
      <vt:variant>
        <vt:lpwstr/>
      </vt:variant>
      <vt:variant>
        <vt:lpwstr>_Toc210030664</vt:lpwstr>
      </vt:variant>
      <vt:variant>
        <vt:i4>1048631</vt:i4>
      </vt:variant>
      <vt:variant>
        <vt:i4>353</vt:i4>
      </vt:variant>
      <vt:variant>
        <vt:i4>0</vt:i4>
      </vt:variant>
      <vt:variant>
        <vt:i4>5</vt:i4>
      </vt:variant>
      <vt:variant>
        <vt:lpwstr/>
      </vt:variant>
      <vt:variant>
        <vt:lpwstr>_Toc210030663</vt:lpwstr>
      </vt:variant>
      <vt:variant>
        <vt:i4>1048631</vt:i4>
      </vt:variant>
      <vt:variant>
        <vt:i4>347</vt:i4>
      </vt:variant>
      <vt:variant>
        <vt:i4>0</vt:i4>
      </vt:variant>
      <vt:variant>
        <vt:i4>5</vt:i4>
      </vt:variant>
      <vt:variant>
        <vt:lpwstr/>
      </vt:variant>
      <vt:variant>
        <vt:lpwstr>_Toc210030662</vt:lpwstr>
      </vt:variant>
      <vt:variant>
        <vt:i4>1048631</vt:i4>
      </vt:variant>
      <vt:variant>
        <vt:i4>341</vt:i4>
      </vt:variant>
      <vt:variant>
        <vt:i4>0</vt:i4>
      </vt:variant>
      <vt:variant>
        <vt:i4>5</vt:i4>
      </vt:variant>
      <vt:variant>
        <vt:lpwstr/>
      </vt:variant>
      <vt:variant>
        <vt:lpwstr>_Toc210030661</vt:lpwstr>
      </vt:variant>
      <vt:variant>
        <vt:i4>1048631</vt:i4>
      </vt:variant>
      <vt:variant>
        <vt:i4>335</vt:i4>
      </vt:variant>
      <vt:variant>
        <vt:i4>0</vt:i4>
      </vt:variant>
      <vt:variant>
        <vt:i4>5</vt:i4>
      </vt:variant>
      <vt:variant>
        <vt:lpwstr/>
      </vt:variant>
      <vt:variant>
        <vt:lpwstr>_Toc210030660</vt:lpwstr>
      </vt:variant>
      <vt:variant>
        <vt:i4>1245239</vt:i4>
      </vt:variant>
      <vt:variant>
        <vt:i4>329</vt:i4>
      </vt:variant>
      <vt:variant>
        <vt:i4>0</vt:i4>
      </vt:variant>
      <vt:variant>
        <vt:i4>5</vt:i4>
      </vt:variant>
      <vt:variant>
        <vt:lpwstr/>
      </vt:variant>
      <vt:variant>
        <vt:lpwstr>_Toc210030659</vt:lpwstr>
      </vt:variant>
      <vt:variant>
        <vt:i4>1245239</vt:i4>
      </vt:variant>
      <vt:variant>
        <vt:i4>323</vt:i4>
      </vt:variant>
      <vt:variant>
        <vt:i4>0</vt:i4>
      </vt:variant>
      <vt:variant>
        <vt:i4>5</vt:i4>
      </vt:variant>
      <vt:variant>
        <vt:lpwstr/>
      </vt:variant>
      <vt:variant>
        <vt:lpwstr>_Toc210030658</vt:lpwstr>
      </vt:variant>
      <vt:variant>
        <vt:i4>1245239</vt:i4>
      </vt:variant>
      <vt:variant>
        <vt:i4>317</vt:i4>
      </vt:variant>
      <vt:variant>
        <vt:i4>0</vt:i4>
      </vt:variant>
      <vt:variant>
        <vt:i4>5</vt:i4>
      </vt:variant>
      <vt:variant>
        <vt:lpwstr/>
      </vt:variant>
      <vt:variant>
        <vt:lpwstr>_Toc210030657</vt:lpwstr>
      </vt:variant>
      <vt:variant>
        <vt:i4>1245239</vt:i4>
      </vt:variant>
      <vt:variant>
        <vt:i4>311</vt:i4>
      </vt:variant>
      <vt:variant>
        <vt:i4>0</vt:i4>
      </vt:variant>
      <vt:variant>
        <vt:i4>5</vt:i4>
      </vt:variant>
      <vt:variant>
        <vt:lpwstr/>
      </vt:variant>
      <vt:variant>
        <vt:lpwstr>_Toc210030656</vt:lpwstr>
      </vt:variant>
      <vt:variant>
        <vt:i4>1245239</vt:i4>
      </vt:variant>
      <vt:variant>
        <vt:i4>305</vt:i4>
      </vt:variant>
      <vt:variant>
        <vt:i4>0</vt:i4>
      </vt:variant>
      <vt:variant>
        <vt:i4>5</vt:i4>
      </vt:variant>
      <vt:variant>
        <vt:lpwstr/>
      </vt:variant>
      <vt:variant>
        <vt:lpwstr>_Toc210030655</vt:lpwstr>
      </vt:variant>
      <vt:variant>
        <vt:i4>1245239</vt:i4>
      </vt:variant>
      <vt:variant>
        <vt:i4>299</vt:i4>
      </vt:variant>
      <vt:variant>
        <vt:i4>0</vt:i4>
      </vt:variant>
      <vt:variant>
        <vt:i4>5</vt:i4>
      </vt:variant>
      <vt:variant>
        <vt:lpwstr/>
      </vt:variant>
      <vt:variant>
        <vt:lpwstr>_Toc210030654</vt:lpwstr>
      </vt:variant>
      <vt:variant>
        <vt:i4>1245239</vt:i4>
      </vt:variant>
      <vt:variant>
        <vt:i4>293</vt:i4>
      </vt:variant>
      <vt:variant>
        <vt:i4>0</vt:i4>
      </vt:variant>
      <vt:variant>
        <vt:i4>5</vt:i4>
      </vt:variant>
      <vt:variant>
        <vt:lpwstr/>
      </vt:variant>
      <vt:variant>
        <vt:lpwstr>_Toc210030653</vt:lpwstr>
      </vt:variant>
      <vt:variant>
        <vt:i4>1245239</vt:i4>
      </vt:variant>
      <vt:variant>
        <vt:i4>287</vt:i4>
      </vt:variant>
      <vt:variant>
        <vt:i4>0</vt:i4>
      </vt:variant>
      <vt:variant>
        <vt:i4>5</vt:i4>
      </vt:variant>
      <vt:variant>
        <vt:lpwstr/>
      </vt:variant>
      <vt:variant>
        <vt:lpwstr>_Toc210030652</vt:lpwstr>
      </vt:variant>
      <vt:variant>
        <vt:i4>1245239</vt:i4>
      </vt:variant>
      <vt:variant>
        <vt:i4>281</vt:i4>
      </vt:variant>
      <vt:variant>
        <vt:i4>0</vt:i4>
      </vt:variant>
      <vt:variant>
        <vt:i4>5</vt:i4>
      </vt:variant>
      <vt:variant>
        <vt:lpwstr/>
      </vt:variant>
      <vt:variant>
        <vt:lpwstr>_Toc210030651</vt:lpwstr>
      </vt:variant>
      <vt:variant>
        <vt:i4>1245239</vt:i4>
      </vt:variant>
      <vt:variant>
        <vt:i4>275</vt:i4>
      </vt:variant>
      <vt:variant>
        <vt:i4>0</vt:i4>
      </vt:variant>
      <vt:variant>
        <vt:i4>5</vt:i4>
      </vt:variant>
      <vt:variant>
        <vt:lpwstr/>
      </vt:variant>
      <vt:variant>
        <vt:lpwstr>_Toc210030650</vt:lpwstr>
      </vt:variant>
      <vt:variant>
        <vt:i4>1179703</vt:i4>
      </vt:variant>
      <vt:variant>
        <vt:i4>269</vt:i4>
      </vt:variant>
      <vt:variant>
        <vt:i4>0</vt:i4>
      </vt:variant>
      <vt:variant>
        <vt:i4>5</vt:i4>
      </vt:variant>
      <vt:variant>
        <vt:lpwstr/>
      </vt:variant>
      <vt:variant>
        <vt:lpwstr>_Toc210030649</vt:lpwstr>
      </vt:variant>
      <vt:variant>
        <vt:i4>1179703</vt:i4>
      </vt:variant>
      <vt:variant>
        <vt:i4>263</vt:i4>
      </vt:variant>
      <vt:variant>
        <vt:i4>0</vt:i4>
      </vt:variant>
      <vt:variant>
        <vt:i4>5</vt:i4>
      </vt:variant>
      <vt:variant>
        <vt:lpwstr/>
      </vt:variant>
      <vt:variant>
        <vt:lpwstr>_Toc210030648</vt:lpwstr>
      </vt:variant>
      <vt:variant>
        <vt:i4>1179703</vt:i4>
      </vt:variant>
      <vt:variant>
        <vt:i4>257</vt:i4>
      </vt:variant>
      <vt:variant>
        <vt:i4>0</vt:i4>
      </vt:variant>
      <vt:variant>
        <vt:i4>5</vt:i4>
      </vt:variant>
      <vt:variant>
        <vt:lpwstr/>
      </vt:variant>
      <vt:variant>
        <vt:lpwstr>_Toc210030647</vt:lpwstr>
      </vt:variant>
      <vt:variant>
        <vt:i4>1179703</vt:i4>
      </vt:variant>
      <vt:variant>
        <vt:i4>251</vt:i4>
      </vt:variant>
      <vt:variant>
        <vt:i4>0</vt:i4>
      </vt:variant>
      <vt:variant>
        <vt:i4>5</vt:i4>
      </vt:variant>
      <vt:variant>
        <vt:lpwstr/>
      </vt:variant>
      <vt:variant>
        <vt:lpwstr>_Toc210030646</vt:lpwstr>
      </vt:variant>
      <vt:variant>
        <vt:i4>1179703</vt:i4>
      </vt:variant>
      <vt:variant>
        <vt:i4>245</vt:i4>
      </vt:variant>
      <vt:variant>
        <vt:i4>0</vt:i4>
      </vt:variant>
      <vt:variant>
        <vt:i4>5</vt:i4>
      </vt:variant>
      <vt:variant>
        <vt:lpwstr/>
      </vt:variant>
      <vt:variant>
        <vt:lpwstr>_Toc210030645</vt:lpwstr>
      </vt:variant>
      <vt:variant>
        <vt:i4>1179703</vt:i4>
      </vt:variant>
      <vt:variant>
        <vt:i4>239</vt:i4>
      </vt:variant>
      <vt:variant>
        <vt:i4>0</vt:i4>
      </vt:variant>
      <vt:variant>
        <vt:i4>5</vt:i4>
      </vt:variant>
      <vt:variant>
        <vt:lpwstr/>
      </vt:variant>
      <vt:variant>
        <vt:lpwstr>_Toc210030644</vt:lpwstr>
      </vt:variant>
      <vt:variant>
        <vt:i4>1179703</vt:i4>
      </vt:variant>
      <vt:variant>
        <vt:i4>233</vt:i4>
      </vt:variant>
      <vt:variant>
        <vt:i4>0</vt:i4>
      </vt:variant>
      <vt:variant>
        <vt:i4>5</vt:i4>
      </vt:variant>
      <vt:variant>
        <vt:lpwstr/>
      </vt:variant>
      <vt:variant>
        <vt:lpwstr>_Toc210030643</vt:lpwstr>
      </vt:variant>
      <vt:variant>
        <vt:i4>1179703</vt:i4>
      </vt:variant>
      <vt:variant>
        <vt:i4>227</vt:i4>
      </vt:variant>
      <vt:variant>
        <vt:i4>0</vt:i4>
      </vt:variant>
      <vt:variant>
        <vt:i4>5</vt:i4>
      </vt:variant>
      <vt:variant>
        <vt:lpwstr/>
      </vt:variant>
      <vt:variant>
        <vt:lpwstr>_Toc210030642</vt:lpwstr>
      </vt:variant>
      <vt:variant>
        <vt:i4>1179703</vt:i4>
      </vt:variant>
      <vt:variant>
        <vt:i4>221</vt:i4>
      </vt:variant>
      <vt:variant>
        <vt:i4>0</vt:i4>
      </vt:variant>
      <vt:variant>
        <vt:i4>5</vt:i4>
      </vt:variant>
      <vt:variant>
        <vt:lpwstr/>
      </vt:variant>
      <vt:variant>
        <vt:lpwstr>_Toc210030641</vt:lpwstr>
      </vt:variant>
      <vt:variant>
        <vt:i4>1179703</vt:i4>
      </vt:variant>
      <vt:variant>
        <vt:i4>215</vt:i4>
      </vt:variant>
      <vt:variant>
        <vt:i4>0</vt:i4>
      </vt:variant>
      <vt:variant>
        <vt:i4>5</vt:i4>
      </vt:variant>
      <vt:variant>
        <vt:lpwstr/>
      </vt:variant>
      <vt:variant>
        <vt:lpwstr>_Toc210030640</vt:lpwstr>
      </vt:variant>
      <vt:variant>
        <vt:i4>1376311</vt:i4>
      </vt:variant>
      <vt:variant>
        <vt:i4>209</vt:i4>
      </vt:variant>
      <vt:variant>
        <vt:i4>0</vt:i4>
      </vt:variant>
      <vt:variant>
        <vt:i4>5</vt:i4>
      </vt:variant>
      <vt:variant>
        <vt:lpwstr/>
      </vt:variant>
      <vt:variant>
        <vt:lpwstr>_Toc210030639</vt:lpwstr>
      </vt:variant>
      <vt:variant>
        <vt:i4>1376311</vt:i4>
      </vt:variant>
      <vt:variant>
        <vt:i4>203</vt:i4>
      </vt:variant>
      <vt:variant>
        <vt:i4>0</vt:i4>
      </vt:variant>
      <vt:variant>
        <vt:i4>5</vt:i4>
      </vt:variant>
      <vt:variant>
        <vt:lpwstr/>
      </vt:variant>
      <vt:variant>
        <vt:lpwstr>_Toc210030638</vt:lpwstr>
      </vt:variant>
      <vt:variant>
        <vt:i4>1376311</vt:i4>
      </vt:variant>
      <vt:variant>
        <vt:i4>197</vt:i4>
      </vt:variant>
      <vt:variant>
        <vt:i4>0</vt:i4>
      </vt:variant>
      <vt:variant>
        <vt:i4>5</vt:i4>
      </vt:variant>
      <vt:variant>
        <vt:lpwstr/>
      </vt:variant>
      <vt:variant>
        <vt:lpwstr>_Toc210030637</vt:lpwstr>
      </vt:variant>
      <vt:variant>
        <vt:i4>7602284</vt:i4>
      </vt:variant>
      <vt:variant>
        <vt:i4>165</vt:i4>
      </vt:variant>
      <vt:variant>
        <vt:i4>0</vt:i4>
      </vt:variant>
      <vt:variant>
        <vt:i4>5</vt:i4>
      </vt:variant>
      <vt:variant>
        <vt:lpwstr>https://www.melbournewater.com.au/services/prices-and-charges/price-submission</vt:lpwstr>
      </vt:variant>
      <vt:variant>
        <vt:lpwstr/>
      </vt:variant>
      <vt:variant>
        <vt:i4>1179705</vt:i4>
      </vt:variant>
      <vt:variant>
        <vt:i4>158</vt:i4>
      </vt:variant>
      <vt:variant>
        <vt:i4>0</vt:i4>
      </vt:variant>
      <vt:variant>
        <vt:i4>5</vt:i4>
      </vt:variant>
      <vt:variant>
        <vt:lpwstr/>
      </vt:variant>
      <vt:variant>
        <vt:lpwstr>_Toc210032867</vt:lpwstr>
      </vt:variant>
      <vt:variant>
        <vt:i4>1179705</vt:i4>
      </vt:variant>
      <vt:variant>
        <vt:i4>152</vt:i4>
      </vt:variant>
      <vt:variant>
        <vt:i4>0</vt:i4>
      </vt:variant>
      <vt:variant>
        <vt:i4>5</vt:i4>
      </vt:variant>
      <vt:variant>
        <vt:lpwstr/>
      </vt:variant>
      <vt:variant>
        <vt:lpwstr>_Toc210032866</vt:lpwstr>
      </vt:variant>
      <vt:variant>
        <vt:i4>1179705</vt:i4>
      </vt:variant>
      <vt:variant>
        <vt:i4>146</vt:i4>
      </vt:variant>
      <vt:variant>
        <vt:i4>0</vt:i4>
      </vt:variant>
      <vt:variant>
        <vt:i4>5</vt:i4>
      </vt:variant>
      <vt:variant>
        <vt:lpwstr/>
      </vt:variant>
      <vt:variant>
        <vt:lpwstr>_Toc210032865</vt:lpwstr>
      </vt:variant>
      <vt:variant>
        <vt:i4>1179705</vt:i4>
      </vt:variant>
      <vt:variant>
        <vt:i4>140</vt:i4>
      </vt:variant>
      <vt:variant>
        <vt:i4>0</vt:i4>
      </vt:variant>
      <vt:variant>
        <vt:i4>5</vt:i4>
      </vt:variant>
      <vt:variant>
        <vt:lpwstr/>
      </vt:variant>
      <vt:variant>
        <vt:lpwstr>_Toc210032864</vt:lpwstr>
      </vt:variant>
      <vt:variant>
        <vt:i4>1179705</vt:i4>
      </vt:variant>
      <vt:variant>
        <vt:i4>134</vt:i4>
      </vt:variant>
      <vt:variant>
        <vt:i4>0</vt:i4>
      </vt:variant>
      <vt:variant>
        <vt:i4>5</vt:i4>
      </vt:variant>
      <vt:variant>
        <vt:lpwstr/>
      </vt:variant>
      <vt:variant>
        <vt:lpwstr>_Toc210032863</vt:lpwstr>
      </vt:variant>
      <vt:variant>
        <vt:i4>1179705</vt:i4>
      </vt:variant>
      <vt:variant>
        <vt:i4>128</vt:i4>
      </vt:variant>
      <vt:variant>
        <vt:i4>0</vt:i4>
      </vt:variant>
      <vt:variant>
        <vt:i4>5</vt:i4>
      </vt:variant>
      <vt:variant>
        <vt:lpwstr/>
      </vt:variant>
      <vt:variant>
        <vt:lpwstr>_Toc210032862</vt:lpwstr>
      </vt:variant>
      <vt:variant>
        <vt:i4>1179705</vt:i4>
      </vt:variant>
      <vt:variant>
        <vt:i4>122</vt:i4>
      </vt:variant>
      <vt:variant>
        <vt:i4>0</vt:i4>
      </vt:variant>
      <vt:variant>
        <vt:i4>5</vt:i4>
      </vt:variant>
      <vt:variant>
        <vt:lpwstr/>
      </vt:variant>
      <vt:variant>
        <vt:lpwstr>_Toc210032861</vt:lpwstr>
      </vt:variant>
      <vt:variant>
        <vt:i4>1179705</vt:i4>
      </vt:variant>
      <vt:variant>
        <vt:i4>116</vt:i4>
      </vt:variant>
      <vt:variant>
        <vt:i4>0</vt:i4>
      </vt:variant>
      <vt:variant>
        <vt:i4>5</vt:i4>
      </vt:variant>
      <vt:variant>
        <vt:lpwstr/>
      </vt:variant>
      <vt:variant>
        <vt:lpwstr>_Toc210032860</vt:lpwstr>
      </vt:variant>
      <vt:variant>
        <vt:i4>1114169</vt:i4>
      </vt:variant>
      <vt:variant>
        <vt:i4>110</vt:i4>
      </vt:variant>
      <vt:variant>
        <vt:i4>0</vt:i4>
      </vt:variant>
      <vt:variant>
        <vt:i4>5</vt:i4>
      </vt:variant>
      <vt:variant>
        <vt:lpwstr/>
      </vt:variant>
      <vt:variant>
        <vt:lpwstr>_Toc210032859</vt:lpwstr>
      </vt:variant>
      <vt:variant>
        <vt:i4>1114169</vt:i4>
      </vt:variant>
      <vt:variant>
        <vt:i4>104</vt:i4>
      </vt:variant>
      <vt:variant>
        <vt:i4>0</vt:i4>
      </vt:variant>
      <vt:variant>
        <vt:i4>5</vt:i4>
      </vt:variant>
      <vt:variant>
        <vt:lpwstr/>
      </vt:variant>
      <vt:variant>
        <vt:lpwstr>_Toc210032858</vt:lpwstr>
      </vt:variant>
      <vt:variant>
        <vt:i4>1114169</vt:i4>
      </vt:variant>
      <vt:variant>
        <vt:i4>98</vt:i4>
      </vt:variant>
      <vt:variant>
        <vt:i4>0</vt:i4>
      </vt:variant>
      <vt:variant>
        <vt:i4>5</vt:i4>
      </vt:variant>
      <vt:variant>
        <vt:lpwstr/>
      </vt:variant>
      <vt:variant>
        <vt:lpwstr>_Toc210032857</vt:lpwstr>
      </vt:variant>
      <vt:variant>
        <vt:i4>1114169</vt:i4>
      </vt:variant>
      <vt:variant>
        <vt:i4>92</vt:i4>
      </vt:variant>
      <vt:variant>
        <vt:i4>0</vt:i4>
      </vt:variant>
      <vt:variant>
        <vt:i4>5</vt:i4>
      </vt:variant>
      <vt:variant>
        <vt:lpwstr/>
      </vt:variant>
      <vt:variant>
        <vt:lpwstr>_Toc210032856</vt:lpwstr>
      </vt:variant>
      <vt:variant>
        <vt:i4>1114169</vt:i4>
      </vt:variant>
      <vt:variant>
        <vt:i4>86</vt:i4>
      </vt:variant>
      <vt:variant>
        <vt:i4>0</vt:i4>
      </vt:variant>
      <vt:variant>
        <vt:i4>5</vt:i4>
      </vt:variant>
      <vt:variant>
        <vt:lpwstr/>
      </vt:variant>
      <vt:variant>
        <vt:lpwstr>_Toc210032855</vt:lpwstr>
      </vt:variant>
      <vt:variant>
        <vt:i4>1114169</vt:i4>
      </vt:variant>
      <vt:variant>
        <vt:i4>80</vt:i4>
      </vt:variant>
      <vt:variant>
        <vt:i4>0</vt:i4>
      </vt:variant>
      <vt:variant>
        <vt:i4>5</vt:i4>
      </vt:variant>
      <vt:variant>
        <vt:lpwstr/>
      </vt:variant>
      <vt:variant>
        <vt:lpwstr>_Toc210032854</vt:lpwstr>
      </vt:variant>
      <vt:variant>
        <vt:i4>1114169</vt:i4>
      </vt:variant>
      <vt:variant>
        <vt:i4>74</vt:i4>
      </vt:variant>
      <vt:variant>
        <vt:i4>0</vt:i4>
      </vt:variant>
      <vt:variant>
        <vt:i4>5</vt:i4>
      </vt:variant>
      <vt:variant>
        <vt:lpwstr/>
      </vt:variant>
      <vt:variant>
        <vt:lpwstr>_Toc210032853</vt:lpwstr>
      </vt:variant>
      <vt:variant>
        <vt:i4>1114169</vt:i4>
      </vt:variant>
      <vt:variant>
        <vt:i4>68</vt:i4>
      </vt:variant>
      <vt:variant>
        <vt:i4>0</vt:i4>
      </vt:variant>
      <vt:variant>
        <vt:i4>5</vt:i4>
      </vt:variant>
      <vt:variant>
        <vt:lpwstr/>
      </vt:variant>
      <vt:variant>
        <vt:lpwstr>_Toc210032852</vt:lpwstr>
      </vt:variant>
      <vt:variant>
        <vt:i4>1114169</vt:i4>
      </vt:variant>
      <vt:variant>
        <vt:i4>62</vt:i4>
      </vt:variant>
      <vt:variant>
        <vt:i4>0</vt:i4>
      </vt:variant>
      <vt:variant>
        <vt:i4>5</vt:i4>
      </vt:variant>
      <vt:variant>
        <vt:lpwstr/>
      </vt:variant>
      <vt:variant>
        <vt:lpwstr>_Toc210032851</vt:lpwstr>
      </vt:variant>
      <vt:variant>
        <vt:i4>1114169</vt:i4>
      </vt:variant>
      <vt:variant>
        <vt:i4>56</vt:i4>
      </vt:variant>
      <vt:variant>
        <vt:i4>0</vt:i4>
      </vt:variant>
      <vt:variant>
        <vt:i4>5</vt:i4>
      </vt:variant>
      <vt:variant>
        <vt:lpwstr/>
      </vt:variant>
      <vt:variant>
        <vt:lpwstr>_Toc210032850</vt:lpwstr>
      </vt:variant>
      <vt:variant>
        <vt:i4>1048633</vt:i4>
      </vt:variant>
      <vt:variant>
        <vt:i4>50</vt:i4>
      </vt:variant>
      <vt:variant>
        <vt:i4>0</vt:i4>
      </vt:variant>
      <vt:variant>
        <vt:i4>5</vt:i4>
      </vt:variant>
      <vt:variant>
        <vt:lpwstr/>
      </vt:variant>
      <vt:variant>
        <vt:lpwstr>_Toc210032849</vt:lpwstr>
      </vt:variant>
      <vt:variant>
        <vt:i4>1048633</vt:i4>
      </vt:variant>
      <vt:variant>
        <vt:i4>44</vt:i4>
      </vt:variant>
      <vt:variant>
        <vt:i4>0</vt:i4>
      </vt:variant>
      <vt:variant>
        <vt:i4>5</vt:i4>
      </vt:variant>
      <vt:variant>
        <vt:lpwstr/>
      </vt:variant>
      <vt:variant>
        <vt:lpwstr>_Toc210032848</vt:lpwstr>
      </vt:variant>
      <vt:variant>
        <vt:i4>1048633</vt:i4>
      </vt:variant>
      <vt:variant>
        <vt:i4>38</vt:i4>
      </vt:variant>
      <vt:variant>
        <vt:i4>0</vt:i4>
      </vt:variant>
      <vt:variant>
        <vt:i4>5</vt:i4>
      </vt:variant>
      <vt:variant>
        <vt:lpwstr/>
      </vt:variant>
      <vt:variant>
        <vt:lpwstr>_Toc210032847</vt:lpwstr>
      </vt:variant>
      <vt:variant>
        <vt:i4>1048633</vt:i4>
      </vt:variant>
      <vt:variant>
        <vt:i4>32</vt:i4>
      </vt:variant>
      <vt:variant>
        <vt:i4>0</vt:i4>
      </vt:variant>
      <vt:variant>
        <vt:i4>5</vt:i4>
      </vt:variant>
      <vt:variant>
        <vt:lpwstr/>
      </vt:variant>
      <vt:variant>
        <vt:lpwstr>_Toc210032846</vt:lpwstr>
      </vt:variant>
      <vt:variant>
        <vt:i4>1048633</vt:i4>
      </vt:variant>
      <vt:variant>
        <vt:i4>26</vt:i4>
      </vt:variant>
      <vt:variant>
        <vt:i4>0</vt:i4>
      </vt:variant>
      <vt:variant>
        <vt:i4>5</vt:i4>
      </vt:variant>
      <vt:variant>
        <vt:lpwstr/>
      </vt:variant>
      <vt:variant>
        <vt:lpwstr>_Toc210032845</vt:lpwstr>
      </vt:variant>
      <vt:variant>
        <vt:i4>1048633</vt:i4>
      </vt:variant>
      <vt:variant>
        <vt:i4>20</vt:i4>
      </vt:variant>
      <vt:variant>
        <vt:i4>0</vt:i4>
      </vt:variant>
      <vt:variant>
        <vt:i4>5</vt:i4>
      </vt:variant>
      <vt:variant>
        <vt:lpwstr/>
      </vt:variant>
      <vt:variant>
        <vt:lpwstr>_Toc210032844</vt:lpwstr>
      </vt:variant>
      <vt:variant>
        <vt:i4>1048633</vt:i4>
      </vt:variant>
      <vt:variant>
        <vt:i4>14</vt:i4>
      </vt:variant>
      <vt:variant>
        <vt:i4>0</vt:i4>
      </vt:variant>
      <vt:variant>
        <vt:i4>5</vt:i4>
      </vt:variant>
      <vt:variant>
        <vt:lpwstr/>
      </vt:variant>
      <vt:variant>
        <vt:lpwstr>_Toc210032843</vt:lpwstr>
      </vt:variant>
      <vt:variant>
        <vt:i4>1048633</vt:i4>
      </vt:variant>
      <vt:variant>
        <vt:i4>8</vt:i4>
      </vt:variant>
      <vt:variant>
        <vt:i4>0</vt:i4>
      </vt:variant>
      <vt:variant>
        <vt:i4>5</vt:i4>
      </vt:variant>
      <vt:variant>
        <vt:lpwstr/>
      </vt:variant>
      <vt:variant>
        <vt:lpwstr>_Toc210032842</vt:lpwstr>
      </vt:variant>
      <vt:variant>
        <vt:i4>1048633</vt:i4>
      </vt:variant>
      <vt:variant>
        <vt:i4>2</vt:i4>
      </vt:variant>
      <vt:variant>
        <vt:i4>0</vt:i4>
      </vt:variant>
      <vt:variant>
        <vt:i4>5</vt:i4>
      </vt:variant>
      <vt:variant>
        <vt:lpwstr/>
      </vt:variant>
      <vt:variant>
        <vt:lpwstr>_Toc210032841</vt:lpwstr>
      </vt:variant>
      <vt:variant>
        <vt:i4>2162747</vt:i4>
      </vt:variant>
      <vt:variant>
        <vt:i4>3</vt:i4>
      </vt:variant>
      <vt:variant>
        <vt:i4>0</vt:i4>
      </vt:variant>
      <vt:variant>
        <vt:i4>5</vt:i4>
      </vt:variant>
      <vt:variant>
        <vt:lpwstr>http://www.bom.gov.au/climate/data/</vt:lpwstr>
      </vt:variant>
      <vt:variant>
        <vt:lpwstr/>
      </vt:variant>
      <vt:variant>
        <vt:i4>1638490</vt:i4>
      </vt:variant>
      <vt:variant>
        <vt:i4>0</vt:i4>
      </vt:variant>
      <vt:variant>
        <vt:i4>0</vt:i4>
      </vt:variant>
      <vt:variant>
        <vt:i4>5</vt:i4>
      </vt:variant>
      <vt:variant>
        <vt:lpwstr>https://www.melbournewater.com.au/sites/default/files/Principles-for-provision-of-waterway-and-drainage-services-for-urban-growth.pdf</vt:lpwstr>
      </vt:variant>
      <vt:variant>
        <vt:lpwstr/>
      </vt:variant>
      <vt:variant>
        <vt:i4>3735642</vt:i4>
      </vt:variant>
      <vt:variant>
        <vt:i4>159</vt:i4>
      </vt:variant>
      <vt:variant>
        <vt:i4>0</vt:i4>
      </vt:variant>
      <vt:variant>
        <vt:i4>5</vt:i4>
      </vt:variant>
      <vt:variant>
        <vt:lpwstr>mailto:kevin.nguyen1@melbournewater.com.au</vt:lpwstr>
      </vt:variant>
      <vt:variant>
        <vt:lpwstr/>
      </vt:variant>
      <vt:variant>
        <vt:i4>4522093</vt:i4>
      </vt:variant>
      <vt:variant>
        <vt:i4>156</vt:i4>
      </vt:variant>
      <vt:variant>
        <vt:i4>0</vt:i4>
      </vt:variant>
      <vt:variant>
        <vt:i4>5</vt:i4>
      </vt:variant>
      <vt:variant>
        <vt:lpwstr>mailto:alexandra.syrjanen@melbournewater.com.au</vt:lpwstr>
      </vt:variant>
      <vt:variant>
        <vt:lpwstr/>
      </vt:variant>
      <vt:variant>
        <vt:i4>4522093</vt:i4>
      </vt:variant>
      <vt:variant>
        <vt:i4>153</vt:i4>
      </vt:variant>
      <vt:variant>
        <vt:i4>0</vt:i4>
      </vt:variant>
      <vt:variant>
        <vt:i4>5</vt:i4>
      </vt:variant>
      <vt:variant>
        <vt:lpwstr>mailto:alexandra.syrjanen@melbournewater.com.au</vt:lpwstr>
      </vt:variant>
      <vt:variant>
        <vt:lpwstr/>
      </vt:variant>
      <vt:variant>
        <vt:i4>4522093</vt:i4>
      </vt:variant>
      <vt:variant>
        <vt:i4>150</vt:i4>
      </vt:variant>
      <vt:variant>
        <vt:i4>0</vt:i4>
      </vt:variant>
      <vt:variant>
        <vt:i4>5</vt:i4>
      </vt:variant>
      <vt:variant>
        <vt:lpwstr>mailto:alexandra.syrjanen@melbournewater.com.au</vt:lpwstr>
      </vt:variant>
      <vt:variant>
        <vt:lpwstr/>
      </vt:variant>
      <vt:variant>
        <vt:i4>4522093</vt:i4>
      </vt:variant>
      <vt:variant>
        <vt:i4>147</vt:i4>
      </vt:variant>
      <vt:variant>
        <vt:i4>0</vt:i4>
      </vt:variant>
      <vt:variant>
        <vt:i4>5</vt:i4>
      </vt:variant>
      <vt:variant>
        <vt:lpwstr>mailto:alexandra.syrjanen@melbournewater.com.au</vt:lpwstr>
      </vt:variant>
      <vt:variant>
        <vt:lpwstr/>
      </vt:variant>
      <vt:variant>
        <vt:i4>4522093</vt:i4>
      </vt:variant>
      <vt:variant>
        <vt:i4>144</vt:i4>
      </vt:variant>
      <vt:variant>
        <vt:i4>0</vt:i4>
      </vt:variant>
      <vt:variant>
        <vt:i4>5</vt:i4>
      </vt:variant>
      <vt:variant>
        <vt:lpwstr>mailto:alexandra.syrjanen@melbournewater.com.au</vt:lpwstr>
      </vt:variant>
      <vt:variant>
        <vt:lpwstr/>
      </vt:variant>
      <vt:variant>
        <vt:i4>4522093</vt:i4>
      </vt:variant>
      <vt:variant>
        <vt:i4>141</vt:i4>
      </vt:variant>
      <vt:variant>
        <vt:i4>0</vt:i4>
      </vt:variant>
      <vt:variant>
        <vt:i4>5</vt:i4>
      </vt:variant>
      <vt:variant>
        <vt:lpwstr>mailto:alexandra.syrjanen@melbournewater.com.au</vt:lpwstr>
      </vt:variant>
      <vt:variant>
        <vt:lpwstr/>
      </vt:variant>
      <vt:variant>
        <vt:i4>4522093</vt:i4>
      </vt:variant>
      <vt:variant>
        <vt:i4>138</vt:i4>
      </vt:variant>
      <vt:variant>
        <vt:i4>0</vt:i4>
      </vt:variant>
      <vt:variant>
        <vt:i4>5</vt:i4>
      </vt:variant>
      <vt:variant>
        <vt:lpwstr>mailto:alexandra.syrjanen@melbournewater.com.au</vt:lpwstr>
      </vt:variant>
      <vt:variant>
        <vt:lpwstr/>
      </vt:variant>
      <vt:variant>
        <vt:i4>4522093</vt:i4>
      </vt:variant>
      <vt:variant>
        <vt:i4>135</vt:i4>
      </vt:variant>
      <vt:variant>
        <vt:i4>0</vt:i4>
      </vt:variant>
      <vt:variant>
        <vt:i4>5</vt:i4>
      </vt:variant>
      <vt:variant>
        <vt:lpwstr>mailto:alexandra.syrjanen@melbournewater.com.au</vt:lpwstr>
      </vt:variant>
      <vt:variant>
        <vt:lpwstr/>
      </vt:variant>
      <vt:variant>
        <vt:i4>4522093</vt:i4>
      </vt:variant>
      <vt:variant>
        <vt:i4>132</vt:i4>
      </vt:variant>
      <vt:variant>
        <vt:i4>0</vt:i4>
      </vt:variant>
      <vt:variant>
        <vt:i4>5</vt:i4>
      </vt:variant>
      <vt:variant>
        <vt:lpwstr>mailto:alexandra.syrjanen@melbournewater.com.au</vt:lpwstr>
      </vt:variant>
      <vt:variant>
        <vt:lpwstr/>
      </vt:variant>
      <vt:variant>
        <vt:i4>4522093</vt:i4>
      </vt:variant>
      <vt:variant>
        <vt:i4>129</vt:i4>
      </vt:variant>
      <vt:variant>
        <vt:i4>0</vt:i4>
      </vt:variant>
      <vt:variant>
        <vt:i4>5</vt:i4>
      </vt:variant>
      <vt:variant>
        <vt:lpwstr>mailto:alexandra.syrjanen@melbournewater.com.au</vt:lpwstr>
      </vt:variant>
      <vt:variant>
        <vt:lpwstr/>
      </vt:variant>
      <vt:variant>
        <vt:i4>4522093</vt:i4>
      </vt:variant>
      <vt:variant>
        <vt:i4>126</vt:i4>
      </vt:variant>
      <vt:variant>
        <vt:i4>0</vt:i4>
      </vt:variant>
      <vt:variant>
        <vt:i4>5</vt:i4>
      </vt:variant>
      <vt:variant>
        <vt:lpwstr>mailto:alexandra.syrjanen@melbournewater.com.au</vt:lpwstr>
      </vt:variant>
      <vt:variant>
        <vt:lpwstr/>
      </vt:variant>
      <vt:variant>
        <vt:i4>4522093</vt:i4>
      </vt:variant>
      <vt:variant>
        <vt:i4>123</vt:i4>
      </vt:variant>
      <vt:variant>
        <vt:i4>0</vt:i4>
      </vt:variant>
      <vt:variant>
        <vt:i4>5</vt:i4>
      </vt:variant>
      <vt:variant>
        <vt:lpwstr>mailto:alexandra.syrjanen@melbournewater.com.au</vt:lpwstr>
      </vt:variant>
      <vt:variant>
        <vt:lpwstr/>
      </vt:variant>
      <vt:variant>
        <vt:i4>4522093</vt:i4>
      </vt:variant>
      <vt:variant>
        <vt:i4>120</vt:i4>
      </vt:variant>
      <vt:variant>
        <vt:i4>0</vt:i4>
      </vt:variant>
      <vt:variant>
        <vt:i4>5</vt:i4>
      </vt:variant>
      <vt:variant>
        <vt:lpwstr>mailto:alexandra.syrjanen@melbournewater.com.au</vt:lpwstr>
      </vt:variant>
      <vt:variant>
        <vt:lpwstr/>
      </vt:variant>
      <vt:variant>
        <vt:i4>4522093</vt:i4>
      </vt:variant>
      <vt:variant>
        <vt:i4>117</vt:i4>
      </vt:variant>
      <vt:variant>
        <vt:i4>0</vt:i4>
      </vt:variant>
      <vt:variant>
        <vt:i4>5</vt:i4>
      </vt:variant>
      <vt:variant>
        <vt:lpwstr>mailto:alexandra.syrjanen@melbournewater.com.au</vt:lpwstr>
      </vt:variant>
      <vt:variant>
        <vt:lpwstr/>
      </vt:variant>
      <vt:variant>
        <vt:i4>4522093</vt:i4>
      </vt:variant>
      <vt:variant>
        <vt:i4>114</vt:i4>
      </vt:variant>
      <vt:variant>
        <vt:i4>0</vt:i4>
      </vt:variant>
      <vt:variant>
        <vt:i4>5</vt:i4>
      </vt:variant>
      <vt:variant>
        <vt:lpwstr>mailto:alexandra.syrjanen@melbournewater.com.au</vt:lpwstr>
      </vt:variant>
      <vt:variant>
        <vt:lpwstr/>
      </vt:variant>
      <vt:variant>
        <vt:i4>4522093</vt:i4>
      </vt:variant>
      <vt:variant>
        <vt:i4>111</vt:i4>
      </vt:variant>
      <vt:variant>
        <vt:i4>0</vt:i4>
      </vt:variant>
      <vt:variant>
        <vt:i4>5</vt:i4>
      </vt:variant>
      <vt:variant>
        <vt:lpwstr>mailto:alexandra.syrjanen@melbournewater.com.au</vt:lpwstr>
      </vt:variant>
      <vt:variant>
        <vt:lpwstr/>
      </vt:variant>
      <vt:variant>
        <vt:i4>4587621</vt:i4>
      </vt:variant>
      <vt:variant>
        <vt:i4>108</vt:i4>
      </vt:variant>
      <vt:variant>
        <vt:i4>0</vt:i4>
      </vt:variant>
      <vt:variant>
        <vt:i4>5</vt:i4>
      </vt:variant>
      <vt:variant>
        <vt:lpwstr>mailto:jess.saigar@melbournewater.com.au</vt:lpwstr>
      </vt:variant>
      <vt:variant>
        <vt:lpwstr/>
      </vt:variant>
      <vt:variant>
        <vt:i4>6488140</vt:i4>
      </vt:variant>
      <vt:variant>
        <vt:i4>105</vt:i4>
      </vt:variant>
      <vt:variant>
        <vt:i4>0</vt:i4>
      </vt:variant>
      <vt:variant>
        <vt:i4>5</vt:i4>
      </vt:variant>
      <vt:variant>
        <vt:lpwstr>mailto:richard.smith@melbournewater.com.au</vt:lpwstr>
      </vt:variant>
      <vt:variant>
        <vt:lpwstr/>
      </vt:variant>
      <vt:variant>
        <vt:i4>4522093</vt:i4>
      </vt:variant>
      <vt:variant>
        <vt:i4>102</vt:i4>
      </vt:variant>
      <vt:variant>
        <vt:i4>0</vt:i4>
      </vt:variant>
      <vt:variant>
        <vt:i4>5</vt:i4>
      </vt:variant>
      <vt:variant>
        <vt:lpwstr>mailto:alexandra.syrjanen@melbournewater.com.au</vt:lpwstr>
      </vt:variant>
      <vt:variant>
        <vt:lpwstr/>
      </vt:variant>
      <vt:variant>
        <vt:i4>4522093</vt:i4>
      </vt:variant>
      <vt:variant>
        <vt:i4>99</vt:i4>
      </vt:variant>
      <vt:variant>
        <vt:i4>0</vt:i4>
      </vt:variant>
      <vt:variant>
        <vt:i4>5</vt:i4>
      </vt:variant>
      <vt:variant>
        <vt:lpwstr>mailto:alexandra.syrjanen@melbournewater.com.au</vt:lpwstr>
      </vt:variant>
      <vt:variant>
        <vt:lpwstr/>
      </vt:variant>
      <vt:variant>
        <vt:i4>4522093</vt:i4>
      </vt:variant>
      <vt:variant>
        <vt:i4>96</vt:i4>
      </vt:variant>
      <vt:variant>
        <vt:i4>0</vt:i4>
      </vt:variant>
      <vt:variant>
        <vt:i4>5</vt:i4>
      </vt:variant>
      <vt:variant>
        <vt:lpwstr>mailto:alexandra.syrjanen@melbournewater.com.au</vt:lpwstr>
      </vt:variant>
      <vt:variant>
        <vt:lpwstr/>
      </vt:variant>
      <vt:variant>
        <vt:i4>4522093</vt:i4>
      </vt:variant>
      <vt:variant>
        <vt:i4>93</vt:i4>
      </vt:variant>
      <vt:variant>
        <vt:i4>0</vt:i4>
      </vt:variant>
      <vt:variant>
        <vt:i4>5</vt:i4>
      </vt:variant>
      <vt:variant>
        <vt:lpwstr>mailto:alexandra.syrjanen@melbournewater.com.au</vt:lpwstr>
      </vt:variant>
      <vt:variant>
        <vt:lpwstr/>
      </vt:variant>
      <vt:variant>
        <vt:i4>4522093</vt:i4>
      </vt:variant>
      <vt:variant>
        <vt:i4>90</vt:i4>
      </vt:variant>
      <vt:variant>
        <vt:i4>0</vt:i4>
      </vt:variant>
      <vt:variant>
        <vt:i4>5</vt:i4>
      </vt:variant>
      <vt:variant>
        <vt:lpwstr>mailto:alexandra.syrjanen@melbournewater.com.au</vt:lpwstr>
      </vt:variant>
      <vt:variant>
        <vt:lpwstr/>
      </vt:variant>
      <vt:variant>
        <vt:i4>4522093</vt:i4>
      </vt:variant>
      <vt:variant>
        <vt:i4>87</vt:i4>
      </vt:variant>
      <vt:variant>
        <vt:i4>0</vt:i4>
      </vt:variant>
      <vt:variant>
        <vt:i4>5</vt:i4>
      </vt:variant>
      <vt:variant>
        <vt:lpwstr>mailto:alexandra.syrjanen@melbournewater.com.au</vt:lpwstr>
      </vt:variant>
      <vt:variant>
        <vt:lpwstr/>
      </vt:variant>
      <vt:variant>
        <vt:i4>4522093</vt:i4>
      </vt:variant>
      <vt:variant>
        <vt:i4>84</vt:i4>
      </vt:variant>
      <vt:variant>
        <vt:i4>0</vt:i4>
      </vt:variant>
      <vt:variant>
        <vt:i4>5</vt:i4>
      </vt:variant>
      <vt:variant>
        <vt:lpwstr>mailto:alexandra.syrjanen@melbournewater.com.au</vt:lpwstr>
      </vt:variant>
      <vt:variant>
        <vt:lpwstr/>
      </vt:variant>
      <vt:variant>
        <vt:i4>4587621</vt:i4>
      </vt:variant>
      <vt:variant>
        <vt:i4>81</vt:i4>
      </vt:variant>
      <vt:variant>
        <vt:i4>0</vt:i4>
      </vt:variant>
      <vt:variant>
        <vt:i4>5</vt:i4>
      </vt:variant>
      <vt:variant>
        <vt:lpwstr>mailto:jess.saigar@melbournewater.com.au</vt:lpwstr>
      </vt:variant>
      <vt:variant>
        <vt:lpwstr/>
      </vt:variant>
      <vt:variant>
        <vt:i4>4522093</vt:i4>
      </vt:variant>
      <vt:variant>
        <vt:i4>78</vt:i4>
      </vt:variant>
      <vt:variant>
        <vt:i4>0</vt:i4>
      </vt:variant>
      <vt:variant>
        <vt:i4>5</vt:i4>
      </vt:variant>
      <vt:variant>
        <vt:lpwstr>mailto:alexandra.syrjanen@melbournewater.com.au</vt:lpwstr>
      </vt:variant>
      <vt:variant>
        <vt:lpwstr/>
      </vt:variant>
      <vt:variant>
        <vt:i4>4522093</vt:i4>
      </vt:variant>
      <vt:variant>
        <vt:i4>75</vt:i4>
      </vt:variant>
      <vt:variant>
        <vt:i4>0</vt:i4>
      </vt:variant>
      <vt:variant>
        <vt:i4>5</vt:i4>
      </vt:variant>
      <vt:variant>
        <vt:lpwstr>mailto:alexandra.syrjanen@melbournewater.com.au</vt:lpwstr>
      </vt:variant>
      <vt:variant>
        <vt:lpwstr/>
      </vt:variant>
      <vt:variant>
        <vt:i4>4522093</vt:i4>
      </vt:variant>
      <vt:variant>
        <vt:i4>72</vt:i4>
      </vt:variant>
      <vt:variant>
        <vt:i4>0</vt:i4>
      </vt:variant>
      <vt:variant>
        <vt:i4>5</vt:i4>
      </vt:variant>
      <vt:variant>
        <vt:lpwstr>mailto:alexandra.syrjanen@melbournewater.com.au</vt:lpwstr>
      </vt:variant>
      <vt:variant>
        <vt:lpwstr/>
      </vt:variant>
      <vt:variant>
        <vt:i4>4522093</vt:i4>
      </vt:variant>
      <vt:variant>
        <vt:i4>69</vt:i4>
      </vt:variant>
      <vt:variant>
        <vt:i4>0</vt:i4>
      </vt:variant>
      <vt:variant>
        <vt:i4>5</vt:i4>
      </vt:variant>
      <vt:variant>
        <vt:lpwstr>mailto:alexandra.syrjanen@melbournewater.com.au</vt:lpwstr>
      </vt:variant>
      <vt:variant>
        <vt:lpwstr/>
      </vt:variant>
      <vt:variant>
        <vt:i4>4522093</vt:i4>
      </vt:variant>
      <vt:variant>
        <vt:i4>66</vt:i4>
      </vt:variant>
      <vt:variant>
        <vt:i4>0</vt:i4>
      </vt:variant>
      <vt:variant>
        <vt:i4>5</vt:i4>
      </vt:variant>
      <vt:variant>
        <vt:lpwstr>mailto:alexandra.syrjanen@melbournewater.com.au</vt:lpwstr>
      </vt:variant>
      <vt:variant>
        <vt:lpwstr/>
      </vt:variant>
      <vt:variant>
        <vt:i4>4522093</vt:i4>
      </vt:variant>
      <vt:variant>
        <vt:i4>63</vt:i4>
      </vt:variant>
      <vt:variant>
        <vt:i4>0</vt:i4>
      </vt:variant>
      <vt:variant>
        <vt:i4>5</vt:i4>
      </vt:variant>
      <vt:variant>
        <vt:lpwstr>mailto:alexandra.syrjanen@melbournewater.com.au</vt:lpwstr>
      </vt:variant>
      <vt:variant>
        <vt:lpwstr/>
      </vt:variant>
      <vt:variant>
        <vt:i4>7929982</vt:i4>
      </vt:variant>
      <vt:variant>
        <vt:i4>60</vt:i4>
      </vt:variant>
      <vt:variant>
        <vt:i4>0</vt:i4>
      </vt:variant>
      <vt:variant>
        <vt:i4>5</vt:i4>
      </vt:variant>
      <vt:variant>
        <vt:lpwstr>C:\Users\rowbottj\AppData\Local\Temp\MicrosoftEdgeDownloads\bda25bbf-ba2d-45d5-8909-08810a1a059f\DTP0552-Victori-in-Future-2023-report.pdf</vt:lpwstr>
      </vt:variant>
      <vt:variant>
        <vt:lpwstr/>
      </vt:variant>
      <vt:variant>
        <vt:i4>4522093</vt:i4>
      </vt:variant>
      <vt:variant>
        <vt:i4>57</vt:i4>
      </vt:variant>
      <vt:variant>
        <vt:i4>0</vt:i4>
      </vt:variant>
      <vt:variant>
        <vt:i4>5</vt:i4>
      </vt:variant>
      <vt:variant>
        <vt:lpwstr>mailto:alexandra.syrjanen@melbournewater.com.au</vt:lpwstr>
      </vt:variant>
      <vt:variant>
        <vt:lpwstr/>
      </vt:variant>
      <vt:variant>
        <vt:i4>4522093</vt:i4>
      </vt:variant>
      <vt:variant>
        <vt:i4>54</vt:i4>
      </vt:variant>
      <vt:variant>
        <vt:i4>0</vt:i4>
      </vt:variant>
      <vt:variant>
        <vt:i4>5</vt:i4>
      </vt:variant>
      <vt:variant>
        <vt:lpwstr>mailto:alexandra.syrjanen@melbournewater.com.au</vt:lpwstr>
      </vt:variant>
      <vt:variant>
        <vt:lpwstr/>
      </vt:variant>
      <vt:variant>
        <vt:i4>4522093</vt:i4>
      </vt:variant>
      <vt:variant>
        <vt:i4>51</vt:i4>
      </vt:variant>
      <vt:variant>
        <vt:i4>0</vt:i4>
      </vt:variant>
      <vt:variant>
        <vt:i4>5</vt:i4>
      </vt:variant>
      <vt:variant>
        <vt:lpwstr>mailto:alexandra.syrjanen@melbournewater.com.au</vt:lpwstr>
      </vt:variant>
      <vt:variant>
        <vt:lpwstr/>
      </vt:variant>
      <vt:variant>
        <vt:i4>4522093</vt:i4>
      </vt:variant>
      <vt:variant>
        <vt:i4>48</vt:i4>
      </vt:variant>
      <vt:variant>
        <vt:i4>0</vt:i4>
      </vt:variant>
      <vt:variant>
        <vt:i4>5</vt:i4>
      </vt:variant>
      <vt:variant>
        <vt:lpwstr>mailto:alexandra.syrjanen@melbournewater.com.au</vt:lpwstr>
      </vt:variant>
      <vt:variant>
        <vt:lpwstr/>
      </vt:variant>
      <vt:variant>
        <vt:i4>4522093</vt:i4>
      </vt:variant>
      <vt:variant>
        <vt:i4>45</vt:i4>
      </vt:variant>
      <vt:variant>
        <vt:i4>0</vt:i4>
      </vt:variant>
      <vt:variant>
        <vt:i4>5</vt:i4>
      </vt:variant>
      <vt:variant>
        <vt:lpwstr>mailto:alexandra.syrjanen@melbournewater.com.au</vt:lpwstr>
      </vt:variant>
      <vt:variant>
        <vt:lpwstr/>
      </vt:variant>
      <vt:variant>
        <vt:i4>4522093</vt:i4>
      </vt:variant>
      <vt:variant>
        <vt:i4>42</vt:i4>
      </vt:variant>
      <vt:variant>
        <vt:i4>0</vt:i4>
      </vt:variant>
      <vt:variant>
        <vt:i4>5</vt:i4>
      </vt:variant>
      <vt:variant>
        <vt:lpwstr>mailto:alexandra.syrjanen@melbournewater.com.au</vt:lpwstr>
      </vt:variant>
      <vt:variant>
        <vt:lpwstr/>
      </vt:variant>
      <vt:variant>
        <vt:i4>6488140</vt:i4>
      </vt:variant>
      <vt:variant>
        <vt:i4>39</vt:i4>
      </vt:variant>
      <vt:variant>
        <vt:i4>0</vt:i4>
      </vt:variant>
      <vt:variant>
        <vt:i4>5</vt:i4>
      </vt:variant>
      <vt:variant>
        <vt:lpwstr>mailto:richard.smith@melbournewater.com.au</vt:lpwstr>
      </vt:variant>
      <vt:variant>
        <vt:lpwstr/>
      </vt:variant>
      <vt:variant>
        <vt:i4>4522093</vt:i4>
      </vt:variant>
      <vt:variant>
        <vt:i4>36</vt:i4>
      </vt:variant>
      <vt:variant>
        <vt:i4>0</vt:i4>
      </vt:variant>
      <vt:variant>
        <vt:i4>5</vt:i4>
      </vt:variant>
      <vt:variant>
        <vt:lpwstr>mailto:alexandra.syrjanen@melbournewater.com.au</vt:lpwstr>
      </vt:variant>
      <vt:variant>
        <vt:lpwstr/>
      </vt:variant>
      <vt:variant>
        <vt:i4>4522093</vt:i4>
      </vt:variant>
      <vt:variant>
        <vt:i4>33</vt:i4>
      </vt:variant>
      <vt:variant>
        <vt:i4>0</vt:i4>
      </vt:variant>
      <vt:variant>
        <vt:i4>5</vt:i4>
      </vt:variant>
      <vt:variant>
        <vt:lpwstr>mailto:alexandra.syrjanen@melbournewater.com.au</vt:lpwstr>
      </vt:variant>
      <vt:variant>
        <vt:lpwstr/>
      </vt:variant>
      <vt:variant>
        <vt:i4>4522093</vt:i4>
      </vt:variant>
      <vt:variant>
        <vt:i4>30</vt:i4>
      </vt:variant>
      <vt:variant>
        <vt:i4>0</vt:i4>
      </vt:variant>
      <vt:variant>
        <vt:i4>5</vt:i4>
      </vt:variant>
      <vt:variant>
        <vt:lpwstr>mailto:alexandra.syrjanen@melbournewater.com.au</vt:lpwstr>
      </vt:variant>
      <vt:variant>
        <vt:lpwstr/>
      </vt:variant>
      <vt:variant>
        <vt:i4>4522093</vt:i4>
      </vt:variant>
      <vt:variant>
        <vt:i4>27</vt:i4>
      </vt:variant>
      <vt:variant>
        <vt:i4>0</vt:i4>
      </vt:variant>
      <vt:variant>
        <vt:i4>5</vt:i4>
      </vt:variant>
      <vt:variant>
        <vt:lpwstr>mailto:alexandra.syrjanen@melbournewater.com.au</vt:lpwstr>
      </vt:variant>
      <vt:variant>
        <vt:lpwstr/>
      </vt:variant>
      <vt:variant>
        <vt:i4>4522093</vt:i4>
      </vt:variant>
      <vt:variant>
        <vt:i4>24</vt:i4>
      </vt:variant>
      <vt:variant>
        <vt:i4>0</vt:i4>
      </vt:variant>
      <vt:variant>
        <vt:i4>5</vt:i4>
      </vt:variant>
      <vt:variant>
        <vt:lpwstr>mailto:alexandra.syrjanen@melbournewater.com.au</vt:lpwstr>
      </vt:variant>
      <vt:variant>
        <vt:lpwstr/>
      </vt:variant>
      <vt:variant>
        <vt:i4>4522093</vt:i4>
      </vt:variant>
      <vt:variant>
        <vt:i4>21</vt:i4>
      </vt:variant>
      <vt:variant>
        <vt:i4>0</vt:i4>
      </vt:variant>
      <vt:variant>
        <vt:i4>5</vt:i4>
      </vt:variant>
      <vt:variant>
        <vt:lpwstr>mailto:alexandra.syrjanen@melbournewater.com.au</vt:lpwstr>
      </vt:variant>
      <vt:variant>
        <vt:lpwstr/>
      </vt:variant>
      <vt:variant>
        <vt:i4>4522093</vt:i4>
      </vt:variant>
      <vt:variant>
        <vt:i4>18</vt:i4>
      </vt:variant>
      <vt:variant>
        <vt:i4>0</vt:i4>
      </vt:variant>
      <vt:variant>
        <vt:i4>5</vt:i4>
      </vt:variant>
      <vt:variant>
        <vt:lpwstr>mailto:alexandra.syrjanen@melbournewater.com.au</vt:lpwstr>
      </vt:variant>
      <vt:variant>
        <vt:lpwstr/>
      </vt:variant>
      <vt:variant>
        <vt:i4>4522093</vt:i4>
      </vt:variant>
      <vt:variant>
        <vt:i4>15</vt:i4>
      </vt:variant>
      <vt:variant>
        <vt:i4>0</vt:i4>
      </vt:variant>
      <vt:variant>
        <vt:i4>5</vt:i4>
      </vt:variant>
      <vt:variant>
        <vt:lpwstr>mailto:alexandra.syrjanen@melbournewater.com.au</vt:lpwstr>
      </vt:variant>
      <vt:variant>
        <vt:lpwstr/>
      </vt:variant>
      <vt:variant>
        <vt:i4>4522093</vt:i4>
      </vt:variant>
      <vt:variant>
        <vt:i4>12</vt:i4>
      </vt:variant>
      <vt:variant>
        <vt:i4>0</vt:i4>
      </vt:variant>
      <vt:variant>
        <vt:i4>5</vt:i4>
      </vt:variant>
      <vt:variant>
        <vt:lpwstr>mailto:alexandra.syrjanen@melbournewater.com.au</vt:lpwstr>
      </vt:variant>
      <vt:variant>
        <vt:lpwstr/>
      </vt:variant>
      <vt:variant>
        <vt:i4>4522093</vt:i4>
      </vt:variant>
      <vt:variant>
        <vt:i4>9</vt:i4>
      </vt:variant>
      <vt:variant>
        <vt:i4>0</vt:i4>
      </vt:variant>
      <vt:variant>
        <vt:i4>5</vt:i4>
      </vt:variant>
      <vt:variant>
        <vt:lpwstr>mailto:alexandra.syrjanen@melbournewater.com.au</vt:lpwstr>
      </vt:variant>
      <vt:variant>
        <vt:lpwstr/>
      </vt:variant>
      <vt:variant>
        <vt:i4>4522093</vt:i4>
      </vt:variant>
      <vt:variant>
        <vt:i4>6</vt:i4>
      </vt:variant>
      <vt:variant>
        <vt:i4>0</vt:i4>
      </vt:variant>
      <vt:variant>
        <vt:i4>5</vt:i4>
      </vt:variant>
      <vt:variant>
        <vt:lpwstr>mailto:alexandra.syrjanen@melbournewater.com.au</vt:lpwstr>
      </vt:variant>
      <vt:variant>
        <vt:lpwstr/>
      </vt:variant>
      <vt:variant>
        <vt:i4>4522093</vt:i4>
      </vt:variant>
      <vt:variant>
        <vt:i4>3</vt:i4>
      </vt:variant>
      <vt:variant>
        <vt:i4>0</vt:i4>
      </vt:variant>
      <vt:variant>
        <vt:i4>5</vt:i4>
      </vt:variant>
      <vt:variant>
        <vt:lpwstr>mailto:alexandra.syrjanen@melbournewater.com.au</vt:lpwstr>
      </vt:variant>
      <vt:variant>
        <vt:lpwstr/>
      </vt:variant>
      <vt:variant>
        <vt:i4>4522093</vt:i4>
      </vt:variant>
      <vt:variant>
        <vt:i4>0</vt:i4>
      </vt:variant>
      <vt:variant>
        <vt:i4>0</vt:i4>
      </vt:variant>
      <vt:variant>
        <vt:i4>5</vt:i4>
      </vt:variant>
      <vt:variant>
        <vt:lpwstr>mailto:alexandra.syrjanen@melbournewater.com.au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2025-10-01T07:00:00Z</dcterms:created>
  <dcterms:modified xsi:type="dcterms:W3CDTF">2025-10-01T07:00:00Z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5eb75fd7,2df1c60a,6805b301,12d9a2c8,58e4152a,72ff98ff,3f880d36,fc1f0f1,3c0e0b1e,1241a356,60566041,3f6837df,4ac5fb74,64aa726e,6b0c1ce0,7e9b5aa9,1ff6f32e,7b89213b,67e5f54b,520526d4,1876a8c5,144cdbf4,1b8bf90e</vt:lpwstr>
  </property>
  <property fmtid="{D5CDD505-2E9C-101B-9397-08002B2CF9AE}" pid="3" name="ClassificationContentMarkingHeaderShapeIds-1">
    <vt:lpwstr>4c974562,254e4b9,73c368d9</vt:lpwstr>
  </property>
  <property fmtid="{D5CDD505-2E9C-101B-9397-08002B2CF9AE}" pid="4" name="ClassificationContentMarkingHeaderFontProps">
    <vt:lpwstr>#ff0000,14,Calibri</vt:lpwstr>
  </property>
  <property fmtid="{D5CDD505-2E9C-101B-9397-08002B2CF9AE}" pid="5" name="ClassificationContentMarkingHeaderText">
    <vt:lpwstr>OFFICIAL</vt:lpwstr>
  </property>
  <property fmtid="{D5CDD505-2E9C-101B-9397-08002B2CF9AE}" pid="6" name="MSIP_Label_8d1a0ea4-6344-45fe-bd17-9bfc2ab6afb4_Enabled">
    <vt:lpwstr>true</vt:lpwstr>
  </property>
  <property fmtid="{D5CDD505-2E9C-101B-9397-08002B2CF9AE}" pid="7" name="MSIP_Label_8d1a0ea4-6344-45fe-bd17-9bfc2ab6afb4_SetDate">
    <vt:lpwstr>2025-10-01T06:14:47Z</vt:lpwstr>
  </property>
  <property fmtid="{D5CDD505-2E9C-101B-9397-08002B2CF9AE}" pid="8" name="MSIP_Label_8d1a0ea4-6344-45fe-bd17-9bfc2ab6afb4_Method">
    <vt:lpwstr>Standard</vt:lpwstr>
  </property>
  <property fmtid="{D5CDD505-2E9C-101B-9397-08002B2CF9AE}" pid="9" name="MSIP_Label_8d1a0ea4-6344-45fe-bd17-9bfc2ab6afb4_Name">
    <vt:lpwstr>OFFICIAL</vt:lpwstr>
  </property>
  <property fmtid="{D5CDD505-2E9C-101B-9397-08002B2CF9AE}" pid="10" name="MSIP_Label_8d1a0ea4-6344-45fe-bd17-9bfc2ab6afb4_SiteId">
    <vt:lpwstr>fe26127b-78ee-42c7-803e-4d67c0488cf9</vt:lpwstr>
  </property>
  <property fmtid="{D5CDD505-2E9C-101B-9397-08002B2CF9AE}" pid="11" name="MSIP_Label_8d1a0ea4-6344-45fe-bd17-9bfc2ab6afb4_ActionId">
    <vt:lpwstr>e45af085-85b6-4bee-a6f9-dbc2dd7078b4</vt:lpwstr>
  </property>
  <property fmtid="{D5CDD505-2E9C-101B-9397-08002B2CF9AE}" pid="12" name="MSIP_Label_8d1a0ea4-6344-45fe-bd17-9bfc2ab6afb4_ContentBits">
    <vt:lpwstr>1</vt:lpwstr>
  </property>
  <property fmtid="{D5CDD505-2E9C-101B-9397-08002B2CF9AE}" pid="13" name="MSIP_Label_8d1a0ea4-6344-45fe-bd17-9bfc2ab6afb4_Tag">
    <vt:lpwstr>10, 3, 0, 1</vt:lpwstr>
  </property>
  <property fmtid="{D5CDD505-2E9C-101B-9397-08002B2CF9AE}" pid="14" name="ContentTypeId">
    <vt:lpwstr>0x0101002D3F9C6447521742A1F53AF335D1DBCF</vt:lpwstr>
  </property>
</Properties>
</file>